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C4864" w14:textId="321F65FA" w:rsidR="000D4E85" w:rsidRDefault="000D4E85" w:rsidP="00F42F18">
      <w:pPr>
        <w:rPr>
          <w:rFonts w:ascii="Times New Roman" w:hAnsi="Times New Roman" w:cs="Times New Roman"/>
          <w:b/>
          <w:bCs/>
          <w:sz w:val="24"/>
          <w:szCs w:val="24"/>
          <w:lang w:eastAsia="en-GB"/>
        </w:rPr>
      </w:pPr>
      <w:r>
        <w:rPr>
          <w:noProof/>
        </w:rPr>
        <w:drawing>
          <wp:inline distT="0" distB="0" distL="0" distR="0" wp14:anchorId="7997F55E" wp14:editId="55AD1746">
            <wp:extent cx="3644900" cy="1389380"/>
            <wp:effectExtent l="0" t="0" r="0" b="1270"/>
            <wp:docPr id="2" name="Picture 1" descr="Image result for university of wales trinity saint david london bran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university of wales trinity saint david london branch logo"/>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44900" cy="1389380"/>
                    </a:xfrm>
                    <a:prstGeom prst="rect">
                      <a:avLst/>
                    </a:prstGeom>
                    <a:noFill/>
                    <a:ln>
                      <a:noFill/>
                    </a:ln>
                  </pic:spPr>
                </pic:pic>
              </a:graphicData>
            </a:graphic>
          </wp:inline>
        </w:drawing>
      </w:r>
    </w:p>
    <w:p w14:paraId="22C5D61A" w14:textId="47F36D60" w:rsidR="000D4E85" w:rsidRDefault="000D4E85" w:rsidP="008B5FC0">
      <w:pPr>
        <w:pStyle w:val="NoSpacing"/>
        <w:rPr>
          <w:lang w:eastAsia="en-GB"/>
        </w:rPr>
      </w:pPr>
      <w:r>
        <w:rPr>
          <w:lang w:eastAsia="en-GB"/>
        </w:rPr>
        <w:t>BA (Hons) Business Management</w:t>
      </w:r>
    </w:p>
    <w:p w14:paraId="09A826F9" w14:textId="3517129F" w:rsidR="000D4E85" w:rsidRDefault="000D4E85" w:rsidP="008B5FC0">
      <w:pPr>
        <w:pStyle w:val="NoSpacing"/>
        <w:rPr>
          <w:lang w:eastAsia="en-GB"/>
        </w:rPr>
      </w:pPr>
      <w:r>
        <w:rPr>
          <w:lang w:eastAsia="en-GB"/>
        </w:rPr>
        <w:t>Module: Leadership and Management Theory and Practice</w:t>
      </w:r>
    </w:p>
    <w:p w14:paraId="0EED9C39" w14:textId="0CFB73A4" w:rsidR="000D4E85" w:rsidRDefault="000D4E85" w:rsidP="008B5FC0">
      <w:pPr>
        <w:pStyle w:val="NoSpacing"/>
        <w:rPr>
          <w:lang w:eastAsia="en-GB"/>
        </w:rPr>
      </w:pPr>
      <w:r>
        <w:rPr>
          <w:lang w:eastAsia="en-GB"/>
        </w:rPr>
        <w:t>Module code: LCBB6022</w:t>
      </w:r>
    </w:p>
    <w:p w14:paraId="48B0D0D5" w14:textId="3DF9EBC5" w:rsidR="000D4E85" w:rsidRDefault="000D4E85" w:rsidP="008B5FC0">
      <w:pPr>
        <w:pStyle w:val="NoSpacing"/>
        <w:rPr>
          <w:lang w:eastAsia="en-GB"/>
        </w:rPr>
      </w:pPr>
      <w:r>
        <w:rPr>
          <w:lang w:eastAsia="en-GB"/>
        </w:rPr>
        <w:t xml:space="preserve">Lecturer: </w:t>
      </w:r>
      <w:r w:rsidR="008B5FC0">
        <w:rPr>
          <w:lang w:eastAsia="en-GB"/>
        </w:rPr>
        <w:t xml:space="preserve"> </w:t>
      </w:r>
      <w:r>
        <w:rPr>
          <w:lang w:eastAsia="en-GB"/>
        </w:rPr>
        <w:t xml:space="preserve"> Faizu Edu</w:t>
      </w:r>
    </w:p>
    <w:p w14:paraId="6DBC39E2" w14:textId="4FF7ACB0" w:rsidR="000D4E85" w:rsidRDefault="000D4E85" w:rsidP="008B5FC0">
      <w:pPr>
        <w:pStyle w:val="NoSpacing"/>
        <w:rPr>
          <w:lang w:eastAsia="en-GB"/>
        </w:rPr>
      </w:pPr>
      <w:r>
        <w:rPr>
          <w:lang w:eastAsia="en-GB"/>
        </w:rPr>
        <w:t xml:space="preserve">Assignment Title: Component 2: </w:t>
      </w:r>
      <w:r w:rsidR="008B5FC0">
        <w:rPr>
          <w:lang w:eastAsia="en-GB"/>
        </w:rPr>
        <w:t>Coursework</w:t>
      </w:r>
      <w:r>
        <w:rPr>
          <w:lang w:eastAsia="en-GB"/>
        </w:rPr>
        <w:t>: Essay</w:t>
      </w:r>
    </w:p>
    <w:p w14:paraId="395EA13A" w14:textId="1FBFFE6F" w:rsidR="000D4E85" w:rsidRDefault="000D4E85" w:rsidP="008B5FC0">
      <w:pPr>
        <w:pStyle w:val="NoSpacing"/>
        <w:rPr>
          <w:lang w:eastAsia="en-GB"/>
        </w:rPr>
      </w:pPr>
      <w:r>
        <w:rPr>
          <w:lang w:eastAsia="en-GB"/>
        </w:rPr>
        <w:t>Student ID 2226760</w:t>
      </w:r>
    </w:p>
    <w:p w14:paraId="004AFB67" w14:textId="2A4C09AC" w:rsidR="000D4E85" w:rsidRDefault="000D4E85" w:rsidP="008B5FC0">
      <w:pPr>
        <w:pStyle w:val="NoSpacing"/>
        <w:rPr>
          <w:lang w:eastAsia="en-GB"/>
        </w:rPr>
      </w:pPr>
      <w:r>
        <w:rPr>
          <w:lang w:eastAsia="en-GB"/>
        </w:rPr>
        <w:t>Name: Alfred Ojekere</w:t>
      </w:r>
    </w:p>
    <w:p w14:paraId="66457B0B" w14:textId="77777777" w:rsidR="000D4E85" w:rsidRDefault="000D4E85" w:rsidP="00F42F18">
      <w:pPr>
        <w:rPr>
          <w:rFonts w:ascii="Times New Roman" w:hAnsi="Times New Roman" w:cs="Times New Roman"/>
          <w:b/>
          <w:bCs/>
          <w:sz w:val="24"/>
          <w:szCs w:val="24"/>
          <w:lang w:eastAsia="en-GB"/>
        </w:rPr>
      </w:pPr>
    </w:p>
    <w:p w14:paraId="485CBBE1" w14:textId="77777777" w:rsidR="000D4E85" w:rsidRDefault="000D4E85" w:rsidP="00F42F18">
      <w:pPr>
        <w:rPr>
          <w:rFonts w:ascii="Times New Roman" w:hAnsi="Times New Roman" w:cs="Times New Roman"/>
          <w:b/>
          <w:bCs/>
          <w:sz w:val="24"/>
          <w:szCs w:val="24"/>
          <w:lang w:eastAsia="en-GB"/>
        </w:rPr>
      </w:pPr>
    </w:p>
    <w:p w14:paraId="2EF050C5" w14:textId="77777777" w:rsidR="000D4E85" w:rsidRDefault="000D4E85" w:rsidP="00F42F18">
      <w:pPr>
        <w:rPr>
          <w:rFonts w:ascii="Times New Roman" w:hAnsi="Times New Roman" w:cs="Times New Roman"/>
          <w:b/>
          <w:bCs/>
          <w:sz w:val="24"/>
          <w:szCs w:val="24"/>
          <w:lang w:eastAsia="en-GB"/>
        </w:rPr>
      </w:pPr>
    </w:p>
    <w:p w14:paraId="7012B40F" w14:textId="28A0768A" w:rsidR="00E30CAD" w:rsidRPr="00F42F18" w:rsidRDefault="00E30CAD" w:rsidP="00F42F18">
      <w:pPr>
        <w:rPr>
          <w:rFonts w:ascii="Times New Roman" w:hAnsi="Times New Roman" w:cs="Times New Roman"/>
          <w:b/>
          <w:bCs/>
          <w:sz w:val="24"/>
          <w:szCs w:val="24"/>
          <w:lang w:eastAsia="en-GB"/>
        </w:rPr>
      </w:pPr>
      <w:r w:rsidRPr="00F42F18">
        <w:rPr>
          <w:rFonts w:ascii="Times New Roman" w:hAnsi="Times New Roman" w:cs="Times New Roman"/>
          <w:b/>
          <w:bCs/>
          <w:sz w:val="24"/>
          <w:szCs w:val="24"/>
          <w:lang w:eastAsia="en-GB"/>
        </w:rPr>
        <w:t>C</w:t>
      </w:r>
      <w:r w:rsidR="00C97EB4" w:rsidRPr="00F42F18">
        <w:rPr>
          <w:rFonts w:ascii="Times New Roman" w:hAnsi="Times New Roman" w:cs="Times New Roman"/>
          <w:b/>
          <w:bCs/>
          <w:sz w:val="24"/>
          <w:szCs w:val="24"/>
          <w:lang w:eastAsia="en-GB"/>
        </w:rPr>
        <w:t>ritically Evaluating the Importance of Controlling in Contemporary Organisations</w:t>
      </w:r>
      <w:r w:rsidRPr="00F42F18">
        <w:rPr>
          <w:rFonts w:ascii="Times New Roman" w:hAnsi="Times New Roman" w:cs="Times New Roman"/>
          <w:b/>
          <w:bCs/>
          <w:sz w:val="24"/>
          <w:szCs w:val="24"/>
          <w:lang w:eastAsia="en-GB"/>
        </w:rPr>
        <w:t xml:space="preserve"> </w:t>
      </w:r>
    </w:p>
    <w:p w14:paraId="578FBCE3" w14:textId="4ACE4450" w:rsidR="00C97EB4" w:rsidRPr="00C97EB4" w:rsidRDefault="00C97EB4" w:rsidP="00C97EB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Introduction </w:t>
      </w:r>
    </w:p>
    <w:p w14:paraId="404E30E6" w14:textId="4572E085"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Management remains a central pillar of organisational success, shaping how resources, people, and processes are coordinated to achieve strategic objectives. In contemporary business environments characterised by rapid technological change, global competition, and heightened uncertainty, effective management is more important than ever. Managers today must navigate complex organisational structures, diverse workforces, and dynamic markets while ensuring that operations remain efficient, ethical, and aligned with organisational goals (Drucker, 2007). The classical view of management identifies four core functions</w:t>
      </w:r>
      <w:r w:rsidR="008B5FC0">
        <w:rPr>
          <w:rFonts w:ascii="Times New Roman" w:eastAsia="Times New Roman" w:hAnsi="Times New Roman" w:cs="Times New Roman"/>
          <w:kern w:val="0"/>
          <w:sz w:val="24"/>
          <w:szCs w:val="24"/>
          <w:lang w:eastAsia="en-GB"/>
          <w14:ligatures w14:val="none"/>
        </w:rPr>
        <w:t>:</w:t>
      </w:r>
      <w:r w:rsidR="009A2CBB">
        <w:rPr>
          <w:rFonts w:ascii="Times New Roman" w:eastAsia="Times New Roman" w:hAnsi="Times New Roman" w:cs="Times New Roman"/>
          <w:kern w:val="0"/>
          <w:sz w:val="24"/>
          <w:szCs w:val="24"/>
          <w:lang w:eastAsia="en-GB"/>
          <w14:ligatures w14:val="none"/>
        </w:rPr>
        <w:t xml:space="preserve"> </w:t>
      </w:r>
      <w:r w:rsidRPr="00C97EB4">
        <w:rPr>
          <w:rFonts w:ascii="Times New Roman" w:eastAsia="Times New Roman" w:hAnsi="Times New Roman" w:cs="Times New Roman"/>
          <w:kern w:val="0"/>
          <w:sz w:val="24"/>
          <w:szCs w:val="24"/>
          <w:lang w:eastAsia="en-GB"/>
          <w14:ligatures w14:val="none"/>
        </w:rPr>
        <w:t>planning, organising, leading, and controlling</w:t>
      </w:r>
      <w:r w:rsidR="009A2CBB">
        <w:rPr>
          <w:rFonts w:ascii="Times New Roman" w:eastAsia="Times New Roman" w:hAnsi="Times New Roman" w:cs="Times New Roman"/>
          <w:kern w:val="0"/>
          <w:sz w:val="24"/>
          <w:szCs w:val="24"/>
          <w:lang w:eastAsia="en-GB"/>
          <w14:ligatures w14:val="none"/>
        </w:rPr>
        <w:t xml:space="preserve">, </w:t>
      </w:r>
      <w:r w:rsidRPr="00C97EB4">
        <w:rPr>
          <w:rFonts w:ascii="Times New Roman" w:eastAsia="Times New Roman" w:hAnsi="Times New Roman" w:cs="Times New Roman"/>
          <w:kern w:val="0"/>
          <w:sz w:val="24"/>
          <w:szCs w:val="24"/>
          <w:lang w:eastAsia="en-GB"/>
          <w14:ligatures w14:val="none"/>
        </w:rPr>
        <w:t>which together provide a framework for managerial action (Fayol, 1949). While each function is essential, the controlling function has gained particular significance in modern organisations due to increased accountability demands, data-driven decision-making, and the need for continuous performance monitoring.</w:t>
      </w:r>
    </w:p>
    <w:p w14:paraId="2ED1A8BB" w14:textId="5ECE7EC4" w:rsid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Controlling ensures that organisational activities proceed as intended, performance standards are met, and deviations are identified and corrected promptly (Robbins &amp; Coulter, 2021). In an era where organisations face heightened scrutiny from stakeholders, regulatory bodies, and competitive pressures, the ability to monitor performance and maintain alignment with strategic goals is critical. This essay critically evaluates why controlling is essential in organisations of all types, explores the challenges associated with implementing effective control systems, and discusses how managers can mitigate challenges. Business examples are used throughout to illustrate key points and demonstrate the practical relevance of controlling in contemporary management.</w:t>
      </w:r>
      <w:r w:rsidR="00E30CAD">
        <w:rPr>
          <w:rFonts w:ascii="Times New Roman" w:eastAsia="Times New Roman" w:hAnsi="Times New Roman" w:cs="Times New Roman"/>
          <w:kern w:val="0"/>
          <w:sz w:val="24"/>
          <w:szCs w:val="24"/>
          <w:lang w:eastAsia="en-GB"/>
          <w14:ligatures w14:val="none"/>
        </w:rPr>
        <w:t xml:space="preserve"> </w:t>
      </w:r>
    </w:p>
    <w:p w14:paraId="06D5C080" w14:textId="5DFC96A7" w:rsidR="00C97EB4" w:rsidRP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Managerial Functions and the Importance of Controlling </w:t>
      </w:r>
    </w:p>
    <w:p w14:paraId="514690F7"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 xml:space="preserve">The four managerial functions—planning, organising, leading, and controlling—form an integrated framework that guides managerial behaviour. Planning involves setting objectives </w:t>
      </w:r>
      <w:r w:rsidRPr="00C97EB4">
        <w:rPr>
          <w:rFonts w:ascii="Times New Roman" w:eastAsia="Times New Roman" w:hAnsi="Times New Roman" w:cs="Times New Roman"/>
          <w:kern w:val="0"/>
          <w:sz w:val="24"/>
          <w:szCs w:val="24"/>
          <w:lang w:eastAsia="en-GB"/>
          <w14:ligatures w14:val="none"/>
        </w:rPr>
        <w:lastRenderedPageBreak/>
        <w:t>and determining the best course of action to achieve them (Mintzberg, 1994). Organising refers to arranging resources and tasks to implement the plan effectively. Leading focuses on motivating and guiding employees, while controlling ensures that organisational activities align with planned objectives and performance standards (Robbins &amp; Coulter, 2021).</w:t>
      </w:r>
    </w:p>
    <w:p w14:paraId="1B3442DA" w14:textId="4CDEAD88"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 xml:space="preserve">Controlling is essential because it provides the feedback loop that enables managers to assess whether organisational goals are being met. Without control mechanisms, planning and organising lose their effectiveness, as managers would have no way of knowing whether strategies are working or whether corrective action is needed (Simons, 1995). Control systems help organisations maintain efficiency, reduce waste, and ensure accountability. For example, Toyota’s use of lean manufacturing relies heavily on continuous monitoring and control processes to identify defects and inefficiencies in real time (Ohno, 1988). This approach has enabled Toyota to maintain </w:t>
      </w:r>
      <w:r w:rsidR="007E5558" w:rsidRPr="00C97EB4">
        <w:rPr>
          <w:rFonts w:ascii="Times New Roman" w:eastAsia="Times New Roman" w:hAnsi="Times New Roman" w:cs="Times New Roman"/>
          <w:kern w:val="0"/>
          <w:sz w:val="24"/>
          <w:szCs w:val="24"/>
          <w:lang w:eastAsia="en-GB"/>
          <w14:ligatures w14:val="none"/>
        </w:rPr>
        <w:t>high-quality</w:t>
      </w:r>
      <w:r w:rsidRPr="00C97EB4">
        <w:rPr>
          <w:rFonts w:ascii="Times New Roman" w:eastAsia="Times New Roman" w:hAnsi="Times New Roman" w:cs="Times New Roman"/>
          <w:kern w:val="0"/>
          <w:sz w:val="24"/>
          <w:szCs w:val="24"/>
          <w:lang w:eastAsia="en-GB"/>
          <w14:ligatures w14:val="none"/>
        </w:rPr>
        <w:t xml:space="preserve"> standards and operational excellence.</w:t>
      </w:r>
    </w:p>
    <w:p w14:paraId="3EF566FC"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Controlling is also vital for risk management. In financial institutions such as HSBC, internal control systems are used to monitor compliance, detect fraud, and ensure adherence to regulatory requirements (HSBC, 2023). Without robust controls, organisations face significant financial, legal, and reputational risks. Furthermore, controlling supports strategic alignment by ensuring that employee actions and departmental activities contribute to organisational objectives. Balanced scorecards, used widely in companies such as Apple and IBM, provide managers with a structured way to monitor performance across financial, customer, internal process, and learning dimensions (Kaplan &amp; Norton, 1996).</w:t>
      </w:r>
    </w:p>
    <w:p w14:paraId="677C9774"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In addition, controlling enables continuous improvement. Organisations such as Amazon rely on data-driven control systems to track customer satisfaction, delivery times, and operational efficiency. These metrics allow managers to identify areas for improvement and implement changes quickly (Stone, 2020). In dynamic markets, the ability to adapt and refine processes is essential for maintaining competitiveness.</w:t>
      </w:r>
    </w:p>
    <w:p w14:paraId="708A5271" w14:textId="77777777" w:rsid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Overall, controlling is not merely a policing function; it is a strategic tool that ensures coherence, accountability, and continuous improvement across all organisational activities. Without effective control systems, organisations risk inefficiency, misalignment, and strategic drift.</w:t>
      </w:r>
      <w:r w:rsidR="00E30CAD">
        <w:rPr>
          <w:rFonts w:ascii="Times New Roman" w:eastAsia="Times New Roman" w:hAnsi="Times New Roman" w:cs="Times New Roman"/>
          <w:kern w:val="0"/>
          <w:sz w:val="24"/>
          <w:szCs w:val="24"/>
          <w:lang w:eastAsia="en-GB"/>
          <w14:ligatures w14:val="none"/>
        </w:rPr>
        <w:t xml:space="preserve"> </w:t>
      </w:r>
    </w:p>
    <w:p w14:paraId="59F22DB0" w14:textId="0B84332E" w:rsidR="00C97EB4" w:rsidRDefault="00C97EB4" w:rsidP="00E30CA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Challenges Associated with Controlling </w:t>
      </w:r>
    </w:p>
    <w:p w14:paraId="162E1226" w14:textId="77777777" w:rsidR="00D74499" w:rsidRDefault="00D74499" w:rsidP="00D74499">
      <w:pPr>
        <w:pStyle w:val="NormalWeb"/>
      </w:pPr>
      <w:r>
        <w:t>Despite its importance, controlling presents several significant challenges for managers, particularly in modern organisations where work is increasingly complex, digital, and globally distributed. One major challenge is the risk of excessive control, which can lead to employee demotivation, reduced creativity, and a culture of mistrust (Amabile, 1998). When control systems become overly rigid or punitive, employees may feel micromanaged, limiting their willingness to take initiative or experiment with new ideas. This can hinder innovation and reduce job satisfaction. For example, Amazon has faced criticism for its strict productivity monitoring systems in warehouses, which some employees argue create stress, pressure, and burnout (BBC, 2021). Such cases illustrate how poorly designed control mechanisms can undermine organisational performance rather than support it.</w:t>
      </w:r>
    </w:p>
    <w:p w14:paraId="007B06AA" w14:textId="77777777" w:rsidR="00D74499" w:rsidRDefault="00D74499" w:rsidP="00D74499">
      <w:pPr>
        <w:pStyle w:val="NormalWeb"/>
      </w:pPr>
      <w:r>
        <w:t>Another challenge is the difficulty of measuring performance accurately. In service</w:t>
      </w:r>
      <w:r>
        <w:noBreakHyphen/>
        <w:t>based or knowledge</w:t>
      </w:r>
      <w:r>
        <w:noBreakHyphen/>
        <w:t xml:space="preserve">intensive industries, performance indicators may be subjective or difficult to quantify. Measuring customer satisfaction, service quality, or employee engagement often </w:t>
      </w:r>
      <w:r>
        <w:lastRenderedPageBreak/>
        <w:t>requires qualitative assessment, which can be influenced by bias or inconsistent interpretation (Parasuraman et al., 1988). As a result, managers may struggle to develop reliable control systems that reflect true performance, leading to decisions based on incomplete or misleading data.</w:t>
      </w:r>
    </w:p>
    <w:p w14:paraId="0ABB467B" w14:textId="77777777" w:rsidR="00D74499" w:rsidRDefault="00D74499" w:rsidP="00D74499">
      <w:pPr>
        <w:pStyle w:val="NormalWeb"/>
      </w:pPr>
      <w:r>
        <w:t>Technological complexity also poses challenges. As organisations adopt advanced digital tools and data</w:t>
      </w:r>
      <w:r>
        <w:noBreakHyphen/>
        <w:t>driven systems, managers must navigate large volumes of information while ensuring that control mechanisms remain secure and reliable. Cybersecurity threats can compromise control systems, leading to data breaches, financial losses, and operational disruptions. The 2017 Equifax data breach, caused partly by failures in internal control processes, demonstrates how technological vulnerabilities can undermine organisational control and damage stakeholder trust (GAO, 2018).</w:t>
      </w:r>
    </w:p>
    <w:p w14:paraId="4D8BA24B" w14:textId="77777777" w:rsidR="00D74499" w:rsidRDefault="00D74499" w:rsidP="00D74499">
      <w:pPr>
        <w:pStyle w:val="NormalWeb"/>
      </w:pPr>
      <w:r>
        <w:t>Globalisation adds further layers of complexity. Multinational organisations must implement control systems across diverse cultural, regulatory, and economic environments. What works effectively in one country may not be appropriate in another due to differences in cultural attitudes toward authority, communication, and performance evaluation (Hofstede, 2001). For example, McDonald’s must adapt its control systems to suit local labour laws, cultural expectations, and operational practices across more than 100 countries, ensuring consistency without ignoring local differences.</w:t>
      </w:r>
    </w:p>
    <w:p w14:paraId="00DDF2C6" w14:textId="77777777" w:rsidR="00D74499" w:rsidRDefault="00D74499" w:rsidP="00D74499">
      <w:pPr>
        <w:pStyle w:val="NormalWeb"/>
      </w:pPr>
      <w:r>
        <w:t>Finally, employee resistance to control is a common challenge. Employees may perceive control mechanisms as intrusive or unnecessary, leading to disengagement or non</w:t>
      </w:r>
      <w:r>
        <w:noBreakHyphen/>
        <w:t>compliance. This is particularly evident in hybrid and remote working environments, where monitoring productivity can be difficult and employees may resist digital surveillance tools (Wang et al., 2021). Managers must therefore balance organisational oversight with respect for autonomy and privacy.</w:t>
      </w:r>
    </w:p>
    <w:p w14:paraId="21A43C18" w14:textId="77777777" w:rsidR="00D74499" w:rsidRDefault="00D74499" w:rsidP="00E30CA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F7DC1CA" w14:textId="77777777" w:rsidR="00D74499" w:rsidRPr="00E30CAD" w:rsidRDefault="00D74499"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F24F76" w14:textId="0E12DD40" w:rsidR="00C97EB4" w:rsidRDefault="00C97EB4" w:rsidP="007E5558">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How Managers Can Mitigate These Challenges</w:t>
      </w:r>
    </w:p>
    <w:p w14:paraId="19FB31AA" w14:textId="77777777" w:rsidR="00D74499" w:rsidRDefault="00D74499" w:rsidP="00D74499">
      <w:pPr>
        <w:pStyle w:val="NormalWeb"/>
      </w:pPr>
      <w:r>
        <w:t>To mitigate the challenges associated with controlling, managers must adopt a balanced, strategic, and human</w:t>
      </w:r>
      <w:r>
        <w:noBreakHyphen/>
        <w:t>centred approach that recognises both the technical and behavioural dimensions of organisational control. One key strategy is to design control systems that emphasise empowerment rather than restriction. Empowering controls focus on providing employees with information, resources, and autonomy to improve performance rather than imposing rigid rules (Simons, 1995). This approach encourages employees to take ownership of their work and make informed decisions. For example, Google uses flexible performance monitoring systems that encourage creativity and innovation while still maintaining accountability (Schmidt &amp; Rosenberg, 2014). By shifting the emphasis from surveillance to support, managers can foster a culture where employees feel trusted and motivated.</w:t>
      </w:r>
    </w:p>
    <w:p w14:paraId="54AD1582" w14:textId="77777777" w:rsidR="00D74499" w:rsidRDefault="00D74499" w:rsidP="00D74499">
      <w:pPr>
        <w:pStyle w:val="NormalWeb"/>
      </w:pPr>
      <w:r>
        <w:t>Managers can also mitigate control</w:t>
      </w:r>
      <w:r>
        <w:noBreakHyphen/>
        <w:t>related challenges by using a combination of quantitative and qualitative performance measures. Traditional metrics such as output levels or financial indicators often fail to capture the full complexity of performance. Tools such as balanced scorecards, 360</w:t>
      </w:r>
      <w:r>
        <w:noBreakHyphen/>
        <w:t xml:space="preserve">degree feedback, and customer satisfaction surveys provide a more holistic view and reduce reliance on narrow indicators (Kaplan &amp; Norton, 1996). This blended </w:t>
      </w:r>
      <w:r>
        <w:lastRenderedPageBreak/>
        <w:t>approach ensures that control systems capture both tangible and intangible aspects of organisational performance, including teamwork, innovation, and customer experience.</w:t>
      </w:r>
    </w:p>
    <w:p w14:paraId="0F1EF266" w14:textId="77777777" w:rsidR="00D74499" w:rsidRDefault="00D74499" w:rsidP="00D74499">
      <w:pPr>
        <w:pStyle w:val="NormalWeb"/>
      </w:pPr>
      <w:r>
        <w:t>Communication is another critical factor in effective control. Managers must clearly explain the purpose of control systems and involve employees in their design and implementation. When employees understand how controls support organisational goals and personal development, they are more likely to accept and engage with them (Robbins &amp; Judge, 2019). Starbucks, for example, involves employees in discussions about performance standards and operational improvements, fostering a culture of shared responsibility and transparency.</w:t>
      </w:r>
    </w:p>
    <w:p w14:paraId="3145E230" w14:textId="254CF3F9" w:rsidR="00D74499" w:rsidRDefault="00D74499" w:rsidP="00D74499">
      <w:pPr>
        <w:pStyle w:val="NormalWeb"/>
      </w:pPr>
      <w:r>
        <w:t>Technological challenges can be mitigated by investing in secure, user</w:t>
      </w:r>
      <w:r>
        <w:noBreakHyphen/>
        <w:t xml:space="preserve">friendly systems and providing ongoing training. Organisations such as Microsoft emphasise cybersecurity awareness </w:t>
      </w:r>
      <w:r w:rsidR="00D63EDB">
        <w:t>and</w:t>
      </w:r>
      <w:r>
        <w:t xml:space="preserve"> digital skills to ensure employees understand how to use tools safely and effectively (Microsoft, 2023). This reduces the risk of data breaches and enhances the reliability of control systems.</w:t>
      </w:r>
    </w:p>
    <w:p w14:paraId="61030894" w14:textId="27248B7F" w:rsidR="00D74499" w:rsidRDefault="00D74499" w:rsidP="00D74499">
      <w:pPr>
        <w:pStyle w:val="NormalWeb"/>
      </w:pPr>
      <w:r>
        <w:t xml:space="preserve">To address </w:t>
      </w:r>
      <w:r w:rsidR="00D63EDB">
        <w:t xml:space="preserve">the </w:t>
      </w:r>
      <w:r>
        <w:t>challenges</w:t>
      </w:r>
      <w:r w:rsidR="00D63EDB">
        <w:t xml:space="preserve"> posed by globalisation</w:t>
      </w:r>
      <w:r>
        <w:t xml:space="preserve">, managers should adapt </w:t>
      </w:r>
      <w:r w:rsidR="00D63EDB">
        <w:t xml:space="preserve">organisation </w:t>
      </w:r>
      <w:r>
        <w:t xml:space="preserve">control systems to </w:t>
      </w:r>
      <w:r w:rsidR="00D63EDB">
        <w:t xml:space="preserve">accommodate diverse </w:t>
      </w:r>
      <w:r>
        <w:t xml:space="preserve">local </w:t>
      </w:r>
      <w:r w:rsidR="00D63EDB">
        <w:t>standards</w:t>
      </w:r>
      <w:r>
        <w:t>. This may involve modifying performance standards, communication styles, or monitoring practices to align with cultural norms. Companies such as Unilever tailor their control mechanisms to suit regional differences, ensuring global standards are met without imposing culturally inappropriate practices (Unilever, 2022).</w:t>
      </w:r>
    </w:p>
    <w:p w14:paraId="4C6CF7FF" w14:textId="77777777" w:rsidR="00D74499" w:rsidRDefault="00D74499" w:rsidP="00D74499">
      <w:pPr>
        <w:pStyle w:val="NormalWeb"/>
      </w:pPr>
      <w:r>
        <w:t>Finally, managers must balance control with trust. Excessive surveillance can damage morale, particularly in remote work environments. Outcome</w:t>
      </w:r>
      <w:r>
        <w:noBreakHyphen/>
        <w:t>based controls that evaluate results rather than monitoring every action respect employee autonomy while maintaining accountability (Wang et al., 2021).</w:t>
      </w:r>
    </w:p>
    <w:p w14:paraId="0DF636E6" w14:textId="77777777" w:rsidR="00D74499" w:rsidRPr="007E5558" w:rsidRDefault="00D74499" w:rsidP="007E555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AE86D5" w14:textId="3AD66E34" w:rsidR="00FE70CE" w:rsidRPr="00FE70CE" w:rsidRDefault="00FE70CE" w:rsidP="007E5558">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FE70CE">
        <w:rPr>
          <w:rFonts w:ascii="Times New Roman" w:eastAsia="Times New Roman" w:hAnsi="Times New Roman" w:cs="Times New Roman"/>
          <w:b/>
          <w:bCs/>
          <w:kern w:val="0"/>
          <w:sz w:val="24"/>
          <w:szCs w:val="24"/>
          <w:lang w:eastAsia="en-GB"/>
          <w14:ligatures w14:val="none"/>
        </w:rPr>
        <w:t>Conclusion</w:t>
      </w:r>
    </w:p>
    <w:p w14:paraId="186DE49C" w14:textId="77777777" w:rsidR="00FE70CE" w:rsidRDefault="00FE70CE" w:rsidP="00FE70CE">
      <w:pPr>
        <w:pStyle w:val="NormalWeb"/>
      </w:pPr>
      <w:r>
        <w:t>Controlling is a fundamental managerial function that ensures organisational activities remain aligned with strategic objectives, performance expectations, and regulatory requirements. In today’s business environment—defined by rapid technological change, global competition, and increasing uncertainty—effective control systems provide the structure, feedback, and accountability necessary for organisations to operate efficiently and responsibly. Through monitoring performance, identifying deviations, and enabling corrective action, controlling supports both operational stability and strategic progress.</w:t>
      </w:r>
    </w:p>
    <w:p w14:paraId="4AE7ED8B" w14:textId="77777777" w:rsidR="00FE70CE" w:rsidRDefault="00FE70CE" w:rsidP="00FE70CE">
      <w:pPr>
        <w:pStyle w:val="NormalWeb"/>
      </w:pPr>
      <w:r>
        <w:t>However, controlling also presents several challenges. Excessive monitoring can damage trust and morale, while difficulties in measuring performance—especially in knowledge</w:t>
      </w:r>
      <w:r>
        <w:noBreakHyphen/>
        <w:t>based roles—can lead to inaccurate evaluations. Technological vulnerabilities, such as cybersecurity risks, further complicate control processes, and globalisation introduces cultural and regulatory complexities. Employees may also resist control mechanisms if they perceive them as intrusive or unfair.</w:t>
      </w:r>
    </w:p>
    <w:p w14:paraId="3E90C22A" w14:textId="77777777" w:rsidR="00FE70CE" w:rsidRDefault="00FE70CE" w:rsidP="00FE70CE">
      <w:pPr>
        <w:pStyle w:val="NormalWeb"/>
      </w:pPr>
      <w:r>
        <w:t xml:space="preserve">Managers can address these challenges by adopting balanced, transparent, and empowering control systems. Combining quantitative metrics with qualitative insights, investing in secure digital tools, and communicating expectations clearly can strengthen the effectiveness of </w:t>
      </w:r>
      <w:r>
        <w:lastRenderedPageBreak/>
        <w:t>control processes. Emphasising trust, autonomy, and employee involvement helps ensure that control supports rather than restricts performance. Organisations such as Toyota, Amazon, Google, and Unilever demonstrate how well</w:t>
      </w:r>
      <w:r>
        <w:noBreakHyphen/>
        <w:t>designed control systems contribute to operational excellence, innovation, and strategic alignment.</w:t>
      </w:r>
    </w:p>
    <w:p w14:paraId="5275A8D6" w14:textId="77777777" w:rsidR="00FE70CE" w:rsidRDefault="00FE70CE" w:rsidP="00FE70CE">
      <w:pPr>
        <w:pStyle w:val="NormalWeb"/>
      </w:pPr>
      <w:r>
        <w:t>Ultimately, controlling is not merely an oversight mechanism but a strategic tool that promotes continuous improvement, accountability, and long</w:t>
      </w:r>
      <w:r>
        <w:noBreakHyphen/>
        <w:t>term organisational resilience in an increasingly dynamic business landscape.</w:t>
      </w:r>
    </w:p>
    <w:p w14:paraId="15AF8851" w14:textId="77777777" w:rsidR="00FE70CE" w:rsidRDefault="00FE70CE" w:rsidP="007E555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11E800" w14:textId="2FD708BA" w:rsidR="007E5558" w:rsidRP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30CAD">
        <w:rPr>
          <w:rFonts w:ascii="Times New Roman" w:eastAsia="Times New Roman" w:hAnsi="Times New Roman" w:cs="Times New Roman"/>
          <w:b/>
          <w:bCs/>
          <w:kern w:val="0"/>
          <w:sz w:val="24"/>
          <w:szCs w:val="24"/>
          <w:lang w:eastAsia="en-GB"/>
          <w14:ligatures w14:val="none"/>
        </w:rPr>
        <w:t xml:space="preserve">References </w:t>
      </w:r>
    </w:p>
    <w:p w14:paraId="6A79FF1A" w14:textId="77777777" w:rsid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Amabile, T. (1998) ‘How to kill creativity’, </w:t>
      </w:r>
      <w:r w:rsidRPr="00310F19">
        <w:rPr>
          <w:rFonts w:ascii="Times New Roman" w:eastAsia="Times New Roman" w:hAnsi="Times New Roman" w:cs="Times New Roman"/>
          <w:i/>
          <w:iCs/>
          <w:kern w:val="0"/>
          <w:sz w:val="24"/>
          <w:szCs w:val="24"/>
          <w:lang w:eastAsia="en-GB"/>
          <w14:ligatures w14:val="none"/>
        </w:rPr>
        <w:t>Harvard Business Review</w:t>
      </w:r>
      <w:r w:rsidRPr="00310F19">
        <w:rPr>
          <w:rFonts w:ascii="Times New Roman" w:eastAsia="Times New Roman" w:hAnsi="Times New Roman" w:cs="Times New Roman"/>
          <w:kern w:val="0"/>
          <w:sz w:val="24"/>
          <w:szCs w:val="24"/>
          <w:lang w:eastAsia="en-GB"/>
          <w14:ligatures w14:val="none"/>
        </w:rPr>
        <w:t xml:space="preserve">, 76(5), pp. 76–87. </w:t>
      </w:r>
    </w:p>
    <w:p w14:paraId="5EB1F5B5" w14:textId="77777777" w:rsid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Drucker, P. (2007) </w:t>
      </w:r>
      <w:r w:rsidRPr="00310F19">
        <w:rPr>
          <w:rFonts w:ascii="Times New Roman" w:eastAsia="Times New Roman" w:hAnsi="Times New Roman" w:cs="Times New Roman"/>
          <w:i/>
          <w:iCs/>
          <w:kern w:val="0"/>
          <w:sz w:val="24"/>
          <w:szCs w:val="24"/>
          <w:lang w:eastAsia="en-GB"/>
          <w14:ligatures w14:val="none"/>
        </w:rPr>
        <w:t>Management Challenges for the 21st Century</w:t>
      </w:r>
      <w:r w:rsidRPr="00310F19">
        <w:rPr>
          <w:rFonts w:ascii="Times New Roman" w:eastAsia="Times New Roman" w:hAnsi="Times New Roman" w:cs="Times New Roman"/>
          <w:kern w:val="0"/>
          <w:sz w:val="24"/>
          <w:szCs w:val="24"/>
          <w:lang w:eastAsia="en-GB"/>
          <w14:ligatures w14:val="none"/>
        </w:rPr>
        <w:t xml:space="preserve">. New York: HarperCollins. </w:t>
      </w:r>
    </w:p>
    <w:p w14:paraId="123350B5"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Fayol, H. (1949) </w:t>
      </w:r>
      <w:r w:rsidRPr="00310F19">
        <w:rPr>
          <w:rFonts w:ascii="Times New Roman" w:eastAsia="Times New Roman" w:hAnsi="Times New Roman" w:cs="Times New Roman"/>
          <w:i/>
          <w:iCs/>
          <w:kern w:val="0"/>
          <w:sz w:val="24"/>
          <w:szCs w:val="24"/>
          <w:lang w:eastAsia="en-GB"/>
          <w14:ligatures w14:val="none"/>
        </w:rPr>
        <w:t>General and Industrial Management</w:t>
      </w:r>
      <w:r w:rsidRPr="00310F19">
        <w:rPr>
          <w:rFonts w:ascii="Times New Roman" w:eastAsia="Times New Roman" w:hAnsi="Times New Roman" w:cs="Times New Roman"/>
          <w:kern w:val="0"/>
          <w:sz w:val="24"/>
          <w:szCs w:val="24"/>
          <w:lang w:eastAsia="en-GB"/>
          <w14:ligatures w14:val="none"/>
        </w:rPr>
        <w:t xml:space="preserve">. London: Pitman. </w:t>
      </w:r>
    </w:p>
    <w:p w14:paraId="3FD80BB0" w14:textId="77777777" w:rsidR="00FE70CE" w:rsidRDefault="00310F19" w:rsidP="00310F19">
      <w:pPr>
        <w:spacing w:before="100"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Hofstede, G. (2011) </w:t>
      </w:r>
      <w:r w:rsidR="00E30CAD" w:rsidRPr="00310F19">
        <w:rPr>
          <w:rFonts w:ascii="Times New Roman" w:eastAsia="Times New Roman" w:hAnsi="Times New Roman" w:cs="Times New Roman"/>
          <w:i/>
          <w:iCs/>
          <w:kern w:val="0"/>
          <w:sz w:val="24"/>
          <w:szCs w:val="24"/>
          <w:lang w:eastAsia="en-GB"/>
          <w14:ligatures w14:val="none"/>
        </w:rPr>
        <w:t>Dimensional zing</w:t>
      </w:r>
      <w:r w:rsidRPr="00310F19">
        <w:rPr>
          <w:rFonts w:ascii="Times New Roman" w:eastAsia="Times New Roman" w:hAnsi="Times New Roman" w:cs="Times New Roman"/>
          <w:i/>
          <w:iCs/>
          <w:kern w:val="0"/>
          <w:sz w:val="24"/>
          <w:szCs w:val="24"/>
          <w:lang w:eastAsia="en-GB"/>
          <w14:ligatures w14:val="none"/>
        </w:rPr>
        <w:t xml:space="preserve"> cultures: The Hofste</w:t>
      </w:r>
    </w:p>
    <w:p w14:paraId="41413D30" w14:textId="3A509104"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i/>
          <w:iCs/>
          <w:kern w:val="0"/>
          <w:sz w:val="24"/>
          <w:szCs w:val="24"/>
          <w:lang w:eastAsia="en-GB"/>
          <w14:ligatures w14:val="none"/>
        </w:rPr>
        <w:t>de model in context</w:t>
      </w:r>
      <w:r w:rsidRPr="00310F19">
        <w:rPr>
          <w:rFonts w:ascii="Times New Roman" w:eastAsia="Times New Roman" w:hAnsi="Times New Roman" w:cs="Times New Roman"/>
          <w:kern w:val="0"/>
          <w:sz w:val="24"/>
          <w:szCs w:val="24"/>
          <w:lang w:eastAsia="en-GB"/>
          <w14:ligatures w14:val="none"/>
        </w:rPr>
        <w:t xml:space="preserve">. </w:t>
      </w:r>
      <w:r w:rsidRPr="00310F19">
        <w:rPr>
          <w:rFonts w:ascii="Times New Roman" w:eastAsia="Times New Roman" w:hAnsi="Times New Roman" w:cs="Times New Roman"/>
          <w:i/>
          <w:iCs/>
          <w:kern w:val="0"/>
          <w:sz w:val="24"/>
          <w:szCs w:val="24"/>
          <w:lang w:eastAsia="en-GB"/>
          <w14:ligatures w14:val="none"/>
        </w:rPr>
        <w:t>Online Readings in Psychology and Culture</w:t>
      </w:r>
      <w:r w:rsidRPr="00310F19">
        <w:rPr>
          <w:rFonts w:ascii="Times New Roman" w:eastAsia="Times New Roman" w:hAnsi="Times New Roman" w:cs="Times New Roman"/>
          <w:kern w:val="0"/>
          <w:sz w:val="24"/>
          <w:szCs w:val="24"/>
          <w:lang w:eastAsia="en-GB"/>
          <w14:ligatures w14:val="none"/>
        </w:rPr>
        <w:t xml:space="preserve">, 2(1). </w:t>
      </w:r>
    </w:p>
    <w:p w14:paraId="542C5A80"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HSBC (2023) </w:t>
      </w:r>
      <w:r w:rsidRPr="00310F19">
        <w:rPr>
          <w:rFonts w:ascii="Times New Roman" w:eastAsia="Times New Roman" w:hAnsi="Times New Roman" w:cs="Times New Roman"/>
          <w:i/>
          <w:iCs/>
          <w:kern w:val="0"/>
          <w:sz w:val="24"/>
          <w:szCs w:val="24"/>
          <w:lang w:eastAsia="en-GB"/>
          <w14:ligatures w14:val="none"/>
        </w:rPr>
        <w:t>Annual Report and Accounts</w:t>
      </w:r>
      <w:r w:rsidRPr="00310F19">
        <w:rPr>
          <w:rFonts w:ascii="Times New Roman" w:eastAsia="Times New Roman" w:hAnsi="Times New Roman" w:cs="Times New Roman"/>
          <w:kern w:val="0"/>
          <w:sz w:val="24"/>
          <w:szCs w:val="24"/>
          <w:lang w:eastAsia="en-GB"/>
          <w14:ligatures w14:val="none"/>
        </w:rPr>
        <w:t xml:space="preserve">. HSBC Holdings plc. </w:t>
      </w:r>
    </w:p>
    <w:p w14:paraId="3A9D80AF"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Kaplan, R. and Norton, D. (1996) </w:t>
      </w:r>
      <w:r w:rsidRPr="00310F19">
        <w:rPr>
          <w:rFonts w:ascii="Times New Roman" w:eastAsia="Times New Roman" w:hAnsi="Times New Roman" w:cs="Times New Roman"/>
          <w:i/>
          <w:iCs/>
          <w:kern w:val="0"/>
          <w:sz w:val="24"/>
          <w:szCs w:val="24"/>
          <w:lang w:eastAsia="en-GB"/>
          <w14:ligatures w14:val="none"/>
        </w:rPr>
        <w:t>The Balanced Scorecard</w:t>
      </w:r>
      <w:r w:rsidRPr="00310F19">
        <w:rPr>
          <w:rFonts w:ascii="Times New Roman" w:eastAsia="Times New Roman" w:hAnsi="Times New Roman" w:cs="Times New Roman"/>
          <w:kern w:val="0"/>
          <w:sz w:val="24"/>
          <w:szCs w:val="24"/>
          <w:lang w:eastAsia="en-GB"/>
          <w14:ligatures w14:val="none"/>
        </w:rPr>
        <w:t xml:space="preserve">. Boston: Harvard Business School Press. </w:t>
      </w:r>
    </w:p>
    <w:p w14:paraId="0F2DDF0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Microsoft (2023) </w:t>
      </w:r>
      <w:r w:rsidRPr="00310F19">
        <w:rPr>
          <w:rFonts w:ascii="Times New Roman" w:eastAsia="Times New Roman" w:hAnsi="Times New Roman" w:cs="Times New Roman"/>
          <w:i/>
          <w:iCs/>
          <w:kern w:val="0"/>
          <w:sz w:val="24"/>
          <w:szCs w:val="24"/>
          <w:lang w:eastAsia="en-GB"/>
          <w14:ligatures w14:val="none"/>
        </w:rPr>
        <w:t>Cybersecurity Report</w:t>
      </w:r>
      <w:r w:rsidRPr="00310F19">
        <w:rPr>
          <w:rFonts w:ascii="Times New Roman" w:eastAsia="Times New Roman" w:hAnsi="Times New Roman" w:cs="Times New Roman"/>
          <w:kern w:val="0"/>
          <w:sz w:val="24"/>
          <w:szCs w:val="24"/>
          <w:lang w:eastAsia="en-GB"/>
          <w14:ligatures w14:val="none"/>
        </w:rPr>
        <w:t xml:space="preserve">. Microsoft Corporation. </w:t>
      </w:r>
    </w:p>
    <w:p w14:paraId="04FC248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Mintzberg, H. (1994) </w:t>
      </w:r>
      <w:r w:rsidRPr="00310F19">
        <w:rPr>
          <w:rFonts w:ascii="Times New Roman" w:eastAsia="Times New Roman" w:hAnsi="Times New Roman" w:cs="Times New Roman"/>
          <w:i/>
          <w:iCs/>
          <w:kern w:val="0"/>
          <w:sz w:val="24"/>
          <w:szCs w:val="24"/>
          <w:lang w:eastAsia="en-GB"/>
          <w14:ligatures w14:val="none"/>
        </w:rPr>
        <w:t>The Rise and Fall of Strategic Planning</w:t>
      </w:r>
      <w:r w:rsidRPr="00310F19">
        <w:rPr>
          <w:rFonts w:ascii="Times New Roman" w:eastAsia="Times New Roman" w:hAnsi="Times New Roman" w:cs="Times New Roman"/>
          <w:kern w:val="0"/>
          <w:sz w:val="24"/>
          <w:szCs w:val="24"/>
          <w:lang w:eastAsia="en-GB"/>
          <w14:ligatures w14:val="none"/>
        </w:rPr>
        <w:t>. New York: Free Press.</w:t>
      </w:r>
    </w:p>
    <w:p w14:paraId="5E862F9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Ohno, T. (1988) </w:t>
      </w:r>
      <w:r w:rsidRPr="00310F19">
        <w:rPr>
          <w:rFonts w:ascii="Times New Roman" w:eastAsia="Times New Roman" w:hAnsi="Times New Roman" w:cs="Times New Roman"/>
          <w:i/>
          <w:iCs/>
          <w:kern w:val="0"/>
          <w:sz w:val="24"/>
          <w:szCs w:val="24"/>
          <w:lang w:eastAsia="en-GB"/>
          <w14:ligatures w14:val="none"/>
        </w:rPr>
        <w:t>Toyota Production System</w:t>
      </w:r>
      <w:r w:rsidRPr="00310F19">
        <w:rPr>
          <w:rFonts w:ascii="Times New Roman" w:eastAsia="Times New Roman" w:hAnsi="Times New Roman" w:cs="Times New Roman"/>
          <w:kern w:val="0"/>
          <w:sz w:val="24"/>
          <w:szCs w:val="24"/>
          <w:lang w:eastAsia="en-GB"/>
          <w14:ligatures w14:val="none"/>
        </w:rPr>
        <w:t xml:space="preserve">. Portland: Productivity Press. </w:t>
      </w:r>
    </w:p>
    <w:p w14:paraId="297342A7"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Robbins, S. and Coulter, M. (2021) </w:t>
      </w:r>
      <w:r w:rsidRPr="00310F19">
        <w:rPr>
          <w:rFonts w:ascii="Times New Roman" w:eastAsia="Times New Roman" w:hAnsi="Times New Roman" w:cs="Times New Roman"/>
          <w:i/>
          <w:iCs/>
          <w:kern w:val="0"/>
          <w:sz w:val="24"/>
          <w:szCs w:val="24"/>
          <w:lang w:eastAsia="en-GB"/>
          <w14:ligatures w14:val="none"/>
        </w:rPr>
        <w:t>Management</w:t>
      </w:r>
      <w:r w:rsidRPr="00310F19">
        <w:rPr>
          <w:rFonts w:ascii="Times New Roman" w:eastAsia="Times New Roman" w:hAnsi="Times New Roman" w:cs="Times New Roman"/>
          <w:kern w:val="0"/>
          <w:sz w:val="24"/>
          <w:szCs w:val="24"/>
          <w:lang w:eastAsia="en-GB"/>
          <w14:ligatures w14:val="none"/>
        </w:rPr>
        <w:t xml:space="preserve">. 15th edn. Harlow: Pearson. </w:t>
      </w:r>
    </w:p>
    <w:p w14:paraId="76E5CFB5"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Robbins, S. and Judge, T. (2019) </w:t>
      </w:r>
      <w:r w:rsidRPr="00310F19">
        <w:rPr>
          <w:rFonts w:ascii="Times New Roman" w:eastAsia="Times New Roman" w:hAnsi="Times New Roman" w:cs="Times New Roman"/>
          <w:i/>
          <w:iCs/>
          <w:kern w:val="0"/>
          <w:sz w:val="24"/>
          <w:szCs w:val="24"/>
          <w:lang w:eastAsia="en-GB"/>
          <w14:ligatures w14:val="none"/>
        </w:rPr>
        <w:t>Organisational Behaviour</w:t>
      </w:r>
      <w:r w:rsidRPr="00310F19">
        <w:rPr>
          <w:rFonts w:ascii="Times New Roman" w:eastAsia="Times New Roman" w:hAnsi="Times New Roman" w:cs="Times New Roman"/>
          <w:kern w:val="0"/>
          <w:sz w:val="24"/>
          <w:szCs w:val="24"/>
          <w:lang w:eastAsia="en-GB"/>
          <w14:ligatures w14:val="none"/>
        </w:rPr>
        <w:t xml:space="preserve">. 18th edn. Harlow: Pearson. </w:t>
      </w:r>
    </w:p>
    <w:p w14:paraId="625C55D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Schmidt, E. and Rosenberg, J. (2014) </w:t>
      </w:r>
      <w:r w:rsidRPr="00310F19">
        <w:rPr>
          <w:rFonts w:ascii="Times New Roman" w:eastAsia="Times New Roman" w:hAnsi="Times New Roman" w:cs="Times New Roman"/>
          <w:i/>
          <w:iCs/>
          <w:kern w:val="0"/>
          <w:sz w:val="24"/>
          <w:szCs w:val="24"/>
          <w:lang w:eastAsia="en-GB"/>
          <w14:ligatures w14:val="none"/>
        </w:rPr>
        <w:t>How Google Works</w:t>
      </w:r>
      <w:r w:rsidRPr="00310F19">
        <w:rPr>
          <w:rFonts w:ascii="Times New Roman" w:eastAsia="Times New Roman" w:hAnsi="Times New Roman" w:cs="Times New Roman"/>
          <w:kern w:val="0"/>
          <w:sz w:val="24"/>
          <w:szCs w:val="24"/>
          <w:lang w:eastAsia="en-GB"/>
          <w14:ligatures w14:val="none"/>
        </w:rPr>
        <w:t xml:space="preserve">. New York: Grand Central Publishing. </w:t>
      </w:r>
    </w:p>
    <w:p w14:paraId="10E2276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Simons, R. (1995) </w:t>
      </w:r>
      <w:r w:rsidRPr="00310F19">
        <w:rPr>
          <w:rFonts w:ascii="Times New Roman" w:eastAsia="Times New Roman" w:hAnsi="Times New Roman" w:cs="Times New Roman"/>
          <w:i/>
          <w:iCs/>
          <w:kern w:val="0"/>
          <w:sz w:val="24"/>
          <w:szCs w:val="24"/>
          <w:lang w:eastAsia="en-GB"/>
          <w14:ligatures w14:val="none"/>
        </w:rPr>
        <w:t>Levers of Control</w:t>
      </w:r>
      <w:r w:rsidRPr="00310F19">
        <w:rPr>
          <w:rFonts w:ascii="Times New Roman" w:eastAsia="Times New Roman" w:hAnsi="Times New Roman" w:cs="Times New Roman"/>
          <w:kern w:val="0"/>
          <w:sz w:val="24"/>
          <w:szCs w:val="24"/>
          <w:lang w:eastAsia="en-GB"/>
          <w14:ligatures w14:val="none"/>
        </w:rPr>
        <w:t>. Boston: Harvard Business School Press.</w:t>
      </w:r>
    </w:p>
    <w:p w14:paraId="032B3F71"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Stone, B. (2020) </w:t>
      </w:r>
      <w:r w:rsidRPr="00310F19">
        <w:rPr>
          <w:rFonts w:ascii="Times New Roman" w:eastAsia="Times New Roman" w:hAnsi="Times New Roman" w:cs="Times New Roman"/>
          <w:i/>
          <w:iCs/>
          <w:kern w:val="0"/>
          <w:sz w:val="24"/>
          <w:szCs w:val="24"/>
          <w:lang w:eastAsia="en-GB"/>
          <w14:ligatures w14:val="none"/>
        </w:rPr>
        <w:t>Amazon Unbound</w:t>
      </w:r>
      <w:r w:rsidRPr="00310F19">
        <w:rPr>
          <w:rFonts w:ascii="Times New Roman" w:eastAsia="Times New Roman" w:hAnsi="Times New Roman" w:cs="Times New Roman"/>
          <w:kern w:val="0"/>
          <w:sz w:val="24"/>
          <w:szCs w:val="24"/>
          <w:lang w:eastAsia="en-GB"/>
          <w14:ligatures w14:val="none"/>
        </w:rPr>
        <w:t>. New York: Simon &amp; Schuster.</w:t>
      </w:r>
    </w:p>
    <w:p w14:paraId="4363208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Unilever (2022) </w:t>
      </w:r>
      <w:r w:rsidRPr="00310F19">
        <w:rPr>
          <w:rFonts w:ascii="Times New Roman" w:eastAsia="Times New Roman" w:hAnsi="Times New Roman" w:cs="Times New Roman"/>
          <w:i/>
          <w:iCs/>
          <w:kern w:val="0"/>
          <w:sz w:val="24"/>
          <w:szCs w:val="24"/>
          <w:lang w:eastAsia="en-GB"/>
          <w14:ligatures w14:val="none"/>
        </w:rPr>
        <w:t>Sustainability Report</w:t>
      </w:r>
      <w:r w:rsidRPr="00310F19">
        <w:rPr>
          <w:rFonts w:ascii="Times New Roman" w:eastAsia="Times New Roman" w:hAnsi="Times New Roman" w:cs="Times New Roman"/>
          <w:kern w:val="0"/>
          <w:sz w:val="24"/>
          <w:szCs w:val="24"/>
          <w:lang w:eastAsia="en-GB"/>
          <w14:ligatures w14:val="none"/>
        </w:rPr>
        <w:t xml:space="preserve">. Unilever plc. </w:t>
      </w:r>
    </w:p>
    <w:p w14:paraId="330E45B4" w14:textId="2D2D715F" w:rsidR="00310F19" w:rsidRP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Wang, B. et al. (2021) ‘Achieving effective remote working’, </w:t>
      </w:r>
      <w:r w:rsidRPr="00310F19">
        <w:rPr>
          <w:rFonts w:ascii="Times New Roman" w:eastAsia="Times New Roman" w:hAnsi="Times New Roman" w:cs="Times New Roman"/>
          <w:i/>
          <w:iCs/>
          <w:kern w:val="0"/>
          <w:sz w:val="24"/>
          <w:szCs w:val="24"/>
          <w:lang w:eastAsia="en-GB"/>
          <w14:ligatures w14:val="none"/>
        </w:rPr>
        <w:t>Human Resource Management Journal</w:t>
      </w:r>
      <w:r w:rsidRPr="00310F19">
        <w:rPr>
          <w:rFonts w:ascii="Times New Roman" w:eastAsia="Times New Roman" w:hAnsi="Times New Roman" w:cs="Times New Roman"/>
          <w:kern w:val="0"/>
          <w:sz w:val="24"/>
          <w:szCs w:val="24"/>
          <w:lang w:eastAsia="en-GB"/>
          <w14:ligatures w14:val="none"/>
        </w:rPr>
        <w:t>, 31(4), pp. 1–17.</w:t>
      </w:r>
    </w:p>
    <w:p w14:paraId="3CA33223" w14:textId="1BE26DEA" w:rsidR="00E738A0" w:rsidRDefault="00E738A0"/>
    <w:sectPr w:rsidR="00E73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71"/>
    <w:rsid w:val="000D4E85"/>
    <w:rsid w:val="000F332F"/>
    <w:rsid w:val="00141F32"/>
    <w:rsid w:val="00142251"/>
    <w:rsid w:val="001F19EA"/>
    <w:rsid w:val="00310F19"/>
    <w:rsid w:val="003C6991"/>
    <w:rsid w:val="003F6BA9"/>
    <w:rsid w:val="00706B05"/>
    <w:rsid w:val="007E5558"/>
    <w:rsid w:val="008B5FC0"/>
    <w:rsid w:val="008C1D74"/>
    <w:rsid w:val="00990171"/>
    <w:rsid w:val="009A2CBB"/>
    <w:rsid w:val="00BB658D"/>
    <w:rsid w:val="00BC5EC0"/>
    <w:rsid w:val="00C65EB2"/>
    <w:rsid w:val="00C97EB4"/>
    <w:rsid w:val="00D63EDB"/>
    <w:rsid w:val="00D74499"/>
    <w:rsid w:val="00DC6E88"/>
    <w:rsid w:val="00E30CAD"/>
    <w:rsid w:val="00E738A0"/>
    <w:rsid w:val="00F42F18"/>
    <w:rsid w:val="00F83255"/>
    <w:rsid w:val="00FE7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7047D"/>
  <w15:chartTrackingRefBased/>
  <w15:docId w15:val="{8E8FC46B-B717-4A56-AE18-F2E775DA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1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1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1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1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1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1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1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1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1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1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1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1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1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1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1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1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171"/>
    <w:rPr>
      <w:rFonts w:eastAsiaTheme="majorEastAsia" w:cstheme="majorBidi"/>
      <w:color w:val="272727" w:themeColor="text1" w:themeTint="D8"/>
    </w:rPr>
  </w:style>
  <w:style w:type="paragraph" w:styleId="Title">
    <w:name w:val="Title"/>
    <w:basedOn w:val="Normal"/>
    <w:next w:val="Normal"/>
    <w:link w:val="TitleChar"/>
    <w:uiPriority w:val="10"/>
    <w:qFormat/>
    <w:rsid w:val="009901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1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1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1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171"/>
    <w:pPr>
      <w:spacing w:before="160"/>
      <w:jc w:val="center"/>
    </w:pPr>
    <w:rPr>
      <w:i/>
      <w:iCs/>
      <w:color w:val="404040" w:themeColor="text1" w:themeTint="BF"/>
    </w:rPr>
  </w:style>
  <w:style w:type="character" w:customStyle="1" w:styleId="QuoteChar">
    <w:name w:val="Quote Char"/>
    <w:basedOn w:val="DefaultParagraphFont"/>
    <w:link w:val="Quote"/>
    <w:uiPriority w:val="29"/>
    <w:rsid w:val="00990171"/>
    <w:rPr>
      <w:i/>
      <w:iCs/>
      <w:color w:val="404040" w:themeColor="text1" w:themeTint="BF"/>
    </w:rPr>
  </w:style>
  <w:style w:type="paragraph" w:styleId="ListParagraph">
    <w:name w:val="List Paragraph"/>
    <w:basedOn w:val="Normal"/>
    <w:uiPriority w:val="34"/>
    <w:qFormat/>
    <w:rsid w:val="00990171"/>
    <w:pPr>
      <w:ind w:left="720"/>
      <w:contextualSpacing/>
    </w:pPr>
  </w:style>
  <w:style w:type="character" w:styleId="IntenseEmphasis">
    <w:name w:val="Intense Emphasis"/>
    <w:basedOn w:val="DefaultParagraphFont"/>
    <w:uiPriority w:val="21"/>
    <w:qFormat/>
    <w:rsid w:val="00990171"/>
    <w:rPr>
      <w:i/>
      <w:iCs/>
      <w:color w:val="0F4761" w:themeColor="accent1" w:themeShade="BF"/>
    </w:rPr>
  </w:style>
  <w:style w:type="paragraph" w:styleId="IntenseQuote">
    <w:name w:val="Intense Quote"/>
    <w:basedOn w:val="Normal"/>
    <w:next w:val="Normal"/>
    <w:link w:val="IntenseQuoteChar"/>
    <w:uiPriority w:val="30"/>
    <w:qFormat/>
    <w:rsid w:val="009901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171"/>
    <w:rPr>
      <w:i/>
      <w:iCs/>
      <w:color w:val="0F4761" w:themeColor="accent1" w:themeShade="BF"/>
    </w:rPr>
  </w:style>
  <w:style w:type="character" w:styleId="IntenseReference">
    <w:name w:val="Intense Reference"/>
    <w:basedOn w:val="DefaultParagraphFont"/>
    <w:uiPriority w:val="32"/>
    <w:qFormat/>
    <w:rsid w:val="00990171"/>
    <w:rPr>
      <w:b/>
      <w:bCs/>
      <w:smallCaps/>
      <w:color w:val="0F4761" w:themeColor="accent1" w:themeShade="BF"/>
      <w:spacing w:val="5"/>
    </w:rPr>
  </w:style>
  <w:style w:type="paragraph" w:styleId="NormalWeb">
    <w:name w:val="Normal (Web)"/>
    <w:basedOn w:val="Normal"/>
    <w:uiPriority w:val="99"/>
    <w:semiHidden/>
    <w:unhideWhenUsed/>
    <w:rsid w:val="00FE70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8B5F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2139</Words>
  <Characters>12196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Alfred Olatunbosun Ojekere (2226760)</cp:lastModifiedBy>
  <cp:revision>17</cp:revision>
  <dcterms:created xsi:type="dcterms:W3CDTF">2026-07-19T10:26:00Z</dcterms:created>
  <dcterms:modified xsi:type="dcterms:W3CDTF">2026-08-12T10:56:00Z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03cdb80b-37ab-48d5-a4d8-03bb303a803a</vt:lpwstr>
  </property>
</Properties>
</file>