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81780167"/>
        <w:docPartObj>
          <w:docPartGallery w:val="Cover Pages"/>
          <w:docPartUnique/>
        </w:docPartObj>
      </w:sdtPr>
      <w:sdtContent>
        <w:p w14:paraId="710D9BDE" w14:textId="77777777" w:rsidR="002930E9" w:rsidRDefault="002930E9" w:rsidP="002930E9"/>
        <w:p w14:paraId="322185EA" w14:textId="77777777" w:rsidR="002930E9" w:rsidRDefault="002930E9" w:rsidP="002930E9"/>
        <w:p w14:paraId="4B1B3BFF" w14:textId="77777777" w:rsidR="002930E9" w:rsidRDefault="002930E9" w:rsidP="002930E9"/>
        <w:p w14:paraId="6ED9853E" w14:textId="77777777" w:rsidR="002930E9" w:rsidRDefault="002930E9" w:rsidP="002930E9"/>
        <w:p w14:paraId="29D99309" w14:textId="77777777" w:rsidR="002930E9" w:rsidRDefault="002930E9" w:rsidP="002930E9"/>
        <w:p w14:paraId="1AEA8F52" w14:textId="77777777" w:rsidR="002930E9" w:rsidRDefault="002930E9" w:rsidP="002930E9"/>
        <w:p w14:paraId="33890878" w14:textId="77777777" w:rsidR="002930E9" w:rsidRDefault="002930E9" w:rsidP="002930E9"/>
        <w:p w14:paraId="2B16A89B" w14:textId="77777777" w:rsidR="002930E9" w:rsidRDefault="002930E9" w:rsidP="002930E9"/>
        <w:p w14:paraId="1F4F00F3" w14:textId="77777777" w:rsidR="002930E9" w:rsidRDefault="002930E9" w:rsidP="002930E9"/>
        <w:p w14:paraId="34E43E6C" w14:textId="77777777" w:rsidR="002930E9" w:rsidRDefault="002930E9" w:rsidP="002930E9"/>
        <w:p w14:paraId="333B8E66" w14:textId="77777777" w:rsidR="002930E9" w:rsidRDefault="00000000" w:rsidP="002930E9">
          <w:r>
            <w:rPr>
              <w:noProof/>
            </w:rPr>
            <w:pict w14:anchorId="7846F04B">
              <v:shapetype id="_x0000_t202" coordsize="21600,21600" o:spt="202" path="m,l,21600r21600,l21600,xe">
                <v:stroke joinstyle="miter"/>
                <v:path gradientshapeok="t" o:connecttype="rect"/>
              </v:shapetype>
              <v:shape id="Text Box 131" o:spid="_x0000_s1026" type="#_x0000_t202" style="position:absolute;margin-left:0;margin-top:308.15pt;width:369pt;height:529.2pt;z-index:251660288;visibility:visible;mso-width-percent:790;mso-height-percent:350;mso-wrap-distance-left:14.4pt;mso-wrap-distance-right:14.4pt;mso-position-horizontal:center;mso-position-horizontal-relative:margin;mso-position-vertical-relative:page;mso-width-percent:790;mso-height-percent:35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" filled="f" stroked="f" strokeweight=".5pt">
                <v:textbox style="mso-fit-shape-to-text:t" inset="0,0,0,0">
                  <w:txbxContent>
                    <w:p w14:paraId="7A2D57D9" w14:textId="77777777" w:rsidR="002930E9" w:rsidRPr="0061423E" w:rsidRDefault="002930E9" w:rsidP="002930E9">
                      <w:pPr>
                        <w:pStyle w:val="NoSpacing"/>
                        <w:spacing w:before="80" w:after="40"/>
                        <w:jc w:val="center"/>
                        <w:rPr>
                          <w:rFonts w:ascii="Arial" w:hAnsi="Arial" w:cs="Arial"/>
                          <w:b/>
                          <w:caps/>
                          <w:color w:val="4BACC6" w:themeColor="accent5"/>
                          <w:sz w:val="96"/>
                          <w:szCs w:val="96"/>
                        </w:rPr>
                      </w:pPr>
                      <w:r>
                        <w:rPr>
                          <w:rFonts w:ascii="Arial" w:hAnsi="Arial" w:cs="Arial"/>
                          <w:sz w:val="96"/>
                          <w:szCs w:val="96"/>
                        </w:rPr>
                        <w:t>Written Report</w:t>
                      </w:r>
                    </w:p>
                  </w:txbxContent>
                </v:textbox>
                <w10:wrap type="square" anchorx="margin" anchory="page"/>
              </v:shape>
            </w:pict>
          </w:r>
        </w:p>
        <w:p w14:paraId="0ED2BEBE" w14:textId="77777777" w:rsidR="002930E9" w:rsidRDefault="002930E9" w:rsidP="002930E9"/>
        <w:p w14:paraId="45EC30C7" w14:textId="77777777" w:rsidR="002930E9" w:rsidRDefault="002930E9" w:rsidP="002930E9"/>
        <w:p w14:paraId="11180D26" w14:textId="77777777" w:rsidR="002930E9" w:rsidRDefault="002930E9" w:rsidP="002930E9"/>
        <w:p w14:paraId="62BD2FE3" w14:textId="77777777" w:rsidR="002930E9" w:rsidRDefault="002930E9" w:rsidP="002930E9"/>
        <w:p w14:paraId="0EE30371" w14:textId="77777777" w:rsidR="002930E9" w:rsidRDefault="002930E9" w:rsidP="002930E9"/>
        <w:p w14:paraId="3607AFB6" w14:textId="77777777" w:rsidR="002930E9" w:rsidRDefault="002930E9" w:rsidP="002930E9"/>
        <w:p w14:paraId="5FECB2A8" w14:textId="77777777" w:rsidR="002930E9" w:rsidRDefault="002930E9" w:rsidP="002930E9"/>
        <w:p w14:paraId="168EB332" w14:textId="77777777" w:rsidR="002930E9" w:rsidRDefault="002930E9" w:rsidP="002930E9"/>
        <w:p w14:paraId="7B7D48AC" w14:textId="77777777" w:rsidR="002930E9" w:rsidRDefault="002930E9" w:rsidP="002930E9"/>
        <w:p w14:paraId="1059E194" w14:textId="77777777" w:rsidR="002930E9" w:rsidRPr="002D5C02" w:rsidRDefault="002930E9" w:rsidP="002930E9">
          <w:pPr>
            <w:pStyle w:val="NoSpacing"/>
            <w:framePr w:w="5746" w:hSpace="180" w:wrap="around" w:vAnchor="text" w:hAnchor="page" w:x="2942" w:y="327"/>
            <w:spacing w:line="360" w:lineRule="auto"/>
            <w:jc w:val="center"/>
            <w:rPr>
              <w:rFonts w:ascii="Arial" w:hAnsi="Arial" w:cs="Arial"/>
              <w:b/>
              <w:bCs/>
              <w:sz w:val="24"/>
              <w:szCs w:val="24"/>
            </w:rPr>
          </w:pPr>
          <w:r w:rsidRPr="00DC654A">
            <w:rPr>
              <w:rFonts w:ascii="Arial" w:hAnsi="Arial" w:cs="Arial"/>
              <w:b/>
              <w:sz w:val="24"/>
              <w:szCs w:val="24"/>
            </w:rPr>
            <w:t xml:space="preserve">Management &amp; </w:t>
          </w:r>
          <w:proofErr w:type="spellStart"/>
          <w:r w:rsidRPr="00DC654A">
            <w:rPr>
              <w:rFonts w:ascii="Arial" w:hAnsi="Arial" w:cs="Arial"/>
              <w:b/>
              <w:sz w:val="24"/>
              <w:szCs w:val="24"/>
            </w:rPr>
            <w:t>Organisational</w:t>
          </w:r>
          <w:proofErr w:type="spellEnd"/>
          <w:r w:rsidRPr="00DC654A">
            <w:rPr>
              <w:rFonts w:ascii="Arial" w:hAnsi="Arial" w:cs="Arial"/>
              <w:b/>
              <w:sz w:val="24"/>
              <w:szCs w:val="24"/>
            </w:rPr>
            <w:t xml:space="preserve"> </w:t>
          </w:r>
          <w:proofErr w:type="spellStart"/>
          <w:r w:rsidRPr="00DC654A">
            <w:rPr>
              <w:rFonts w:ascii="Arial" w:hAnsi="Arial" w:cs="Arial"/>
              <w:b/>
              <w:sz w:val="24"/>
              <w:szCs w:val="24"/>
            </w:rPr>
            <w:t>Behaviour</w:t>
          </w:r>
          <w:proofErr w:type="spellEnd"/>
          <w:r>
            <w:t xml:space="preserve"> </w:t>
          </w:r>
          <w:r>
            <w:rPr>
              <w:rFonts w:ascii="Arial" w:hAnsi="Arial" w:cs="Arial"/>
              <w:b/>
              <w:bCs/>
              <w:sz w:val="24"/>
              <w:szCs w:val="24"/>
            </w:rPr>
            <w:t>BMIH5004</w:t>
          </w:r>
        </w:p>
        <w:p w14:paraId="632F9E3D" w14:textId="77777777" w:rsidR="002930E9" w:rsidRPr="002D5C02" w:rsidRDefault="002930E9" w:rsidP="002930E9">
          <w:pPr>
            <w:pStyle w:val="NoSpacing"/>
            <w:framePr w:w="5746" w:hSpace="180" w:wrap="around" w:vAnchor="text" w:hAnchor="page" w:x="2942" w:y="327"/>
            <w:spacing w:line="360" w:lineRule="auto"/>
            <w:jc w:val="center"/>
            <w:rPr>
              <w:rFonts w:ascii="Arial" w:hAnsi="Arial" w:cs="Arial"/>
              <w:b/>
              <w:bCs/>
              <w:sz w:val="24"/>
              <w:szCs w:val="24"/>
            </w:rPr>
          </w:pPr>
          <w:r w:rsidRPr="002D5C02">
            <w:rPr>
              <w:rFonts w:ascii="Arial" w:hAnsi="Arial" w:cs="Arial"/>
              <w:b/>
              <w:bCs/>
              <w:sz w:val="24"/>
              <w:szCs w:val="24"/>
            </w:rPr>
            <w:t>Lecturer:</w:t>
          </w:r>
          <w:r>
            <w:rPr>
              <w:rFonts w:ascii="Arial" w:hAnsi="Arial" w:cs="Arial"/>
              <w:b/>
              <w:sz w:val="24"/>
              <w:szCs w:val="24"/>
            </w:rPr>
            <w:t xml:space="preserve"> </w:t>
          </w:r>
          <w:r w:rsidRPr="00DC654A">
            <w:rPr>
              <w:rFonts w:ascii="Arial" w:hAnsi="Arial" w:cs="Arial"/>
              <w:b/>
              <w:sz w:val="24"/>
              <w:szCs w:val="24"/>
            </w:rPr>
            <w:t>Antoinette Milne</w:t>
          </w:r>
        </w:p>
        <w:p w14:paraId="34D68232" w14:textId="77777777" w:rsidR="002930E9" w:rsidRPr="002D5C02" w:rsidRDefault="002930E9" w:rsidP="002930E9">
          <w:pPr>
            <w:pStyle w:val="NoSpacing"/>
            <w:framePr w:w="5746" w:hSpace="180" w:wrap="around" w:vAnchor="text" w:hAnchor="page" w:x="2942" w:y="327"/>
            <w:spacing w:line="360" w:lineRule="auto"/>
            <w:jc w:val="center"/>
            <w:rPr>
              <w:rFonts w:ascii="Arial" w:hAnsi="Arial" w:cs="Arial"/>
              <w:b/>
              <w:sz w:val="24"/>
              <w:szCs w:val="24"/>
            </w:rPr>
          </w:pPr>
          <w:r w:rsidRPr="002D5C02">
            <w:rPr>
              <w:rFonts w:ascii="Arial" w:hAnsi="Arial" w:cs="Arial"/>
              <w:b/>
              <w:sz w:val="24"/>
              <w:szCs w:val="24"/>
            </w:rPr>
            <w:t>Student name: Florica Anamaria Ciuta</w:t>
          </w:r>
        </w:p>
        <w:p w14:paraId="244D918E" w14:textId="77777777" w:rsidR="002930E9" w:rsidRPr="002D5C02" w:rsidRDefault="002930E9" w:rsidP="002930E9">
          <w:pPr>
            <w:pStyle w:val="NoSpacing"/>
            <w:framePr w:w="5746" w:hSpace="180" w:wrap="around" w:vAnchor="text" w:hAnchor="page" w:x="2942" w:y="327"/>
            <w:spacing w:line="360" w:lineRule="auto"/>
            <w:jc w:val="center"/>
            <w:rPr>
              <w:rFonts w:ascii="Arial" w:hAnsi="Arial" w:cs="Arial"/>
              <w:b/>
              <w:sz w:val="24"/>
              <w:szCs w:val="24"/>
            </w:rPr>
          </w:pPr>
          <w:r w:rsidRPr="002D5C02">
            <w:rPr>
              <w:rFonts w:ascii="Arial" w:hAnsi="Arial" w:cs="Arial"/>
              <w:b/>
              <w:sz w:val="24"/>
              <w:szCs w:val="24"/>
            </w:rPr>
            <w:t>Student ID: 2243597</w:t>
          </w:r>
        </w:p>
        <w:p w14:paraId="4ED5C2CF" w14:textId="77777777" w:rsidR="002930E9" w:rsidRPr="00FB7EA3" w:rsidRDefault="002930E9" w:rsidP="002930E9">
          <w:pPr>
            <w:pStyle w:val="NoSpacing"/>
            <w:framePr w:w="5746" w:hSpace="180" w:wrap="around" w:vAnchor="text" w:hAnchor="page" w:x="2942" w:y="327"/>
            <w:spacing w:line="360" w:lineRule="auto"/>
            <w:rPr>
              <w:rFonts w:ascii="Arial" w:hAnsi="Arial" w:cs="Arial"/>
              <w:b/>
              <w:sz w:val="24"/>
              <w:szCs w:val="24"/>
            </w:rPr>
          </w:pPr>
        </w:p>
        <w:p w14:paraId="799F7150" w14:textId="77777777" w:rsidR="002930E9" w:rsidRDefault="002930E9" w:rsidP="002930E9"/>
        <w:p w14:paraId="74CAFC66" w14:textId="77777777" w:rsidR="002930E9" w:rsidRDefault="002930E9" w:rsidP="002930E9"/>
        <w:p w14:paraId="2A41DC74" w14:textId="77777777" w:rsidR="002930E9" w:rsidRDefault="002930E9" w:rsidP="002930E9"/>
        <w:p w14:paraId="3BB30A4F" w14:textId="77777777" w:rsidR="002930E9" w:rsidRDefault="002930E9" w:rsidP="002930E9"/>
        <w:p w14:paraId="5E9F4D11" w14:textId="77777777" w:rsidR="002930E9" w:rsidRDefault="002930E9" w:rsidP="002930E9"/>
        <w:p w14:paraId="205C733F" w14:textId="77777777" w:rsidR="002930E9" w:rsidRDefault="00000000" w:rsidP="002930E9">
          <w:r>
            <w:rPr>
              <w:noProof/>
            </w:rPr>
            <w:pict w14:anchorId="547D75FD">
              <v:rect id="Rectangle 132" o:spid="_x0000_s1027" style="position:absolute;margin-left:54.8pt;margin-top:0;width:46.8pt;height:77.75pt;z-index:251661312;visibility:visible;mso-width-percent:76;mso-height-percent:98;mso-top-percent:23;mso-position-horizontal:right;mso-position-horizontal-relative:margin;mso-position-vertical-relative:page;mso-width-percent:76;mso-height-percent:98;mso-top-percent:2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f81bd [3204]" stroked="f" strokeweight="1pt">
                <o:lock v:ext="edit" aspectratio="t"/>
                <v:textbox inset="3.6pt,,3.6pt">
                  <w:txbxContent>
                    <w:p w14:paraId="0D2F5F53" w14:textId="77777777" w:rsidR="002930E9" w:rsidRDefault="002930E9" w:rsidP="002930E9">
                      <w:pPr>
                        <w:pStyle w:val="NoSpacing"/>
                        <w:jc w:val="right"/>
                        <w:rPr>
                          <w:color w:val="FFFFFF" w:themeColor="background1"/>
                          <w:sz w:val="24"/>
                          <w:szCs w:val="24"/>
                        </w:rPr>
                      </w:pPr>
                      <w:r>
                        <w:rPr>
                          <w:color w:val="FFFFFF" w:themeColor="background1"/>
                          <w:sz w:val="24"/>
                          <w:szCs w:val="24"/>
                        </w:rPr>
                        <w:t>2025</w:t>
                      </w:r>
                    </w:p>
                  </w:txbxContent>
                </v:textbox>
                <w10:wrap anchorx="margin" anchory="page"/>
              </v:rect>
            </w:pict>
          </w:r>
        </w:p>
        <w:p w14:paraId="15BE0B36" w14:textId="77777777" w:rsidR="002930E9" w:rsidRDefault="002930E9" w:rsidP="002930E9"/>
        <w:p w14:paraId="36C0C97F" w14:textId="77777777" w:rsidR="002930E9" w:rsidRDefault="002930E9" w:rsidP="002930E9"/>
        <w:p w14:paraId="1CFECD6D" w14:textId="77777777" w:rsidR="002930E9" w:rsidRDefault="00000000" w:rsidP="002930E9"/>
      </w:sdtContent>
    </w:sdt>
    <w:p w14:paraId="761BA297" w14:textId="77777777" w:rsidR="002930E9" w:rsidRDefault="002930E9" w:rsidP="002930E9"/>
    <w:p w14:paraId="1D396C73" w14:textId="77777777" w:rsidR="002930E9" w:rsidRDefault="002930E9" w:rsidP="002930E9">
      <w:pPr>
        <w:jc w:val="both"/>
        <w:rPr>
          <w:rFonts w:ascii="Arial" w:hAnsi="Arial" w:cs="Arial"/>
          <w:sz w:val="24"/>
          <w:szCs w:val="24"/>
        </w:rPr>
      </w:pPr>
    </w:p>
    <w:p w14:paraId="3F023957" w14:textId="77777777" w:rsidR="002930E9" w:rsidRPr="00B544D2" w:rsidRDefault="002930E9" w:rsidP="002930E9">
      <w:pPr>
        <w:jc w:val="both"/>
        <w:rPr>
          <w:rFonts w:ascii="Arial" w:hAnsi="Arial" w:cs="Arial"/>
          <w:sz w:val="24"/>
          <w:szCs w:val="24"/>
        </w:rPr>
      </w:pPr>
      <w:r w:rsidRPr="00B544D2">
        <w:rPr>
          <w:rFonts w:ascii="Arial" w:hAnsi="Arial" w:cs="Arial"/>
          <w:sz w:val="24"/>
          <w:szCs w:val="24"/>
        </w:rPr>
        <w:lastRenderedPageBreak/>
        <w:t>AI Declaration</w:t>
      </w:r>
    </w:p>
    <w:p w14:paraId="535E95F9" w14:textId="77777777" w:rsidR="002930E9" w:rsidRPr="00B544D2" w:rsidRDefault="002930E9" w:rsidP="002930E9">
      <w:pPr>
        <w:jc w:val="both"/>
        <w:rPr>
          <w:rFonts w:ascii="Arial" w:hAnsi="Arial" w:cs="Arial"/>
          <w:sz w:val="24"/>
          <w:szCs w:val="24"/>
        </w:rPr>
      </w:pPr>
    </w:p>
    <w:p w14:paraId="6EAC435A" w14:textId="77777777" w:rsidR="002930E9" w:rsidRPr="00B544D2" w:rsidRDefault="002930E9" w:rsidP="002930E9">
      <w:pPr>
        <w:spacing w:line="360" w:lineRule="auto"/>
        <w:jc w:val="both"/>
        <w:rPr>
          <w:rFonts w:ascii="Arial" w:hAnsi="Arial" w:cs="Arial"/>
          <w:sz w:val="24"/>
          <w:szCs w:val="24"/>
        </w:rPr>
      </w:pPr>
      <w:r w:rsidRPr="00B544D2">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Arial" w:hAnsi="Arial" w:cs="Arial"/>
          <w:sz w:val="24"/>
          <w:szCs w:val="24"/>
        </w:rPr>
        <w:t xml:space="preserve">                                </w:t>
      </w:r>
    </w:p>
    <w:p w14:paraId="61A0C1FD" w14:textId="77777777" w:rsidR="002930E9" w:rsidRDefault="002930E9" w:rsidP="002930E9">
      <w:r>
        <w:t xml:space="preserve">           </w:t>
      </w:r>
    </w:p>
    <w:p w14:paraId="6F3EEF22" w14:textId="77777777" w:rsidR="002930E9" w:rsidRDefault="002930E9" w:rsidP="002930E9"/>
    <w:p w14:paraId="5C68DE97" w14:textId="77777777" w:rsidR="002930E9" w:rsidRDefault="002930E9" w:rsidP="002930E9"/>
    <w:p w14:paraId="3E302EC8" w14:textId="77777777" w:rsidR="002930E9" w:rsidRDefault="002930E9" w:rsidP="002930E9"/>
    <w:p w14:paraId="597F8605" w14:textId="77777777" w:rsidR="002930E9" w:rsidRDefault="002930E9" w:rsidP="002930E9"/>
    <w:p w14:paraId="0C456614" w14:textId="77777777" w:rsidR="002930E9" w:rsidRDefault="002930E9" w:rsidP="002930E9"/>
    <w:p w14:paraId="5BCB6DD3" w14:textId="77777777" w:rsidR="001F4F79" w:rsidRDefault="001F4F79" w:rsidP="002930E9"/>
    <w:p w14:paraId="2DC3CCD8" w14:textId="77777777" w:rsidR="001F4F79" w:rsidRDefault="001F4F79" w:rsidP="002930E9"/>
    <w:p w14:paraId="61E803F7" w14:textId="77777777" w:rsidR="001F4F79" w:rsidRDefault="001F4F79" w:rsidP="002930E9"/>
    <w:p w14:paraId="4977F653" w14:textId="77777777" w:rsidR="001F4F79" w:rsidRDefault="001F4F79" w:rsidP="002930E9"/>
    <w:p w14:paraId="7C1B030F" w14:textId="77777777" w:rsidR="001F4F79" w:rsidRDefault="001F4F79" w:rsidP="002930E9"/>
    <w:p w14:paraId="4EC4610A" w14:textId="77777777" w:rsidR="001F4F79" w:rsidRDefault="001F4F79" w:rsidP="002930E9"/>
    <w:p w14:paraId="419525EF" w14:textId="77777777" w:rsidR="001F4F79" w:rsidRDefault="001F4F79" w:rsidP="002930E9"/>
    <w:p w14:paraId="69A38420" w14:textId="77777777" w:rsidR="001F4F79" w:rsidRDefault="001F4F79" w:rsidP="002930E9"/>
    <w:p w14:paraId="3ADE16B7" w14:textId="77777777" w:rsidR="001F4F79" w:rsidRDefault="001F4F79" w:rsidP="002930E9"/>
    <w:p w14:paraId="08F5CF68" w14:textId="77777777" w:rsidR="001F4F79" w:rsidRDefault="001F4F79" w:rsidP="002930E9"/>
    <w:p w14:paraId="1E081EFE" w14:textId="77777777" w:rsidR="001F4F79" w:rsidRDefault="001F4F79" w:rsidP="002930E9"/>
    <w:p w14:paraId="7B372F3A" w14:textId="77777777" w:rsidR="001F4F79" w:rsidRDefault="001F4F79" w:rsidP="002930E9"/>
    <w:p w14:paraId="3773811C" w14:textId="77777777" w:rsidR="001F4F79" w:rsidRDefault="001F4F79" w:rsidP="002930E9"/>
    <w:p w14:paraId="03CC2E1B" w14:textId="77777777" w:rsidR="001F4F79" w:rsidRDefault="001F4F79" w:rsidP="002930E9"/>
    <w:p w14:paraId="78CD17AE" w14:textId="77777777" w:rsidR="001F4F79" w:rsidRDefault="001F4F79" w:rsidP="002930E9"/>
    <w:p w14:paraId="2DD87039" w14:textId="77777777" w:rsidR="001F4F79" w:rsidRDefault="001F4F79" w:rsidP="002930E9"/>
    <w:p w14:paraId="77621BE9" w14:textId="77777777" w:rsidR="001F4F79" w:rsidRDefault="001F4F79" w:rsidP="002930E9"/>
    <w:p w14:paraId="64117090" w14:textId="77777777" w:rsidR="001F4F79" w:rsidRDefault="001F4F79" w:rsidP="002930E9"/>
    <w:p w14:paraId="196B34BE" w14:textId="77777777" w:rsidR="001F4F79" w:rsidRDefault="001F4F79" w:rsidP="002930E9"/>
    <w:p w14:paraId="7B947706" w14:textId="77777777" w:rsidR="001F4F79" w:rsidRDefault="001F4F79" w:rsidP="002930E9"/>
    <w:p w14:paraId="2F46F12E" w14:textId="77777777" w:rsidR="001F4F79" w:rsidRPr="001F4F79" w:rsidRDefault="001F4F79" w:rsidP="001F4F79">
      <w:pPr>
        <w:spacing w:before="100" w:beforeAutospacing="1" w:after="100" w:afterAutospacing="1" w:line="360" w:lineRule="auto"/>
        <w:jc w:val="both"/>
        <w:rPr>
          <w:rFonts w:ascii="Arial" w:eastAsia="Times New Roman" w:hAnsi="Arial" w:cs="Arial"/>
          <w:b/>
          <w:bCs/>
          <w:kern w:val="0"/>
          <w:sz w:val="24"/>
          <w:szCs w:val="24"/>
          <w:lang w:eastAsia="en-GB"/>
        </w:rPr>
      </w:pPr>
      <w:r w:rsidRPr="001F4F79">
        <w:rPr>
          <w:rFonts w:ascii="Arial" w:eastAsia="Times New Roman" w:hAnsi="Arial" w:cs="Arial"/>
          <w:b/>
          <w:bCs/>
          <w:kern w:val="0"/>
          <w:sz w:val="24"/>
          <w:szCs w:val="24"/>
          <w:lang w:eastAsia="en-GB"/>
        </w:rPr>
        <w:t xml:space="preserve">EXECUTIVE SUMMARY </w:t>
      </w:r>
    </w:p>
    <w:p w14:paraId="4F9F464E" w14:textId="77777777" w:rsidR="001F4F79" w:rsidRPr="001F4F79" w:rsidRDefault="001F4F79" w:rsidP="001F4F79">
      <w:p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Hilton Hotels is a leading global hospitality firm, renowned for its strong service culture, asset-light model, and expansive brand portfolio. This report analyses Hilton at both corporate and hotel levels, covering its structure, culture, goals, recent strategic changes, and competitiveness. Particular attention is given to its sustainability leadership (“Travel with Purpose”), digital transformation (e.g., Digital Key), and pandemic-driven operational adjustments (Clean Stay). Organisational and change management theories (Kotter, Lewin) illuminate how Hilton effectively mobilises staff and resources to improve employee engagement, customer satisfaction, and financial performance. Recommendations focus on leveraging AI for personalisation, accelerating net-zero strategies, enhancing employee development, and strengthening the customer journey. This holistic plan positions Hilton to sustain and enhance its leadership in an evolving global hospitality market.</w:t>
      </w:r>
    </w:p>
    <w:p w14:paraId="2C58FAF3"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6CA0033B"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51A8EF29"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58EBD421"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6A35E6D4"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30E541FC"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66213AC2"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23D818FE"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34438D0F"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1E87488D"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46F7035E"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0D490531"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4558ECB0"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7F7CE524"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756F81AC"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51CE9D64"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7E78F38B"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0124231F"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04CCFF21" w14:textId="77777777" w:rsidR="001F4F79" w:rsidRPr="001F4F79" w:rsidRDefault="001F4F79" w:rsidP="001F4F79">
      <w:p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b/>
          <w:bCs/>
          <w:kern w:val="0"/>
          <w:sz w:val="24"/>
          <w:szCs w:val="24"/>
          <w:lang w:eastAsia="en-GB"/>
        </w:rPr>
        <w:lastRenderedPageBreak/>
        <w:t xml:space="preserve">TABLE OF CONTENTS </w:t>
      </w:r>
    </w:p>
    <w:p w14:paraId="47644864" w14:textId="36B9CAFB" w:rsidR="001F4F79" w:rsidRPr="001F4F79" w:rsidRDefault="001F4F79" w:rsidP="001F4F79">
      <w:pPr>
        <w:numPr>
          <w:ilvl w:val="0"/>
          <w:numId w:val="1"/>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Introduction</w:t>
      </w:r>
      <w:r w:rsidR="008D3CF7">
        <w:rPr>
          <w:rFonts w:ascii="Arial" w:eastAsia="Times New Roman" w:hAnsi="Arial" w:cs="Arial"/>
          <w:kern w:val="0"/>
          <w:sz w:val="24"/>
          <w:szCs w:val="24"/>
          <w:lang w:eastAsia="en-GB"/>
        </w:rPr>
        <w:t>…………………………………………………</w:t>
      </w:r>
      <w:proofErr w:type="gramStart"/>
      <w:r w:rsidR="008D3CF7">
        <w:rPr>
          <w:rFonts w:ascii="Arial" w:eastAsia="Times New Roman" w:hAnsi="Arial" w:cs="Arial"/>
          <w:kern w:val="0"/>
          <w:sz w:val="24"/>
          <w:szCs w:val="24"/>
          <w:lang w:eastAsia="en-GB"/>
        </w:rPr>
        <w:t>…..</w:t>
      </w:r>
      <w:proofErr w:type="gramEnd"/>
      <w:r w:rsidR="008D3CF7">
        <w:rPr>
          <w:rFonts w:ascii="Arial" w:eastAsia="Times New Roman" w:hAnsi="Arial" w:cs="Arial"/>
          <w:kern w:val="0"/>
          <w:sz w:val="24"/>
          <w:szCs w:val="24"/>
          <w:lang w:eastAsia="en-GB"/>
        </w:rPr>
        <w:t>5</w:t>
      </w:r>
    </w:p>
    <w:p w14:paraId="6D39EF07" w14:textId="0553E0F4" w:rsidR="001F4F79" w:rsidRPr="001F4F79" w:rsidRDefault="001F4F79" w:rsidP="001F4F79">
      <w:pPr>
        <w:numPr>
          <w:ilvl w:val="0"/>
          <w:numId w:val="1"/>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Organisation Structure, Culture, and Goals</w:t>
      </w:r>
      <w:r w:rsidR="008D3CF7">
        <w:rPr>
          <w:rFonts w:ascii="Arial" w:eastAsia="Times New Roman" w:hAnsi="Arial" w:cs="Arial"/>
          <w:kern w:val="0"/>
          <w:sz w:val="24"/>
          <w:szCs w:val="24"/>
          <w:lang w:eastAsia="en-GB"/>
        </w:rPr>
        <w:t>……………</w:t>
      </w:r>
      <w:proofErr w:type="gramStart"/>
      <w:r w:rsidR="008D3CF7">
        <w:rPr>
          <w:rFonts w:ascii="Arial" w:eastAsia="Times New Roman" w:hAnsi="Arial" w:cs="Arial"/>
          <w:kern w:val="0"/>
          <w:sz w:val="24"/>
          <w:szCs w:val="24"/>
          <w:lang w:eastAsia="en-GB"/>
        </w:rPr>
        <w:t>…..</w:t>
      </w:r>
      <w:proofErr w:type="gramEnd"/>
      <w:r w:rsidR="008D3CF7">
        <w:rPr>
          <w:rFonts w:ascii="Arial" w:eastAsia="Times New Roman" w:hAnsi="Arial" w:cs="Arial"/>
          <w:kern w:val="0"/>
          <w:sz w:val="24"/>
          <w:szCs w:val="24"/>
          <w:lang w:eastAsia="en-GB"/>
        </w:rPr>
        <w:t>5</w:t>
      </w:r>
    </w:p>
    <w:p w14:paraId="6293E36A" w14:textId="4A02C9A0" w:rsidR="001F4F79" w:rsidRPr="001F4F79" w:rsidRDefault="001F4F79" w:rsidP="001F4F79">
      <w:pPr>
        <w:numPr>
          <w:ilvl w:val="0"/>
          <w:numId w:val="1"/>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Recent Change Initiatives</w:t>
      </w:r>
      <w:r w:rsidR="008D3CF7">
        <w:rPr>
          <w:rFonts w:ascii="Arial" w:eastAsia="Times New Roman" w:hAnsi="Arial" w:cs="Arial"/>
          <w:kern w:val="0"/>
          <w:sz w:val="24"/>
          <w:szCs w:val="24"/>
          <w:lang w:eastAsia="en-GB"/>
        </w:rPr>
        <w:t>……………………………………6</w:t>
      </w:r>
    </w:p>
    <w:p w14:paraId="5E884DB8" w14:textId="4801EEE5" w:rsidR="001F4F79" w:rsidRPr="001F4F79" w:rsidRDefault="001F4F79" w:rsidP="001F4F79">
      <w:pPr>
        <w:numPr>
          <w:ilvl w:val="0"/>
          <w:numId w:val="1"/>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Strategic Direction</w:t>
      </w:r>
      <w:r w:rsidR="008D3CF7">
        <w:rPr>
          <w:rFonts w:ascii="Arial" w:eastAsia="Times New Roman" w:hAnsi="Arial" w:cs="Arial"/>
          <w:kern w:val="0"/>
          <w:sz w:val="24"/>
          <w:szCs w:val="24"/>
          <w:lang w:eastAsia="en-GB"/>
        </w:rPr>
        <w:t>…………………………………</w:t>
      </w:r>
      <w:r w:rsidR="00C85C7F">
        <w:rPr>
          <w:rFonts w:ascii="Arial" w:eastAsia="Times New Roman" w:hAnsi="Arial" w:cs="Arial"/>
          <w:kern w:val="0"/>
          <w:sz w:val="24"/>
          <w:szCs w:val="24"/>
          <w:lang w:eastAsia="en-GB"/>
        </w:rPr>
        <w:t>.</w:t>
      </w:r>
      <w:r w:rsidR="008D3CF7">
        <w:rPr>
          <w:rFonts w:ascii="Arial" w:eastAsia="Times New Roman" w:hAnsi="Arial" w:cs="Arial"/>
          <w:kern w:val="0"/>
          <w:sz w:val="24"/>
          <w:szCs w:val="24"/>
          <w:lang w:eastAsia="en-GB"/>
        </w:rPr>
        <w:t>…………7</w:t>
      </w:r>
    </w:p>
    <w:p w14:paraId="2E1A817C" w14:textId="7A73D010" w:rsidR="001F4F79" w:rsidRPr="001F4F79" w:rsidRDefault="001F4F79" w:rsidP="001F4F79">
      <w:pPr>
        <w:numPr>
          <w:ilvl w:val="0"/>
          <w:numId w:val="1"/>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Recommendations</w:t>
      </w:r>
      <w:r w:rsidR="008D3CF7">
        <w:rPr>
          <w:rFonts w:ascii="Arial" w:eastAsia="Times New Roman" w:hAnsi="Arial" w:cs="Arial"/>
          <w:kern w:val="0"/>
          <w:sz w:val="24"/>
          <w:szCs w:val="24"/>
          <w:lang w:eastAsia="en-GB"/>
        </w:rPr>
        <w:t>…………………………………</w:t>
      </w:r>
      <w:proofErr w:type="gramStart"/>
      <w:r w:rsidR="008D3CF7">
        <w:rPr>
          <w:rFonts w:ascii="Arial" w:eastAsia="Times New Roman" w:hAnsi="Arial" w:cs="Arial"/>
          <w:kern w:val="0"/>
          <w:sz w:val="24"/>
          <w:szCs w:val="24"/>
          <w:lang w:eastAsia="en-GB"/>
        </w:rPr>
        <w:t>…</w:t>
      </w:r>
      <w:r w:rsidR="00C85C7F">
        <w:rPr>
          <w:rFonts w:ascii="Arial" w:eastAsia="Times New Roman" w:hAnsi="Arial" w:cs="Arial"/>
          <w:kern w:val="0"/>
          <w:sz w:val="24"/>
          <w:szCs w:val="24"/>
          <w:lang w:eastAsia="en-GB"/>
        </w:rPr>
        <w:t>..</w:t>
      </w:r>
      <w:proofErr w:type="gramEnd"/>
      <w:r w:rsidR="008D3CF7">
        <w:rPr>
          <w:rFonts w:ascii="Arial" w:eastAsia="Times New Roman" w:hAnsi="Arial" w:cs="Arial"/>
          <w:kern w:val="0"/>
          <w:sz w:val="24"/>
          <w:szCs w:val="24"/>
          <w:lang w:eastAsia="en-GB"/>
        </w:rPr>
        <w:t>……</w:t>
      </w:r>
      <w:r w:rsidR="00C85C7F">
        <w:rPr>
          <w:rFonts w:ascii="Arial" w:eastAsia="Times New Roman" w:hAnsi="Arial" w:cs="Arial"/>
          <w:kern w:val="0"/>
          <w:sz w:val="24"/>
          <w:szCs w:val="24"/>
          <w:lang w:eastAsia="en-GB"/>
        </w:rPr>
        <w:t>10</w:t>
      </w:r>
    </w:p>
    <w:p w14:paraId="49E62C44" w14:textId="56B9E04B" w:rsidR="001F4F79" w:rsidRPr="001F4F79" w:rsidRDefault="001F4F79" w:rsidP="001F4F79">
      <w:pPr>
        <w:numPr>
          <w:ilvl w:val="0"/>
          <w:numId w:val="1"/>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Conclusion</w:t>
      </w:r>
      <w:r w:rsidR="008D3CF7">
        <w:rPr>
          <w:rFonts w:ascii="Arial" w:eastAsia="Times New Roman" w:hAnsi="Arial" w:cs="Arial"/>
          <w:kern w:val="0"/>
          <w:sz w:val="24"/>
          <w:szCs w:val="24"/>
          <w:lang w:eastAsia="en-GB"/>
        </w:rPr>
        <w:t>……………………………………………………</w:t>
      </w:r>
      <w:r w:rsidR="00C85C7F">
        <w:rPr>
          <w:rFonts w:ascii="Arial" w:eastAsia="Times New Roman" w:hAnsi="Arial" w:cs="Arial"/>
          <w:kern w:val="0"/>
          <w:sz w:val="24"/>
          <w:szCs w:val="24"/>
          <w:lang w:eastAsia="en-GB"/>
        </w:rPr>
        <w:t>12</w:t>
      </w:r>
    </w:p>
    <w:p w14:paraId="1E3D0BB7" w14:textId="0AEA2666" w:rsidR="001F4F79" w:rsidRPr="001F4F79" w:rsidRDefault="001F4F79" w:rsidP="001F4F79">
      <w:pPr>
        <w:numPr>
          <w:ilvl w:val="0"/>
          <w:numId w:val="1"/>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Reference List</w:t>
      </w:r>
      <w:r w:rsidR="00C85C7F">
        <w:rPr>
          <w:rFonts w:ascii="Arial" w:eastAsia="Times New Roman" w:hAnsi="Arial" w:cs="Arial"/>
          <w:kern w:val="0"/>
          <w:sz w:val="24"/>
          <w:szCs w:val="24"/>
          <w:lang w:eastAsia="en-GB"/>
        </w:rPr>
        <w:t>……………………………………………</w:t>
      </w:r>
      <w:proofErr w:type="gramStart"/>
      <w:r w:rsidR="00C85C7F">
        <w:rPr>
          <w:rFonts w:ascii="Arial" w:eastAsia="Times New Roman" w:hAnsi="Arial" w:cs="Arial"/>
          <w:kern w:val="0"/>
          <w:sz w:val="24"/>
          <w:szCs w:val="24"/>
          <w:lang w:eastAsia="en-GB"/>
        </w:rPr>
        <w:t>…..</w:t>
      </w:r>
      <w:proofErr w:type="gramEnd"/>
      <w:r w:rsidR="00C85C7F">
        <w:rPr>
          <w:rFonts w:ascii="Arial" w:eastAsia="Times New Roman" w:hAnsi="Arial" w:cs="Arial"/>
          <w:kern w:val="0"/>
          <w:sz w:val="24"/>
          <w:szCs w:val="24"/>
          <w:lang w:eastAsia="en-GB"/>
        </w:rPr>
        <w:t>13</w:t>
      </w:r>
    </w:p>
    <w:p w14:paraId="26F72B3F"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7342D977"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669D924E"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46029FB7"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6DB6001A"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7A2ED05D"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70FC87C7"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22F1D136"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31F3B818"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6DEA4263"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4F01CFB8"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138A9426"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4662222A"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3DC56D1D"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59F7D2CA"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135E86BF"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2C640E6D"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158A388D"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72A8419A"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3BE99C9E"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0C2A33FD"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4A193B8A"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450DF3AD"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434A05D2" w14:textId="77777777" w:rsidR="001F4F79" w:rsidRPr="001F4F79" w:rsidRDefault="001F4F79" w:rsidP="001F4F79">
      <w:pPr>
        <w:spacing w:after="0" w:line="360" w:lineRule="auto"/>
        <w:jc w:val="both"/>
        <w:rPr>
          <w:rFonts w:ascii="Arial" w:eastAsia="Times New Roman" w:hAnsi="Arial" w:cs="Arial"/>
          <w:kern w:val="0"/>
          <w:sz w:val="24"/>
          <w:szCs w:val="24"/>
          <w:lang w:eastAsia="en-GB"/>
        </w:rPr>
      </w:pPr>
    </w:p>
    <w:p w14:paraId="4392984C" w14:textId="77777777" w:rsidR="001F4F79" w:rsidRPr="00202D15" w:rsidRDefault="001F4F79" w:rsidP="00202D15">
      <w:pPr>
        <w:spacing w:before="100" w:beforeAutospacing="1" w:after="100" w:afterAutospacing="1" w:line="360" w:lineRule="auto"/>
        <w:jc w:val="both"/>
        <w:outlineLvl w:val="2"/>
        <w:rPr>
          <w:rFonts w:ascii="Arial" w:eastAsia="Times New Roman" w:hAnsi="Arial" w:cs="Arial"/>
          <w:kern w:val="0"/>
          <w:sz w:val="24"/>
          <w:szCs w:val="24"/>
          <w:u w:val="single"/>
          <w:lang w:eastAsia="en-GB"/>
        </w:rPr>
      </w:pPr>
      <w:r w:rsidRPr="00202D15">
        <w:rPr>
          <w:rFonts w:ascii="Arial" w:eastAsia="Times New Roman" w:hAnsi="Arial" w:cs="Arial"/>
          <w:kern w:val="0"/>
          <w:sz w:val="24"/>
          <w:szCs w:val="24"/>
          <w:u w:val="single"/>
          <w:lang w:eastAsia="en-GB"/>
        </w:rPr>
        <w:lastRenderedPageBreak/>
        <w:t>1. Introduction</w:t>
      </w:r>
    </w:p>
    <w:p w14:paraId="69E96D0E"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Hilton Hotels is a major player in the worldwide hospitality sector, boasting over a century of experience and properties spanning six continents (Hilton, n.d.). Founded by Conrad Hilton in 1919, the group has evolved to include more than 7,500 properties under 18+ brands, with a strong reputation for guest service, innovation, and corporate responsibility (Stories. Hilton, 2023a). Hilton’s mission to “be the most hospitable company in the world” drives its focus on delivering consistent quality, pioneering technological solutions, and maintaining a vibrant workplace culture (Business ABC, n.d.).</w:t>
      </w:r>
    </w:p>
    <w:p w14:paraId="3B099CEF"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The purpose of this report is to critically evaluate Hilton from a corporate standpoint and at the individual hotel level. Firstly, it examines Hilton’s organisational structure and culture through Schein’s model and Hofstede’s cultural dimensions, linking how corporate strategies cascade to each hotel. It then explores recent changes such as Hilton’s sustainability agenda (“Travel with Purpose”), digital innovations (Digital Key, Connected Room), and pandemic-led hygiene protocols (Clean Stay). The analysis uses Kotter’s eight-step and Lewin’s three-stage frameworks to assess the success of these transformations. It then reviews Hilton’s strategic direction and compares the company’s positioning with competitors like Marriott and Hyatt. Finally, the report proposes recommendations around AI-driven personalisation, deeper sustainability, staff development, and customer journey enhancements.</w:t>
      </w:r>
    </w:p>
    <w:p w14:paraId="7AD65769"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p>
    <w:p w14:paraId="0BE44824" w14:textId="77777777" w:rsidR="001F4F79" w:rsidRPr="00202D15" w:rsidRDefault="001F4F79" w:rsidP="00202D15">
      <w:pPr>
        <w:spacing w:before="100" w:beforeAutospacing="1" w:after="100" w:afterAutospacing="1" w:line="360" w:lineRule="auto"/>
        <w:jc w:val="both"/>
        <w:outlineLvl w:val="2"/>
        <w:rPr>
          <w:rFonts w:ascii="Arial" w:eastAsia="Times New Roman" w:hAnsi="Arial" w:cs="Arial"/>
          <w:kern w:val="0"/>
          <w:sz w:val="24"/>
          <w:szCs w:val="24"/>
          <w:u w:val="single"/>
          <w:lang w:eastAsia="en-GB"/>
        </w:rPr>
      </w:pPr>
      <w:r w:rsidRPr="00202D15">
        <w:rPr>
          <w:rFonts w:ascii="Arial" w:eastAsia="Times New Roman" w:hAnsi="Arial" w:cs="Arial"/>
          <w:kern w:val="0"/>
          <w:sz w:val="24"/>
          <w:szCs w:val="24"/>
          <w:u w:val="single"/>
          <w:lang w:eastAsia="en-GB"/>
        </w:rPr>
        <w:t>2. Organisation Structure, Culture, and Goals</w:t>
      </w:r>
    </w:p>
    <w:p w14:paraId="4FB03D42" w14:textId="6D998B40"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Structure</w:t>
      </w:r>
      <w:r w:rsidRPr="00202D15">
        <w:rPr>
          <w:rFonts w:ascii="Arial" w:eastAsia="Times New Roman" w:hAnsi="Arial" w:cs="Arial"/>
          <w:kern w:val="0"/>
          <w:sz w:val="24"/>
          <w:szCs w:val="24"/>
          <w:lang w:eastAsia="en-GB"/>
        </w:rPr>
        <w:br/>
        <w:t xml:space="preserve">Hilton operates a divisional structure organised by function and geography, overseen by President &amp; CEO Christopher </w:t>
      </w:r>
      <w:proofErr w:type="spellStart"/>
      <w:r w:rsidRPr="00202D15">
        <w:rPr>
          <w:rFonts w:ascii="Arial" w:eastAsia="Times New Roman" w:hAnsi="Arial" w:cs="Arial"/>
          <w:kern w:val="0"/>
          <w:sz w:val="24"/>
          <w:szCs w:val="24"/>
          <w:lang w:eastAsia="en-GB"/>
        </w:rPr>
        <w:t>Nassetta</w:t>
      </w:r>
      <w:proofErr w:type="spellEnd"/>
      <w:r w:rsidRPr="00202D15">
        <w:rPr>
          <w:rFonts w:ascii="Arial" w:eastAsia="Times New Roman" w:hAnsi="Arial" w:cs="Arial"/>
          <w:kern w:val="0"/>
          <w:sz w:val="24"/>
          <w:szCs w:val="24"/>
          <w:lang w:eastAsia="en-GB"/>
        </w:rPr>
        <w:t xml:space="preserve"> (</w:t>
      </w:r>
      <w:proofErr w:type="spellStart"/>
      <w:r w:rsidRPr="00202D15">
        <w:rPr>
          <w:rFonts w:ascii="Arial" w:eastAsia="Times New Roman" w:hAnsi="Arial" w:cs="Arial"/>
          <w:kern w:val="0"/>
          <w:sz w:val="24"/>
          <w:szCs w:val="24"/>
          <w:lang w:eastAsia="en-GB"/>
        </w:rPr>
        <w:t>Organimi</w:t>
      </w:r>
      <w:proofErr w:type="spellEnd"/>
      <w:r w:rsidRPr="00202D15">
        <w:rPr>
          <w:rFonts w:ascii="Arial" w:eastAsia="Times New Roman" w:hAnsi="Arial" w:cs="Arial"/>
          <w:kern w:val="0"/>
          <w:sz w:val="24"/>
          <w:szCs w:val="24"/>
          <w:lang w:eastAsia="en-GB"/>
        </w:rPr>
        <w:t>, 2020). Its head office coordinates global strategy, brand standards, and major initiatives, while regional teams adapt these strategies locally. Most hotels are managed or franchised, reflecting an asset-light approach that prioritises branding, management expertise, and fee-based revenue (</w:t>
      </w:r>
      <w:proofErr w:type="spellStart"/>
      <w:r w:rsidRPr="00202D15">
        <w:rPr>
          <w:rFonts w:ascii="Arial" w:eastAsia="Times New Roman" w:hAnsi="Arial" w:cs="Arial"/>
          <w:kern w:val="0"/>
          <w:sz w:val="24"/>
          <w:szCs w:val="24"/>
          <w:lang w:eastAsia="en-GB"/>
        </w:rPr>
        <w:t>Organimi</w:t>
      </w:r>
      <w:proofErr w:type="spellEnd"/>
      <w:r w:rsidRPr="00202D15">
        <w:rPr>
          <w:rFonts w:ascii="Arial" w:eastAsia="Times New Roman" w:hAnsi="Arial" w:cs="Arial"/>
          <w:kern w:val="0"/>
          <w:sz w:val="24"/>
          <w:szCs w:val="24"/>
          <w:lang w:eastAsia="en-GB"/>
        </w:rPr>
        <w:t>, 2020). The hotel-level structure typically comprises a General Manager, departmental managers, and line staff. Decision-</w:t>
      </w:r>
      <w:r w:rsidRPr="00202D15">
        <w:rPr>
          <w:rFonts w:ascii="Arial" w:eastAsia="Times New Roman" w:hAnsi="Arial" w:cs="Arial"/>
          <w:kern w:val="0"/>
          <w:sz w:val="24"/>
          <w:szCs w:val="24"/>
          <w:lang w:eastAsia="en-GB"/>
        </w:rPr>
        <w:lastRenderedPageBreak/>
        <w:t>making is partly decentralised, enabling properties to respond to local markets while adhering to core brand guidelines (Ivy Panda, n.d.).</w:t>
      </w:r>
    </w:p>
    <w:p w14:paraId="372ADEF3"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Culture.</w:t>
      </w:r>
      <w:r w:rsidRPr="00202D15">
        <w:rPr>
          <w:rFonts w:ascii="Arial" w:eastAsia="Times New Roman" w:hAnsi="Arial" w:cs="Arial"/>
          <w:kern w:val="0"/>
          <w:sz w:val="24"/>
          <w:szCs w:val="24"/>
          <w:lang w:eastAsia="en-GB"/>
        </w:rPr>
        <w:br/>
        <w:t>Hilton’s culture is anchored in “hospitality first” and emphasises respect, teamwork, and integrity (Business ABC, n.d.). Using Schein’s model, visible “artifacts” include a warm greeting ethos, service rituals, and recognition programmes (Hilton, n.d.). Espoused values highlight inclusion, wellness, and community impact, while basic assumptions revolve around the belief that employee satisfaction drives guest satisfaction (US Chamber Foundation, 2023). Applying Hofstede’s dimensions, Hilton’s corporate culture shows relatively low power distance through open communication and leadership accessibility, and a collectivist outlook that underscores teamwork (</w:t>
      </w:r>
      <w:proofErr w:type="spellStart"/>
      <w:r w:rsidRPr="00202D15">
        <w:rPr>
          <w:rFonts w:ascii="Arial" w:eastAsia="Times New Roman" w:hAnsi="Arial" w:cs="Arial"/>
          <w:kern w:val="0"/>
          <w:sz w:val="24"/>
          <w:szCs w:val="24"/>
          <w:lang w:eastAsia="en-GB"/>
        </w:rPr>
        <w:t>Organimi</w:t>
      </w:r>
      <w:proofErr w:type="spellEnd"/>
      <w:r w:rsidRPr="00202D15">
        <w:rPr>
          <w:rFonts w:ascii="Arial" w:eastAsia="Times New Roman" w:hAnsi="Arial" w:cs="Arial"/>
          <w:kern w:val="0"/>
          <w:sz w:val="24"/>
          <w:szCs w:val="24"/>
          <w:lang w:eastAsia="en-GB"/>
        </w:rPr>
        <w:t>, 2020). Local cultural nuances are recognised through managerial training and adaptation (</w:t>
      </w:r>
      <w:proofErr w:type="spellStart"/>
      <w:r w:rsidRPr="00202D15">
        <w:rPr>
          <w:rFonts w:ascii="Arial" w:eastAsia="Times New Roman" w:hAnsi="Arial" w:cs="Arial"/>
          <w:kern w:val="0"/>
          <w:sz w:val="24"/>
          <w:szCs w:val="24"/>
          <w:lang w:eastAsia="en-GB"/>
        </w:rPr>
        <w:t>Repub.EUR</w:t>
      </w:r>
      <w:proofErr w:type="spellEnd"/>
      <w:r w:rsidRPr="00202D15">
        <w:rPr>
          <w:rFonts w:ascii="Arial" w:eastAsia="Times New Roman" w:hAnsi="Arial" w:cs="Arial"/>
          <w:kern w:val="0"/>
          <w:sz w:val="24"/>
          <w:szCs w:val="24"/>
          <w:lang w:eastAsia="en-GB"/>
        </w:rPr>
        <w:t>, n.d.).</w:t>
      </w:r>
    </w:p>
    <w:p w14:paraId="02B7DF2E" w14:textId="12E2631C"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Goals</w:t>
      </w:r>
      <w:r w:rsidR="00202D15" w:rsidRPr="00202D15">
        <w:rPr>
          <w:rFonts w:ascii="Arial" w:eastAsia="Times New Roman" w:hAnsi="Arial" w:cs="Arial"/>
          <w:kern w:val="0"/>
          <w:sz w:val="24"/>
          <w:szCs w:val="24"/>
          <w:lang w:eastAsia="en-GB"/>
        </w:rPr>
        <w:t xml:space="preserve"> </w:t>
      </w:r>
      <w:r w:rsidR="00F041EF" w:rsidRPr="00202D15">
        <w:rPr>
          <w:rFonts w:ascii="Arial" w:eastAsia="Times New Roman" w:hAnsi="Arial" w:cs="Arial"/>
          <w:kern w:val="0"/>
          <w:sz w:val="24"/>
          <w:szCs w:val="24"/>
          <w:lang w:eastAsia="en-GB"/>
        </w:rPr>
        <w:t>&amp;</w:t>
      </w:r>
      <w:r w:rsidR="00202D15" w:rsidRPr="00202D15">
        <w:rPr>
          <w:rFonts w:ascii="Arial" w:eastAsia="Times New Roman" w:hAnsi="Arial" w:cs="Arial"/>
          <w:kern w:val="0"/>
          <w:sz w:val="24"/>
          <w:szCs w:val="24"/>
          <w:lang w:eastAsia="en-GB"/>
        </w:rPr>
        <w:t xml:space="preserve"> </w:t>
      </w:r>
      <w:r w:rsidRPr="00202D15">
        <w:rPr>
          <w:rFonts w:ascii="Arial" w:eastAsia="Times New Roman" w:hAnsi="Arial" w:cs="Arial"/>
          <w:kern w:val="0"/>
          <w:sz w:val="24"/>
          <w:szCs w:val="24"/>
          <w:lang w:eastAsia="en-GB"/>
        </w:rPr>
        <w:t>Objectives.</w:t>
      </w:r>
      <w:r w:rsidRPr="00202D15">
        <w:rPr>
          <w:rFonts w:ascii="Arial" w:eastAsia="Times New Roman" w:hAnsi="Arial" w:cs="Arial"/>
          <w:kern w:val="0"/>
          <w:sz w:val="24"/>
          <w:szCs w:val="24"/>
          <w:lang w:eastAsia="en-GB"/>
        </w:rPr>
        <w:br/>
        <w:t>Hilton’s vision is “to fill the earth with the light and warmth of hospitality” (Business ABC, n.d.), aiming for consistent excellence across all properties. At corporate level, it pursues financial growth, brand reputation, and unit expansion, targeting ~5–6% net unit growth annually (Stories. Hilton, 2023b). Sustainability also features prominently, with 2030 targets to halve environmental impact and double social investment (</w:t>
      </w:r>
      <w:proofErr w:type="spellStart"/>
      <w:r w:rsidRPr="00202D15">
        <w:rPr>
          <w:rFonts w:ascii="Arial" w:eastAsia="Times New Roman" w:hAnsi="Arial" w:cs="Arial"/>
          <w:kern w:val="0"/>
          <w:sz w:val="24"/>
          <w:szCs w:val="24"/>
          <w:lang w:eastAsia="en-GB"/>
        </w:rPr>
        <w:t>ESG.Hilton</w:t>
      </w:r>
      <w:proofErr w:type="spellEnd"/>
      <w:r w:rsidRPr="00202D15">
        <w:rPr>
          <w:rFonts w:ascii="Arial" w:eastAsia="Times New Roman" w:hAnsi="Arial" w:cs="Arial"/>
          <w:kern w:val="0"/>
          <w:sz w:val="24"/>
          <w:szCs w:val="24"/>
          <w:lang w:eastAsia="en-GB"/>
        </w:rPr>
        <w:t>, n.d.). Hotels are expected to meet brand standards in service quality, guest satisfaction, and profitability, monitored through metrics like RevPAR, SALT (Satisfaction and Loyalty Tracking), and internal audits (Skift, 2020). This alignment ensures that each hotel contributes directly to Hilton’s overall mission.</w:t>
      </w:r>
    </w:p>
    <w:p w14:paraId="096F2D02" w14:textId="77777777" w:rsidR="006C0E9C" w:rsidRPr="00202D15" w:rsidRDefault="006C0E9C" w:rsidP="00202D15">
      <w:pPr>
        <w:spacing w:before="100" w:beforeAutospacing="1" w:after="100" w:afterAutospacing="1" w:line="360" w:lineRule="auto"/>
        <w:jc w:val="both"/>
        <w:rPr>
          <w:rFonts w:ascii="Arial" w:eastAsia="Times New Roman" w:hAnsi="Arial" w:cs="Arial"/>
          <w:kern w:val="0"/>
          <w:sz w:val="24"/>
          <w:szCs w:val="24"/>
          <w:lang w:eastAsia="en-GB"/>
        </w:rPr>
      </w:pPr>
    </w:p>
    <w:p w14:paraId="62F9A573" w14:textId="77777777" w:rsidR="001F4F79" w:rsidRPr="00202D15" w:rsidRDefault="001F4F79" w:rsidP="00202D15">
      <w:pPr>
        <w:spacing w:before="100" w:beforeAutospacing="1" w:after="100" w:afterAutospacing="1" w:line="360" w:lineRule="auto"/>
        <w:jc w:val="both"/>
        <w:outlineLvl w:val="2"/>
        <w:rPr>
          <w:rFonts w:ascii="Arial" w:eastAsia="Times New Roman" w:hAnsi="Arial" w:cs="Arial"/>
          <w:kern w:val="0"/>
          <w:sz w:val="24"/>
          <w:szCs w:val="24"/>
          <w:u w:val="single"/>
          <w:lang w:eastAsia="en-GB"/>
        </w:rPr>
      </w:pPr>
      <w:r w:rsidRPr="00202D15">
        <w:rPr>
          <w:rFonts w:ascii="Arial" w:eastAsia="Times New Roman" w:hAnsi="Arial" w:cs="Arial"/>
          <w:kern w:val="0"/>
          <w:sz w:val="24"/>
          <w:szCs w:val="24"/>
          <w:u w:val="single"/>
          <w:lang w:eastAsia="en-GB"/>
        </w:rPr>
        <w:t>3. Recent Change Initiatives</w:t>
      </w:r>
    </w:p>
    <w:p w14:paraId="1E4D2065"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Hilton has introduced several significant changes in recent years, including a sustainability programme, digital transformation, and pandemic-driven adaptations.</w:t>
      </w:r>
    </w:p>
    <w:p w14:paraId="0FE09797" w14:textId="6B442978"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lastRenderedPageBreak/>
        <w:t>a)</w:t>
      </w:r>
      <w:r w:rsidR="00202D15" w:rsidRPr="00202D15">
        <w:rPr>
          <w:rFonts w:ascii="Arial" w:eastAsia="Times New Roman" w:hAnsi="Arial" w:cs="Arial"/>
          <w:kern w:val="0"/>
          <w:sz w:val="24"/>
          <w:szCs w:val="24"/>
          <w:lang w:eastAsia="en-GB"/>
        </w:rPr>
        <w:t xml:space="preserve"> </w:t>
      </w:r>
      <w:r w:rsidRPr="00202D15">
        <w:rPr>
          <w:rFonts w:ascii="Arial" w:eastAsia="Times New Roman" w:hAnsi="Arial" w:cs="Arial"/>
          <w:kern w:val="0"/>
          <w:sz w:val="24"/>
          <w:szCs w:val="24"/>
          <w:lang w:eastAsia="en-GB"/>
        </w:rPr>
        <w:t>Sustainability–Travel</w:t>
      </w:r>
      <w:r w:rsidR="00B63998" w:rsidRPr="00202D15">
        <w:rPr>
          <w:rFonts w:ascii="Arial" w:eastAsia="Times New Roman" w:hAnsi="Arial" w:cs="Arial"/>
          <w:kern w:val="0"/>
          <w:sz w:val="24"/>
          <w:szCs w:val="24"/>
          <w:lang w:eastAsia="en-GB"/>
        </w:rPr>
        <w:t>-</w:t>
      </w:r>
      <w:r w:rsidRPr="00202D15">
        <w:rPr>
          <w:rFonts w:ascii="Arial" w:eastAsia="Times New Roman" w:hAnsi="Arial" w:cs="Arial"/>
          <w:kern w:val="0"/>
          <w:sz w:val="24"/>
          <w:szCs w:val="24"/>
          <w:lang w:eastAsia="en-GB"/>
        </w:rPr>
        <w:t>with</w:t>
      </w:r>
      <w:r w:rsidR="00B63998" w:rsidRPr="00202D15">
        <w:rPr>
          <w:rFonts w:ascii="Arial" w:eastAsia="Times New Roman" w:hAnsi="Arial" w:cs="Arial"/>
          <w:kern w:val="0"/>
          <w:sz w:val="24"/>
          <w:szCs w:val="24"/>
          <w:lang w:eastAsia="en-GB"/>
        </w:rPr>
        <w:t>-</w:t>
      </w:r>
      <w:r w:rsidRPr="00202D15">
        <w:rPr>
          <w:rFonts w:ascii="Arial" w:eastAsia="Times New Roman" w:hAnsi="Arial" w:cs="Arial"/>
          <w:kern w:val="0"/>
          <w:sz w:val="24"/>
          <w:szCs w:val="24"/>
          <w:lang w:eastAsia="en-GB"/>
        </w:rPr>
        <w:t>Purpose</w:t>
      </w:r>
      <w:r w:rsidRPr="00202D15">
        <w:rPr>
          <w:rFonts w:ascii="Arial" w:eastAsia="Times New Roman" w:hAnsi="Arial" w:cs="Arial"/>
          <w:kern w:val="0"/>
          <w:sz w:val="24"/>
          <w:szCs w:val="24"/>
          <w:lang w:eastAsia="en-GB"/>
        </w:rPr>
        <w:br/>
        <w:t>Launched in 2018, “Travel with Purpose” sets 2030 goals to halve environmental footprint and double social impact (Business Wire, 2018). These targets involve carbon reduction, water conservation, waste minimisation, and local sourcing (Business Wire, 2018). Implementation leverages the Light Stay platform for tracking environmental metrics and operational improvements (Business Wire, 2018). By adopting science-based targets in line with the Paris Agreement, Hilton was one of the first hospitality companies to commit to rigorous emissions reduction (Stories. Hilton, 2018).</w:t>
      </w:r>
    </w:p>
    <w:p w14:paraId="3624279D"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These efforts have had positive impacts on staff pride and guest perception, as sustainability becomes a key differentiator for eco-conscious travellers (EHL, 2023a). From Kotter’s perspective, Hilton created urgency by highlighting climate risks, formed a guiding coalition with NGOs, and embedded sustainability in everyday practices through training and brand standards (</w:t>
      </w:r>
      <w:proofErr w:type="spellStart"/>
      <w:r w:rsidRPr="00202D15">
        <w:rPr>
          <w:rFonts w:ascii="Arial" w:eastAsia="Times New Roman" w:hAnsi="Arial" w:cs="Arial"/>
          <w:kern w:val="0"/>
          <w:sz w:val="24"/>
          <w:szCs w:val="24"/>
          <w:lang w:eastAsia="en-GB"/>
        </w:rPr>
        <w:t>Prosci</w:t>
      </w:r>
      <w:proofErr w:type="spellEnd"/>
      <w:r w:rsidRPr="00202D15">
        <w:rPr>
          <w:rFonts w:ascii="Arial" w:eastAsia="Times New Roman" w:hAnsi="Arial" w:cs="Arial"/>
          <w:kern w:val="0"/>
          <w:sz w:val="24"/>
          <w:szCs w:val="24"/>
          <w:lang w:eastAsia="en-GB"/>
        </w:rPr>
        <w:t>, 2023). Financially, energy-efficient technologies reduced utility costs (Business Wire, 2018). According to Lewin’s model, these measures have transitioned into a “refreeze” stage, where sustainability is part of standard operations (Malik, 2022).</w:t>
      </w:r>
    </w:p>
    <w:p w14:paraId="24108EE0" w14:textId="764E6700"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proofErr w:type="gramStart"/>
      <w:r w:rsidRPr="00202D15">
        <w:rPr>
          <w:rFonts w:ascii="Arial" w:eastAsia="Times New Roman" w:hAnsi="Arial" w:cs="Arial"/>
          <w:kern w:val="0"/>
          <w:sz w:val="24"/>
          <w:szCs w:val="24"/>
          <w:lang w:eastAsia="en-GB"/>
        </w:rPr>
        <w:t>b)Digital</w:t>
      </w:r>
      <w:proofErr w:type="gramEnd"/>
      <w:r w:rsidR="00202D15" w:rsidRPr="00202D15">
        <w:rPr>
          <w:rFonts w:ascii="Arial" w:eastAsia="Times New Roman" w:hAnsi="Arial" w:cs="Arial"/>
          <w:kern w:val="0"/>
          <w:sz w:val="24"/>
          <w:szCs w:val="24"/>
          <w:lang w:eastAsia="en-GB"/>
        </w:rPr>
        <w:t xml:space="preserve"> </w:t>
      </w:r>
      <w:r w:rsidRPr="00202D15">
        <w:rPr>
          <w:rFonts w:ascii="Arial" w:eastAsia="Times New Roman" w:hAnsi="Arial" w:cs="Arial"/>
          <w:kern w:val="0"/>
          <w:sz w:val="24"/>
          <w:szCs w:val="24"/>
          <w:lang w:eastAsia="en-GB"/>
        </w:rPr>
        <w:t>Transformation</w:t>
      </w:r>
      <w:r w:rsidRPr="00202D15">
        <w:rPr>
          <w:rFonts w:ascii="Arial" w:eastAsia="Times New Roman" w:hAnsi="Arial" w:cs="Arial"/>
          <w:kern w:val="0"/>
          <w:sz w:val="24"/>
          <w:szCs w:val="24"/>
          <w:lang w:eastAsia="en-GB"/>
        </w:rPr>
        <w:br/>
        <w:t>Hilton’s digital advancements aim to enhance both guest experience and operational efficiency. The Hilton Honors app enables online check-in, room selection, and Digital Key, reducing queue times and increasing loyalty (Stories. Hilton, 2023a). Connected Room technology allows guests to personalise in-room settings (Stories. Hilton, 2023a). This shift intensified during COVID-19, responding to heightened demand for low-touch services (Skift, 2020).</w:t>
      </w:r>
    </w:p>
    <w:p w14:paraId="2A45DCE0"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For employees, automation of routine tasks frees time for higher-value interactions. Kotter’s framework applies: Hilton established urgency (guest safety/efficiency), formed cross-departmental coalitions, and rewarded early adopters as short-term wins (</w:t>
      </w:r>
      <w:proofErr w:type="spellStart"/>
      <w:r w:rsidRPr="00202D15">
        <w:rPr>
          <w:rFonts w:ascii="Arial" w:eastAsia="Times New Roman" w:hAnsi="Arial" w:cs="Arial"/>
          <w:kern w:val="0"/>
          <w:sz w:val="24"/>
          <w:szCs w:val="24"/>
          <w:lang w:eastAsia="en-GB"/>
        </w:rPr>
        <w:t>Prosci</w:t>
      </w:r>
      <w:proofErr w:type="spellEnd"/>
      <w:r w:rsidRPr="00202D15">
        <w:rPr>
          <w:rFonts w:ascii="Arial" w:eastAsia="Times New Roman" w:hAnsi="Arial" w:cs="Arial"/>
          <w:kern w:val="0"/>
          <w:sz w:val="24"/>
          <w:szCs w:val="24"/>
          <w:lang w:eastAsia="en-GB"/>
        </w:rPr>
        <w:t>, 2023). Lewin’s “unfreeze” occurred with the pandemic’s disruptions, followed by “change” through fast app rollouts, and “refreeze” as digital processes became standard (Malik, 2022). Despite initial worries about loss of human touch, Hilton balanced technology with personal service, demonstrating that digital solutions can enhance hospitality if strategically managed.</w:t>
      </w:r>
    </w:p>
    <w:p w14:paraId="55374B60" w14:textId="295F4EC1"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lastRenderedPageBreak/>
        <w:t>c)Clean</w:t>
      </w:r>
      <w:r w:rsidR="00202D15" w:rsidRPr="00202D15">
        <w:rPr>
          <w:rFonts w:ascii="Arial" w:eastAsia="Times New Roman" w:hAnsi="Arial" w:cs="Arial"/>
          <w:kern w:val="0"/>
          <w:sz w:val="24"/>
          <w:szCs w:val="24"/>
          <w:lang w:eastAsia="en-GB"/>
        </w:rPr>
        <w:t xml:space="preserve"> </w:t>
      </w:r>
      <w:r w:rsidRPr="00202D15">
        <w:rPr>
          <w:rFonts w:ascii="Arial" w:eastAsia="Times New Roman" w:hAnsi="Arial" w:cs="Arial"/>
          <w:kern w:val="0"/>
          <w:sz w:val="24"/>
          <w:szCs w:val="24"/>
          <w:lang w:eastAsia="en-GB"/>
        </w:rPr>
        <w:t>Stay–Pandemic</w:t>
      </w:r>
      <w:r w:rsidR="00202D15" w:rsidRPr="00202D15">
        <w:rPr>
          <w:rFonts w:ascii="Arial" w:eastAsia="Times New Roman" w:hAnsi="Arial" w:cs="Arial"/>
          <w:kern w:val="0"/>
          <w:sz w:val="24"/>
          <w:szCs w:val="24"/>
          <w:lang w:eastAsia="en-GB"/>
        </w:rPr>
        <w:t xml:space="preserve"> </w:t>
      </w:r>
      <w:r w:rsidRPr="00202D15">
        <w:rPr>
          <w:rFonts w:ascii="Arial" w:eastAsia="Times New Roman" w:hAnsi="Arial" w:cs="Arial"/>
          <w:kern w:val="0"/>
          <w:sz w:val="24"/>
          <w:szCs w:val="24"/>
          <w:lang w:eastAsia="en-GB"/>
        </w:rPr>
        <w:t>Response</w:t>
      </w:r>
      <w:r w:rsidRPr="00202D15">
        <w:rPr>
          <w:rFonts w:ascii="Arial" w:eastAsia="Times New Roman" w:hAnsi="Arial" w:cs="Arial"/>
          <w:kern w:val="0"/>
          <w:sz w:val="24"/>
          <w:szCs w:val="24"/>
          <w:lang w:eastAsia="en-GB"/>
        </w:rPr>
        <w:br/>
        <w:t>Launched in 2020, Clean Stay included enhanced cleaning protocols in collaboration with RB (makers of Lysol) and the Mayo Clinic (Stories. Hilton, 2020). This global initiative reassured guests about hygiene, reinforcing brand trust (Skift, 2020). Housekeeping staff were retrained, protective gear was provided, and signage emphasised rigorous standards. Surveys indicated elevated cleanliness scores and guest confidence (Skift, 2020).</w:t>
      </w:r>
    </w:p>
    <w:p w14:paraId="45537F16"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From a change management angle, the emergency nature of COVID-19 created immediate urgency. Hilton utilised top leadership and external experts to design the programme, empowered employees with clear procedures, and celebrated successes (Skift, 2020). Although costs rose, it safeguarded reputation and occupancy rates during recovery phases (Stories. Hilton, 2023b).</w:t>
      </w:r>
    </w:p>
    <w:p w14:paraId="2F3F4756"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Overall, these initiatives have strengthened Hilton’s competitiveness by improving employee engagement, customer satisfaction, and financial resilience. The organisational culture facilitated smooth adoption, with corporate leadership effectively applying best practices in change management.</w:t>
      </w:r>
    </w:p>
    <w:p w14:paraId="29A067A4" w14:textId="77777777" w:rsidR="001F4F79" w:rsidRPr="00202D15" w:rsidRDefault="001F4F79" w:rsidP="00202D15">
      <w:pPr>
        <w:spacing w:after="0" w:line="360" w:lineRule="auto"/>
        <w:jc w:val="both"/>
        <w:rPr>
          <w:rFonts w:ascii="Arial" w:eastAsia="Times New Roman" w:hAnsi="Arial" w:cs="Arial"/>
          <w:kern w:val="0"/>
          <w:sz w:val="24"/>
          <w:szCs w:val="24"/>
          <w:lang w:eastAsia="en-GB"/>
        </w:rPr>
      </w:pPr>
    </w:p>
    <w:p w14:paraId="09B4B74D" w14:textId="77777777" w:rsidR="001F4F79" w:rsidRPr="00202D15" w:rsidRDefault="001F4F79" w:rsidP="00202D15">
      <w:pPr>
        <w:spacing w:before="100" w:beforeAutospacing="1" w:after="100" w:afterAutospacing="1" w:line="360" w:lineRule="auto"/>
        <w:jc w:val="both"/>
        <w:outlineLvl w:val="2"/>
        <w:rPr>
          <w:rFonts w:ascii="Arial" w:eastAsia="Times New Roman" w:hAnsi="Arial" w:cs="Arial"/>
          <w:kern w:val="0"/>
          <w:sz w:val="24"/>
          <w:szCs w:val="24"/>
          <w:u w:val="single"/>
          <w:lang w:eastAsia="en-GB"/>
        </w:rPr>
      </w:pPr>
      <w:r w:rsidRPr="00202D15">
        <w:rPr>
          <w:rFonts w:ascii="Arial" w:eastAsia="Times New Roman" w:hAnsi="Arial" w:cs="Arial"/>
          <w:kern w:val="0"/>
          <w:sz w:val="24"/>
          <w:szCs w:val="24"/>
          <w:u w:val="single"/>
          <w:lang w:eastAsia="en-GB"/>
        </w:rPr>
        <w:t>4. Strategic Direction</w:t>
      </w:r>
    </w:p>
    <w:p w14:paraId="74E8CBB4"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Hilton’s overarching strategy emphasises global growth, brand differentiation, technological innovation, and sustainability (Stories. Hilton, 2023b).</w:t>
      </w:r>
    </w:p>
    <w:p w14:paraId="21DBA437" w14:textId="485D0912"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Global</w:t>
      </w:r>
      <w:r w:rsidR="00202D15" w:rsidRPr="00202D15">
        <w:rPr>
          <w:rFonts w:ascii="Arial" w:eastAsia="Times New Roman" w:hAnsi="Arial" w:cs="Arial"/>
          <w:kern w:val="0"/>
          <w:sz w:val="24"/>
          <w:szCs w:val="24"/>
          <w:lang w:eastAsia="en-GB"/>
        </w:rPr>
        <w:t xml:space="preserve"> </w:t>
      </w:r>
      <w:r w:rsidRPr="00202D15">
        <w:rPr>
          <w:rFonts w:ascii="Arial" w:eastAsia="Times New Roman" w:hAnsi="Arial" w:cs="Arial"/>
          <w:kern w:val="0"/>
          <w:sz w:val="24"/>
          <w:szCs w:val="24"/>
          <w:lang w:eastAsia="en-GB"/>
        </w:rPr>
        <w:t>Expansion.</w:t>
      </w:r>
      <w:r w:rsidRPr="00202D15">
        <w:rPr>
          <w:rFonts w:ascii="Arial" w:eastAsia="Times New Roman" w:hAnsi="Arial" w:cs="Arial"/>
          <w:kern w:val="0"/>
          <w:sz w:val="24"/>
          <w:szCs w:val="24"/>
          <w:lang w:eastAsia="en-GB"/>
        </w:rPr>
        <w:br/>
        <w:t>Hilton has one of the industry’s largest hotel development pipelines, aiming for mid-single-digit net unit growth yearly (Stories. Hilton, 2023b). Its asset-light model relies on franchising and management contracts, enabling rapid expansion with lower capital investment (</w:t>
      </w:r>
      <w:proofErr w:type="spellStart"/>
      <w:r w:rsidRPr="00202D15">
        <w:rPr>
          <w:rFonts w:ascii="Arial" w:eastAsia="Times New Roman" w:hAnsi="Arial" w:cs="Arial"/>
          <w:kern w:val="0"/>
          <w:sz w:val="24"/>
          <w:szCs w:val="24"/>
          <w:lang w:eastAsia="en-GB"/>
        </w:rPr>
        <w:t>Organimi</w:t>
      </w:r>
      <w:proofErr w:type="spellEnd"/>
      <w:r w:rsidRPr="00202D15">
        <w:rPr>
          <w:rFonts w:ascii="Arial" w:eastAsia="Times New Roman" w:hAnsi="Arial" w:cs="Arial"/>
          <w:kern w:val="0"/>
          <w:sz w:val="24"/>
          <w:szCs w:val="24"/>
          <w:lang w:eastAsia="en-GB"/>
        </w:rPr>
        <w:t>, 2020). Regions such as Asia-Pacific represent significant growth potential, where Hilton seeks deeper market penetration (Statista, 2024).</w:t>
      </w:r>
    </w:p>
    <w:p w14:paraId="02379425" w14:textId="3431D1E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Multi-Brand</w:t>
      </w:r>
      <w:r w:rsidR="00202D15" w:rsidRPr="00202D15">
        <w:rPr>
          <w:rFonts w:ascii="Arial" w:eastAsia="Times New Roman" w:hAnsi="Arial" w:cs="Arial"/>
          <w:kern w:val="0"/>
          <w:sz w:val="24"/>
          <w:szCs w:val="24"/>
          <w:lang w:eastAsia="en-GB"/>
        </w:rPr>
        <w:t xml:space="preserve"> </w:t>
      </w:r>
      <w:r w:rsidRPr="00202D15">
        <w:rPr>
          <w:rFonts w:ascii="Arial" w:eastAsia="Times New Roman" w:hAnsi="Arial" w:cs="Arial"/>
          <w:kern w:val="0"/>
          <w:sz w:val="24"/>
          <w:szCs w:val="24"/>
          <w:lang w:eastAsia="en-GB"/>
        </w:rPr>
        <w:t>Portfolio.</w:t>
      </w:r>
      <w:r w:rsidRPr="00202D15">
        <w:rPr>
          <w:rFonts w:ascii="Arial" w:eastAsia="Times New Roman" w:hAnsi="Arial" w:cs="Arial"/>
          <w:kern w:val="0"/>
          <w:sz w:val="24"/>
          <w:szCs w:val="24"/>
          <w:lang w:eastAsia="en-GB"/>
        </w:rPr>
        <w:br/>
        <w:t xml:space="preserve">Hilton’s brand family spans luxury (Waldorf Astoria) to economy (Tru, Spark) (Hilton, </w:t>
      </w:r>
      <w:r w:rsidR="00903319" w:rsidRPr="00202D15">
        <w:rPr>
          <w:rFonts w:ascii="Arial" w:eastAsia="Times New Roman" w:hAnsi="Arial" w:cs="Arial"/>
          <w:kern w:val="0"/>
          <w:sz w:val="24"/>
          <w:szCs w:val="24"/>
          <w:lang w:eastAsia="en-GB"/>
        </w:rPr>
        <w:lastRenderedPageBreak/>
        <w:t>2024</w:t>
      </w:r>
      <w:r w:rsidRPr="00202D15">
        <w:rPr>
          <w:rFonts w:ascii="Arial" w:eastAsia="Times New Roman" w:hAnsi="Arial" w:cs="Arial"/>
          <w:kern w:val="0"/>
          <w:sz w:val="24"/>
          <w:szCs w:val="24"/>
          <w:lang w:eastAsia="en-GB"/>
        </w:rPr>
        <w:t>.). This wide portfolio competes with Marriott’s ~30 brands and Hyatt’s ~20, allowing Hilton to capture diverse segments (Ivy Panda, n.d.). Hampton by Hilton performs strongly in midscale, while new lifestyle brands (Canopy, Tempo, Motto) attract younger travellers. Maintaining brand consistency is key, as brand standard compliance underpins guest trust.</w:t>
      </w:r>
    </w:p>
    <w:p w14:paraId="293B11D4" w14:textId="5EA7818D"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Comparative</w:t>
      </w:r>
      <w:r w:rsidR="00202D15" w:rsidRPr="00202D15">
        <w:rPr>
          <w:rFonts w:ascii="Arial" w:eastAsia="Times New Roman" w:hAnsi="Arial" w:cs="Arial"/>
          <w:kern w:val="0"/>
          <w:sz w:val="24"/>
          <w:szCs w:val="24"/>
          <w:lang w:eastAsia="en-GB"/>
        </w:rPr>
        <w:t xml:space="preserve"> </w:t>
      </w:r>
      <w:r w:rsidRPr="00202D15">
        <w:rPr>
          <w:rFonts w:ascii="Arial" w:eastAsia="Times New Roman" w:hAnsi="Arial" w:cs="Arial"/>
          <w:kern w:val="0"/>
          <w:sz w:val="24"/>
          <w:szCs w:val="24"/>
          <w:lang w:eastAsia="en-GB"/>
        </w:rPr>
        <w:t>Positioning.</w:t>
      </w:r>
      <w:r w:rsidRPr="00202D15">
        <w:rPr>
          <w:rFonts w:ascii="Arial" w:eastAsia="Times New Roman" w:hAnsi="Arial" w:cs="Arial"/>
          <w:kern w:val="0"/>
          <w:sz w:val="24"/>
          <w:szCs w:val="24"/>
          <w:lang w:eastAsia="en-GB"/>
        </w:rPr>
        <w:br/>
        <w:t>Marriott remains the largest hotel operator by room count, benefiting from Starwood’s acquisition, but Hilton grows slightly faster in new openings (CEOWORLD, 2024). Hyatt is smaller but excels in luxury and personalised service. Hilton’s strengths include a cohesive culture, digital innovations, and strong loyalty (Hilton Honors) (Stories. Hilton, 2023a). Opportunities lie in bolstering lifestyle and ultra-luxury offerings, and accelerating growth in underpenetrated regions.</w:t>
      </w:r>
    </w:p>
    <w:p w14:paraId="5A27C94F" w14:textId="7CC34BE9"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Sustainability</w:t>
      </w:r>
      <w:r w:rsidR="00202D15" w:rsidRPr="00202D15">
        <w:rPr>
          <w:rFonts w:ascii="Arial" w:eastAsia="Times New Roman" w:hAnsi="Arial" w:cs="Arial"/>
          <w:kern w:val="0"/>
          <w:sz w:val="24"/>
          <w:szCs w:val="24"/>
          <w:lang w:eastAsia="en-GB"/>
        </w:rPr>
        <w:t xml:space="preserve"> </w:t>
      </w:r>
      <w:r w:rsidRPr="00202D15">
        <w:rPr>
          <w:rFonts w:ascii="Arial" w:eastAsia="Times New Roman" w:hAnsi="Arial" w:cs="Arial"/>
          <w:kern w:val="0"/>
          <w:sz w:val="24"/>
          <w:szCs w:val="24"/>
          <w:lang w:eastAsia="en-GB"/>
        </w:rPr>
        <w:t>and</w:t>
      </w:r>
      <w:r w:rsidR="00202D15" w:rsidRPr="00202D15">
        <w:rPr>
          <w:rFonts w:ascii="Arial" w:eastAsia="Times New Roman" w:hAnsi="Arial" w:cs="Arial"/>
          <w:kern w:val="0"/>
          <w:sz w:val="24"/>
          <w:szCs w:val="24"/>
          <w:lang w:eastAsia="en-GB"/>
        </w:rPr>
        <w:t xml:space="preserve"> </w:t>
      </w:r>
      <w:r w:rsidRPr="00202D15">
        <w:rPr>
          <w:rFonts w:ascii="Arial" w:eastAsia="Times New Roman" w:hAnsi="Arial" w:cs="Arial"/>
          <w:kern w:val="0"/>
          <w:sz w:val="24"/>
          <w:szCs w:val="24"/>
          <w:lang w:eastAsia="en-GB"/>
        </w:rPr>
        <w:t>ESG.</w:t>
      </w:r>
      <w:r w:rsidRPr="00202D15">
        <w:rPr>
          <w:rFonts w:ascii="Arial" w:eastAsia="Times New Roman" w:hAnsi="Arial" w:cs="Arial"/>
          <w:kern w:val="0"/>
          <w:sz w:val="24"/>
          <w:szCs w:val="24"/>
          <w:lang w:eastAsia="en-GB"/>
        </w:rPr>
        <w:br/>
        <w:t>By pioneering science-based targets and robust reporting systems like Light Stay, Hilton differentiates itself in responsible business (</w:t>
      </w:r>
      <w:proofErr w:type="spellStart"/>
      <w:r w:rsidRPr="00202D15">
        <w:rPr>
          <w:rFonts w:ascii="Arial" w:eastAsia="Times New Roman" w:hAnsi="Arial" w:cs="Arial"/>
          <w:kern w:val="0"/>
          <w:sz w:val="24"/>
          <w:szCs w:val="24"/>
          <w:lang w:eastAsia="en-GB"/>
        </w:rPr>
        <w:t>ESG.Hilton</w:t>
      </w:r>
      <w:proofErr w:type="spellEnd"/>
      <w:r w:rsidRPr="00202D15">
        <w:rPr>
          <w:rFonts w:ascii="Arial" w:eastAsia="Times New Roman" w:hAnsi="Arial" w:cs="Arial"/>
          <w:kern w:val="0"/>
          <w:sz w:val="24"/>
          <w:szCs w:val="24"/>
          <w:lang w:eastAsia="en-GB"/>
        </w:rPr>
        <w:t>, n.d.). Competitors also publicise ESG goals, so maintaining leadership requires continuous innovation, potentially moving towards net-zero operations (EHL, 2023a).</w:t>
      </w:r>
    </w:p>
    <w:p w14:paraId="4362BDA1"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In sum, Hilton’s strategic position blends scale and innovation, with culture as a unifying advantage. To stay ahead, Hilton must refine its brand segments, expand globally, harness technology for personalisation, and maintain strong ESG performance.</w:t>
      </w:r>
    </w:p>
    <w:p w14:paraId="3E11B2D7" w14:textId="77777777" w:rsidR="001F4F79" w:rsidRPr="00202D15" w:rsidRDefault="001F4F79" w:rsidP="00202D15">
      <w:pPr>
        <w:spacing w:after="0" w:line="360" w:lineRule="auto"/>
        <w:jc w:val="both"/>
        <w:rPr>
          <w:rFonts w:ascii="Arial" w:eastAsia="Times New Roman" w:hAnsi="Arial" w:cs="Arial"/>
          <w:kern w:val="0"/>
          <w:sz w:val="24"/>
          <w:szCs w:val="24"/>
          <w:lang w:eastAsia="en-GB"/>
        </w:rPr>
      </w:pPr>
    </w:p>
    <w:p w14:paraId="4806A46B" w14:textId="77777777" w:rsidR="001F4F79" w:rsidRPr="00202D15" w:rsidRDefault="001F4F79" w:rsidP="00202D15">
      <w:pPr>
        <w:spacing w:before="100" w:beforeAutospacing="1" w:after="100" w:afterAutospacing="1" w:line="360" w:lineRule="auto"/>
        <w:jc w:val="both"/>
        <w:outlineLvl w:val="2"/>
        <w:rPr>
          <w:rFonts w:ascii="Arial" w:eastAsia="Times New Roman" w:hAnsi="Arial" w:cs="Arial"/>
          <w:kern w:val="0"/>
          <w:sz w:val="24"/>
          <w:szCs w:val="24"/>
          <w:u w:val="single"/>
          <w:lang w:eastAsia="en-GB"/>
        </w:rPr>
      </w:pPr>
      <w:r w:rsidRPr="00202D15">
        <w:rPr>
          <w:rFonts w:ascii="Arial" w:eastAsia="Times New Roman" w:hAnsi="Arial" w:cs="Arial"/>
          <w:kern w:val="0"/>
          <w:sz w:val="24"/>
          <w:szCs w:val="24"/>
          <w:u w:val="single"/>
          <w:lang w:eastAsia="en-GB"/>
        </w:rPr>
        <w:t>5. Recommendations</w:t>
      </w:r>
    </w:p>
    <w:p w14:paraId="41DE6D32"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Building on the analysis, the following evidence-based recommendations aim to further strengthen Hilton’s leadership in hospitality.</w:t>
      </w:r>
    </w:p>
    <w:p w14:paraId="6D53A5EC" w14:textId="77777777" w:rsidR="006C0E9C" w:rsidRPr="00202D15" w:rsidRDefault="006C0E9C" w:rsidP="00202D15">
      <w:pPr>
        <w:spacing w:before="100" w:beforeAutospacing="1" w:after="100" w:afterAutospacing="1" w:line="360" w:lineRule="auto"/>
        <w:jc w:val="both"/>
        <w:rPr>
          <w:rFonts w:ascii="Arial" w:eastAsia="Times New Roman" w:hAnsi="Arial" w:cs="Arial"/>
          <w:kern w:val="0"/>
          <w:sz w:val="24"/>
          <w:szCs w:val="24"/>
          <w:lang w:eastAsia="en-GB"/>
        </w:rPr>
      </w:pPr>
    </w:p>
    <w:p w14:paraId="5825CBF0" w14:textId="77777777" w:rsidR="006C0E9C" w:rsidRPr="00202D15" w:rsidRDefault="006C0E9C" w:rsidP="00202D15">
      <w:pPr>
        <w:spacing w:before="100" w:beforeAutospacing="1" w:after="100" w:afterAutospacing="1" w:line="360" w:lineRule="auto"/>
        <w:jc w:val="both"/>
        <w:rPr>
          <w:rFonts w:ascii="Arial" w:eastAsia="Times New Roman" w:hAnsi="Arial" w:cs="Arial"/>
          <w:kern w:val="0"/>
          <w:sz w:val="24"/>
          <w:szCs w:val="24"/>
          <w:lang w:eastAsia="en-GB"/>
        </w:rPr>
      </w:pPr>
    </w:p>
    <w:p w14:paraId="0D0FE638" w14:textId="3D1134DD"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lastRenderedPageBreak/>
        <w:t>1. Advance AI-Driven Personalisation</w:t>
      </w:r>
    </w:p>
    <w:p w14:paraId="35FF97A9" w14:textId="77777777" w:rsidR="001F4F79" w:rsidRPr="00202D15" w:rsidRDefault="001F4F79" w:rsidP="00202D15">
      <w:pPr>
        <w:numPr>
          <w:ilvl w:val="0"/>
          <w:numId w:val="2"/>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Guest Data Integration: Create a central data platform merging Hilton Honors profiles, past stays, and online feedback, enabling hotels to anticipate guest preferences (EHL, 2023b).</w:t>
      </w:r>
    </w:p>
    <w:p w14:paraId="2969F368" w14:textId="77777777" w:rsidR="001F4F79" w:rsidRPr="00202D15" w:rsidRDefault="001F4F79" w:rsidP="00202D15">
      <w:pPr>
        <w:numPr>
          <w:ilvl w:val="0"/>
          <w:numId w:val="2"/>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AI Chatbots and Virtual Concierge: Implement more advanced natural language processing tools to handle routine queries, enabling staff to focus on personalised interactions (Global Data, n.d.).</w:t>
      </w:r>
    </w:p>
    <w:p w14:paraId="60AB9B6B" w14:textId="77777777" w:rsidR="001F4F79" w:rsidRPr="00202D15" w:rsidRDefault="001F4F79" w:rsidP="00202D15">
      <w:pPr>
        <w:numPr>
          <w:ilvl w:val="0"/>
          <w:numId w:val="2"/>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Personalised Marketing and Pricing: Utilise predictive analytics to propose targeted offers (e.g., spa services, dining), boosting conversions and guest satisfaction.</w:t>
      </w:r>
    </w:p>
    <w:p w14:paraId="32765261"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i/>
          <w:iCs/>
          <w:kern w:val="0"/>
          <w:sz w:val="24"/>
          <w:szCs w:val="24"/>
          <w:lang w:eastAsia="en-GB"/>
        </w:rPr>
        <w:t>Implementation:</w:t>
      </w:r>
      <w:r w:rsidRPr="00202D15">
        <w:rPr>
          <w:rFonts w:ascii="Arial" w:eastAsia="Times New Roman" w:hAnsi="Arial" w:cs="Arial"/>
          <w:kern w:val="0"/>
          <w:sz w:val="24"/>
          <w:szCs w:val="24"/>
          <w:lang w:eastAsia="en-GB"/>
        </w:rPr>
        <w:t xml:space="preserve"> Assign a cross-functional “Personalisation Task Force” (IT, Marketing, GMs) to pilot AI concierge in tech-savvy locations, then expand globally within a year. Metrics: increased direct bookings, higher ancillary revenue, improved satisfaction scores.</w:t>
      </w:r>
    </w:p>
    <w:p w14:paraId="00432C68"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2. Accelerate Sustainability Towards Net-Zero</w:t>
      </w:r>
    </w:p>
    <w:p w14:paraId="2C0B4B1A" w14:textId="77777777" w:rsidR="001F4F79" w:rsidRPr="00202D15" w:rsidRDefault="001F4F79" w:rsidP="00202D15">
      <w:pPr>
        <w:numPr>
          <w:ilvl w:val="0"/>
          <w:numId w:val="3"/>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Public Net-Zero Commitment: Announce a 2050 net-zero goal, aligned with the Glasgow Declaration on Climate Action in Tourism (World Travel &amp; Tourism Council, 2021).</w:t>
      </w:r>
    </w:p>
    <w:p w14:paraId="484CFC90" w14:textId="77777777" w:rsidR="001F4F79" w:rsidRPr="00202D15" w:rsidRDefault="001F4F79" w:rsidP="00202D15">
      <w:pPr>
        <w:numPr>
          <w:ilvl w:val="0"/>
          <w:numId w:val="3"/>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Green Innovation: Expand renewable energy usage, implement smart energy management systems in all managed properties, and aim to eliminate single-use plastics comprehensively (Business Wire, 2018).</w:t>
      </w:r>
    </w:p>
    <w:p w14:paraId="4C81F98D" w14:textId="77777777" w:rsidR="001F4F79" w:rsidRPr="00202D15" w:rsidRDefault="001F4F79" w:rsidP="00202D15">
      <w:pPr>
        <w:numPr>
          <w:ilvl w:val="0"/>
          <w:numId w:val="3"/>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Employee and Guest Engagement: Strengthen hotel-level “Green Teams” and transparent environmental dashboards. Offer carbon offsets or green stay options to guests (EHL, 2023a).</w:t>
      </w:r>
    </w:p>
    <w:p w14:paraId="314F7CE0"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i/>
          <w:iCs/>
          <w:kern w:val="0"/>
          <w:sz w:val="24"/>
          <w:szCs w:val="24"/>
          <w:lang w:eastAsia="en-GB"/>
        </w:rPr>
        <w:t>Implementation:</w:t>
      </w:r>
      <w:r w:rsidRPr="00202D15">
        <w:rPr>
          <w:rFonts w:ascii="Arial" w:eastAsia="Times New Roman" w:hAnsi="Arial" w:cs="Arial"/>
          <w:kern w:val="0"/>
          <w:sz w:val="24"/>
          <w:szCs w:val="24"/>
          <w:lang w:eastAsia="en-GB"/>
        </w:rPr>
        <w:t xml:space="preserve"> Establish a “Climate Action Taskforce” to detail cost, timeline, and feasible retrofits. In two years, aim for tangible progress in energy audits, expanded recycling, and updated brand standards. Measure success via Light Stay and external ESG benchmarks.</w:t>
      </w:r>
    </w:p>
    <w:p w14:paraId="4F88A99D" w14:textId="77777777" w:rsidR="006C0E9C" w:rsidRPr="00202D15" w:rsidRDefault="006C0E9C" w:rsidP="00202D15">
      <w:pPr>
        <w:spacing w:before="100" w:beforeAutospacing="1" w:after="100" w:afterAutospacing="1" w:line="360" w:lineRule="auto"/>
        <w:jc w:val="both"/>
        <w:rPr>
          <w:rFonts w:ascii="Arial" w:eastAsia="Times New Roman" w:hAnsi="Arial" w:cs="Arial"/>
          <w:kern w:val="0"/>
          <w:sz w:val="24"/>
          <w:szCs w:val="24"/>
          <w:lang w:eastAsia="en-GB"/>
        </w:rPr>
      </w:pPr>
    </w:p>
    <w:p w14:paraId="5176715E" w14:textId="3D0DA53B"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lastRenderedPageBreak/>
        <w:t>3. Enhance Employee Development and Well-Being</w:t>
      </w:r>
    </w:p>
    <w:p w14:paraId="47E814BD" w14:textId="77777777" w:rsidR="001F4F79" w:rsidRPr="00202D15" w:rsidRDefault="001F4F79" w:rsidP="00202D15">
      <w:pPr>
        <w:numPr>
          <w:ilvl w:val="0"/>
          <w:numId w:val="4"/>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Career Pathways: Introduce a formal “Hilton Academy” that fast-tracks high-potential staff from line roles to management, supported by e-learning and mentorship (US Chamber Foundation, 2023).</w:t>
      </w:r>
    </w:p>
    <w:p w14:paraId="2D707E96" w14:textId="77777777" w:rsidR="001F4F79" w:rsidRPr="00202D15" w:rsidRDefault="001F4F79" w:rsidP="00202D15">
      <w:pPr>
        <w:numPr>
          <w:ilvl w:val="0"/>
          <w:numId w:val="4"/>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Well-Being and Recognition: Sustain flexible scheduling, mental health resources, and digitalise “Catch Me at My Best” to continuously recognise achievements (Business ABC, n.d.).</w:t>
      </w:r>
    </w:p>
    <w:p w14:paraId="4FB517DC" w14:textId="77777777" w:rsidR="001F4F79" w:rsidRPr="00202D15" w:rsidRDefault="001F4F79" w:rsidP="00202D15">
      <w:pPr>
        <w:numPr>
          <w:ilvl w:val="0"/>
          <w:numId w:val="4"/>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Diversity and Inclusion: Go beyond existing 2027 targets by embedding diversity metrics in leadership performance. Offer mentorship schemes for underrepresented groups, ensuring managerial roles reflect broader social demographics (Stories. Hilton, 2021).</w:t>
      </w:r>
    </w:p>
    <w:p w14:paraId="716124D1"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i/>
          <w:iCs/>
          <w:kern w:val="0"/>
          <w:sz w:val="24"/>
          <w:szCs w:val="24"/>
          <w:lang w:eastAsia="en-GB"/>
        </w:rPr>
        <w:t>Implementation:</w:t>
      </w:r>
      <w:r w:rsidRPr="00202D15">
        <w:rPr>
          <w:rFonts w:ascii="Arial" w:eastAsia="Times New Roman" w:hAnsi="Arial" w:cs="Arial"/>
          <w:kern w:val="0"/>
          <w:sz w:val="24"/>
          <w:szCs w:val="24"/>
          <w:lang w:eastAsia="en-GB"/>
        </w:rPr>
        <w:t xml:space="preserve"> Led by HR, launch the academy within 12 months. Monitor retention rates, promotions from within, and annual employee survey data. Regional HR managers should adapt well-being programmes to local contexts.</w:t>
      </w:r>
    </w:p>
    <w:p w14:paraId="36CE5439"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4. Innovate the Customer Journey and Loyalty Programme</w:t>
      </w:r>
    </w:p>
    <w:p w14:paraId="2481D092" w14:textId="77777777" w:rsidR="001F4F79" w:rsidRPr="00202D15" w:rsidRDefault="001F4F79" w:rsidP="00202D15">
      <w:pPr>
        <w:numPr>
          <w:ilvl w:val="0"/>
          <w:numId w:val="5"/>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Seamless Booking Experience: Upgrade digital booking platforms to include VR tours and saved preferences for members, incentivising direct bookings over OTAs (Skift, 2020).</w:t>
      </w:r>
    </w:p>
    <w:p w14:paraId="232B3DEB" w14:textId="77777777" w:rsidR="001F4F79" w:rsidRPr="00202D15" w:rsidRDefault="001F4F79" w:rsidP="00202D15">
      <w:pPr>
        <w:numPr>
          <w:ilvl w:val="0"/>
          <w:numId w:val="5"/>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Hilton Honors Enhancements: Offer experiential redemption options (e.g., local cultural events) and consider new elite tiers for top spenders, aligning benefits with preferences (NASDAQ, n.d.).</w:t>
      </w:r>
    </w:p>
    <w:p w14:paraId="4CF321C8" w14:textId="77777777" w:rsidR="001F4F79" w:rsidRPr="00202D15" w:rsidRDefault="001F4F79" w:rsidP="00202D15">
      <w:pPr>
        <w:numPr>
          <w:ilvl w:val="0"/>
          <w:numId w:val="5"/>
        </w:num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Real-Time Feedback &amp; Co-Creation: Enable guests to provide mid-stay feedback via the app, and invite selected customers onto a “Guest Advisory Panel” to test innovations pre-rollout (EHL, 2023b).</w:t>
      </w:r>
    </w:p>
    <w:p w14:paraId="2663E573"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i/>
          <w:iCs/>
          <w:kern w:val="0"/>
          <w:sz w:val="24"/>
          <w:szCs w:val="24"/>
          <w:lang w:eastAsia="en-GB"/>
        </w:rPr>
        <w:t>Implementation:</w:t>
      </w:r>
      <w:r w:rsidRPr="00202D15">
        <w:rPr>
          <w:rFonts w:ascii="Arial" w:eastAsia="Times New Roman" w:hAnsi="Arial" w:cs="Arial"/>
          <w:kern w:val="0"/>
          <w:sz w:val="24"/>
          <w:szCs w:val="24"/>
          <w:lang w:eastAsia="en-GB"/>
        </w:rPr>
        <w:t xml:space="preserve"> Corporate e-commerce teams to optimise direct booking sites within 6–12 months, adopting user testing to refine journeys. Launch or refine loyalty perks in phases, communicating benefits clearly to avoid confusion. Metrics: direct-booking share, membership growth, loyalty satisfaction scores.</w:t>
      </w:r>
    </w:p>
    <w:p w14:paraId="616646EA"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lastRenderedPageBreak/>
        <w:t>By integrating these recommendations, Hilton can reinforce its distinctive service culture while staying competitive. AI-powered personalisation meets evolving traveller expectations, sustainability cements Hilton’s reputation, engaged employees deliver consistent excellence, and an upgraded loyalty experience drives revenue growth and brand loyalty.</w:t>
      </w:r>
    </w:p>
    <w:p w14:paraId="2BBB6C8E" w14:textId="77777777" w:rsidR="001F4F79" w:rsidRPr="00202D15" w:rsidRDefault="001F4F79" w:rsidP="00202D15">
      <w:pPr>
        <w:spacing w:after="0" w:line="360" w:lineRule="auto"/>
        <w:jc w:val="both"/>
        <w:rPr>
          <w:rFonts w:ascii="Arial" w:eastAsia="Times New Roman" w:hAnsi="Arial" w:cs="Arial"/>
          <w:kern w:val="0"/>
          <w:sz w:val="24"/>
          <w:szCs w:val="24"/>
          <w:lang w:eastAsia="en-GB"/>
        </w:rPr>
      </w:pPr>
    </w:p>
    <w:p w14:paraId="50404C7E" w14:textId="77777777" w:rsidR="001F4F79" w:rsidRPr="00202D15" w:rsidRDefault="001F4F79" w:rsidP="00202D15">
      <w:pPr>
        <w:spacing w:before="100" w:beforeAutospacing="1" w:after="100" w:afterAutospacing="1" w:line="360" w:lineRule="auto"/>
        <w:jc w:val="both"/>
        <w:outlineLvl w:val="2"/>
        <w:rPr>
          <w:rFonts w:ascii="Arial" w:eastAsia="Times New Roman" w:hAnsi="Arial" w:cs="Arial"/>
          <w:kern w:val="0"/>
          <w:sz w:val="24"/>
          <w:szCs w:val="24"/>
          <w:u w:val="single"/>
          <w:lang w:eastAsia="en-GB"/>
        </w:rPr>
      </w:pPr>
      <w:r w:rsidRPr="00202D15">
        <w:rPr>
          <w:rFonts w:ascii="Arial" w:eastAsia="Times New Roman" w:hAnsi="Arial" w:cs="Arial"/>
          <w:kern w:val="0"/>
          <w:sz w:val="24"/>
          <w:szCs w:val="24"/>
          <w:u w:val="single"/>
          <w:lang w:eastAsia="en-GB"/>
        </w:rPr>
        <w:t>6. Conclusion</w:t>
      </w:r>
    </w:p>
    <w:p w14:paraId="4DC34D7F"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Hilton Hotels stands as a global hospitality leader due to its century-long heritage, robust organisational structure, and a deeply embedded culture of hospitality. Its asset-light strategy, combined with a divisional approach, has facilitated rapid expansion. The culture—centred on service, recognition, and integrity—has fostered employee loyalty and high guest satisfaction.</w:t>
      </w:r>
    </w:p>
    <w:p w14:paraId="5880E52A"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In recent years, Hilton has demonstrated agility through impactful initiatives: the sustainability commitment “Travel with Purpose,” digital evolution via the Hilton Honors app and Digital Key, and the Clean Stay programme in response to COVID-19. Kotter’s and Lewin’s frameworks show these changes were broadly successful because leadership communicated urgency, built coalitions, and integrated new practices into standard operations.</w:t>
      </w:r>
    </w:p>
    <w:p w14:paraId="63E468E7" w14:textId="77777777" w:rsidR="001F4F79" w:rsidRPr="00202D15" w:rsidRDefault="001F4F79" w:rsidP="00202D15">
      <w:pPr>
        <w:spacing w:before="100" w:beforeAutospacing="1" w:after="100" w:afterAutospacing="1" w:line="360" w:lineRule="auto"/>
        <w:jc w:val="both"/>
        <w:rPr>
          <w:rFonts w:ascii="Arial" w:eastAsia="Times New Roman" w:hAnsi="Arial" w:cs="Arial"/>
          <w:kern w:val="0"/>
          <w:sz w:val="24"/>
          <w:szCs w:val="24"/>
          <w:lang w:eastAsia="en-GB"/>
        </w:rPr>
      </w:pPr>
      <w:r w:rsidRPr="00202D15">
        <w:rPr>
          <w:rFonts w:ascii="Arial" w:eastAsia="Times New Roman" w:hAnsi="Arial" w:cs="Arial"/>
          <w:kern w:val="0"/>
          <w:sz w:val="24"/>
          <w:szCs w:val="24"/>
          <w:lang w:eastAsia="en-GB"/>
        </w:rPr>
        <w:t>Strategically, Hilton aims for sustained global growth, brand diversification, and innovation. Competition with Marriott and Hyatt highlights Hilton’s strengths in technology, loyalty, and culture, while indicating areas for further improvement, such as ultra-luxury offerings and deeper personalisation. The recommended steps—advancing AI, achieving net-zero aspirations, strengthening employee development, and revamping the customer journey—should help Hilton maintain its reputation as one of the most innovative, hospitable organisations in the industry. By executing these measures, Hilton will continue fulfilling its founding vision of “spreading the light and warmth of hospitality,” adapting to future challenges while preserving its core values.</w:t>
      </w:r>
    </w:p>
    <w:p w14:paraId="4F182D1F" w14:textId="77777777" w:rsidR="006C0E9C" w:rsidRDefault="006C0E9C" w:rsidP="001F4F79">
      <w:pPr>
        <w:spacing w:before="100" w:beforeAutospacing="1" w:after="100" w:afterAutospacing="1" w:line="360" w:lineRule="auto"/>
        <w:jc w:val="both"/>
        <w:outlineLvl w:val="2"/>
        <w:rPr>
          <w:rFonts w:ascii="Arial" w:eastAsia="Times New Roman" w:hAnsi="Arial" w:cs="Arial"/>
          <w:kern w:val="0"/>
          <w:sz w:val="24"/>
          <w:szCs w:val="24"/>
          <w:lang w:eastAsia="en-GB"/>
        </w:rPr>
      </w:pPr>
    </w:p>
    <w:p w14:paraId="3B592707" w14:textId="48DFDC6D" w:rsidR="001F4F79" w:rsidRPr="00C85C7F" w:rsidRDefault="001F4F79" w:rsidP="001F4F79">
      <w:pPr>
        <w:spacing w:before="100" w:beforeAutospacing="1" w:after="100" w:afterAutospacing="1" w:line="360" w:lineRule="auto"/>
        <w:jc w:val="both"/>
        <w:outlineLvl w:val="2"/>
        <w:rPr>
          <w:rFonts w:ascii="Arial" w:eastAsia="Times New Roman" w:hAnsi="Arial" w:cs="Arial"/>
          <w:b/>
          <w:bCs/>
          <w:kern w:val="0"/>
          <w:sz w:val="24"/>
          <w:szCs w:val="24"/>
          <w:u w:val="single"/>
          <w:lang w:eastAsia="en-GB"/>
        </w:rPr>
      </w:pPr>
      <w:r w:rsidRPr="00C85C7F">
        <w:rPr>
          <w:rFonts w:ascii="Arial" w:eastAsia="Times New Roman" w:hAnsi="Arial" w:cs="Arial"/>
          <w:b/>
          <w:bCs/>
          <w:kern w:val="0"/>
          <w:sz w:val="24"/>
          <w:szCs w:val="24"/>
          <w:u w:val="single"/>
          <w:lang w:eastAsia="en-GB"/>
        </w:rPr>
        <w:lastRenderedPageBreak/>
        <w:t xml:space="preserve">REFERENCE LIST </w:t>
      </w:r>
    </w:p>
    <w:p w14:paraId="663B1880"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Business ABC (n.d.) </w:t>
      </w:r>
      <w:r w:rsidRPr="001F4F79">
        <w:rPr>
          <w:rFonts w:ascii="Arial" w:eastAsia="Times New Roman" w:hAnsi="Arial" w:cs="Arial"/>
          <w:i/>
          <w:iCs/>
          <w:kern w:val="0"/>
          <w:sz w:val="24"/>
          <w:szCs w:val="24"/>
          <w:lang w:eastAsia="en-GB"/>
        </w:rPr>
        <w:t>Hilton’s Mission and Culture</w:t>
      </w:r>
      <w:r w:rsidRPr="001F4F79">
        <w:rPr>
          <w:rFonts w:ascii="Arial" w:eastAsia="Times New Roman" w:hAnsi="Arial" w:cs="Arial"/>
          <w:kern w:val="0"/>
          <w:sz w:val="24"/>
          <w:szCs w:val="24"/>
          <w:lang w:eastAsia="en-GB"/>
        </w:rPr>
        <w:t>. Available at: &lt;https://businessabc.net/hilton-mission\&gt; [Accessed 10 March 2025].</w:t>
      </w:r>
    </w:p>
    <w:p w14:paraId="0427C1FE"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Business Wire (2018) ‘Hilton Commits to Cutting Environmental Footprint in Half and Doubling Social Impact Investment’, </w:t>
      </w:r>
      <w:r w:rsidRPr="001F4F79">
        <w:rPr>
          <w:rFonts w:ascii="Arial" w:eastAsia="Times New Roman" w:hAnsi="Arial" w:cs="Arial"/>
          <w:i/>
          <w:iCs/>
          <w:kern w:val="0"/>
          <w:sz w:val="24"/>
          <w:szCs w:val="24"/>
          <w:lang w:eastAsia="en-GB"/>
        </w:rPr>
        <w:t>Business Wire</w:t>
      </w:r>
      <w:r w:rsidRPr="001F4F79">
        <w:rPr>
          <w:rFonts w:ascii="Arial" w:eastAsia="Times New Roman" w:hAnsi="Arial" w:cs="Arial"/>
          <w:kern w:val="0"/>
          <w:sz w:val="24"/>
          <w:szCs w:val="24"/>
          <w:lang w:eastAsia="en-GB"/>
        </w:rPr>
        <w:t>, 23 May. Available at: &lt;https://businesswire.com\&gt; [Accessed 10 March 2025].</w:t>
      </w:r>
    </w:p>
    <w:p w14:paraId="0449D870"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CEOWORLD (2024) </w:t>
      </w:r>
      <w:r w:rsidRPr="001F4F79">
        <w:rPr>
          <w:rFonts w:ascii="Arial" w:eastAsia="Times New Roman" w:hAnsi="Arial" w:cs="Arial"/>
          <w:i/>
          <w:iCs/>
          <w:kern w:val="0"/>
          <w:sz w:val="24"/>
          <w:szCs w:val="24"/>
          <w:lang w:eastAsia="en-GB"/>
        </w:rPr>
        <w:t>Biggest Hotel Chains in the World by Number of Guestrooms, 2024</w:t>
      </w:r>
      <w:r w:rsidRPr="001F4F79">
        <w:rPr>
          <w:rFonts w:ascii="Arial" w:eastAsia="Times New Roman" w:hAnsi="Arial" w:cs="Arial"/>
          <w:kern w:val="0"/>
          <w:sz w:val="24"/>
          <w:szCs w:val="24"/>
          <w:lang w:eastAsia="en-GB"/>
        </w:rPr>
        <w:t>. Available at: &lt;https://ceoworld.biz\&gt; [Accessed 29 March 2024].</w:t>
      </w:r>
    </w:p>
    <w:p w14:paraId="2000E5C7"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EHL (2023a) </w:t>
      </w:r>
      <w:r w:rsidRPr="001F4F79">
        <w:rPr>
          <w:rFonts w:ascii="Arial" w:eastAsia="Times New Roman" w:hAnsi="Arial" w:cs="Arial"/>
          <w:i/>
          <w:iCs/>
          <w:kern w:val="0"/>
          <w:sz w:val="24"/>
          <w:szCs w:val="24"/>
          <w:lang w:eastAsia="en-GB"/>
        </w:rPr>
        <w:t>Journey to Net Zero: Challenges and Solutions in Hotel Sustainability</w:t>
      </w:r>
      <w:r w:rsidRPr="001F4F79">
        <w:rPr>
          <w:rFonts w:ascii="Arial" w:eastAsia="Times New Roman" w:hAnsi="Arial" w:cs="Arial"/>
          <w:kern w:val="0"/>
          <w:sz w:val="24"/>
          <w:szCs w:val="24"/>
          <w:lang w:eastAsia="en-GB"/>
        </w:rPr>
        <w:t>. Available at: &lt;https://hospitalityinsights.ehl.edu\&gt; [Accessed 11 March 2025].</w:t>
      </w:r>
    </w:p>
    <w:p w14:paraId="5D7BD9C2"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EHL (2023b) </w:t>
      </w:r>
      <w:r w:rsidRPr="001F4F79">
        <w:rPr>
          <w:rFonts w:ascii="Arial" w:eastAsia="Times New Roman" w:hAnsi="Arial" w:cs="Arial"/>
          <w:i/>
          <w:iCs/>
          <w:kern w:val="0"/>
          <w:sz w:val="24"/>
          <w:szCs w:val="24"/>
          <w:lang w:eastAsia="en-GB"/>
        </w:rPr>
        <w:t>Hotel AI: Creating Personalised Hospitality Experiences</w:t>
      </w:r>
      <w:r w:rsidRPr="001F4F79">
        <w:rPr>
          <w:rFonts w:ascii="Arial" w:eastAsia="Times New Roman" w:hAnsi="Arial" w:cs="Arial"/>
          <w:kern w:val="0"/>
          <w:sz w:val="24"/>
          <w:szCs w:val="24"/>
          <w:lang w:eastAsia="en-GB"/>
        </w:rPr>
        <w:t>. Available at: &lt;https://hospitalityinsights.ehl.edu\&gt; [Accessed 11 March 2025].</w:t>
      </w:r>
    </w:p>
    <w:p w14:paraId="735DD8D7"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proofErr w:type="spellStart"/>
      <w:r w:rsidRPr="001F4F79">
        <w:rPr>
          <w:rFonts w:ascii="Arial" w:eastAsia="Times New Roman" w:hAnsi="Arial" w:cs="Arial"/>
          <w:kern w:val="0"/>
          <w:sz w:val="24"/>
          <w:szCs w:val="24"/>
          <w:lang w:eastAsia="en-GB"/>
        </w:rPr>
        <w:t>ESG.Hilton</w:t>
      </w:r>
      <w:proofErr w:type="spellEnd"/>
      <w:r w:rsidRPr="001F4F79">
        <w:rPr>
          <w:rFonts w:ascii="Arial" w:eastAsia="Times New Roman" w:hAnsi="Arial" w:cs="Arial"/>
          <w:kern w:val="0"/>
          <w:sz w:val="24"/>
          <w:szCs w:val="24"/>
          <w:lang w:eastAsia="en-GB"/>
        </w:rPr>
        <w:t xml:space="preserve"> (n.d.) </w:t>
      </w:r>
      <w:r w:rsidRPr="001F4F79">
        <w:rPr>
          <w:rFonts w:ascii="Arial" w:eastAsia="Times New Roman" w:hAnsi="Arial" w:cs="Arial"/>
          <w:i/>
          <w:iCs/>
          <w:kern w:val="0"/>
          <w:sz w:val="24"/>
          <w:szCs w:val="24"/>
          <w:lang w:eastAsia="en-GB"/>
        </w:rPr>
        <w:t>Hilton Travel with Purpose: ESG Reporting</w:t>
      </w:r>
      <w:r w:rsidRPr="001F4F79">
        <w:rPr>
          <w:rFonts w:ascii="Arial" w:eastAsia="Times New Roman" w:hAnsi="Arial" w:cs="Arial"/>
          <w:kern w:val="0"/>
          <w:sz w:val="24"/>
          <w:szCs w:val="24"/>
          <w:lang w:eastAsia="en-GB"/>
        </w:rPr>
        <w:t>. Available at: &lt;https://esg.hilton.com\&gt; [Accessed 10 March 2025].</w:t>
      </w:r>
    </w:p>
    <w:p w14:paraId="7254A97D"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Global Data (n.d.) </w:t>
      </w:r>
      <w:r w:rsidRPr="001F4F79">
        <w:rPr>
          <w:rFonts w:ascii="Arial" w:eastAsia="Times New Roman" w:hAnsi="Arial" w:cs="Arial"/>
          <w:i/>
          <w:iCs/>
          <w:kern w:val="0"/>
          <w:sz w:val="24"/>
          <w:szCs w:val="24"/>
          <w:lang w:eastAsia="en-GB"/>
        </w:rPr>
        <w:t>AI &amp; Data Analytics in Hospitality</w:t>
      </w:r>
      <w:r w:rsidRPr="001F4F79">
        <w:rPr>
          <w:rFonts w:ascii="Arial" w:eastAsia="Times New Roman" w:hAnsi="Arial" w:cs="Arial"/>
          <w:kern w:val="0"/>
          <w:sz w:val="24"/>
          <w:szCs w:val="24"/>
          <w:lang w:eastAsia="en-GB"/>
        </w:rPr>
        <w:t>. [Database accessed internally].</w:t>
      </w:r>
    </w:p>
    <w:p w14:paraId="34F70424"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Hilton (n.d.) </w:t>
      </w:r>
      <w:r w:rsidRPr="001F4F79">
        <w:rPr>
          <w:rFonts w:ascii="Arial" w:eastAsia="Times New Roman" w:hAnsi="Arial" w:cs="Arial"/>
          <w:i/>
          <w:iCs/>
          <w:kern w:val="0"/>
          <w:sz w:val="24"/>
          <w:szCs w:val="24"/>
          <w:lang w:eastAsia="en-GB"/>
        </w:rPr>
        <w:t>Welcome to Hilton – Company Overview</w:t>
      </w:r>
      <w:r w:rsidRPr="001F4F79">
        <w:rPr>
          <w:rFonts w:ascii="Arial" w:eastAsia="Times New Roman" w:hAnsi="Arial" w:cs="Arial"/>
          <w:kern w:val="0"/>
          <w:sz w:val="24"/>
          <w:szCs w:val="24"/>
          <w:lang w:eastAsia="en-GB"/>
        </w:rPr>
        <w:t>. Available at: &lt;https://hilton.com\&gt; [Accessed 10 March 2025].</w:t>
      </w:r>
    </w:p>
    <w:p w14:paraId="0366A9EE"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Ivy Panda (n.d.) </w:t>
      </w:r>
      <w:r w:rsidRPr="001F4F79">
        <w:rPr>
          <w:rFonts w:ascii="Arial" w:eastAsia="Times New Roman" w:hAnsi="Arial" w:cs="Arial"/>
          <w:i/>
          <w:iCs/>
          <w:kern w:val="0"/>
          <w:sz w:val="24"/>
          <w:szCs w:val="24"/>
          <w:lang w:eastAsia="en-GB"/>
        </w:rPr>
        <w:t>Comparative Analysis of Hilton Hotel and Marriott International Hotels</w:t>
      </w:r>
      <w:r w:rsidRPr="001F4F79">
        <w:rPr>
          <w:rFonts w:ascii="Arial" w:eastAsia="Times New Roman" w:hAnsi="Arial" w:cs="Arial"/>
          <w:kern w:val="0"/>
          <w:sz w:val="24"/>
          <w:szCs w:val="24"/>
          <w:lang w:eastAsia="en-GB"/>
        </w:rPr>
        <w:t>. Available at: &lt;https://ivypanda.com\&gt; [Accessed 10 March 2025].</w:t>
      </w:r>
    </w:p>
    <w:p w14:paraId="1491C291"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Malik, P. (2022) ‘Lewin’s 3-Stage Model of Change: Overview’, </w:t>
      </w:r>
      <w:proofErr w:type="spellStart"/>
      <w:r w:rsidRPr="001F4F79">
        <w:rPr>
          <w:rFonts w:ascii="Arial" w:eastAsia="Times New Roman" w:hAnsi="Arial" w:cs="Arial"/>
          <w:i/>
          <w:iCs/>
          <w:kern w:val="0"/>
          <w:sz w:val="24"/>
          <w:szCs w:val="24"/>
          <w:lang w:eastAsia="en-GB"/>
        </w:rPr>
        <w:t>Whatfix</w:t>
      </w:r>
      <w:proofErr w:type="spellEnd"/>
      <w:r w:rsidRPr="001F4F79">
        <w:rPr>
          <w:rFonts w:ascii="Arial" w:eastAsia="Times New Roman" w:hAnsi="Arial" w:cs="Arial"/>
          <w:i/>
          <w:iCs/>
          <w:kern w:val="0"/>
          <w:sz w:val="24"/>
          <w:szCs w:val="24"/>
          <w:lang w:eastAsia="en-GB"/>
        </w:rPr>
        <w:t xml:space="preserve"> Blog</w:t>
      </w:r>
      <w:r w:rsidRPr="001F4F79">
        <w:rPr>
          <w:rFonts w:ascii="Arial" w:eastAsia="Times New Roman" w:hAnsi="Arial" w:cs="Arial"/>
          <w:kern w:val="0"/>
          <w:sz w:val="24"/>
          <w:szCs w:val="24"/>
          <w:lang w:eastAsia="en-GB"/>
        </w:rPr>
        <w:t>, 4 Jan. Available at: &lt;https://whatfix.com\&gt;.</w:t>
      </w:r>
    </w:p>
    <w:p w14:paraId="36E1E382"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NASDAQ (n.d.) </w:t>
      </w:r>
      <w:r w:rsidRPr="001F4F79">
        <w:rPr>
          <w:rFonts w:ascii="Arial" w:eastAsia="Times New Roman" w:hAnsi="Arial" w:cs="Arial"/>
          <w:i/>
          <w:iCs/>
          <w:kern w:val="0"/>
          <w:sz w:val="24"/>
          <w:szCs w:val="24"/>
          <w:lang w:eastAsia="en-GB"/>
        </w:rPr>
        <w:t>Analysis of Marriott Bonvoy and Rival Loyalty Schemes</w:t>
      </w:r>
      <w:r w:rsidRPr="001F4F79">
        <w:rPr>
          <w:rFonts w:ascii="Arial" w:eastAsia="Times New Roman" w:hAnsi="Arial" w:cs="Arial"/>
          <w:kern w:val="0"/>
          <w:sz w:val="24"/>
          <w:szCs w:val="24"/>
          <w:lang w:eastAsia="en-GB"/>
        </w:rPr>
        <w:t>. [Financial column archive].</w:t>
      </w:r>
    </w:p>
    <w:p w14:paraId="12E1B9DC"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proofErr w:type="spellStart"/>
      <w:r w:rsidRPr="001F4F79">
        <w:rPr>
          <w:rFonts w:ascii="Arial" w:eastAsia="Times New Roman" w:hAnsi="Arial" w:cs="Arial"/>
          <w:kern w:val="0"/>
          <w:sz w:val="24"/>
          <w:szCs w:val="24"/>
          <w:lang w:eastAsia="en-GB"/>
        </w:rPr>
        <w:t>Organimi</w:t>
      </w:r>
      <w:proofErr w:type="spellEnd"/>
      <w:r w:rsidRPr="001F4F79">
        <w:rPr>
          <w:rFonts w:ascii="Arial" w:eastAsia="Times New Roman" w:hAnsi="Arial" w:cs="Arial"/>
          <w:kern w:val="0"/>
          <w:sz w:val="24"/>
          <w:szCs w:val="24"/>
          <w:lang w:eastAsia="en-GB"/>
        </w:rPr>
        <w:t xml:space="preserve"> (2020) </w:t>
      </w:r>
      <w:r w:rsidRPr="001F4F79">
        <w:rPr>
          <w:rFonts w:ascii="Arial" w:eastAsia="Times New Roman" w:hAnsi="Arial" w:cs="Arial"/>
          <w:i/>
          <w:iCs/>
          <w:kern w:val="0"/>
          <w:sz w:val="24"/>
          <w:szCs w:val="24"/>
          <w:lang w:eastAsia="en-GB"/>
        </w:rPr>
        <w:t>Hilton’s Organisational Structure [Interactive Chart]</w:t>
      </w:r>
      <w:r w:rsidRPr="001F4F79">
        <w:rPr>
          <w:rFonts w:ascii="Arial" w:eastAsia="Times New Roman" w:hAnsi="Arial" w:cs="Arial"/>
          <w:kern w:val="0"/>
          <w:sz w:val="24"/>
          <w:szCs w:val="24"/>
          <w:lang w:eastAsia="en-GB"/>
        </w:rPr>
        <w:t>. Available at: &lt;https://organimi.com\&gt; [Accessed 10 March 2025].</w:t>
      </w:r>
    </w:p>
    <w:p w14:paraId="78A3F945"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proofErr w:type="spellStart"/>
      <w:r w:rsidRPr="001F4F79">
        <w:rPr>
          <w:rFonts w:ascii="Arial" w:eastAsia="Times New Roman" w:hAnsi="Arial" w:cs="Arial"/>
          <w:kern w:val="0"/>
          <w:sz w:val="24"/>
          <w:szCs w:val="24"/>
          <w:lang w:eastAsia="en-GB"/>
        </w:rPr>
        <w:t>Prosci</w:t>
      </w:r>
      <w:proofErr w:type="spellEnd"/>
      <w:r w:rsidRPr="001F4F79">
        <w:rPr>
          <w:rFonts w:ascii="Arial" w:eastAsia="Times New Roman" w:hAnsi="Arial" w:cs="Arial"/>
          <w:kern w:val="0"/>
          <w:sz w:val="24"/>
          <w:szCs w:val="24"/>
          <w:lang w:eastAsia="en-GB"/>
        </w:rPr>
        <w:t xml:space="preserve"> (2023) </w:t>
      </w:r>
      <w:r w:rsidRPr="001F4F79">
        <w:rPr>
          <w:rFonts w:ascii="Arial" w:eastAsia="Times New Roman" w:hAnsi="Arial" w:cs="Arial"/>
          <w:i/>
          <w:iCs/>
          <w:kern w:val="0"/>
          <w:sz w:val="24"/>
          <w:szCs w:val="24"/>
          <w:lang w:eastAsia="en-GB"/>
        </w:rPr>
        <w:t>Kotter’s Change Management Theory: Explanation and Applications</w:t>
      </w:r>
      <w:r w:rsidRPr="001F4F79">
        <w:rPr>
          <w:rFonts w:ascii="Arial" w:eastAsia="Times New Roman" w:hAnsi="Arial" w:cs="Arial"/>
          <w:kern w:val="0"/>
          <w:sz w:val="24"/>
          <w:szCs w:val="24"/>
          <w:lang w:eastAsia="en-GB"/>
        </w:rPr>
        <w:t>. Available at: &lt;https://prosci.com\&gt;.</w:t>
      </w:r>
    </w:p>
    <w:p w14:paraId="459ECFCA"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proofErr w:type="spellStart"/>
      <w:r w:rsidRPr="001F4F79">
        <w:rPr>
          <w:rFonts w:ascii="Arial" w:eastAsia="Times New Roman" w:hAnsi="Arial" w:cs="Arial"/>
          <w:kern w:val="0"/>
          <w:sz w:val="24"/>
          <w:szCs w:val="24"/>
          <w:lang w:eastAsia="en-GB"/>
        </w:rPr>
        <w:t>Repub.EUR</w:t>
      </w:r>
      <w:proofErr w:type="spellEnd"/>
      <w:r w:rsidRPr="001F4F79">
        <w:rPr>
          <w:rFonts w:ascii="Arial" w:eastAsia="Times New Roman" w:hAnsi="Arial" w:cs="Arial"/>
          <w:kern w:val="0"/>
          <w:sz w:val="24"/>
          <w:szCs w:val="24"/>
          <w:lang w:eastAsia="en-GB"/>
        </w:rPr>
        <w:t xml:space="preserve"> (n.d.) </w:t>
      </w:r>
      <w:r w:rsidRPr="001F4F79">
        <w:rPr>
          <w:rFonts w:ascii="Arial" w:eastAsia="Times New Roman" w:hAnsi="Arial" w:cs="Arial"/>
          <w:i/>
          <w:iCs/>
          <w:kern w:val="0"/>
          <w:sz w:val="24"/>
          <w:szCs w:val="24"/>
          <w:lang w:eastAsia="en-GB"/>
        </w:rPr>
        <w:t>International Hotel Management and Cultural Adaptation</w:t>
      </w:r>
      <w:r w:rsidRPr="001F4F79">
        <w:rPr>
          <w:rFonts w:ascii="Arial" w:eastAsia="Times New Roman" w:hAnsi="Arial" w:cs="Arial"/>
          <w:kern w:val="0"/>
          <w:sz w:val="24"/>
          <w:szCs w:val="24"/>
          <w:lang w:eastAsia="en-GB"/>
        </w:rPr>
        <w:t>. [Repository research paper].</w:t>
      </w:r>
    </w:p>
    <w:p w14:paraId="78965ECF"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lastRenderedPageBreak/>
        <w:t xml:space="preserve">Skift (2020) ‘Hilton, Hyatt and Others Pull Back the Curtain on Hygiene’, </w:t>
      </w:r>
      <w:r w:rsidRPr="001F4F79">
        <w:rPr>
          <w:rFonts w:ascii="Arial" w:eastAsia="Times New Roman" w:hAnsi="Arial" w:cs="Arial"/>
          <w:i/>
          <w:iCs/>
          <w:kern w:val="0"/>
          <w:sz w:val="24"/>
          <w:szCs w:val="24"/>
          <w:lang w:eastAsia="en-GB"/>
        </w:rPr>
        <w:t>Skift</w:t>
      </w:r>
      <w:r w:rsidRPr="001F4F79">
        <w:rPr>
          <w:rFonts w:ascii="Arial" w:eastAsia="Times New Roman" w:hAnsi="Arial" w:cs="Arial"/>
          <w:kern w:val="0"/>
          <w:sz w:val="24"/>
          <w:szCs w:val="24"/>
          <w:lang w:eastAsia="en-GB"/>
        </w:rPr>
        <w:t>, 29 Sept. Available at: &lt;https://skift.com\&gt;.</w:t>
      </w:r>
    </w:p>
    <w:p w14:paraId="3BC010A7"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Stories. Hilton (2018) </w:t>
      </w:r>
      <w:r w:rsidRPr="001F4F79">
        <w:rPr>
          <w:rFonts w:ascii="Arial" w:eastAsia="Times New Roman" w:hAnsi="Arial" w:cs="Arial"/>
          <w:i/>
          <w:iCs/>
          <w:kern w:val="0"/>
          <w:sz w:val="24"/>
          <w:szCs w:val="24"/>
          <w:lang w:eastAsia="en-GB"/>
        </w:rPr>
        <w:t>Hilton Sets Science-Based Carbon Targets</w:t>
      </w:r>
      <w:r w:rsidRPr="001F4F79">
        <w:rPr>
          <w:rFonts w:ascii="Arial" w:eastAsia="Times New Roman" w:hAnsi="Arial" w:cs="Arial"/>
          <w:kern w:val="0"/>
          <w:sz w:val="24"/>
          <w:szCs w:val="24"/>
          <w:lang w:eastAsia="en-GB"/>
        </w:rPr>
        <w:t>. Hilton Newsroom.</w:t>
      </w:r>
    </w:p>
    <w:p w14:paraId="524BAE69"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Stories. Hilton (2020) </w:t>
      </w:r>
      <w:proofErr w:type="spellStart"/>
      <w:r w:rsidRPr="001F4F79">
        <w:rPr>
          <w:rFonts w:ascii="Arial" w:eastAsia="Times New Roman" w:hAnsi="Arial" w:cs="Arial"/>
          <w:i/>
          <w:iCs/>
          <w:kern w:val="0"/>
          <w:sz w:val="24"/>
          <w:szCs w:val="24"/>
          <w:lang w:eastAsia="en-GB"/>
        </w:rPr>
        <w:t>CleanStay</w:t>
      </w:r>
      <w:proofErr w:type="spellEnd"/>
      <w:r w:rsidRPr="001F4F79">
        <w:rPr>
          <w:rFonts w:ascii="Arial" w:eastAsia="Times New Roman" w:hAnsi="Arial" w:cs="Arial"/>
          <w:i/>
          <w:iCs/>
          <w:kern w:val="0"/>
          <w:sz w:val="24"/>
          <w:szCs w:val="24"/>
          <w:lang w:eastAsia="en-GB"/>
        </w:rPr>
        <w:t xml:space="preserve"> Launch</w:t>
      </w:r>
      <w:r w:rsidRPr="001F4F79">
        <w:rPr>
          <w:rFonts w:ascii="Arial" w:eastAsia="Times New Roman" w:hAnsi="Arial" w:cs="Arial"/>
          <w:kern w:val="0"/>
          <w:sz w:val="24"/>
          <w:szCs w:val="24"/>
          <w:lang w:eastAsia="en-GB"/>
        </w:rPr>
        <w:t>. Hilton Newsroom.</w:t>
      </w:r>
    </w:p>
    <w:p w14:paraId="3C6EC085"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Stories. Hilton (2021) </w:t>
      </w:r>
      <w:r w:rsidRPr="001F4F79">
        <w:rPr>
          <w:rFonts w:ascii="Arial" w:eastAsia="Times New Roman" w:hAnsi="Arial" w:cs="Arial"/>
          <w:i/>
          <w:iCs/>
          <w:kern w:val="0"/>
          <w:sz w:val="24"/>
          <w:szCs w:val="24"/>
          <w:lang w:eastAsia="en-GB"/>
        </w:rPr>
        <w:t>Q&amp;A: New Commitments to Diversity &amp; Inclusion</w:t>
      </w:r>
      <w:r w:rsidRPr="001F4F79">
        <w:rPr>
          <w:rFonts w:ascii="Arial" w:eastAsia="Times New Roman" w:hAnsi="Arial" w:cs="Arial"/>
          <w:kern w:val="0"/>
          <w:sz w:val="24"/>
          <w:szCs w:val="24"/>
          <w:lang w:eastAsia="en-GB"/>
        </w:rPr>
        <w:t>. Hilton Newsroom.</w:t>
      </w:r>
    </w:p>
    <w:p w14:paraId="7FDC8801"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Stories. Hilton (2023a) </w:t>
      </w:r>
      <w:r w:rsidRPr="001F4F79">
        <w:rPr>
          <w:rFonts w:ascii="Arial" w:eastAsia="Times New Roman" w:hAnsi="Arial" w:cs="Arial"/>
          <w:i/>
          <w:iCs/>
          <w:kern w:val="0"/>
          <w:sz w:val="24"/>
          <w:szCs w:val="24"/>
          <w:lang w:eastAsia="en-GB"/>
        </w:rPr>
        <w:t>Digital Key Milestones and Contactless Travel</w:t>
      </w:r>
      <w:r w:rsidRPr="001F4F79">
        <w:rPr>
          <w:rFonts w:ascii="Arial" w:eastAsia="Times New Roman" w:hAnsi="Arial" w:cs="Arial"/>
          <w:kern w:val="0"/>
          <w:sz w:val="24"/>
          <w:szCs w:val="24"/>
          <w:lang w:eastAsia="en-GB"/>
        </w:rPr>
        <w:t>. Hilton Newsroom.</w:t>
      </w:r>
    </w:p>
    <w:p w14:paraId="4A5A7876"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Stories. Hilton (2023b) </w:t>
      </w:r>
      <w:r w:rsidRPr="001F4F79">
        <w:rPr>
          <w:rFonts w:ascii="Arial" w:eastAsia="Times New Roman" w:hAnsi="Arial" w:cs="Arial"/>
          <w:i/>
          <w:iCs/>
          <w:kern w:val="0"/>
          <w:sz w:val="24"/>
          <w:szCs w:val="24"/>
          <w:lang w:eastAsia="en-GB"/>
        </w:rPr>
        <w:t>Hilton Opens More Rooms in Fourth Quarter than Any Quarter in History</w:t>
      </w:r>
      <w:r w:rsidRPr="001F4F79">
        <w:rPr>
          <w:rFonts w:ascii="Arial" w:eastAsia="Times New Roman" w:hAnsi="Arial" w:cs="Arial"/>
          <w:kern w:val="0"/>
          <w:sz w:val="24"/>
          <w:szCs w:val="24"/>
          <w:lang w:eastAsia="en-GB"/>
        </w:rPr>
        <w:t>. Hilton Newsroom.</w:t>
      </w:r>
    </w:p>
    <w:p w14:paraId="0BCC2881"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Statista (2024) </w:t>
      </w:r>
      <w:r w:rsidRPr="001F4F79">
        <w:rPr>
          <w:rFonts w:ascii="Arial" w:eastAsia="Times New Roman" w:hAnsi="Arial" w:cs="Arial"/>
          <w:i/>
          <w:iCs/>
          <w:kern w:val="0"/>
          <w:sz w:val="24"/>
          <w:szCs w:val="24"/>
          <w:lang w:eastAsia="en-GB"/>
        </w:rPr>
        <w:t>Hilton Worldwide – Statistics &amp; Facts</w:t>
      </w:r>
      <w:r w:rsidRPr="001F4F79">
        <w:rPr>
          <w:rFonts w:ascii="Arial" w:eastAsia="Times New Roman" w:hAnsi="Arial" w:cs="Arial"/>
          <w:kern w:val="0"/>
          <w:sz w:val="24"/>
          <w:szCs w:val="24"/>
          <w:lang w:eastAsia="en-GB"/>
        </w:rPr>
        <w:t>. Available at: &lt;https://statista.com\&gt;.</w:t>
      </w:r>
    </w:p>
    <w:p w14:paraId="323A83FA"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US Chamber Foundation (2023) ‘The Four Pillars Behind Hilton’s Positive Workplace Culture’, </w:t>
      </w:r>
      <w:r w:rsidRPr="001F4F79">
        <w:rPr>
          <w:rFonts w:ascii="Arial" w:eastAsia="Times New Roman" w:hAnsi="Arial" w:cs="Arial"/>
          <w:i/>
          <w:iCs/>
          <w:kern w:val="0"/>
          <w:sz w:val="24"/>
          <w:szCs w:val="24"/>
          <w:lang w:eastAsia="en-GB"/>
        </w:rPr>
        <w:t>U.S. Chamber of Commerce Foundation Blog</w:t>
      </w:r>
      <w:r w:rsidRPr="001F4F79">
        <w:rPr>
          <w:rFonts w:ascii="Arial" w:eastAsia="Times New Roman" w:hAnsi="Arial" w:cs="Arial"/>
          <w:kern w:val="0"/>
          <w:sz w:val="24"/>
          <w:szCs w:val="24"/>
          <w:lang w:eastAsia="en-GB"/>
        </w:rPr>
        <w:t>, 2 Nov. Available at: &lt;https://uschamberfoundation.org\&gt;.</w:t>
      </w:r>
    </w:p>
    <w:p w14:paraId="09E5E09F" w14:textId="77777777" w:rsidR="001F4F79" w:rsidRPr="001F4F79" w:rsidRDefault="001F4F79" w:rsidP="001F4F79">
      <w:pPr>
        <w:numPr>
          <w:ilvl w:val="0"/>
          <w:numId w:val="6"/>
        </w:numPr>
        <w:spacing w:before="100" w:beforeAutospacing="1" w:after="100" w:afterAutospacing="1" w:line="360" w:lineRule="auto"/>
        <w:jc w:val="both"/>
        <w:rPr>
          <w:rFonts w:ascii="Arial" w:eastAsia="Times New Roman" w:hAnsi="Arial" w:cs="Arial"/>
          <w:kern w:val="0"/>
          <w:sz w:val="24"/>
          <w:szCs w:val="24"/>
          <w:lang w:eastAsia="en-GB"/>
        </w:rPr>
      </w:pPr>
      <w:r w:rsidRPr="001F4F79">
        <w:rPr>
          <w:rFonts w:ascii="Arial" w:eastAsia="Times New Roman" w:hAnsi="Arial" w:cs="Arial"/>
          <w:kern w:val="0"/>
          <w:sz w:val="24"/>
          <w:szCs w:val="24"/>
          <w:lang w:eastAsia="en-GB"/>
        </w:rPr>
        <w:t xml:space="preserve">World Travel &amp; Tourism Council (2021) </w:t>
      </w:r>
      <w:r w:rsidRPr="001F4F79">
        <w:rPr>
          <w:rFonts w:ascii="Arial" w:eastAsia="Times New Roman" w:hAnsi="Arial" w:cs="Arial"/>
          <w:i/>
          <w:iCs/>
          <w:kern w:val="0"/>
          <w:sz w:val="24"/>
          <w:szCs w:val="24"/>
          <w:lang w:eastAsia="en-GB"/>
        </w:rPr>
        <w:t>Glasgow Declaration Climate Action in Tourism</w:t>
      </w:r>
      <w:r w:rsidRPr="001F4F79">
        <w:rPr>
          <w:rFonts w:ascii="Arial" w:eastAsia="Times New Roman" w:hAnsi="Arial" w:cs="Arial"/>
          <w:kern w:val="0"/>
          <w:sz w:val="24"/>
          <w:szCs w:val="24"/>
          <w:lang w:eastAsia="en-GB"/>
        </w:rPr>
        <w:t>. Available at: &lt;https://weforum.org\&gt;.</w:t>
      </w:r>
    </w:p>
    <w:p w14:paraId="52E6DC39" w14:textId="77777777" w:rsidR="001F4F79" w:rsidRPr="001F4F79" w:rsidRDefault="001F4F79" w:rsidP="001F4F79">
      <w:pPr>
        <w:spacing w:line="360" w:lineRule="auto"/>
        <w:jc w:val="both"/>
        <w:rPr>
          <w:rFonts w:ascii="Arial" w:hAnsi="Arial" w:cs="Arial"/>
          <w:sz w:val="24"/>
          <w:szCs w:val="24"/>
        </w:rPr>
      </w:pPr>
    </w:p>
    <w:p w14:paraId="69E3F35A" w14:textId="77777777" w:rsidR="001F4F79" w:rsidRPr="001F4F79" w:rsidRDefault="001F4F79" w:rsidP="001F4F79">
      <w:pPr>
        <w:spacing w:line="360" w:lineRule="auto"/>
        <w:jc w:val="both"/>
        <w:rPr>
          <w:rFonts w:ascii="Arial" w:hAnsi="Arial" w:cs="Arial"/>
          <w:sz w:val="24"/>
          <w:szCs w:val="24"/>
        </w:rPr>
      </w:pPr>
    </w:p>
    <w:p w14:paraId="5D69D532" w14:textId="77777777" w:rsidR="002930E9" w:rsidRPr="001F4F79" w:rsidRDefault="002930E9" w:rsidP="001F4F79">
      <w:pPr>
        <w:spacing w:line="360" w:lineRule="auto"/>
        <w:jc w:val="both"/>
        <w:rPr>
          <w:rFonts w:ascii="Arial" w:hAnsi="Arial" w:cs="Arial"/>
          <w:sz w:val="24"/>
          <w:szCs w:val="24"/>
        </w:rPr>
      </w:pPr>
    </w:p>
    <w:p w14:paraId="4024C764" w14:textId="77777777" w:rsidR="002930E9" w:rsidRPr="001F4F79" w:rsidRDefault="002930E9" w:rsidP="001F4F79">
      <w:pPr>
        <w:spacing w:line="360" w:lineRule="auto"/>
        <w:jc w:val="both"/>
        <w:rPr>
          <w:rFonts w:ascii="Arial" w:hAnsi="Arial" w:cs="Arial"/>
          <w:sz w:val="24"/>
          <w:szCs w:val="24"/>
        </w:rPr>
      </w:pPr>
    </w:p>
    <w:p w14:paraId="5E021434" w14:textId="77777777" w:rsidR="002930E9" w:rsidRPr="001F4F79" w:rsidRDefault="002930E9" w:rsidP="001F4F79">
      <w:pPr>
        <w:spacing w:line="360" w:lineRule="auto"/>
        <w:jc w:val="both"/>
        <w:rPr>
          <w:rFonts w:ascii="Arial" w:hAnsi="Arial" w:cs="Arial"/>
          <w:sz w:val="24"/>
          <w:szCs w:val="24"/>
        </w:rPr>
      </w:pPr>
    </w:p>
    <w:p w14:paraId="10CDF6AB" w14:textId="77777777" w:rsidR="002930E9" w:rsidRPr="001F4F79" w:rsidRDefault="002930E9" w:rsidP="001F4F79">
      <w:pPr>
        <w:spacing w:line="360" w:lineRule="auto"/>
        <w:jc w:val="both"/>
        <w:rPr>
          <w:rFonts w:ascii="Arial" w:hAnsi="Arial" w:cs="Arial"/>
          <w:sz w:val="24"/>
          <w:szCs w:val="24"/>
        </w:rPr>
      </w:pPr>
    </w:p>
    <w:p w14:paraId="487CC78D" w14:textId="77777777" w:rsidR="002930E9" w:rsidRPr="001F4F79" w:rsidRDefault="002930E9" w:rsidP="001F4F79">
      <w:pPr>
        <w:spacing w:line="360" w:lineRule="auto"/>
        <w:jc w:val="both"/>
        <w:rPr>
          <w:rFonts w:ascii="Arial" w:hAnsi="Arial" w:cs="Arial"/>
          <w:sz w:val="24"/>
          <w:szCs w:val="24"/>
        </w:rPr>
      </w:pPr>
    </w:p>
    <w:p w14:paraId="7600465C" w14:textId="77777777" w:rsidR="002930E9" w:rsidRPr="001F4F79" w:rsidRDefault="002930E9" w:rsidP="001F4F79">
      <w:pPr>
        <w:spacing w:line="360" w:lineRule="auto"/>
        <w:jc w:val="both"/>
        <w:rPr>
          <w:rFonts w:ascii="Arial" w:hAnsi="Arial" w:cs="Arial"/>
          <w:sz w:val="24"/>
          <w:szCs w:val="24"/>
        </w:rPr>
      </w:pPr>
    </w:p>
    <w:p w14:paraId="039824F9" w14:textId="77777777" w:rsidR="002930E9" w:rsidRPr="001F4F79" w:rsidRDefault="002930E9" w:rsidP="001F4F79">
      <w:pPr>
        <w:spacing w:line="360" w:lineRule="auto"/>
        <w:jc w:val="both"/>
        <w:rPr>
          <w:rFonts w:ascii="Arial" w:hAnsi="Arial" w:cs="Arial"/>
          <w:sz w:val="24"/>
          <w:szCs w:val="24"/>
        </w:rPr>
      </w:pPr>
    </w:p>
    <w:p w14:paraId="7ECF0725" w14:textId="77777777" w:rsidR="002930E9" w:rsidRPr="001F4F79" w:rsidRDefault="002930E9" w:rsidP="001F4F79">
      <w:pPr>
        <w:spacing w:line="360" w:lineRule="auto"/>
        <w:jc w:val="both"/>
        <w:rPr>
          <w:rFonts w:ascii="Arial" w:hAnsi="Arial" w:cs="Arial"/>
          <w:sz w:val="24"/>
          <w:szCs w:val="24"/>
        </w:rPr>
      </w:pPr>
    </w:p>
    <w:p w14:paraId="2B585F26" w14:textId="77777777" w:rsidR="00413A4A" w:rsidRPr="001F4F79" w:rsidRDefault="00413A4A" w:rsidP="001F4F79">
      <w:pPr>
        <w:spacing w:line="360" w:lineRule="auto"/>
        <w:jc w:val="both"/>
        <w:rPr>
          <w:rFonts w:ascii="Arial" w:hAnsi="Arial" w:cs="Arial"/>
          <w:sz w:val="24"/>
          <w:szCs w:val="24"/>
        </w:rPr>
      </w:pPr>
    </w:p>
    <w:sectPr w:rsidR="00413A4A" w:rsidRPr="001F4F79" w:rsidSect="009A185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3C6"/>
    <w:multiLevelType w:val="multilevel"/>
    <w:tmpl w:val="76C60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3E4DBB"/>
    <w:multiLevelType w:val="multilevel"/>
    <w:tmpl w:val="8052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586EA9"/>
    <w:multiLevelType w:val="multilevel"/>
    <w:tmpl w:val="0D386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A44135"/>
    <w:multiLevelType w:val="multilevel"/>
    <w:tmpl w:val="9B26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AC04DE"/>
    <w:multiLevelType w:val="multilevel"/>
    <w:tmpl w:val="DA8A5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955062"/>
    <w:multiLevelType w:val="multilevel"/>
    <w:tmpl w:val="2B80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8995246">
    <w:abstractNumId w:val="0"/>
  </w:num>
  <w:num w:numId="2" w16cid:durableId="851987823">
    <w:abstractNumId w:val="3"/>
  </w:num>
  <w:num w:numId="3" w16cid:durableId="1534491087">
    <w:abstractNumId w:val="5"/>
  </w:num>
  <w:num w:numId="4" w16cid:durableId="17784105">
    <w:abstractNumId w:val="2"/>
  </w:num>
  <w:num w:numId="5" w16cid:durableId="819687093">
    <w:abstractNumId w:val="1"/>
  </w:num>
  <w:num w:numId="6" w16cid:durableId="13060041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930E9"/>
    <w:rsid w:val="001F4F79"/>
    <w:rsid w:val="00202D15"/>
    <w:rsid w:val="002930E9"/>
    <w:rsid w:val="003411C4"/>
    <w:rsid w:val="00413A4A"/>
    <w:rsid w:val="00416191"/>
    <w:rsid w:val="004937F7"/>
    <w:rsid w:val="00613755"/>
    <w:rsid w:val="006C0E9C"/>
    <w:rsid w:val="007D0F16"/>
    <w:rsid w:val="008D3CF7"/>
    <w:rsid w:val="00903319"/>
    <w:rsid w:val="00B63998"/>
    <w:rsid w:val="00C85C7F"/>
    <w:rsid w:val="00F04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B0C906E"/>
  <w15:docId w15:val="{E8757845-6925-486C-BDBC-237ED7C7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0E9"/>
    <w:pPr>
      <w:spacing w:after="160" w:line="259" w:lineRule="auto"/>
    </w:pPr>
    <w:rPr>
      <w:kern w:val="2"/>
      <w:lang w:val="en-GB"/>
    </w:rPr>
  </w:style>
  <w:style w:type="paragraph" w:styleId="Heading1">
    <w:name w:val="heading 1"/>
    <w:basedOn w:val="Normal"/>
    <w:next w:val="Normal"/>
    <w:link w:val="Heading1Char"/>
    <w:uiPriority w:val="9"/>
    <w:qFormat/>
    <w:rsid w:val="002930E9"/>
    <w:pPr>
      <w:keepNext/>
      <w:keepLines/>
      <w:spacing w:before="360" w:after="80" w:line="278" w:lineRule="auto"/>
      <w:outlineLvl w:val="0"/>
    </w:pPr>
    <w:rPr>
      <w:rFonts w:asciiTheme="majorHAnsi" w:eastAsiaTheme="majorEastAsia" w:hAnsiTheme="majorHAnsi" w:cstheme="majorBidi"/>
      <w:color w:val="365F9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0E9"/>
    <w:rPr>
      <w:rFonts w:asciiTheme="majorHAnsi" w:eastAsiaTheme="majorEastAsia" w:hAnsiTheme="majorHAnsi" w:cstheme="majorBidi"/>
      <w:color w:val="365F91" w:themeColor="accent1" w:themeShade="BF"/>
      <w:kern w:val="2"/>
      <w:sz w:val="40"/>
      <w:szCs w:val="40"/>
      <w:lang w:val="en-GB"/>
    </w:rPr>
  </w:style>
  <w:style w:type="paragraph" w:styleId="NoSpacing">
    <w:name w:val="No Spacing"/>
    <w:link w:val="NoSpacingChar"/>
    <w:uiPriority w:val="1"/>
    <w:qFormat/>
    <w:rsid w:val="002930E9"/>
    <w:pPr>
      <w:spacing w:after="0" w:line="240" w:lineRule="auto"/>
    </w:pPr>
    <w:rPr>
      <w:rFonts w:eastAsiaTheme="minorEastAsia"/>
    </w:rPr>
  </w:style>
  <w:style w:type="character" w:customStyle="1" w:styleId="NoSpacingChar">
    <w:name w:val="No Spacing Char"/>
    <w:basedOn w:val="DefaultParagraphFont"/>
    <w:link w:val="NoSpacing"/>
    <w:uiPriority w:val="1"/>
    <w:rsid w:val="002930E9"/>
    <w:rPr>
      <w:rFonts w:eastAsiaTheme="minorEastAsia"/>
    </w:rPr>
  </w:style>
  <w:style w:type="character" w:styleId="Hyperlink">
    <w:name w:val="Hyperlink"/>
    <w:basedOn w:val="DefaultParagraphFont"/>
    <w:uiPriority w:val="99"/>
    <w:unhideWhenUsed/>
    <w:rsid w:val="002930E9"/>
    <w:rPr>
      <w:color w:val="0000FF" w:themeColor="hyperlink"/>
      <w:u w:val="single"/>
    </w:rPr>
  </w:style>
  <w:style w:type="paragraph" w:styleId="BalloonText">
    <w:name w:val="Balloon Text"/>
    <w:basedOn w:val="Normal"/>
    <w:link w:val="BalloonTextChar"/>
    <w:uiPriority w:val="99"/>
    <w:semiHidden/>
    <w:unhideWhenUsed/>
    <w:rsid w:val="002930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0E9"/>
    <w:rPr>
      <w:rFonts w:ascii="Tahoma" w:hAnsi="Tahoma" w:cs="Tahoma"/>
      <w:kern w:val="2"/>
      <w:sz w:val="16"/>
      <w:szCs w:val="16"/>
      <w:lang w:val="en-GB"/>
    </w:rPr>
  </w:style>
  <w:style w:type="paragraph" w:styleId="ListParagraph">
    <w:name w:val="List Paragraph"/>
    <w:basedOn w:val="Normal"/>
    <w:uiPriority w:val="34"/>
    <w:qFormat/>
    <w:rsid w:val="00202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2990</Words>
  <Characters>17048</Characters>
  <Application>Microsoft Office Word</Application>
  <DocSecurity>0</DocSecurity>
  <Lines>142</Lines>
  <Paragraphs>39</Paragraphs>
  <ScaleCrop>false</ScaleCrop>
  <Company/>
  <LinksUpToDate>false</LinksUpToDate>
  <CharactersWithSpaces>19999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12</cp:revision>
  <dcterms:created xsi:type="dcterms:W3CDTF">2025-03-05T14:20:00Z</dcterms:created>
  <dcterms:modified xsi:type="dcterms:W3CDTF">2025-03-14T23:16:00Z</dcterms:modified>
</cp:coreProperties>
</file>