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4BCAA4C3" w:rsidP="35C5CC2C" w:rsidRDefault="4BCAA4C3" w14:paraId="7A0742C1" w14:textId="560D8F92">
      <w:pPr>
        <w:pStyle w:val="Normal"/>
      </w:pPr>
      <w:r w:rsidR="4BCAA4C3">
        <w:drawing>
          <wp:inline wp14:editId="3E52B026" wp14:anchorId="386FAFF9">
            <wp:extent cx="4886325" cy="1619250"/>
            <wp:effectExtent l="0" t="0" r="0" b="0"/>
            <wp:docPr id="198930723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89307239" name="Picture 1989307239"/>
                    <pic:cNvPicPr/>
                  </pic:nvPicPr>
                  <pic:blipFill>
                    <a:blip xmlns:r="http://schemas.openxmlformats.org/officeDocument/2006/relationships" r:embed="rId1487144127">
                      <a:extLst>
                        <a:ext uri="{28A0092B-C50C-407E-A947-70E740481C1C}">
                          <a14:useLocalDpi xmlns:a14="http://schemas.microsoft.com/office/drawing/2010/main"/>
                        </a:ext>
                      </a:extLst>
                    </a:blip>
                    <a:stretch>
                      <a:fillRect/>
                    </a:stretch>
                  </pic:blipFill>
                  <pic:spPr>
                    <a:xfrm>
                      <a:off x="0" y="0"/>
                      <a:ext cx="4886325" cy="1619250"/>
                    </a:xfrm>
                    <a:prstGeom prst="rect">
                      <a:avLst/>
                    </a:prstGeom>
                  </pic:spPr>
                </pic:pic>
              </a:graphicData>
            </a:graphic>
          </wp:inline>
        </w:drawing>
      </w:r>
    </w:p>
    <w:p w:rsidR="35C5CC2C" w:rsidP="35C5CC2C" w:rsidRDefault="35C5CC2C" w14:paraId="247B2A09" w14:textId="07CDE18A">
      <w:pPr>
        <w:rPr>
          <w:rFonts w:ascii="Arial" w:hAnsi="Arial" w:eastAsia="Arial" w:cs="Arial"/>
          <w:b w:val="1"/>
          <w:bCs w:val="1"/>
          <w:sz w:val="22"/>
          <w:szCs w:val="22"/>
        </w:rPr>
      </w:pPr>
    </w:p>
    <w:p w:rsidR="35C5CC2C" w:rsidP="35C5CC2C" w:rsidRDefault="35C5CC2C" w14:paraId="21DE6D36" w14:textId="2338A315">
      <w:pPr>
        <w:rPr>
          <w:rFonts w:ascii="Arial" w:hAnsi="Arial" w:eastAsia="Arial" w:cs="Arial"/>
          <w:b w:val="1"/>
          <w:bCs w:val="1"/>
          <w:sz w:val="22"/>
          <w:szCs w:val="22"/>
        </w:rPr>
      </w:pPr>
    </w:p>
    <w:p w:rsidR="35C5CC2C" w:rsidP="35C5CC2C" w:rsidRDefault="35C5CC2C" w14:paraId="0E3A9744" w14:textId="5068A34B">
      <w:pPr>
        <w:rPr>
          <w:rFonts w:ascii="Arial" w:hAnsi="Arial" w:eastAsia="Arial" w:cs="Arial"/>
          <w:b w:val="1"/>
          <w:bCs w:val="1"/>
          <w:sz w:val="22"/>
          <w:szCs w:val="22"/>
        </w:rPr>
      </w:pPr>
    </w:p>
    <w:p w:rsidR="35C5CC2C" w:rsidP="35C5CC2C" w:rsidRDefault="35C5CC2C" w14:paraId="23CC4E8C" w14:textId="2675AA33">
      <w:pPr>
        <w:rPr>
          <w:rFonts w:ascii="Arial" w:hAnsi="Arial" w:eastAsia="Arial" w:cs="Arial"/>
          <w:b w:val="1"/>
          <w:bCs w:val="1"/>
          <w:sz w:val="22"/>
          <w:szCs w:val="22"/>
        </w:rPr>
      </w:pPr>
    </w:p>
    <w:p w:rsidR="4BCAA4C3" w:rsidP="35C5CC2C" w:rsidRDefault="4BCAA4C3" w14:paraId="4EF559A8" w14:textId="1AAB9D51">
      <w:pPr>
        <w:rPr>
          <w:rFonts w:ascii="Aptos" w:hAnsi="Aptos" w:eastAsia="Aptos" w:cs="Aptos"/>
          <w:b w:val="1"/>
          <w:bCs w:val="1"/>
          <w:i w:val="0"/>
          <w:iCs w:val="0"/>
          <w:caps w:val="0"/>
          <w:smallCaps w:val="0"/>
          <w:noProof w:val="0"/>
          <w:color w:val="000000" w:themeColor="text1" w:themeTint="FF" w:themeShade="FF"/>
          <w:sz w:val="32"/>
          <w:szCs w:val="32"/>
          <w:lang w:val="en-GB"/>
        </w:rPr>
      </w:pPr>
      <w:r w:rsidRPr="35C5CC2C" w:rsidR="4BCAA4C3">
        <w:rPr>
          <w:rFonts w:ascii="Aptos" w:hAnsi="Aptos" w:eastAsia="Aptos" w:cs="Aptos"/>
          <w:b w:val="1"/>
          <w:bCs w:val="1"/>
          <w:i w:val="0"/>
          <w:iCs w:val="0"/>
          <w:caps w:val="0"/>
          <w:smallCaps w:val="0"/>
          <w:noProof w:val="0"/>
          <w:color w:val="000000" w:themeColor="text1" w:themeTint="FF" w:themeShade="FF"/>
          <w:sz w:val="32"/>
          <w:szCs w:val="32"/>
          <w:lang w:val="en-US"/>
        </w:rPr>
        <w:t>Name ..................................Rose Emeka Akpan</w:t>
      </w:r>
    </w:p>
    <w:p w:rsidR="4BCAA4C3" w:rsidP="35C5CC2C" w:rsidRDefault="4BCAA4C3" w14:paraId="3C38E5D5" w14:textId="420BC66A">
      <w:pPr>
        <w:rPr>
          <w:rFonts w:ascii="Aptos" w:hAnsi="Aptos" w:eastAsia="Aptos" w:cs="Aptos"/>
          <w:b w:val="1"/>
          <w:bCs w:val="1"/>
          <w:i w:val="0"/>
          <w:iCs w:val="0"/>
          <w:caps w:val="0"/>
          <w:smallCaps w:val="0"/>
          <w:noProof w:val="0"/>
          <w:color w:val="000000" w:themeColor="text1" w:themeTint="FF" w:themeShade="FF"/>
          <w:sz w:val="32"/>
          <w:szCs w:val="32"/>
          <w:lang w:val="en-GB"/>
        </w:rPr>
      </w:pPr>
      <w:r w:rsidRPr="35C5CC2C" w:rsidR="4BCAA4C3">
        <w:rPr>
          <w:rFonts w:ascii="Aptos" w:hAnsi="Aptos" w:eastAsia="Aptos" w:cs="Aptos"/>
          <w:b w:val="1"/>
          <w:bCs w:val="1"/>
          <w:i w:val="0"/>
          <w:iCs w:val="0"/>
          <w:caps w:val="0"/>
          <w:smallCaps w:val="0"/>
          <w:noProof w:val="0"/>
          <w:color w:val="000000" w:themeColor="text1" w:themeTint="FF" w:themeShade="FF"/>
          <w:sz w:val="32"/>
          <w:szCs w:val="32"/>
          <w:lang w:val="en-US"/>
        </w:rPr>
        <w:t>Student Number...................2309192</w:t>
      </w:r>
    </w:p>
    <w:p w:rsidR="4BCAA4C3" w:rsidP="35C5CC2C" w:rsidRDefault="4BCAA4C3" w14:paraId="5E53E9C3" w14:textId="69C015DF">
      <w:pPr>
        <w:rPr>
          <w:rFonts w:ascii="Arial" w:hAnsi="Arial" w:eastAsia="Arial" w:cs="Arial"/>
          <w:b w:val="1"/>
          <w:bCs w:val="1"/>
          <w:i w:val="0"/>
          <w:iCs w:val="0"/>
          <w:caps w:val="0"/>
          <w:smallCaps w:val="0"/>
          <w:noProof w:val="0"/>
          <w:color w:val="000000" w:themeColor="text1" w:themeTint="FF" w:themeShade="FF"/>
          <w:sz w:val="32"/>
          <w:szCs w:val="32"/>
          <w:lang w:val="en-GB"/>
        </w:rPr>
      </w:pPr>
      <w:r w:rsidRPr="35C5CC2C" w:rsidR="4BCAA4C3">
        <w:rPr>
          <w:rFonts w:ascii="Aptos" w:hAnsi="Aptos" w:eastAsia="Aptos" w:cs="Aptos"/>
          <w:b w:val="1"/>
          <w:bCs w:val="1"/>
          <w:i w:val="0"/>
          <w:iCs w:val="0"/>
          <w:caps w:val="0"/>
          <w:smallCaps w:val="0"/>
          <w:noProof w:val="0"/>
          <w:color w:val="000000" w:themeColor="text1" w:themeTint="FF" w:themeShade="FF"/>
          <w:sz w:val="32"/>
          <w:szCs w:val="32"/>
          <w:lang w:val="en-US"/>
        </w:rPr>
        <w:t>Module Code.........................BMHP</w:t>
      </w:r>
      <w:r w:rsidRPr="35C5CC2C" w:rsidR="631E7A5D">
        <w:rPr>
          <w:rFonts w:ascii="Aptos" w:hAnsi="Aptos" w:eastAsia="Aptos" w:cs="Aptos"/>
          <w:b w:val="1"/>
          <w:bCs w:val="1"/>
          <w:i w:val="0"/>
          <w:iCs w:val="0"/>
          <w:caps w:val="0"/>
          <w:smallCaps w:val="0"/>
          <w:noProof w:val="0"/>
          <w:color w:val="000000" w:themeColor="text1" w:themeTint="FF" w:themeShade="FF"/>
          <w:sz w:val="32"/>
          <w:szCs w:val="32"/>
          <w:lang w:val="en-US"/>
        </w:rPr>
        <w:t>6030-BIRM</w:t>
      </w:r>
    </w:p>
    <w:p w:rsidR="4BCAA4C3" w:rsidP="35C5CC2C" w:rsidRDefault="4BCAA4C3" w14:paraId="4F11E200" w14:textId="75F5EB8B">
      <w:pPr>
        <w:rPr>
          <w:rFonts w:ascii="Aptos" w:hAnsi="Aptos" w:eastAsia="Aptos" w:cs="Aptos"/>
          <w:b w:val="1"/>
          <w:bCs w:val="1"/>
          <w:i w:val="0"/>
          <w:iCs w:val="0"/>
          <w:caps w:val="0"/>
          <w:smallCaps w:val="0"/>
          <w:noProof w:val="0"/>
          <w:color w:val="000000" w:themeColor="text1" w:themeTint="FF" w:themeShade="FF"/>
          <w:sz w:val="32"/>
          <w:szCs w:val="32"/>
          <w:lang w:val="en-GB"/>
        </w:rPr>
      </w:pPr>
      <w:r w:rsidRPr="35C5CC2C" w:rsidR="4BCAA4C3">
        <w:rPr>
          <w:rFonts w:ascii="Aptos" w:hAnsi="Aptos" w:eastAsia="Aptos" w:cs="Aptos"/>
          <w:b w:val="1"/>
          <w:bCs w:val="1"/>
          <w:i w:val="0"/>
          <w:iCs w:val="0"/>
          <w:caps w:val="0"/>
          <w:smallCaps w:val="0"/>
          <w:noProof w:val="0"/>
          <w:color w:val="000000" w:themeColor="text1" w:themeTint="FF" w:themeShade="FF"/>
          <w:sz w:val="32"/>
          <w:szCs w:val="32"/>
          <w:lang w:val="en-US"/>
        </w:rPr>
        <w:t xml:space="preserve">Course...................................BSc </w:t>
      </w:r>
      <w:r w:rsidRPr="35C5CC2C" w:rsidR="29FA4385">
        <w:rPr>
          <w:rFonts w:ascii="Aptos" w:hAnsi="Aptos" w:eastAsia="Aptos" w:cs="Aptos"/>
          <w:b w:val="1"/>
          <w:bCs w:val="1"/>
          <w:i w:val="0"/>
          <w:iCs w:val="0"/>
          <w:caps w:val="0"/>
          <w:smallCaps w:val="0"/>
          <w:noProof w:val="0"/>
          <w:color w:val="000000" w:themeColor="text1" w:themeTint="FF" w:themeShade="FF"/>
          <w:sz w:val="32"/>
          <w:szCs w:val="32"/>
          <w:lang w:val="en-US"/>
        </w:rPr>
        <w:t xml:space="preserve">Health, </w:t>
      </w:r>
      <w:bookmarkStart w:name="_Int_ufYVBv17" w:id="1013149641"/>
      <w:r w:rsidRPr="35C5CC2C" w:rsidR="29FA4385">
        <w:rPr>
          <w:rFonts w:ascii="Aptos" w:hAnsi="Aptos" w:eastAsia="Aptos" w:cs="Aptos"/>
          <w:b w:val="1"/>
          <w:bCs w:val="1"/>
          <w:i w:val="0"/>
          <w:iCs w:val="0"/>
          <w:caps w:val="0"/>
          <w:smallCaps w:val="0"/>
          <w:noProof w:val="0"/>
          <w:color w:val="000000" w:themeColor="text1" w:themeTint="FF" w:themeShade="FF"/>
          <w:sz w:val="32"/>
          <w:szCs w:val="32"/>
          <w:lang w:val="en-US"/>
        </w:rPr>
        <w:t>wellbeing</w:t>
      </w:r>
      <w:bookmarkEnd w:id="1013149641"/>
      <w:r w:rsidRPr="35C5CC2C" w:rsidR="29FA4385">
        <w:rPr>
          <w:rFonts w:ascii="Aptos" w:hAnsi="Aptos" w:eastAsia="Aptos" w:cs="Aptos"/>
          <w:b w:val="1"/>
          <w:bCs w:val="1"/>
          <w:i w:val="0"/>
          <w:iCs w:val="0"/>
          <w:caps w:val="0"/>
          <w:smallCaps w:val="0"/>
          <w:noProof w:val="0"/>
          <w:color w:val="000000" w:themeColor="text1" w:themeTint="FF" w:themeShade="FF"/>
          <w:sz w:val="32"/>
          <w:szCs w:val="32"/>
          <w:lang w:val="en-US"/>
        </w:rPr>
        <w:t xml:space="preserve"> and Sustainable Development</w:t>
      </w:r>
    </w:p>
    <w:p w:rsidR="4BCAA4C3" w:rsidP="35C5CC2C" w:rsidRDefault="4BCAA4C3" w14:paraId="01FA08F5" w14:textId="3F6D6037">
      <w:pPr>
        <w:rPr>
          <w:rFonts w:ascii="Aptos" w:hAnsi="Aptos" w:eastAsia="Aptos" w:cs="Aptos"/>
          <w:b w:val="1"/>
          <w:bCs w:val="1"/>
          <w:i w:val="0"/>
          <w:iCs w:val="0"/>
          <w:caps w:val="0"/>
          <w:smallCaps w:val="0"/>
          <w:noProof w:val="0"/>
          <w:color w:val="000000" w:themeColor="text1" w:themeTint="FF" w:themeShade="FF"/>
          <w:sz w:val="32"/>
          <w:szCs w:val="32"/>
          <w:lang w:val="en-GB"/>
        </w:rPr>
      </w:pPr>
      <w:r w:rsidRPr="35C5CC2C" w:rsidR="4BCAA4C3">
        <w:rPr>
          <w:rFonts w:ascii="Aptos" w:hAnsi="Aptos" w:eastAsia="Aptos" w:cs="Aptos"/>
          <w:b w:val="1"/>
          <w:bCs w:val="1"/>
          <w:i w:val="0"/>
          <w:iCs w:val="0"/>
          <w:caps w:val="0"/>
          <w:smallCaps w:val="0"/>
          <w:noProof w:val="0"/>
          <w:color w:val="000000" w:themeColor="text1" w:themeTint="FF" w:themeShade="FF"/>
          <w:sz w:val="32"/>
          <w:szCs w:val="32"/>
          <w:lang w:val="en-US"/>
        </w:rPr>
        <w:t>Assignment.............................Written Report</w:t>
      </w:r>
    </w:p>
    <w:p w:rsidR="6A899E8C" w:rsidP="35C5CC2C" w:rsidRDefault="6A899E8C" w14:paraId="45AF94D4" w14:textId="74D81BFB">
      <w:pPr>
        <w:pStyle w:val="Normal"/>
        <w:rPr>
          <w:rFonts w:ascii="Arial" w:hAnsi="Arial" w:eastAsia="Arial" w:cs="Arial"/>
          <w:b w:val="0"/>
          <w:bCs w:val="0"/>
          <w:i w:val="0"/>
          <w:iCs w:val="0"/>
          <w:caps w:val="0"/>
          <w:smallCaps w:val="0"/>
          <w:noProof w:val="0"/>
          <w:color w:val="000000" w:themeColor="text1" w:themeTint="FF" w:themeShade="FF"/>
          <w:sz w:val="32"/>
          <w:szCs w:val="32"/>
          <w:lang w:val="en-US"/>
        </w:rPr>
      </w:pPr>
      <w:r w:rsidRPr="35C5CC2C" w:rsidR="6A899E8C">
        <w:rPr>
          <w:rFonts w:ascii="Aptos" w:hAnsi="Aptos" w:eastAsia="Aptos" w:cs="Aptos"/>
          <w:b w:val="1"/>
          <w:bCs w:val="1"/>
          <w:i w:val="0"/>
          <w:iCs w:val="0"/>
          <w:caps w:val="0"/>
          <w:smallCaps w:val="0"/>
          <w:noProof w:val="0"/>
          <w:color w:val="000000" w:themeColor="text1" w:themeTint="FF" w:themeShade="FF"/>
          <w:sz w:val="32"/>
          <w:szCs w:val="32"/>
          <w:lang w:val="en-US"/>
        </w:rPr>
        <w:t>Lecture Name...</w:t>
      </w:r>
      <w:r w:rsidRPr="35C5CC2C" w:rsidR="4BCAA4C3">
        <w:rPr>
          <w:rFonts w:ascii="Aptos" w:hAnsi="Aptos" w:eastAsia="Aptos" w:cs="Aptos"/>
          <w:b w:val="1"/>
          <w:bCs w:val="1"/>
          <w:i w:val="0"/>
          <w:iCs w:val="0"/>
          <w:caps w:val="0"/>
          <w:smallCaps w:val="0"/>
          <w:noProof w:val="0"/>
          <w:color w:val="000000" w:themeColor="text1" w:themeTint="FF" w:themeShade="FF"/>
          <w:sz w:val="32"/>
          <w:szCs w:val="32"/>
          <w:lang w:val="en-US"/>
        </w:rPr>
        <w:t>.......................</w:t>
      </w:r>
      <w:r w:rsidRPr="35C5CC2C" w:rsidR="695A7EA8">
        <w:rPr>
          <w:rFonts w:ascii="Aptos" w:hAnsi="Aptos" w:eastAsia="Aptos" w:cs="Aptos"/>
          <w:b w:val="1"/>
          <w:bCs w:val="1"/>
          <w:i w:val="0"/>
          <w:iCs w:val="0"/>
          <w:caps w:val="0"/>
          <w:smallCaps w:val="0"/>
          <w:noProof w:val="0"/>
          <w:color w:val="000000" w:themeColor="text1" w:themeTint="FF" w:themeShade="FF"/>
          <w:sz w:val="32"/>
          <w:szCs w:val="32"/>
          <w:lang w:val="en-US"/>
        </w:rPr>
        <w:t xml:space="preserve"> Dr </w:t>
      </w:r>
      <w:r w:rsidRPr="35C5CC2C" w:rsidR="4BCAA4C3">
        <w:rPr>
          <w:rFonts w:ascii="Aptos" w:hAnsi="Aptos" w:eastAsia="Aptos" w:cs="Aptos"/>
          <w:b w:val="1"/>
          <w:bCs w:val="1"/>
          <w:i w:val="0"/>
          <w:iCs w:val="0"/>
          <w:caps w:val="0"/>
          <w:smallCaps w:val="0"/>
          <w:noProof w:val="0"/>
          <w:color w:val="000000" w:themeColor="text1" w:themeTint="FF" w:themeShade="FF"/>
          <w:sz w:val="32"/>
          <w:szCs w:val="32"/>
          <w:lang w:val="en-US"/>
        </w:rPr>
        <w:t>Junaid Shaikh</w:t>
      </w:r>
    </w:p>
    <w:p w:rsidR="35C5CC2C" w:rsidP="35C5CC2C" w:rsidRDefault="35C5CC2C" w14:paraId="0E9EA7C3" w14:textId="511810E2">
      <w:pPr>
        <w:rPr>
          <w:rFonts w:ascii="Arial" w:hAnsi="Arial" w:eastAsia="Arial" w:cs="Arial"/>
          <w:b w:val="1"/>
          <w:bCs w:val="1"/>
          <w:sz w:val="22"/>
          <w:szCs w:val="22"/>
        </w:rPr>
      </w:pPr>
    </w:p>
    <w:p w:rsidR="35C5CC2C" w:rsidP="35C5CC2C" w:rsidRDefault="35C5CC2C" w14:paraId="25FA6459" w14:textId="40F4A947">
      <w:pPr>
        <w:rPr>
          <w:rFonts w:ascii="Arial" w:hAnsi="Arial" w:eastAsia="Arial" w:cs="Arial"/>
          <w:b w:val="1"/>
          <w:bCs w:val="1"/>
          <w:sz w:val="22"/>
          <w:szCs w:val="22"/>
        </w:rPr>
      </w:pPr>
    </w:p>
    <w:p w:rsidR="35C5CC2C" w:rsidP="35C5CC2C" w:rsidRDefault="35C5CC2C" w14:paraId="392DB03D" w14:textId="2D4BD2B4">
      <w:pPr>
        <w:rPr>
          <w:rFonts w:ascii="Arial" w:hAnsi="Arial" w:eastAsia="Arial" w:cs="Arial"/>
          <w:b w:val="1"/>
          <w:bCs w:val="1"/>
          <w:sz w:val="22"/>
          <w:szCs w:val="22"/>
        </w:rPr>
      </w:pPr>
    </w:p>
    <w:p w:rsidR="35C5CC2C" w:rsidP="35C5CC2C" w:rsidRDefault="35C5CC2C" w14:paraId="548B65A8" w14:textId="0CDBF320">
      <w:pPr>
        <w:rPr>
          <w:rFonts w:ascii="Arial" w:hAnsi="Arial" w:eastAsia="Arial" w:cs="Arial"/>
          <w:b w:val="1"/>
          <w:bCs w:val="1"/>
          <w:sz w:val="22"/>
          <w:szCs w:val="22"/>
        </w:rPr>
      </w:pPr>
    </w:p>
    <w:p w:rsidR="35C5CC2C" w:rsidP="35C5CC2C" w:rsidRDefault="35C5CC2C" w14:paraId="439AA1CD" w14:textId="426ABCF1">
      <w:pPr>
        <w:rPr>
          <w:rFonts w:ascii="Arial" w:hAnsi="Arial" w:eastAsia="Arial" w:cs="Arial"/>
          <w:b w:val="1"/>
          <w:bCs w:val="1"/>
          <w:sz w:val="22"/>
          <w:szCs w:val="22"/>
        </w:rPr>
      </w:pPr>
    </w:p>
    <w:p w:rsidR="35C5CC2C" w:rsidP="35C5CC2C" w:rsidRDefault="35C5CC2C" w14:paraId="23774D93" w14:textId="03E4998D">
      <w:pPr>
        <w:rPr>
          <w:rFonts w:ascii="Arial" w:hAnsi="Arial" w:eastAsia="Arial" w:cs="Arial"/>
          <w:b w:val="1"/>
          <w:bCs w:val="1"/>
          <w:sz w:val="22"/>
          <w:szCs w:val="22"/>
        </w:rPr>
      </w:pPr>
    </w:p>
    <w:p w:rsidR="35C5CC2C" w:rsidP="35C5CC2C" w:rsidRDefault="35C5CC2C" w14:paraId="7921DDC7" w14:textId="6D185956">
      <w:pPr>
        <w:rPr>
          <w:rFonts w:ascii="Arial" w:hAnsi="Arial" w:eastAsia="Arial" w:cs="Arial"/>
          <w:b w:val="1"/>
          <w:bCs w:val="1"/>
          <w:sz w:val="22"/>
          <w:szCs w:val="22"/>
        </w:rPr>
      </w:pPr>
    </w:p>
    <w:p w:rsidR="35C5CC2C" w:rsidP="35C5CC2C" w:rsidRDefault="35C5CC2C" w14:paraId="3463EC12" w14:textId="4CD4D062">
      <w:pPr>
        <w:rPr>
          <w:rFonts w:ascii="Arial" w:hAnsi="Arial" w:eastAsia="Arial" w:cs="Arial"/>
          <w:b w:val="1"/>
          <w:bCs w:val="1"/>
          <w:sz w:val="22"/>
          <w:szCs w:val="22"/>
        </w:rPr>
      </w:pPr>
    </w:p>
    <w:p w:rsidR="35C5CC2C" w:rsidP="35C5CC2C" w:rsidRDefault="35C5CC2C" w14:paraId="3F932BB5" w14:textId="1FCCB44F">
      <w:pPr>
        <w:rPr>
          <w:rFonts w:ascii="Arial" w:hAnsi="Arial" w:eastAsia="Arial" w:cs="Arial"/>
          <w:b w:val="1"/>
          <w:bCs w:val="1"/>
          <w:sz w:val="22"/>
          <w:szCs w:val="22"/>
        </w:rPr>
      </w:pPr>
    </w:p>
    <w:p w:rsidR="35C5CC2C" w:rsidP="35C5CC2C" w:rsidRDefault="35C5CC2C" w14:paraId="1685AD5B" w14:textId="071BDC6B">
      <w:pPr>
        <w:rPr>
          <w:rFonts w:ascii="Arial" w:hAnsi="Arial" w:eastAsia="Arial" w:cs="Arial"/>
          <w:b w:val="1"/>
          <w:bCs w:val="1"/>
          <w:sz w:val="22"/>
          <w:szCs w:val="22"/>
        </w:rPr>
      </w:pPr>
    </w:p>
    <w:p w:rsidR="35C5CC2C" w:rsidP="35C5CC2C" w:rsidRDefault="35C5CC2C" w14:paraId="69C16653" w14:textId="66174951">
      <w:pPr>
        <w:rPr>
          <w:rFonts w:ascii="Arial" w:hAnsi="Arial" w:eastAsia="Arial" w:cs="Arial"/>
          <w:b w:val="1"/>
          <w:bCs w:val="1"/>
          <w:sz w:val="22"/>
          <w:szCs w:val="22"/>
        </w:rPr>
      </w:pPr>
    </w:p>
    <w:p w:rsidR="35C5CC2C" w:rsidP="35C5CC2C" w:rsidRDefault="35C5CC2C" w14:paraId="55108E57" w14:textId="3393A5F9">
      <w:pPr>
        <w:rPr>
          <w:rFonts w:ascii="Arial" w:hAnsi="Arial" w:eastAsia="Arial" w:cs="Arial"/>
          <w:b w:val="1"/>
          <w:bCs w:val="1"/>
          <w:sz w:val="32"/>
          <w:szCs w:val="32"/>
        </w:rPr>
      </w:pPr>
    </w:p>
    <w:p w:rsidR="35C5CC2C" w:rsidP="35C5CC2C" w:rsidRDefault="35C5CC2C" w14:paraId="66894246" w14:textId="4F5FC0F4">
      <w:pPr>
        <w:rPr>
          <w:rFonts w:ascii="Arial" w:hAnsi="Arial" w:eastAsia="Arial" w:cs="Arial"/>
          <w:b w:val="1"/>
          <w:bCs w:val="1"/>
          <w:sz w:val="32"/>
          <w:szCs w:val="32"/>
        </w:rPr>
      </w:pPr>
    </w:p>
    <w:p w:rsidR="117F8AC8" w:rsidP="35C5CC2C" w:rsidRDefault="117F8AC8" w14:paraId="01BC04C0" w14:textId="772E7229">
      <w:pPr>
        <w:jc w:val="center"/>
      </w:pPr>
      <w:r w:rsidRPr="35C5CC2C" w:rsidR="117F8AC8">
        <w:rPr>
          <w:rFonts w:ascii="Arial" w:hAnsi="Arial" w:eastAsia="Arial" w:cs="Arial"/>
          <w:b w:val="1"/>
          <w:bCs w:val="1"/>
          <w:sz w:val="32"/>
          <w:szCs w:val="32"/>
        </w:rPr>
        <w:t>Content page</w:t>
      </w:r>
    </w:p>
    <w:p w:rsidR="35C5CC2C" w:rsidP="35C5CC2C" w:rsidRDefault="35C5CC2C" w14:paraId="1BC31183" w14:textId="47321F9E">
      <w:pPr>
        <w:rPr>
          <w:rFonts w:ascii="Arial" w:hAnsi="Arial" w:eastAsia="Arial" w:cs="Arial"/>
          <w:b w:val="1"/>
          <w:bCs w:val="1"/>
          <w:sz w:val="32"/>
          <w:szCs w:val="32"/>
        </w:rPr>
      </w:pPr>
    </w:p>
    <w:p w:rsidR="117F8AC8" w:rsidP="35C5CC2C" w:rsidRDefault="117F8AC8" w14:paraId="75F34FAF" w14:textId="26BE5926">
      <w:pPr>
        <w:rPr>
          <w:rFonts w:ascii="Arial" w:hAnsi="Arial" w:eastAsia="Arial" w:cs="Arial"/>
          <w:b w:val="0"/>
          <w:bCs w:val="0"/>
          <w:sz w:val="22"/>
          <w:szCs w:val="22"/>
        </w:rPr>
      </w:pPr>
      <w:r w:rsidRPr="35C5CC2C" w:rsidR="117F8AC8">
        <w:rPr>
          <w:rFonts w:ascii="Arial" w:hAnsi="Arial" w:eastAsia="Arial" w:cs="Arial"/>
          <w:b w:val="0"/>
          <w:bCs w:val="0"/>
          <w:sz w:val="22"/>
          <w:szCs w:val="22"/>
        </w:rPr>
        <w:t>Introduction................................................................</w:t>
      </w:r>
      <w:r w:rsidRPr="35C5CC2C" w:rsidR="083E22BA">
        <w:rPr>
          <w:rFonts w:ascii="Arial" w:hAnsi="Arial" w:eastAsia="Arial" w:cs="Arial"/>
          <w:b w:val="0"/>
          <w:bCs w:val="0"/>
          <w:sz w:val="22"/>
          <w:szCs w:val="22"/>
        </w:rPr>
        <w:t>....................</w:t>
      </w:r>
      <w:r w:rsidRPr="35C5CC2C" w:rsidR="2DB88EA5">
        <w:rPr>
          <w:rFonts w:ascii="Arial" w:hAnsi="Arial" w:eastAsia="Arial" w:cs="Arial"/>
          <w:b w:val="0"/>
          <w:bCs w:val="0"/>
          <w:sz w:val="22"/>
          <w:szCs w:val="22"/>
        </w:rPr>
        <w:t xml:space="preserve"> </w:t>
      </w:r>
      <w:r w:rsidRPr="35C5CC2C" w:rsidR="71EB1000">
        <w:rPr>
          <w:rFonts w:ascii="Arial" w:hAnsi="Arial" w:eastAsia="Arial" w:cs="Arial"/>
          <w:b w:val="0"/>
          <w:bCs w:val="0"/>
          <w:sz w:val="22"/>
          <w:szCs w:val="22"/>
        </w:rPr>
        <w:t>P</w:t>
      </w:r>
      <w:r w:rsidRPr="35C5CC2C" w:rsidR="2DB88EA5">
        <w:rPr>
          <w:rFonts w:ascii="Arial" w:hAnsi="Arial" w:eastAsia="Arial" w:cs="Arial"/>
          <w:b w:val="0"/>
          <w:bCs w:val="0"/>
          <w:sz w:val="22"/>
          <w:szCs w:val="22"/>
        </w:rPr>
        <w:t>age 3</w:t>
      </w:r>
    </w:p>
    <w:p w:rsidR="117F8AC8" w:rsidRDefault="117F8AC8" w14:paraId="1D529CB0" w14:textId="671D959A">
      <w:r w:rsidRPr="35C5CC2C" w:rsidR="117F8AC8">
        <w:rPr>
          <w:rFonts w:ascii="Arial" w:hAnsi="Arial" w:eastAsia="Arial" w:cs="Arial"/>
          <w:b w:val="0"/>
          <w:bCs w:val="0"/>
          <w:sz w:val="22"/>
          <w:szCs w:val="22"/>
        </w:rPr>
        <w:t>SDG 3 – Good Health and Wellbeing..............................................</w:t>
      </w:r>
      <w:r w:rsidRPr="35C5CC2C" w:rsidR="6ABD7486">
        <w:rPr>
          <w:rFonts w:ascii="Arial" w:hAnsi="Arial" w:eastAsia="Arial" w:cs="Arial"/>
          <w:b w:val="0"/>
          <w:bCs w:val="0"/>
          <w:sz w:val="22"/>
          <w:szCs w:val="22"/>
        </w:rPr>
        <w:t xml:space="preserve"> Page 3-</w:t>
      </w:r>
      <w:r w:rsidRPr="35C5CC2C" w:rsidR="40DF44F2">
        <w:rPr>
          <w:rFonts w:ascii="Arial" w:hAnsi="Arial" w:eastAsia="Arial" w:cs="Arial"/>
          <w:b w:val="0"/>
          <w:bCs w:val="0"/>
          <w:sz w:val="22"/>
          <w:szCs w:val="22"/>
        </w:rPr>
        <w:t>6</w:t>
      </w:r>
    </w:p>
    <w:p w:rsidR="25DF6C2C" w:rsidP="35C5CC2C" w:rsidRDefault="25DF6C2C" w14:paraId="5D15BC38" w14:textId="7A661C92">
      <w:pPr>
        <w:rPr>
          <w:rFonts w:ascii="Arial" w:hAnsi="Arial" w:eastAsia="Arial" w:cs="Arial"/>
          <w:b w:val="0"/>
          <w:bCs w:val="0"/>
          <w:sz w:val="22"/>
          <w:szCs w:val="22"/>
        </w:rPr>
      </w:pPr>
      <w:r w:rsidRPr="35C5CC2C" w:rsidR="25DF6C2C">
        <w:rPr>
          <w:rFonts w:ascii="Arial" w:hAnsi="Arial" w:eastAsia="Arial" w:cs="Arial"/>
          <w:b w:val="0"/>
          <w:bCs w:val="0"/>
          <w:sz w:val="22"/>
          <w:szCs w:val="22"/>
        </w:rPr>
        <w:t>SDG 10 – Reduced Inequa</w:t>
      </w:r>
      <w:r w:rsidRPr="35C5CC2C" w:rsidR="6FAB7E3A">
        <w:rPr>
          <w:rFonts w:ascii="Arial" w:hAnsi="Arial" w:eastAsia="Arial" w:cs="Arial"/>
          <w:b w:val="0"/>
          <w:bCs w:val="0"/>
          <w:sz w:val="22"/>
          <w:szCs w:val="22"/>
        </w:rPr>
        <w:t>lities.......................................................</w:t>
      </w:r>
      <w:r w:rsidRPr="35C5CC2C" w:rsidR="7AA8C779">
        <w:rPr>
          <w:rFonts w:ascii="Arial" w:hAnsi="Arial" w:eastAsia="Arial" w:cs="Arial"/>
          <w:b w:val="0"/>
          <w:bCs w:val="0"/>
          <w:sz w:val="22"/>
          <w:szCs w:val="22"/>
        </w:rPr>
        <w:t xml:space="preserve">Page </w:t>
      </w:r>
      <w:r w:rsidRPr="35C5CC2C" w:rsidR="7E33F945">
        <w:rPr>
          <w:rFonts w:ascii="Arial" w:hAnsi="Arial" w:eastAsia="Arial" w:cs="Arial"/>
          <w:b w:val="0"/>
          <w:bCs w:val="0"/>
          <w:sz w:val="22"/>
          <w:szCs w:val="22"/>
        </w:rPr>
        <w:t>6</w:t>
      </w:r>
      <w:r w:rsidRPr="35C5CC2C" w:rsidR="7AA8C779">
        <w:rPr>
          <w:rFonts w:ascii="Arial" w:hAnsi="Arial" w:eastAsia="Arial" w:cs="Arial"/>
          <w:b w:val="0"/>
          <w:bCs w:val="0"/>
          <w:sz w:val="22"/>
          <w:szCs w:val="22"/>
        </w:rPr>
        <w:t>-</w:t>
      </w:r>
      <w:r w:rsidRPr="35C5CC2C" w:rsidR="64A4767C">
        <w:rPr>
          <w:rFonts w:ascii="Arial" w:hAnsi="Arial" w:eastAsia="Arial" w:cs="Arial"/>
          <w:b w:val="0"/>
          <w:bCs w:val="0"/>
          <w:sz w:val="22"/>
          <w:szCs w:val="22"/>
        </w:rPr>
        <w:t>8</w:t>
      </w:r>
    </w:p>
    <w:p w:rsidR="6FAB7E3A" w:rsidRDefault="6FAB7E3A" w14:paraId="43EE392B" w14:textId="68BA16BC">
      <w:r w:rsidRPr="35C5CC2C" w:rsidR="6FAB7E3A">
        <w:rPr>
          <w:rFonts w:ascii="Arial" w:hAnsi="Arial" w:eastAsia="Arial" w:cs="Arial"/>
          <w:b w:val="0"/>
          <w:bCs w:val="0"/>
          <w:sz w:val="22"/>
          <w:szCs w:val="22"/>
        </w:rPr>
        <w:t>Conclusion........................................................................................</w:t>
      </w:r>
      <w:r w:rsidRPr="35C5CC2C" w:rsidR="714574AC">
        <w:rPr>
          <w:rFonts w:ascii="Arial" w:hAnsi="Arial" w:eastAsia="Arial" w:cs="Arial"/>
          <w:b w:val="0"/>
          <w:bCs w:val="0"/>
          <w:sz w:val="22"/>
          <w:szCs w:val="22"/>
        </w:rPr>
        <w:t xml:space="preserve">Page </w:t>
      </w:r>
      <w:r w:rsidRPr="35C5CC2C" w:rsidR="6C46DCB3">
        <w:rPr>
          <w:rFonts w:ascii="Arial" w:hAnsi="Arial" w:eastAsia="Arial" w:cs="Arial"/>
          <w:b w:val="0"/>
          <w:bCs w:val="0"/>
          <w:sz w:val="22"/>
          <w:szCs w:val="22"/>
        </w:rPr>
        <w:t>8</w:t>
      </w:r>
    </w:p>
    <w:p w:rsidR="6FAB7E3A" w:rsidRDefault="6FAB7E3A" w14:paraId="665D5B25" w14:textId="65326577">
      <w:r w:rsidRPr="35C5CC2C" w:rsidR="6FAB7E3A">
        <w:rPr>
          <w:rFonts w:ascii="Arial" w:hAnsi="Arial" w:eastAsia="Arial" w:cs="Arial"/>
          <w:b w:val="0"/>
          <w:bCs w:val="0"/>
          <w:sz w:val="22"/>
          <w:szCs w:val="22"/>
        </w:rPr>
        <w:t>References.......................................................................................</w:t>
      </w:r>
      <w:r w:rsidRPr="35C5CC2C" w:rsidR="76B72F04">
        <w:rPr>
          <w:rFonts w:ascii="Arial" w:hAnsi="Arial" w:eastAsia="Arial" w:cs="Arial"/>
          <w:b w:val="0"/>
          <w:bCs w:val="0"/>
          <w:sz w:val="22"/>
          <w:szCs w:val="22"/>
        </w:rPr>
        <w:t xml:space="preserve">Page </w:t>
      </w:r>
      <w:r w:rsidRPr="35C5CC2C" w:rsidR="273B6A26">
        <w:rPr>
          <w:rFonts w:ascii="Arial" w:hAnsi="Arial" w:eastAsia="Arial" w:cs="Arial"/>
          <w:b w:val="0"/>
          <w:bCs w:val="0"/>
          <w:sz w:val="22"/>
          <w:szCs w:val="22"/>
        </w:rPr>
        <w:t>8</w:t>
      </w:r>
      <w:r w:rsidRPr="35C5CC2C" w:rsidR="76B72F04">
        <w:rPr>
          <w:rFonts w:ascii="Arial" w:hAnsi="Arial" w:eastAsia="Arial" w:cs="Arial"/>
          <w:b w:val="0"/>
          <w:bCs w:val="0"/>
          <w:sz w:val="22"/>
          <w:szCs w:val="22"/>
        </w:rPr>
        <w:t>-</w:t>
      </w:r>
      <w:r w:rsidRPr="35C5CC2C" w:rsidR="08936ACD">
        <w:rPr>
          <w:rFonts w:ascii="Arial" w:hAnsi="Arial" w:eastAsia="Arial" w:cs="Arial"/>
          <w:b w:val="0"/>
          <w:bCs w:val="0"/>
          <w:sz w:val="22"/>
          <w:szCs w:val="22"/>
        </w:rPr>
        <w:t>10</w:t>
      </w:r>
    </w:p>
    <w:p w:rsidR="35C5CC2C" w:rsidP="35C5CC2C" w:rsidRDefault="35C5CC2C" w14:paraId="41C9ADBD" w14:textId="49F0E491">
      <w:pPr>
        <w:rPr>
          <w:rFonts w:ascii="Arial" w:hAnsi="Arial" w:eastAsia="Arial" w:cs="Arial"/>
          <w:b w:val="1"/>
          <w:bCs w:val="1"/>
          <w:sz w:val="22"/>
          <w:szCs w:val="22"/>
        </w:rPr>
      </w:pPr>
    </w:p>
    <w:p w:rsidR="35C5CC2C" w:rsidP="35C5CC2C" w:rsidRDefault="35C5CC2C" w14:paraId="6E8F2DE3" w14:textId="3896FE7C">
      <w:pPr>
        <w:rPr>
          <w:rFonts w:ascii="Arial" w:hAnsi="Arial" w:eastAsia="Arial" w:cs="Arial"/>
          <w:b w:val="1"/>
          <w:bCs w:val="1"/>
          <w:sz w:val="22"/>
          <w:szCs w:val="22"/>
        </w:rPr>
      </w:pPr>
    </w:p>
    <w:p w:rsidR="35C5CC2C" w:rsidP="35C5CC2C" w:rsidRDefault="35C5CC2C" w14:paraId="56C9933B" w14:textId="61ECE755">
      <w:pPr>
        <w:rPr>
          <w:rFonts w:ascii="Arial" w:hAnsi="Arial" w:eastAsia="Arial" w:cs="Arial"/>
          <w:b w:val="1"/>
          <w:bCs w:val="1"/>
          <w:sz w:val="22"/>
          <w:szCs w:val="22"/>
        </w:rPr>
      </w:pPr>
    </w:p>
    <w:p w:rsidR="35C5CC2C" w:rsidP="35C5CC2C" w:rsidRDefault="35C5CC2C" w14:paraId="24BE7C17" w14:textId="0161C241">
      <w:pPr>
        <w:rPr>
          <w:rFonts w:ascii="Arial" w:hAnsi="Arial" w:eastAsia="Arial" w:cs="Arial"/>
          <w:b w:val="1"/>
          <w:bCs w:val="1"/>
          <w:sz w:val="22"/>
          <w:szCs w:val="22"/>
        </w:rPr>
      </w:pPr>
    </w:p>
    <w:p w:rsidR="35C5CC2C" w:rsidP="35C5CC2C" w:rsidRDefault="35C5CC2C" w14:paraId="04251708" w14:textId="2C993D83">
      <w:pPr>
        <w:rPr>
          <w:rFonts w:ascii="Arial" w:hAnsi="Arial" w:eastAsia="Arial" w:cs="Arial"/>
          <w:b w:val="1"/>
          <w:bCs w:val="1"/>
          <w:sz w:val="22"/>
          <w:szCs w:val="22"/>
        </w:rPr>
      </w:pPr>
    </w:p>
    <w:p w:rsidR="35C5CC2C" w:rsidP="35C5CC2C" w:rsidRDefault="35C5CC2C" w14:paraId="752CD56D" w14:textId="6CF633F0">
      <w:pPr>
        <w:rPr>
          <w:rFonts w:ascii="Arial" w:hAnsi="Arial" w:eastAsia="Arial" w:cs="Arial"/>
          <w:b w:val="1"/>
          <w:bCs w:val="1"/>
          <w:sz w:val="22"/>
          <w:szCs w:val="22"/>
        </w:rPr>
      </w:pPr>
    </w:p>
    <w:p w:rsidR="35C5CC2C" w:rsidP="35C5CC2C" w:rsidRDefault="35C5CC2C" w14:paraId="2D562F78" w14:textId="476BF42F">
      <w:pPr>
        <w:rPr>
          <w:rFonts w:ascii="Arial" w:hAnsi="Arial" w:eastAsia="Arial" w:cs="Arial"/>
          <w:b w:val="1"/>
          <w:bCs w:val="1"/>
          <w:sz w:val="22"/>
          <w:szCs w:val="22"/>
        </w:rPr>
      </w:pPr>
    </w:p>
    <w:p w:rsidR="35C5CC2C" w:rsidP="35C5CC2C" w:rsidRDefault="35C5CC2C" w14:paraId="14BDE377" w14:textId="371D3FBA">
      <w:pPr>
        <w:rPr>
          <w:rFonts w:ascii="Arial" w:hAnsi="Arial" w:eastAsia="Arial" w:cs="Arial"/>
          <w:b w:val="1"/>
          <w:bCs w:val="1"/>
          <w:sz w:val="22"/>
          <w:szCs w:val="22"/>
        </w:rPr>
      </w:pPr>
    </w:p>
    <w:p w:rsidR="35C5CC2C" w:rsidP="35C5CC2C" w:rsidRDefault="35C5CC2C" w14:paraId="24845402" w14:textId="5C45CFC9">
      <w:pPr>
        <w:rPr>
          <w:rFonts w:ascii="Arial" w:hAnsi="Arial" w:eastAsia="Arial" w:cs="Arial"/>
          <w:b w:val="1"/>
          <w:bCs w:val="1"/>
          <w:sz w:val="22"/>
          <w:szCs w:val="22"/>
        </w:rPr>
      </w:pPr>
    </w:p>
    <w:p w:rsidR="35C5CC2C" w:rsidP="35C5CC2C" w:rsidRDefault="35C5CC2C" w14:paraId="7685ADAC" w14:textId="1A8346C8">
      <w:pPr>
        <w:rPr>
          <w:rFonts w:ascii="Arial" w:hAnsi="Arial" w:eastAsia="Arial" w:cs="Arial"/>
          <w:b w:val="1"/>
          <w:bCs w:val="1"/>
          <w:sz w:val="22"/>
          <w:szCs w:val="22"/>
        </w:rPr>
      </w:pPr>
    </w:p>
    <w:p w:rsidR="35C5CC2C" w:rsidP="35C5CC2C" w:rsidRDefault="35C5CC2C" w14:paraId="7689A57D" w14:textId="14DBD960">
      <w:pPr>
        <w:rPr>
          <w:rFonts w:ascii="Arial" w:hAnsi="Arial" w:eastAsia="Arial" w:cs="Arial"/>
          <w:b w:val="1"/>
          <w:bCs w:val="1"/>
          <w:sz w:val="22"/>
          <w:szCs w:val="22"/>
        </w:rPr>
      </w:pPr>
    </w:p>
    <w:p w:rsidR="35C5CC2C" w:rsidP="35C5CC2C" w:rsidRDefault="35C5CC2C" w14:paraId="07C01D54" w14:textId="0F8921E4">
      <w:pPr>
        <w:rPr>
          <w:rFonts w:ascii="Arial" w:hAnsi="Arial" w:eastAsia="Arial" w:cs="Arial"/>
          <w:b w:val="1"/>
          <w:bCs w:val="1"/>
          <w:sz w:val="22"/>
          <w:szCs w:val="22"/>
        </w:rPr>
      </w:pPr>
    </w:p>
    <w:p w:rsidR="35C5CC2C" w:rsidP="35C5CC2C" w:rsidRDefault="35C5CC2C" w14:paraId="0A5F4467" w14:textId="77395FFA">
      <w:pPr>
        <w:rPr>
          <w:rFonts w:ascii="Arial" w:hAnsi="Arial" w:eastAsia="Arial" w:cs="Arial"/>
          <w:b w:val="1"/>
          <w:bCs w:val="1"/>
          <w:sz w:val="22"/>
          <w:szCs w:val="22"/>
        </w:rPr>
      </w:pPr>
    </w:p>
    <w:p w:rsidR="35C5CC2C" w:rsidP="35C5CC2C" w:rsidRDefault="35C5CC2C" w14:paraId="335E7B60" w14:textId="030FB130">
      <w:pPr>
        <w:rPr>
          <w:rFonts w:ascii="Arial" w:hAnsi="Arial" w:eastAsia="Arial" w:cs="Arial"/>
          <w:b w:val="1"/>
          <w:bCs w:val="1"/>
          <w:sz w:val="22"/>
          <w:szCs w:val="22"/>
        </w:rPr>
      </w:pPr>
    </w:p>
    <w:p w:rsidR="35C5CC2C" w:rsidP="35C5CC2C" w:rsidRDefault="35C5CC2C" w14:paraId="6AD23E3A" w14:textId="3EE00BA8">
      <w:pPr>
        <w:rPr>
          <w:rFonts w:ascii="Arial" w:hAnsi="Arial" w:eastAsia="Arial" w:cs="Arial"/>
          <w:b w:val="1"/>
          <w:bCs w:val="1"/>
          <w:sz w:val="22"/>
          <w:szCs w:val="22"/>
        </w:rPr>
      </w:pPr>
    </w:p>
    <w:p w:rsidR="35C5CC2C" w:rsidP="35C5CC2C" w:rsidRDefault="35C5CC2C" w14:paraId="2E486180" w14:textId="0D7DA88E">
      <w:pPr>
        <w:rPr>
          <w:rFonts w:ascii="Arial" w:hAnsi="Arial" w:eastAsia="Arial" w:cs="Arial"/>
          <w:b w:val="1"/>
          <w:bCs w:val="1"/>
          <w:sz w:val="22"/>
          <w:szCs w:val="22"/>
        </w:rPr>
      </w:pPr>
    </w:p>
    <w:p w:rsidR="35C5CC2C" w:rsidP="35C5CC2C" w:rsidRDefault="35C5CC2C" w14:paraId="5E8DF7EB" w14:textId="58BDA752">
      <w:pPr>
        <w:rPr>
          <w:rFonts w:ascii="Arial" w:hAnsi="Arial" w:eastAsia="Arial" w:cs="Arial"/>
          <w:b w:val="1"/>
          <w:bCs w:val="1"/>
          <w:sz w:val="22"/>
          <w:szCs w:val="22"/>
        </w:rPr>
      </w:pPr>
    </w:p>
    <w:p w:rsidR="35C5CC2C" w:rsidP="35C5CC2C" w:rsidRDefault="35C5CC2C" w14:paraId="39B4B2E3" w14:textId="370C5BC7">
      <w:pPr>
        <w:rPr>
          <w:rFonts w:ascii="Arial" w:hAnsi="Arial" w:eastAsia="Arial" w:cs="Arial"/>
          <w:b w:val="1"/>
          <w:bCs w:val="1"/>
          <w:sz w:val="22"/>
          <w:szCs w:val="22"/>
        </w:rPr>
      </w:pPr>
    </w:p>
    <w:p w:rsidR="35C5CC2C" w:rsidP="35C5CC2C" w:rsidRDefault="35C5CC2C" w14:paraId="3651111A" w14:textId="4EEB2F0F">
      <w:pPr>
        <w:rPr>
          <w:rFonts w:ascii="Arial" w:hAnsi="Arial" w:eastAsia="Arial" w:cs="Arial"/>
          <w:b w:val="1"/>
          <w:bCs w:val="1"/>
          <w:sz w:val="22"/>
          <w:szCs w:val="22"/>
        </w:rPr>
      </w:pPr>
    </w:p>
    <w:p w:rsidR="35C5CC2C" w:rsidP="35C5CC2C" w:rsidRDefault="35C5CC2C" w14:paraId="44DD38E9" w14:textId="21DF9423">
      <w:pPr>
        <w:rPr>
          <w:rFonts w:ascii="Arial" w:hAnsi="Arial" w:eastAsia="Arial" w:cs="Arial"/>
          <w:b w:val="1"/>
          <w:bCs w:val="1"/>
          <w:sz w:val="22"/>
          <w:szCs w:val="22"/>
        </w:rPr>
      </w:pPr>
    </w:p>
    <w:p w:rsidR="35C5CC2C" w:rsidP="35C5CC2C" w:rsidRDefault="35C5CC2C" w14:paraId="01D9DB93" w14:textId="34C42C1A">
      <w:pPr>
        <w:rPr>
          <w:rFonts w:ascii="Arial" w:hAnsi="Arial" w:eastAsia="Arial" w:cs="Arial"/>
          <w:b w:val="1"/>
          <w:bCs w:val="1"/>
          <w:sz w:val="22"/>
          <w:szCs w:val="22"/>
        </w:rPr>
      </w:pPr>
    </w:p>
    <w:p w:rsidR="35C5CC2C" w:rsidP="35C5CC2C" w:rsidRDefault="35C5CC2C" w14:paraId="5E18D094" w14:textId="37AF54F9">
      <w:pPr>
        <w:rPr>
          <w:rFonts w:ascii="Arial" w:hAnsi="Arial" w:eastAsia="Arial" w:cs="Arial"/>
          <w:b w:val="1"/>
          <w:bCs w:val="1"/>
          <w:sz w:val="22"/>
          <w:szCs w:val="22"/>
        </w:rPr>
      </w:pPr>
    </w:p>
    <w:p w:rsidR="35C5CC2C" w:rsidP="35C5CC2C" w:rsidRDefault="35C5CC2C" w14:paraId="3FB0BCB7" w14:textId="073DD1A7">
      <w:pPr>
        <w:rPr>
          <w:rFonts w:ascii="Arial" w:hAnsi="Arial" w:eastAsia="Arial" w:cs="Arial"/>
          <w:b w:val="1"/>
          <w:bCs w:val="1"/>
          <w:sz w:val="22"/>
          <w:szCs w:val="22"/>
        </w:rPr>
      </w:pPr>
    </w:p>
    <w:p w:rsidRPr="00071003" w:rsidR="00071003" w:rsidP="35C5CC2C" w:rsidRDefault="00071003" w14:paraId="0B48B9F7" w14:textId="0D5C7E5C">
      <w:pPr>
        <w:rPr>
          <w:rFonts w:ascii="Arial" w:hAnsi="Arial" w:eastAsia="Arial" w:cs="Arial"/>
          <w:b w:val="1"/>
          <w:bCs w:val="1"/>
          <w:sz w:val="22"/>
          <w:szCs w:val="22"/>
          <w:lang/>
        </w:rPr>
      </w:pPr>
      <w:r w:rsidRPr="35C5CC2C" w:rsidR="3FEF84A7">
        <w:rPr>
          <w:rFonts w:ascii="Arial" w:hAnsi="Arial" w:eastAsia="Arial" w:cs="Arial"/>
          <w:b w:val="1"/>
          <w:bCs w:val="1"/>
          <w:sz w:val="32"/>
          <w:szCs w:val="32"/>
        </w:rPr>
        <w:t>INTRODUCTION</w:t>
      </w:r>
    </w:p>
    <w:p w:rsidR="35C5CC2C" w:rsidP="35C5CC2C" w:rsidRDefault="35C5CC2C" w14:paraId="14F8E81D" w14:textId="06639CF4">
      <w:pPr>
        <w:rPr>
          <w:rFonts w:ascii="Arial" w:hAnsi="Arial" w:eastAsia="Arial" w:cs="Arial"/>
          <w:sz w:val="22"/>
          <w:szCs w:val="22"/>
        </w:rPr>
      </w:pPr>
    </w:p>
    <w:p w:rsidRPr="00071003" w:rsidR="00071003" w:rsidP="35C5CC2C" w:rsidRDefault="00071003" w14:paraId="0012F9EC" w14:textId="49C42345">
      <w:pPr>
        <w:spacing w:line="360" w:lineRule="auto"/>
        <w:jc w:val="both"/>
        <w:rPr>
          <w:rFonts w:ascii="Arial" w:hAnsi="Arial" w:eastAsia="Arial" w:cs="Arial"/>
          <w:sz w:val="22"/>
          <w:szCs w:val="22"/>
          <w:lang/>
        </w:rPr>
      </w:pPr>
      <w:r w:rsidRPr="35C5CC2C" w:rsidR="3FEF84A7">
        <w:rPr>
          <w:rFonts w:ascii="Arial" w:hAnsi="Arial" w:eastAsia="Arial" w:cs="Arial"/>
          <w:sz w:val="22"/>
          <w:szCs w:val="22"/>
        </w:rPr>
        <w:t xml:space="preserve">The United Nations Sustainable Development Goals (SDGs) provide a global framework for addressing major social, </w:t>
      </w:r>
      <w:r w:rsidRPr="35C5CC2C" w:rsidR="149EB4D0">
        <w:rPr>
          <w:rFonts w:ascii="Arial" w:hAnsi="Arial" w:eastAsia="Arial" w:cs="Arial"/>
          <w:sz w:val="22"/>
          <w:szCs w:val="22"/>
        </w:rPr>
        <w:t>economic,</w:t>
      </w:r>
      <w:r w:rsidRPr="35C5CC2C" w:rsidR="3FEF84A7">
        <w:rPr>
          <w:rFonts w:ascii="Arial" w:hAnsi="Arial" w:eastAsia="Arial" w:cs="Arial"/>
          <w:sz w:val="22"/>
          <w:szCs w:val="22"/>
        </w:rPr>
        <w:t xml:space="preserve"> and environmental challenges while promoting sustainable and </w:t>
      </w:r>
      <w:r w:rsidRPr="35C5CC2C" w:rsidR="3FEF84A7">
        <w:rPr>
          <w:rFonts w:ascii="Arial" w:hAnsi="Arial" w:eastAsia="Arial" w:cs="Arial"/>
          <w:sz w:val="22"/>
          <w:szCs w:val="22"/>
        </w:rPr>
        <w:t>equitable</w:t>
      </w:r>
      <w:r w:rsidRPr="35C5CC2C" w:rsidR="3FEF84A7">
        <w:rPr>
          <w:rFonts w:ascii="Arial" w:hAnsi="Arial" w:eastAsia="Arial" w:cs="Arial"/>
          <w:sz w:val="22"/>
          <w:szCs w:val="22"/>
        </w:rPr>
        <w:t xml:space="preserve"> development (United Nations, 2024). Among these goals, SDG 3 seeks to ensure healthy lives and promote wellbeing for all, </w:t>
      </w:r>
      <w:r w:rsidRPr="35C5CC2C" w:rsidR="3FEF84A7">
        <w:rPr>
          <w:rFonts w:ascii="Arial" w:hAnsi="Arial" w:eastAsia="Arial" w:cs="Arial"/>
          <w:sz w:val="22"/>
          <w:szCs w:val="22"/>
        </w:rPr>
        <w:t>whereas</w:t>
      </w:r>
      <w:r w:rsidRPr="35C5CC2C" w:rsidR="3FEF84A7">
        <w:rPr>
          <w:rFonts w:ascii="Arial" w:hAnsi="Arial" w:eastAsia="Arial" w:cs="Arial"/>
          <w:sz w:val="22"/>
          <w:szCs w:val="22"/>
        </w:rPr>
        <w:t xml:space="preserve"> SDG 10 aims to reduce inequalities within and between countries (United Nations, 2024). These goals are closely interconnected because poor health outcomes are </w:t>
      </w:r>
      <w:r w:rsidRPr="35C5CC2C" w:rsidR="3FEF84A7">
        <w:rPr>
          <w:rFonts w:ascii="Arial" w:hAnsi="Arial" w:eastAsia="Arial" w:cs="Arial"/>
          <w:sz w:val="22"/>
          <w:szCs w:val="22"/>
        </w:rPr>
        <w:t>frequently</w:t>
      </w:r>
      <w:r w:rsidRPr="35C5CC2C" w:rsidR="3FEF84A7">
        <w:rPr>
          <w:rFonts w:ascii="Arial" w:hAnsi="Arial" w:eastAsia="Arial" w:cs="Arial"/>
          <w:sz w:val="22"/>
          <w:szCs w:val="22"/>
        </w:rPr>
        <w:t xml:space="preserve"> associated with poverty, social </w:t>
      </w:r>
      <w:r w:rsidRPr="35C5CC2C" w:rsidR="5186D2FF">
        <w:rPr>
          <w:rFonts w:ascii="Arial" w:hAnsi="Arial" w:eastAsia="Arial" w:cs="Arial"/>
          <w:sz w:val="22"/>
          <w:szCs w:val="22"/>
        </w:rPr>
        <w:t>exclusion, discrimination</w:t>
      </w:r>
      <w:r w:rsidRPr="35C5CC2C" w:rsidR="0FABB63A">
        <w:rPr>
          <w:rFonts w:ascii="Arial" w:hAnsi="Arial" w:eastAsia="Arial" w:cs="Arial"/>
          <w:sz w:val="22"/>
          <w:szCs w:val="22"/>
        </w:rPr>
        <w:t>,</w:t>
      </w:r>
      <w:r w:rsidRPr="35C5CC2C" w:rsidR="3FEF84A7">
        <w:rPr>
          <w:rFonts w:ascii="Arial" w:hAnsi="Arial" w:eastAsia="Arial" w:cs="Arial"/>
          <w:sz w:val="22"/>
          <w:szCs w:val="22"/>
        </w:rPr>
        <w:t xml:space="preserve"> and unequal access to healthcare services (WHO, 2024; Marmot, 2020). Consequently, improving population health requires not only effective healthcare systems but also policies that address the wider determinants of health.</w:t>
      </w:r>
    </w:p>
    <w:p w:rsidRPr="00071003" w:rsidR="00071003" w:rsidP="35C5CC2C" w:rsidRDefault="00071003" w14:paraId="730A8742" w14:textId="39EE82ED">
      <w:pPr>
        <w:spacing w:line="360" w:lineRule="auto"/>
        <w:jc w:val="both"/>
        <w:rPr>
          <w:rFonts w:ascii="Arial" w:hAnsi="Arial" w:eastAsia="Arial" w:cs="Arial"/>
          <w:sz w:val="22"/>
          <w:szCs w:val="22"/>
          <w:lang/>
        </w:rPr>
      </w:pPr>
      <w:r w:rsidRPr="35C5CC2C" w:rsidR="3FEF84A7">
        <w:rPr>
          <w:rFonts w:ascii="Arial" w:hAnsi="Arial" w:eastAsia="Arial" w:cs="Arial"/>
          <w:sz w:val="22"/>
          <w:szCs w:val="22"/>
        </w:rPr>
        <w:t xml:space="preserve">This report critically examines current health, wellbeing and sustainability policies and initiatives related to SDG 3 and SDG 10 at global, </w:t>
      </w:r>
      <w:r w:rsidRPr="35C5CC2C" w:rsidR="2AA439F5">
        <w:rPr>
          <w:rFonts w:ascii="Arial" w:hAnsi="Arial" w:eastAsia="Arial" w:cs="Arial"/>
          <w:sz w:val="22"/>
          <w:szCs w:val="22"/>
        </w:rPr>
        <w:t>national,</w:t>
      </w:r>
      <w:r w:rsidRPr="35C5CC2C" w:rsidR="3FEF84A7">
        <w:rPr>
          <w:rFonts w:ascii="Arial" w:hAnsi="Arial" w:eastAsia="Arial" w:cs="Arial"/>
          <w:sz w:val="22"/>
          <w:szCs w:val="22"/>
        </w:rPr>
        <w:t xml:space="preserve"> and local levels. The report evaluates international frameworks developed by organisations such as the World Health Organization and the United Nations, alongside UK policies including the NHS Long Term Plan and Core20PLUS5 (NHS England, 2024; WHO, 2022). It also applies behavioural and public health theories, particularly the Health Belief Model and Social Cognitive Theory, to explore how policies and interventions encourage healthier behaviours and reduce inequalities (Glanz et al., 2015). By critically analysing available qualitative and quantitative evidence, the report assesses achievements, </w:t>
      </w:r>
      <w:r w:rsidRPr="35C5CC2C" w:rsidR="2E802EE7">
        <w:rPr>
          <w:rFonts w:ascii="Arial" w:hAnsi="Arial" w:eastAsia="Arial" w:cs="Arial"/>
          <w:sz w:val="22"/>
          <w:szCs w:val="22"/>
        </w:rPr>
        <w:t>limitations,</w:t>
      </w:r>
      <w:r w:rsidRPr="35C5CC2C" w:rsidR="3FEF84A7">
        <w:rPr>
          <w:rFonts w:ascii="Arial" w:hAnsi="Arial" w:eastAsia="Arial" w:cs="Arial"/>
          <w:sz w:val="22"/>
          <w:szCs w:val="22"/>
        </w:rPr>
        <w:t xml:space="preserve"> and future recommendations for creating healthier, more </w:t>
      </w:r>
      <w:r w:rsidRPr="35C5CC2C" w:rsidR="3FEF84A7">
        <w:rPr>
          <w:rFonts w:ascii="Arial" w:hAnsi="Arial" w:eastAsia="Arial" w:cs="Arial"/>
          <w:sz w:val="22"/>
          <w:szCs w:val="22"/>
        </w:rPr>
        <w:t>equitable</w:t>
      </w:r>
      <w:r w:rsidRPr="35C5CC2C" w:rsidR="3FEF84A7">
        <w:rPr>
          <w:rFonts w:ascii="Arial" w:hAnsi="Arial" w:eastAsia="Arial" w:cs="Arial"/>
          <w:sz w:val="22"/>
          <w:szCs w:val="22"/>
        </w:rPr>
        <w:t xml:space="preserve"> and sustainable communities.</w:t>
      </w:r>
    </w:p>
    <w:p w:rsidRPr="00071003" w:rsidR="00071003" w:rsidP="35C5CC2C" w:rsidRDefault="00071003" w14:paraId="75F3D57A" w14:textId="77777777">
      <w:pPr>
        <w:rPr>
          <w:rFonts w:ascii="Arial" w:hAnsi="Arial" w:eastAsia="Arial" w:cs="Arial"/>
          <w:sz w:val="22"/>
          <w:szCs w:val="22"/>
          <w:lang/>
        </w:rPr>
      </w:pPr>
    </w:p>
    <w:p w:rsidRPr="00071003" w:rsidR="00071003" w:rsidP="35C5CC2C" w:rsidRDefault="00071003" w14:paraId="2651A388" w14:textId="77777777">
      <w:pPr>
        <w:rPr>
          <w:rFonts w:ascii="Arial" w:hAnsi="Arial" w:eastAsia="Arial" w:cs="Arial"/>
          <w:b w:val="1"/>
          <w:bCs w:val="1"/>
          <w:sz w:val="22"/>
          <w:szCs w:val="22"/>
          <w:lang/>
        </w:rPr>
      </w:pPr>
      <w:r w:rsidRPr="35C5CC2C" w:rsidR="3FEF84A7">
        <w:rPr>
          <w:rFonts w:ascii="Arial" w:hAnsi="Arial" w:eastAsia="Arial" w:cs="Arial"/>
          <w:b w:val="1"/>
          <w:bCs w:val="1"/>
          <w:sz w:val="32"/>
          <w:szCs w:val="32"/>
        </w:rPr>
        <w:t>SDG 3 – GOOD HEALTH AND WELLBEING</w:t>
      </w:r>
    </w:p>
    <w:p w:rsidR="35C5CC2C" w:rsidP="35C5CC2C" w:rsidRDefault="35C5CC2C" w14:paraId="4A197D92" w14:textId="1C996D4D">
      <w:pPr>
        <w:rPr>
          <w:rFonts w:ascii="Arial" w:hAnsi="Arial" w:eastAsia="Arial" w:cs="Arial"/>
          <w:sz w:val="22"/>
          <w:szCs w:val="22"/>
        </w:rPr>
      </w:pPr>
    </w:p>
    <w:p w:rsidRPr="00071003" w:rsidR="00071003" w:rsidP="35C5CC2C" w:rsidRDefault="00071003" w14:paraId="24FB55C6" w14:textId="20D6A52D">
      <w:pPr>
        <w:spacing w:line="360" w:lineRule="auto"/>
        <w:jc w:val="both"/>
        <w:rPr>
          <w:rFonts w:ascii="Arial" w:hAnsi="Arial" w:eastAsia="Arial" w:cs="Arial"/>
          <w:sz w:val="22"/>
          <w:szCs w:val="22"/>
          <w:lang/>
        </w:rPr>
      </w:pPr>
      <w:r w:rsidRPr="35C5CC2C" w:rsidR="3FEF84A7">
        <w:rPr>
          <w:rFonts w:ascii="Arial" w:hAnsi="Arial" w:eastAsia="Arial" w:cs="Arial"/>
          <w:sz w:val="22"/>
          <w:szCs w:val="22"/>
        </w:rPr>
        <w:t xml:space="preserve">Sustainable Development Goal 3 (SDG 3) aims to ensure healthy lives and promote wellbeing for all at all ages. The goal includes targets such as reducing premature mortality from non-communicable diseases, improving mental health, strengthening prevention and treatment services, and achieving universal health coverage (United Nations, 2024). SDG 3 is significant because health is both a fundamental human right and a key driver of economic productivity, social </w:t>
      </w:r>
      <w:r w:rsidRPr="35C5CC2C" w:rsidR="33E21B72">
        <w:rPr>
          <w:rFonts w:ascii="Arial" w:hAnsi="Arial" w:eastAsia="Arial" w:cs="Arial"/>
          <w:sz w:val="22"/>
          <w:szCs w:val="22"/>
        </w:rPr>
        <w:t>stability,</w:t>
      </w:r>
      <w:r w:rsidRPr="35C5CC2C" w:rsidR="3FEF84A7">
        <w:rPr>
          <w:rFonts w:ascii="Arial" w:hAnsi="Arial" w:eastAsia="Arial" w:cs="Arial"/>
          <w:sz w:val="22"/>
          <w:szCs w:val="22"/>
        </w:rPr>
        <w:t xml:space="preserve"> and sustainable development (WHO, 2024). However, despite progress in areas such as disease prevention and life expectancy, significant challenges </w:t>
      </w:r>
      <w:r w:rsidRPr="35C5CC2C" w:rsidR="3FEF84A7">
        <w:rPr>
          <w:rFonts w:ascii="Arial" w:hAnsi="Arial" w:eastAsia="Arial" w:cs="Arial"/>
          <w:sz w:val="22"/>
          <w:szCs w:val="22"/>
        </w:rPr>
        <w:t>remain</w:t>
      </w:r>
      <w:r w:rsidRPr="35C5CC2C" w:rsidR="3FEF84A7">
        <w:rPr>
          <w:rFonts w:ascii="Arial" w:hAnsi="Arial" w:eastAsia="Arial" w:cs="Arial"/>
          <w:sz w:val="22"/>
          <w:szCs w:val="22"/>
        </w:rPr>
        <w:t>, including widening health inequalities, increasing mental health needs and pressures on health systems worldwide (Aftab et al., 2020).</w:t>
      </w:r>
    </w:p>
    <w:p w:rsidRPr="00071003" w:rsidR="00071003" w:rsidP="35C5CC2C" w:rsidRDefault="00071003" w14:paraId="59165DB4" w14:textId="7E693DBD">
      <w:pPr>
        <w:spacing w:line="360" w:lineRule="auto"/>
        <w:jc w:val="both"/>
        <w:rPr>
          <w:rFonts w:ascii="Arial" w:hAnsi="Arial" w:eastAsia="Arial" w:cs="Arial"/>
          <w:sz w:val="22"/>
          <w:szCs w:val="22"/>
          <w:lang/>
        </w:rPr>
      </w:pPr>
      <w:r w:rsidRPr="35C5CC2C" w:rsidR="3FEF84A7">
        <w:rPr>
          <w:rFonts w:ascii="Arial" w:hAnsi="Arial" w:eastAsia="Arial" w:cs="Arial"/>
          <w:sz w:val="22"/>
          <w:szCs w:val="22"/>
        </w:rPr>
        <w:t xml:space="preserve">At the global level, the World Health Organization’s Universal Health Coverage (UHC) agenda and the WHO Global Action Plan for the Prevention and Control of Noncommunicable Diseases are major initiatives supporting SDG 3 (WHO, 2023). These policies have encouraged countries to invest in preventive healthcare, </w:t>
      </w:r>
      <w:r w:rsidRPr="35C5CC2C" w:rsidR="3FEF84A7">
        <w:rPr>
          <w:rFonts w:ascii="Arial" w:hAnsi="Arial" w:eastAsia="Arial" w:cs="Arial"/>
          <w:sz w:val="22"/>
          <w:szCs w:val="22"/>
        </w:rPr>
        <w:t xml:space="preserve">vaccination </w:t>
      </w:r>
      <w:r w:rsidRPr="35C5CC2C" w:rsidR="0CBC0E7B">
        <w:rPr>
          <w:rFonts w:ascii="Arial" w:hAnsi="Arial" w:eastAsia="Arial" w:cs="Arial"/>
          <w:sz w:val="22"/>
          <w:szCs w:val="22"/>
        </w:rPr>
        <w:t>programmes,</w:t>
      </w:r>
      <w:r w:rsidRPr="35C5CC2C" w:rsidR="3FEF84A7">
        <w:rPr>
          <w:rFonts w:ascii="Arial" w:hAnsi="Arial" w:eastAsia="Arial" w:cs="Arial"/>
          <w:sz w:val="22"/>
          <w:szCs w:val="22"/>
        </w:rPr>
        <w:t xml:space="preserve"> and stronger primary care systems. A major strength of these initiatives is their emphasis on equity and prevention, which can reduce avoidable illness, improve population health and lower long-term healthcare costs. Evidence shows that preventive public health interventions, including vaccination programmes and health promotion strategies, contribute </w:t>
      </w:r>
      <w:bookmarkStart w:name="_Int_ON37GQPe" w:id="1526102908"/>
      <w:r w:rsidRPr="35C5CC2C" w:rsidR="3FEF84A7">
        <w:rPr>
          <w:rFonts w:ascii="Arial" w:hAnsi="Arial" w:eastAsia="Arial" w:cs="Arial"/>
          <w:sz w:val="22"/>
          <w:szCs w:val="22"/>
        </w:rPr>
        <w:t>substantially to</w:t>
      </w:r>
      <w:bookmarkEnd w:id="1526102908"/>
      <w:r w:rsidRPr="35C5CC2C" w:rsidR="3FEF84A7">
        <w:rPr>
          <w:rFonts w:ascii="Arial" w:hAnsi="Arial" w:eastAsia="Arial" w:cs="Arial"/>
          <w:sz w:val="22"/>
          <w:szCs w:val="22"/>
        </w:rPr>
        <w:t xml:space="preserve"> reduced mortality, improved life </w:t>
      </w:r>
      <w:r w:rsidRPr="35C5CC2C" w:rsidR="4E285A92">
        <w:rPr>
          <w:rFonts w:ascii="Arial" w:hAnsi="Arial" w:eastAsia="Arial" w:cs="Arial"/>
          <w:sz w:val="22"/>
          <w:szCs w:val="22"/>
        </w:rPr>
        <w:t>expectancy,</w:t>
      </w:r>
      <w:r w:rsidRPr="35C5CC2C" w:rsidR="3FEF84A7">
        <w:rPr>
          <w:rFonts w:ascii="Arial" w:hAnsi="Arial" w:eastAsia="Arial" w:cs="Arial"/>
          <w:sz w:val="22"/>
          <w:szCs w:val="22"/>
        </w:rPr>
        <w:t xml:space="preserve"> and better population health outcomes (Van </w:t>
      </w:r>
      <w:r w:rsidRPr="35C5CC2C" w:rsidR="3FEF84A7">
        <w:rPr>
          <w:rFonts w:ascii="Arial" w:hAnsi="Arial" w:eastAsia="Arial" w:cs="Arial"/>
          <w:sz w:val="22"/>
          <w:szCs w:val="22"/>
        </w:rPr>
        <w:t>Weel</w:t>
      </w:r>
      <w:r w:rsidRPr="35C5CC2C" w:rsidR="3FEF84A7">
        <w:rPr>
          <w:rFonts w:ascii="Arial" w:hAnsi="Arial" w:eastAsia="Arial" w:cs="Arial"/>
          <w:sz w:val="22"/>
          <w:szCs w:val="22"/>
        </w:rPr>
        <w:t xml:space="preserve"> and Kidd, 2018; Glanz et al., 2015). </w:t>
      </w:r>
      <w:r w:rsidRPr="35C5CC2C" w:rsidR="24791C4F">
        <w:rPr>
          <w:rFonts w:ascii="Arial" w:hAnsi="Arial" w:eastAsia="Arial" w:cs="Arial"/>
          <w:sz w:val="22"/>
          <w:szCs w:val="22"/>
        </w:rPr>
        <w:t>Nevertheless,</w:t>
      </w:r>
      <w:r w:rsidRPr="35C5CC2C" w:rsidR="3FEF84A7">
        <w:rPr>
          <w:rFonts w:ascii="Arial" w:hAnsi="Arial" w:eastAsia="Arial" w:cs="Arial"/>
          <w:sz w:val="22"/>
          <w:szCs w:val="22"/>
        </w:rPr>
        <w:t xml:space="preserve"> implementation has been uneven as Low-income and middle-income countries continue to face insufficient healthcare funding, shortages of trained professionals and limited access to essential medicines (WHO, 2023). Furthermore, critics argue that the ambitious targets of SDG 3 are difficult to achieve without broader action on poverty, </w:t>
      </w:r>
      <w:r w:rsidRPr="35C5CC2C" w:rsidR="1E951917">
        <w:rPr>
          <w:rFonts w:ascii="Arial" w:hAnsi="Arial" w:eastAsia="Arial" w:cs="Arial"/>
          <w:sz w:val="22"/>
          <w:szCs w:val="22"/>
        </w:rPr>
        <w:t>education,</w:t>
      </w:r>
      <w:r w:rsidRPr="35C5CC2C" w:rsidR="3FEF84A7">
        <w:rPr>
          <w:rFonts w:ascii="Arial" w:hAnsi="Arial" w:eastAsia="Arial" w:cs="Arial"/>
          <w:sz w:val="22"/>
          <w:szCs w:val="22"/>
        </w:rPr>
        <w:t xml:space="preserve"> and housing, </w:t>
      </w:r>
      <w:r w:rsidRPr="35C5CC2C" w:rsidR="3FEF84A7">
        <w:rPr>
          <w:rFonts w:ascii="Arial" w:hAnsi="Arial" w:eastAsia="Arial" w:cs="Arial"/>
          <w:sz w:val="22"/>
          <w:szCs w:val="22"/>
        </w:rPr>
        <w:t>demonstrating</w:t>
      </w:r>
      <w:r w:rsidRPr="35C5CC2C" w:rsidR="3FEF84A7">
        <w:rPr>
          <w:rFonts w:ascii="Arial" w:hAnsi="Arial" w:eastAsia="Arial" w:cs="Arial"/>
          <w:sz w:val="22"/>
          <w:szCs w:val="22"/>
        </w:rPr>
        <w:t xml:space="preserve"> that health cannot be separated from other social determinants (Marmot, 2020).</w:t>
      </w:r>
    </w:p>
    <w:p w:rsidRPr="00071003" w:rsidR="00071003" w:rsidP="35C5CC2C" w:rsidRDefault="00071003" w14:paraId="4A1594E3" w14:textId="2B7610D2">
      <w:pPr>
        <w:spacing w:line="360" w:lineRule="auto"/>
        <w:jc w:val="both"/>
        <w:rPr>
          <w:rFonts w:ascii="Arial" w:hAnsi="Arial" w:eastAsia="Arial" w:cs="Arial"/>
          <w:sz w:val="22"/>
          <w:szCs w:val="22"/>
          <w:lang/>
        </w:rPr>
      </w:pPr>
      <w:r w:rsidRPr="35C5CC2C" w:rsidR="3FEF84A7">
        <w:rPr>
          <w:rFonts w:ascii="Arial" w:hAnsi="Arial" w:eastAsia="Arial" w:cs="Arial"/>
          <w:sz w:val="22"/>
          <w:szCs w:val="22"/>
        </w:rPr>
        <w:t xml:space="preserve">In the UK, the NHS Long Term Plan </w:t>
      </w:r>
      <w:r w:rsidRPr="35C5CC2C" w:rsidR="3FEF84A7">
        <w:rPr>
          <w:rFonts w:ascii="Arial" w:hAnsi="Arial" w:eastAsia="Arial" w:cs="Arial"/>
          <w:sz w:val="22"/>
          <w:szCs w:val="22"/>
        </w:rPr>
        <w:t>represents</w:t>
      </w:r>
      <w:r w:rsidRPr="35C5CC2C" w:rsidR="3FEF84A7">
        <w:rPr>
          <w:rFonts w:ascii="Arial" w:hAnsi="Arial" w:eastAsia="Arial" w:cs="Arial"/>
          <w:sz w:val="22"/>
          <w:szCs w:val="22"/>
        </w:rPr>
        <w:t xml:space="preserve"> one of the most important national policies aligned with SDG 3 (</w:t>
      </w:r>
      <w:r w:rsidRPr="35C5CC2C" w:rsidR="3FEF84A7">
        <w:rPr>
          <w:rFonts w:ascii="Arial" w:hAnsi="Arial" w:eastAsia="Arial" w:cs="Arial"/>
          <w:sz w:val="22"/>
          <w:szCs w:val="22"/>
        </w:rPr>
        <w:t>Alderwick</w:t>
      </w:r>
      <w:r w:rsidRPr="35C5CC2C" w:rsidR="3FEF84A7">
        <w:rPr>
          <w:rFonts w:ascii="Arial" w:hAnsi="Arial" w:eastAsia="Arial" w:cs="Arial"/>
          <w:sz w:val="22"/>
          <w:szCs w:val="22"/>
        </w:rPr>
        <w:t xml:space="preserve"> and Dixon, 2019). The plan prioritises prevention, personalised care, mental health </w:t>
      </w:r>
      <w:r w:rsidRPr="35C5CC2C" w:rsidR="2A3FF5C4">
        <w:rPr>
          <w:rFonts w:ascii="Arial" w:hAnsi="Arial" w:eastAsia="Arial" w:cs="Arial"/>
          <w:sz w:val="22"/>
          <w:szCs w:val="22"/>
        </w:rPr>
        <w:t>services,</w:t>
      </w:r>
      <w:r w:rsidRPr="35C5CC2C" w:rsidR="3FEF84A7">
        <w:rPr>
          <w:rFonts w:ascii="Arial" w:hAnsi="Arial" w:eastAsia="Arial" w:cs="Arial"/>
          <w:sz w:val="22"/>
          <w:szCs w:val="22"/>
        </w:rPr>
        <w:t xml:space="preserve"> and reducing health inequalities. Initiatives such as the NHS Diabetes Prevention Programme (NDPP), expanded mental health support and social prescribing aim to improve population wellbeing while reducing pressure on hospitals (Davies, 2024). Evidence suggests that the NDPP has achieved large-scale reach, with participants experiencing reductions in weight and HbA1c levels, </w:t>
      </w:r>
      <w:r w:rsidRPr="35C5CC2C" w:rsidR="3FEF84A7">
        <w:rPr>
          <w:rFonts w:ascii="Arial" w:hAnsi="Arial" w:eastAsia="Arial" w:cs="Arial"/>
          <w:sz w:val="22"/>
          <w:szCs w:val="22"/>
        </w:rPr>
        <w:t>indicating</w:t>
      </w:r>
      <w:r w:rsidRPr="35C5CC2C" w:rsidR="3FEF84A7">
        <w:rPr>
          <w:rFonts w:ascii="Arial" w:hAnsi="Arial" w:eastAsia="Arial" w:cs="Arial"/>
          <w:sz w:val="22"/>
          <w:szCs w:val="22"/>
        </w:rPr>
        <w:t xml:space="preserve"> a lower risk of developing Type 2 diabetes (Valabhji et al., 2020; Koning et al., 2023). The programme therefore demonstrates how preventive interventions can improve health outcomes and support sustainability by reducing future healthcare demand. However, national progress </w:t>
      </w:r>
      <w:r w:rsidRPr="35C5CC2C" w:rsidR="3FEF84A7">
        <w:rPr>
          <w:rFonts w:ascii="Arial" w:hAnsi="Arial" w:eastAsia="Arial" w:cs="Arial"/>
          <w:sz w:val="22"/>
          <w:szCs w:val="22"/>
        </w:rPr>
        <w:t>remains</w:t>
      </w:r>
      <w:r w:rsidRPr="35C5CC2C" w:rsidR="3FEF84A7">
        <w:rPr>
          <w:rFonts w:ascii="Arial" w:hAnsi="Arial" w:eastAsia="Arial" w:cs="Arial"/>
          <w:sz w:val="22"/>
          <w:szCs w:val="22"/>
        </w:rPr>
        <w:t xml:space="preserve"> mixed as long waiting times, workforce pressures and persistent regional inequalities continue to affect access to care, while disadvantaged communities often experience poorer health outcomes despite the UK's universal healthcare system (</w:t>
      </w:r>
      <w:r w:rsidRPr="35C5CC2C" w:rsidR="3FEF84A7">
        <w:rPr>
          <w:rFonts w:ascii="Arial" w:hAnsi="Arial" w:eastAsia="Arial" w:cs="Arial"/>
          <w:sz w:val="22"/>
          <w:szCs w:val="22"/>
        </w:rPr>
        <w:t>Alderwick</w:t>
      </w:r>
      <w:r w:rsidRPr="35C5CC2C" w:rsidR="3FEF84A7">
        <w:rPr>
          <w:rFonts w:ascii="Arial" w:hAnsi="Arial" w:eastAsia="Arial" w:cs="Arial"/>
          <w:sz w:val="22"/>
          <w:szCs w:val="22"/>
        </w:rPr>
        <w:t xml:space="preserve"> and Dixon, 2019; Marmot, 2020). This highlights a key limitation of SDG 3 implementation: policies may be well designed, but their effectiveness depends on adequate resources and workforce capacity.</w:t>
      </w:r>
    </w:p>
    <w:p w:rsidRPr="00071003" w:rsidR="00071003" w:rsidP="35C5CC2C" w:rsidRDefault="00071003" w14:paraId="38FDA1C8" w14:textId="63EED55C">
      <w:pPr>
        <w:spacing w:line="360" w:lineRule="auto"/>
        <w:jc w:val="both"/>
        <w:rPr>
          <w:rFonts w:ascii="Arial" w:hAnsi="Arial" w:eastAsia="Arial" w:cs="Arial"/>
          <w:sz w:val="22"/>
          <w:szCs w:val="22"/>
          <w:lang/>
        </w:rPr>
      </w:pPr>
      <w:r w:rsidRPr="35C5CC2C" w:rsidR="3FEF84A7">
        <w:rPr>
          <w:rFonts w:ascii="Arial" w:hAnsi="Arial" w:eastAsia="Arial" w:cs="Arial"/>
          <w:sz w:val="22"/>
          <w:szCs w:val="22"/>
        </w:rPr>
        <w:t xml:space="preserve">At the local level, Integrated Care Systems (ICSs), public health </w:t>
      </w:r>
      <w:r w:rsidRPr="35C5CC2C" w:rsidR="5AC5C915">
        <w:rPr>
          <w:rFonts w:ascii="Arial" w:hAnsi="Arial" w:eastAsia="Arial" w:cs="Arial"/>
          <w:sz w:val="22"/>
          <w:szCs w:val="22"/>
        </w:rPr>
        <w:t>teams,</w:t>
      </w:r>
      <w:r w:rsidRPr="35C5CC2C" w:rsidR="3FEF84A7">
        <w:rPr>
          <w:rFonts w:ascii="Arial" w:hAnsi="Arial" w:eastAsia="Arial" w:cs="Arial"/>
          <w:sz w:val="22"/>
          <w:szCs w:val="22"/>
        </w:rPr>
        <w:t xml:space="preserve"> and community organisations play a crucial role in delivering SDG 3 </w:t>
      </w:r>
      <w:r w:rsidRPr="35C5CC2C" w:rsidR="3FEF84A7">
        <w:rPr>
          <w:rFonts w:ascii="Arial" w:hAnsi="Arial" w:eastAsia="Arial" w:cs="Arial"/>
          <w:sz w:val="22"/>
          <w:szCs w:val="22"/>
        </w:rPr>
        <w:t>objectives</w:t>
      </w:r>
      <w:r w:rsidRPr="35C5CC2C" w:rsidR="3FEF84A7">
        <w:rPr>
          <w:rFonts w:ascii="Arial" w:hAnsi="Arial" w:eastAsia="Arial" w:cs="Arial"/>
          <w:sz w:val="22"/>
          <w:szCs w:val="22"/>
        </w:rPr>
        <w:t xml:space="preserve"> by coordinating services, supporting </w:t>
      </w:r>
      <w:r w:rsidRPr="35C5CC2C" w:rsidR="362A89CC">
        <w:rPr>
          <w:rFonts w:ascii="Arial" w:hAnsi="Arial" w:eastAsia="Arial" w:cs="Arial"/>
          <w:sz w:val="22"/>
          <w:szCs w:val="22"/>
        </w:rPr>
        <w:t>prevention,</w:t>
      </w:r>
      <w:r w:rsidRPr="35C5CC2C" w:rsidR="3FEF84A7">
        <w:rPr>
          <w:rFonts w:ascii="Arial" w:hAnsi="Arial" w:eastAsia="Arial" w:cs="Arial"/>
          <w:sz w:val="22"/>
          <w:szCs w:val="22"/>
        </w:rPr>
        <w:t xml:space="preserve"> and addressing local population health needs (Humphries, 2015). Local initiatives include smoking cessation services, community exercise programmes, mental health support </w:t>
      </w:r>
      <w:r w:rsidRPr="35C5CC2C" w:rsidR="2EAF1B7D">
        <w:rPr>
          <w:rFonts w:ascii="Arial" w:hAnsi="Arial" w:eastAsia="Arial" w:cs="Arial"/>
          <w:sz w:val="22"/>
          <w:szCs w:val="22"/>
        </w:rPr>
        <w:t>groups,</w:t>
      </w:r>
      <w:r w:rsidRPr="35C5CC2C" w:rsidR="3FEF84A7">
        <w:rPr>
          <w:rFonts w:ascii="Arial" w:hAnsi="Arial" w:eastAsia="Arial" w:cs="Arial"/>
          <w:sz w:val="22"/>
          <w:szCs w:val="22"/>
        </w:rPr>
        <w:t xml:space="preserve"> and Making Every Contact Count (MECC). These interventions are valuable because they are often tailored to the needs of local populations and can address issues such as loneliness, </w:t>
      </w:r>
      <w:r w:rsidRPr="35C5CC2C" w:rsidR="00C75BF1">
        <w:rPr>
          <w:rFonts w:ascii="Arial" w:hAnsi="Arial" w:eastAsia="Arial" w:cs="Arial"/>
          <w:sz w:val="22"/>
          <w:szCs w:val="22"/>
        </w:rPr>
        <w:t>obesity,</w:t>
      </w:r>
      <w:r w:rsidRPr="35C5CC2C" w:rsidR="3FEF84A7">
        <w:rPr>
          <w:rFonts w:ascii="Arial" w:hAnsi="Arial" w:eastAsia="Arial" w:cs="Arial"/>
          <w:sz w:val="22"/>
          <w:szCs w:val="22"/>
        </w:rPr>
        <w:t xml:space="preserve"> and physical inactivity. From my experience as a social healthcare worker, I have </w:t>
      </w:r>
      <w:r w:rsidRPr="35C5CC2C" w:rsidR="3FEF84A7">
        <w:rPr>
          <w:rFonts w:ascii="Arial" w:hAnsi="Arial" w:eastAsia="Arial" w:cs="Arial"/>
          <w:sz w:val="22"/>
          <w:szCs w:val="22"/>
        </w:rPr>
        <w:t>observed</w:t>
      </w:r>
      <w:r w:rsidRPr="35C5CC2C" w:rsidR="3FEF84A7">
        <w:rPr>
          <w:rFonts w:ascii="Arial" w:hAnsi="Arial" w:eastAsia="Arial" w:cs="Arial"/>
          <w:sz w:val="22"/>
          <w:szCs w:val="22"/>
        </w:rPr>
        <w:t xml:space="preserve"> that multidisciplinary working between social care staff, nurses, </w:t>
      </w:r>
      <w:r w:rsidRPr="35C5CC2C" w:rsidR="05A2C3A4">
        <w:rPr>
          <w:rFonts w:ascii="Arial" w:hAnsi="Arial" w:eastAsia="Arial" w:cs="Arial"/>
          <w:sz w:val="22"/>
          <w:szCs w:val="22"/>
        </w:rPr>
        <w:t>therapists,</w:t>
      </w:r>
      <w:r w:rsidRPr="35C5CC2C" w:rsidR="3FEF84A7">
        <w:rPr>
          <w:rFonts w:ascii="Arial" w:hAnsi="Arial" w:eastAsia="Arial" w:cs="Arial"/>
          <w:sz w:val="22"/>
          <w:szCs w:val="22"/>
        </w:rPr>
        <w:t xml:space="preserve"> and community services can significantly improve continuity of care and support individuals to </w:t>
      </w:r>
      <w:r w:rsidRPr="35C5CC2C" w:rsidR="3FEF84A7">
        <w:rPr>
          <w:rFonts w:ascii="Arial" w:hAnsi="Arial" w:eastAsia="Arial" w:cs="Arial"/>
          <w:sz w:val="22"/>
          <w:szCs w:val="22"/>
        </w:rPr>
        <w:t>maintain</w:t>
      </w:r>
      <w:r w:rsidRPr="35C5CC2C" w:rsidR="3FEF84A7">
        <w:rPr>
          <w:rFonts w:ascii="Arial" w:hAnsi="Arial" w:eastAsia="Arial" w:cs="Arial"/>
          <w:sz w:val="22"/>
          <w:szCs w:val="22"/>
        </w:rPr>
        <w:t xml:space="preserve"> independence. However, local services </w:t>
      </w:r>
      <w:r w:rsidRPr="35C5CC2C" w:rsidR="3FEF84A7">
        <w:rPr>
          <w:rFonts w:ascii="Arial" w:hAnsi="Arial" w:eastAsia="Arial" w:cs="Arial"/>
          <w:sz w:val="22"/>
          <w:szCs w:val="22"/>
        </w:rPr>
        <w:t>frequently</w:t>
      </w:r>
      <w:r w:rsidRPr="35C5CC2C" w:rsidR="3FEF84A7">
        <w:rPr>
          <w:rFonts w:ascii="Arial" w:hAnsi="Arial" w:eastAsia="Arial" w:cs="Arial"/>
          <w:sz w:val="22"/>
          <w:szCs w:val="22"/>
        </w:rPr>
        <w:t xml:space="preserve"> face financial pressures, variations in service availability and digital exclusion, which can prevent some individuals from </w:t>
      </w:r>
      <w:r w:rsidRPr="35C5CC2C" w:rsidR="3FEF84A7">
        <w:rPr>
          <w:rFonts w:ascii="Arial" w:hAnsi="Arial" w:eastAsia="Arial" w:cs="Arial"/>
          <w:sz w:val="22"/>
          <w:szCs w:val="22"/>
        </w:rPr>
        <w:t xml:space="preserve">accessing support (Marmot, 2020). Consequently, the quality of local implementation can vary </w:t>
      </w:r>
      <w:r w:rsidRPr="35C5CC2C" w:rsidR="6739C145">
        <w:rPr>
          <w:rFonts w:ascii="Arial" w:hAnsi="Arial" w:eastAsia="Arial" w:cs="Arial"/>
          <w:sz w:val="22"/>
          <w:szCs w:val="22"/>
        </w:rPr>
        <w:t>between</w:t>
      </w:r>
      <w:r w:rsidRPr="35C5CC2C" w:rsidR="3FEF84A7">
        <w:rPr>
          <w:rFonts w:ascii="Arial" w:hAnsi="Arial" w:eastAsia="Arial" w:cs="Arial"/>
          <w:sz w:val="22"/>
          <w:szCs w:val="22"/>
        </w:rPr>
        <w:t xml:space="preserve"> areas.</w:t>
      </w:r>
    </w:p>
    <w:p w:rsidRPr="00071003" w:rsidR="00071003" w:rsidP="35C5CC2C" w:rsidRDefault="00071003" w14:paraId="75343CE9" w14:textId="79F06549">
      <w:pPr>
        <w:spacing w:line="360" w:lineRule="auto"/>
        <w:jc w:val="both"/>
        <w:rPr>
          <w:rFonts w:ascii="Arial" w:hAnsi="Arial" w:eastAsia="Arial" w:cs="Arial"/>
          <w:sz w:val="22"/>
          <w:szCs w:val="22"/>
          <w:lang/>
        </w:rPr>
      </w:pPr>
      <w:r w:rsidRPr="35C5CC2C" w:rsidR="3FEF84A7">
        <w:rPr>
          <w:rFonts w:ascii="Arial" w:hAnsi="Arial" w:eastAsia="Arial" w:cs="Arial"/>
          <w:sz w:val="22"/>
          <w:szCs w:val="22"/>
        </w:rPr>
        <w:t xml:space="preserve">The Health Belief Model (HBM) is a widely used health behaviour theory that is relevant to initiatives aimed at achieving Good Health and Wellbeing. The model proposes that individuals are more likely to adopt healthy behaviours when they perceive themselves to be at risk, recognise the seriousness of the condition, believe that taking action will be beneficial and feel capable of making changes (Glanz et al., 2015). Similarly, Social Cognitive Theory (SCT) is also relevant to </w:t>
      </w:r>
      <w:r w:rsidRPr="35C5CC2C" w:rsidR="744CA568">
        <w:rPr>
          <w:rFonts w:ascii="Arial" w:hAnsi="Arial" w:eastAsia="Arial" w:cs="Arial"/>
          <w:sz w:val="22"/>
          <w:szCs w:val="22"/>
        </w:rPr>
        <w:t>health</w:t>
      </w:r>
      <w:r w:rsidRPr="35C5CC2C" w:rsidR="3FEF84A7">
        <w:rPr>
          <w:rFonts w:ascii="Arial" w:hAnsi="Arial" w:eastAsia="Arial" w:cs="Arial"/>
          <w:sz w:val="22"/>
          <w:szCs w:val="22"/>
        </w:rPr>
        <w:t xml:space="preserve"> </w:t>
      </w:r>
      <w:r w:rsidRPr="35C5CC2C" w:rsidR="1D6F77E5">
        <w:rPr>
          <w:rFonts w:ascii="Arial" w:hAnsi="Arial" w:eastAsia="Arial" w:cs="Arial"/>
          <w:sz w:val="22"/>
          <w:szCs w:val="22"/>
        </w:rPr>
        <w:t>and wellbeing</w:t>
      </w:r>
      <w:r w:rsidRPr="35C5CC2C" w:rsidR="3FEF84A7">
        <w:rPr>
          <w:rFonts w:ascii="Arial" w:hAnsi="Arial" w:eastAsia="Arial" w:cs="Arial"/>
          <w:sz w:val="22"/>
          <w:szCs w:val="22"/>
        </w:rPr>
        <w:t xml:space="preserve">. It emphasises the importance of self-efficacy, social </w:t>
      </w:r>
      <w:r w:rsidRPr="35C5CC2C" w:rsidR="7F7B8934">
        <w:rPr>
          <w:rFonts w:ascii="Arial" w:hAnsi="Arial" w:eastAsia="Arial" w:cs="Arial"/>
          <w:sz w:val="22"/>
          <w:szCs w:val="22"/>
        </w:rPr>
        <w:t>support</w:t>
      </w:r>
      <w:r w:rsidRPr="35C5CC2C" w:rsidR="7F7B8934">
        <w:rPr>
          <w:rFonts w:ascii="Arial" w:hAnsi="Arial" w:eastAsia="Arial" w:cs="Arial"/>
          <w:sz w:val="22"/>
          <w:szCs w:val="22"/>
        </w:rPr>
        <w:t>,</w:t>
      </w:r>
      <w:r w:rsidRPr="35C5CC2C" w:rsidR="3FEF84A7">
        <w:rPr>
          <w:rFonts w:ascii="Arial" w:hAnsi="Arial" w:eastAsia="Arial" w:cs="Arial"/>
          <w:sz w:val="22"/>
          <w:szCs w:val="22"/>
        </w:rPr>
        <w:t xml:space="preserve"> and observational learning, highlighting how behaviour is shaped through interactions between individuals and their social environment (Sheeran et al., 2017). Community-based programmes, peer support</w:t>
      </w:r>
      <w:r w:rsidRPr="35C5CC2C" w:rsidR="3FEF84A7">
        <w:rPr>
          <w:rFonts w:ascii="Arial" w:hAnsi="Arial" w:eastAsia="Arial" w:cs="Arial"/>
          <w:sz w:val="22"/>
          <w:szCs w:val="22"/>
        </w:rPr>
        <w:t xml:space="preserve"> </w:t>
      </w:r>
      <w:r w:rsidRPr="35C5CC2C" w:rsidR="10EB850F">
        <w:rPr>
          <w:rFonts w:ascii="Arial" w:hAnsi="Arial" w:eastAsia="Arial" w:cs="Arial"/>
          <w:sz w:val="22"/>
          <w:szCs w:val="22"/>
        </w:rPr>
        <w:t>group</w:t>
      </w:r>
      <w:r w:rsidRPr="35C5CC2C" w:rsidR="10EB850F">
        <w:rPr>
          <w:rFonts w:ascii="Arial" w:hAnsi="Arial" w:eastAsia="Arial" w:cs="Arial"/>
          <w:sz w:val="22"/>
          <w:szCs w:val="22"/>
        </w:rPr>
        <w:t>s,</w:t>
      </w:r>
      <w:r w:rsidRPr="35C5CC2C" w:rsidR="3FEF84A7">
        <w:rPr>
          <w:rFonts w:ascii="Arial" w:hAnsi="Arial" w:eastAsia="Arial" w:cs="Arial"/>
          <w:sz w:val="22"/>
          <w:szCs w:val="22"/>
        </w:rPr>
        <w:t xml:space="preserve"> and social prescribing demonstrate SCT in practice because individuals often learn and sustain healthy behaviours through encouragement, rol</w:t>
      </w:r>
      <w:r w:rsidRPr="35C5CC2C" w:rsidR="3FEF84A7">
        <w:rPr>
          <w:rFonts w:ascii="Arial" w:hAnsi="Arial" w:eastAsia="Arial" w:cs="Arial"/>
          <w:sz w:val="22"/>
          <w:szCs w:val="22"/>
        </w:rPr>
        <w:t xml:space="preserve">e </w:t>
      </w:r>
      <w:r w:rsidRPr="35C5CC2C" w:rsidR="25692734">
        <w:rPr>
          <w:rFonts w:ascii="Arial" w:hAnsi="Arial" w:eastAsia="Arial" w:cs="Arial"/>
          <w:sz w:val="22"/>
          <w:szCs w:val="22"/>
        </w:rPr>
        <w:t>mode</w:t>
      </w:r>
      <w:r w:rsidRPr="35C5CC2C" w:rsidR="25692734">
        <w:rPr>
          <w:rFonts w:ascii="Arial" w:hAnsi="Arial" w:eastAsia="Arial" w:cs="Arial"/>
          <w:sz w:val="22"/>
          <w:szCs w:val="22"/>
        </w:rPr>
        <w:t>ls,</w:t>
      </w:r>
      <w:r w:rsidRPr="35C5CC2C" w:rsidR="3FEF84A7">
        <w:rPr>
          <w:rFonts w:ascii="Arial" w:hAnsi="Arial" w:eastAsia="Arial" w:cs="Arial"/>
          <w:sz w:val="22"/>
          <w:szCs w:val="22"/>
        </w:rPr>
        <w:t xml:space="preserve"> and supportive environments. While both theories are useful, they have limitations because behaviour is also shaped by poverty, employmen</w:t>
      </w:r>
      <w:r w:rsidRPr="35C5CC2C" w:rsidR="3FEF84A7">
        <w:rPr>
          <w:rFonts w:ascii="Arial" w:hAnsi="Arial" w:eastAsia="Arial" w:cs="Arial"/>
          <w:sz w:val="22"/>
          <w:szCs w:val="22"/>
        </w:rPr>
        <w:t xml:space="preserve">t, </w:t>
      </w:r>
      <w:r w:rsidRPr="35C5CC2C" w:rsidR="213CBCBF">
        <w:rPr>
          <w:rFonts w:ascii="Arial" w:hAnsi="Arial" w:eastAsia="Arial" w:cs="Arial"/>
          <w:sz w:val="22"/>
          <w:szCs w:val="22"/>
        </w:rPr>
        <w:t>hous</w:t>
      </w:r>
      <w:r w:rsidRPr="35C5CC2C" w:rsidR="213CBCBF">
        <w:rPr>
          <w:rFonts w:ascii="Arial" w:hAnsi="Arial" w:eastAsia="Arial" w:cs="Arial"/>
          <w:sz w:val="22"/>
          <w:szCs w:val="22"/>
        </w:rPr>
        <w:t>ing,</w:t>
      </w:r>
      <w:r w:rsidRPr="35C5CC2C" w:rsidR="3FEF84A7">
        <w:rPr>
          <w:rFonts w:ascii="Arial" w:hAnsi="Arial" w:eastAsia="Arial" w:cs="Arial"/>
          <w:sz w:val="22"/>
          <w:szCs w:val="22"/>
        </w:rPr>
        <w:t xml:space="preserve"> and other structural factors that individuals may have limited control over (Marmot, 2020).</w:t>
      </w:r>
    </w:p>
    <w:p w:rsidRPr="00071003" w:rsidR="00071003" w:rsidP="35C5CC2C" w:rsidRDefault="00071003" w14:paraId="7011ACE1" w14:textId="3C9848CE">
      <w:pPr>
        <w:spacing w:line="360" w:lineRule="auto"/>
        <w:jc w:val="both"/>
        <w:rPr>
          <w:rFonts w:ascii="Arial" w:hAnsi="Arial" w:eastAsia="Arial" w:cs="Arial"/>
          <w:sz w:val="22"/>
          <w:szCs w:val="22"/>
          <w:lang/>
        </w:rPr>
      </w:pPr>
      <w:r w:rsidRPr="35C5CC2C" w:rsidR="3FEF84A7">
        <w:rPr>
          <w:rFonts w:ascii="Arial" w:hAnsi="Arial" w:eastAsia="Arial" w:cs="Arial"/>
          <w:sz w:val="22"/>
          <w:szCs w:val="22"/>
        </w:rPr>
        <w:t xml:space="preserve">Overall, SDG 3 has several strengths. It provides a clear global framework, encourages prevention, promotes mental and physical wellbeing, and supports collaboration across sectors. Nevertheless, its limitations include unequal implementation, persistent health </w:t>
      </w:r>
      <w:r w:rsidRPr="35C5CC2C" w:rsidR="1E41188C">
        <w:rPr>
          <w:rFonts w:ascii="Arial" w:hAnsi="Arial" w:eastAsia="Arial" w:cs="Arial"/>
          <w:sz w:val="22"/>
          <w:szCs w:val="22"/>
        </w:rPr>
        <w:t>inequalities,</w:t>
      </w:r>
      <w:r w:rsidRPr="35C5CC2C" w:rsidR="3FEF84A7">
        <w:rPr>
          <w:rFonts w:ascii="Arial" w:hAnsi="Arial" w:eastAsia="Arial" w:cs="Arial"/>
          <w:sz w:val="22"/>
          <w:szCs w:val="22"/>
        </w:rPr>
        <w:t xml:space="preserve"> and difficulties in measuring progress consistently across countries (United Nations, 2024; Aftab et al., 2020). To strengthen future progress, governments should increase investment in primary and preventive care, address workforce shortages, improve digital inclusion and strengthen collaboration between healthcare providers, local authorities and community organisations to support more integrated and equitable care (Alderwick and Dixon, 2019; Humphries, 2015). In addition, policies should place greater emphasis on tackling the wider determinants of health, including </w:t>
      </w:r>
      <w:r w:rsidRPr="35C5CC2C" w:rsidR="3A5D4C41">
        <w:rPr>
          <w:rFonts w:ascii="Arial" w:hAnsi="Arial" w:eastAsia="Arial" w:cs="Arial"/>
          <w:sz w:val="22"/>
          <w:szCs w:val="22"/>
        </w:rPr>
        <w:t>poverty, housing</w:t>
      </w:r>
      <w:r w:rsidRPr="35C5CC2C" w:rsidR="21C1435B">
        <w:rPr>
          <w:rFonts w:ascii="Arial" w:hAnsi="Arial" w:eastAsia="Arial" w:cs="Arial"/>
          <w:sz w:val="22"/>
          <w:szCs w:val="22"/>
        </w:rPr>
        <w:t>,</w:t>
      </w:r>
      <w:r w:rsidRPr="35C5CC2C" w:rsidR="3FEF84A7">
        <w:rPr>
          <w:rFonts w:ascii="Arial" w:hAnsi="Arial" w:eastAsia="Arial" w:cs="Arial"/>
          <w:sz w:val="22"/>
          <w:szCs w:val="22"/>
        </w:rPr>
        <w:t xml:space="preserve"> and education, because evidence consistently shows that these factors have a major influence on health outcomes (Marmot, 2020). By combining effective healthcare services with broader social action, SDG 3 is more likely to achieve its goal of improving health and wellbeing for all.</w:t>
      </w:r>
    </w:p>
    <w:p w:rsidRPr="00071003" w:rsidR="00071003" w:rsidP="35C5CC2C" w:rsidRDefault="00071003" w14:paraId="712225DA" w14:textId="77777777">
      <w:pPr>
        <w:rPr>
          <w:rFonts w:ascii="Arial" w:hAnsi="Arial" w:eastAsia="Arial" w:cs="Arial"/>
          <w:sz w:val="22"/>
          <w:szCs w:val="22"/>
          <w:lang/>
        </w:rPr>
      </w:pPr>
    </w:p>
    <w:p w:rsidRPr="00071003" w:rsidR="00071003" w:rsidP="35C5CC2C" w:rsidRDefault="00071003" w14:paraId="46130E9C" w14:textId="77777777">
      <w:pPr>
        <w:rPr>
          <w:rFonts w:ascii="Arial" w:hAnsi="Arial" w:eastAsia="Arial" w:cs="Arial"/>
          <w:b w:val="1"/>
          <w:bCs w:val="1"/>
          <w:sz w:val="22"/>
          <w:szCs w:val="22"/>
          <w:lang/>
        </w:rPr>
      </w:pPr>
      <w:r w:rsidRPr="35C5CC2C" w:rsidR="3FEF84A7">
        <w:rPr>
          <w:rFonts w:ascii="Arial" w:hAnsi="Arial" w:eastAsia="Arial" w:cs="Arial"/>
          <w:b w:val="1"/>
          <w:bCs w:val="1"/>
          <w:sz w:val="32"/>
          <w:szCs w:val="32"/>
        </w:rPr>
        <w:t>SDG 10 – REDUCED INEQUALITIES</w:t>
      </w:r>
    </w:p>
    <w:p w:rsidR="35C5CC2C" w:rsidP="35C5CC2C" w:rsidRDefault="35C5CC2C" w14:paraId="0C7E9DFC" w14:textId="636B669B">
      <w:pPr>
        <w:rPr>
          <w:rFonts w:ascii="Arial" w:hAnsi="Arial" w:eastAsia="Arial" w:cs="Arial"/>
          <w:sz w:val="22"/>
          <w:szCs w:val="22"/>
        </w:rPr>
      </w:pPr>
    </w:p>
    <w:p w:rsidRPr="00071003" w:rsidR="00071003" w:rsidP="35C5CC2C" w:rsidRDefault="00071003" w14:paraId="64245E98" w14:textId="06E40BBD">
      <w:pPr>
        <w:spacing w:line="360" w:lineRule="auto"/>
        <w:jc w:val="both"/>
        <w:rPr>
          <w:rFonts w:ascii="Arial" w:hAnsi="Arial" w:eastAsia="Arial" w:cs="Arial"/>
          <w:sz w:val="22"/>
          <w:szCs w:val="22"/>
          <w:lang/>
        </w:rPr>
      </w:pPr>
      <w:r w:rsidRPr="35C5CC2C" w:rsidR="3FEF84A7">
        <w:rPr>
          <w:rFonts w:ascii="Arial" w:hAnsi="Arial" w:eastAsia="Arial" w:cs="Arial"/>
          <w:sz w:val="22"/>
          <w:szCs w:val="22"/>
        </w:rPr>
        <w:t xml:space="preserve">Sustainable Development Goal 10 (SDG 10) aims to reduce inequalities within and between countries by promoting social, </w:t>
      </w:r>
      <w:r w:rsidRPr="35C5CC2C" w:rsidR="35C372C9">
        <w:rPr>
          <w:rFonts w:ascii="Arial" w:hAnsi="Arial" w:eastAsia="Arial" w:cs="Arial"/>
          <w:sz w:val="22"/>
          <w:szCs w:val="22"/>
        </w:rPr>
        <w:t>economic,</w:t>
      </w:r>
      <w:r w:rsidRPr="35C5CC2C" w:rsidR="3FEF84A7">
        <w:rPr>
          <w:rFonts w:ascii="Arial" w:hAnsi="Arial" w:eastAsia="Arial" w:cs="Arial"/>
          <w:sz w:val="22"/>
          <w:szCs w:val="22"/>
        </w:rPr>
        <w:t xml:space="preserve"> and political inclusion for all (United Nations, 2024). The goal recognises that inequality is a major barrier to sustainable development and has significant consequences for health, </w:t>
      </w:r>
      <w:r w:rsidRPr="35C5CC2C" w:rsidR="5E0166AC">
        <w:rPr>
          <w:rFonts w:ascii="Arial" w:hAnsi="Arial" w:eastAsia="Arial" w:cs="Arial"/>
          <w:sz w:val="22"/>
          <w:szCs w:val="22"/>
        </w:rPr>
        <w:t>wellbeing,</w:t>
      </w:r>
      <w:r w:rsidRPr="35C5CC2C" w:rsidR="3FEF84A7">
        <w:rPr>
          <w:rFonts w:ascii="Arial" w:hAnsi="Arial" w:eastAsia="Arial" w:cs="Arial"/>
          <w:sz w:val="22"/>
          <w:szCs w:val="22"/>
        </w:rPr>
        <w:t xml:space="preserve"> and life opportunities. Evidence consistently shows that people living in poverty or experiencing discrimination often have poorer physical and mental health, lower life </w:t>
      </w:r>
      <w:r w:rsidRPr="35C5CC2C" w:rsidR="2C6797D5">
        <w:rPr>
          <w:rFonts w:ascii="Arial" w:hAnsi="Arial" w:eastAsia="Arial" w:cs="Arial"/>
          <w:sz w:val="22"/>
          <w:szCs w:val="22"/>
        </w:rPr>
        <w:t>expectancy,</w:t>
      </w:r>
      <w:r w:rsidRPr="35C5CC2C" w:rsidR="3FEF84A7">
        <w:rPr>
          <w:rFonts w:ascii="Arial" w:hAnsi="Arial" w:eastAsia="Arial" w:cs="Arial"/>
          <w:sz w:val="22"/>
          <w:szCs w:val="22"/>
        </w:rPr>
        <w:t xml:space="preserve"> and </w:t>
      </w:r>
      <w:r w:rsidRPr="35C5CC2C" w:rsidR="3FEF84A7">
        <w:rPr>
          <w:rFonts w:ascii="Arial" w:hAnsi="Arial" w:eastAsia="Arial" w:cs="Arial"/>
          <w:sz w:val="22"/>
          <w:szCs w:val="22"/>
        </w:rPr>
        <w:t xml:space="preserve">reduced access to healthcare services (Williams et al., 2019; WHO, 2023). As a result, SDG 10 is </w:t>
      </w:r>
      <w:r w:rsidRPr="35C5CC2C" w:rsidR="377AE7D7">
        <w:rPr>
          <w:rFonts w:ascii="Arial" w:hAnsi="Arial" w:eastAsia="Arial" w:cs="Arial"/>
          <w:sz w:val="22"/>
          <w:szCs w:val="22"/>
        </w:rPr>
        <w:t>intricately connected</w:t>
      </w:r>
      <w:r w:rsidRPr="35C5CC2C" w:rsidR="3FEF84A7">
        <w:rPr>
          <w:rFonts w:ascii="Arial" w:hAnsi="Arial" w:eastAsia="Arial" w:cs="Arial"/>
          <w:sz w:val="22"/>
          <w:szCs w:val="22"/>
        </w:rPr>
        <w:t xml:space="preserve"> to SDG 3 because achieving good health and wellbeing is difficult without addressing the wider social determinants of health and the inequalities that shape access to resources and opportunities (Bambra et al., 2020).</w:t>
      </w:r>
    </w:p>
    <w:p w:rsidRPr="00071003" w:rsidR="00071003" w:rsidP="35C5CC2C" w:rsidRDefault="00071003" w14:paraId="624DEAF2" w14:textId="174C9832">
      <w:pPr>
        <w:spacing w:line="360" w:lineRule="auto"/>
        <w:jc w:val="both"/>
        <w:rPr>
          <w:rFonts w:ascii="Arial" w:hAnsi="Arial" w:eastAsia="Arial" w:cs="Arial"/>
          <w:sz w:val="22"/>
          <w:szCs w:val="22"/>
          <w:lang/>
        </w:rPr>
      </w:pPr>
      <w:r w:rsidRPr="35C5CC2C" w:rsidR="3FEF84A7">
        <w:rPr>
          <w:rFonts w:ascii="Arial" w:hAnsi="Arial" w:eastAsia="Arial" w:cs="Arial"/>
          <w:sz w:val="22"/>
          <w:szCs w:val="22"/>
        </w:rPr>
        <w:t xml:space="preserve">At the global level, the United Nations and the World Health Organization have developed policies and initiatives that </w:t>
      </w:r>
      <w:r w:rsidRPr="35C5CC2C" w:rsidR="3FEF84A7">
        <w:rPr>
          <w:rFonts w:ascii="Arial" w:hAnsi="Arial" w:eastAsia="Arial" w:cs="Arial"/>
          <w:sz w:val="22"/>
          <w:szCs w:val="22"/>
        </w:rPr>
        <w:t>seek</w:t>
      </w:r>
      <w:r w:rsidRPr="35C5CC2C" w:rsidR="3FEF84A7">
        <w:rPr>
          <w:rFonts w:ascii="Arial" w:hAnsi="Arial" w:eastAsia="Arial" w:cs="Arial"/>
          <w:sz w:val="22"/>
          <w:szCs w:val="22"/>
        </w:rPr>
        <w:t xml:space="preserve"> to reduce inequalities and improve health equity. The WHO’s framework on the social determinants of health emphasises that factors such as income, education, </w:t>
      </w:r>
      <w:bookmarkStart w:name="_Int_K3zTTMo3" w:id="2017337125"/>
      <w:r w:rsidRPr="35C5CC2C" w:rsidR="04982096">
        <w:rPr>
          <w:rFonts w:ascii="Arial" w:hAnsi="Arial" w:eastAsia="Arial" w:cs="Arial"/>
          <w:sz w:val="22"/>
          <w:szCs w:val="22"/>
        </w:rPr>
        <w:t>employment,</w:t>
      </w:r>
      <w:bookmarkEnd w:id="2017337125"/>
      <w:r w:rsidRPr="35C5CC2C" w:rsidR="3FEF84A7">
        <w:rPr>
          <w:rFonts w:ascii="Arial" w:hAnsi="Arial" w:eastAsia="Arial" w:cs="Arial"/>
          <w:sz w:val="22"/>
          <w:szCs w:val="22"/>
        </w:rPr>
        <w:t xml:space="preserve"> and housing have a major influence on health outcomes (WHO, 2024). Similarly, the SDG agenda encourages governments to reduce discrimination, promote equal opportunities and strengthen social protection systems. A major strength of these global initiatives is that they provide a shared framework that encourages international cooperation and accountability. However, progress has been uneven, with many populations continuing to experience significant social and health inequalities (United Nations, 2024; Abubakar et al., 2018). The United Nations (2024) reports that economic inequalities</w:t>
      </w:r>
      <w:r w:rsidRPr="35C5CC2C" w:rsidR="3FEF84A7">
        <w:rPr>
          <w:rFonts w:ascii="Arial" w:hAnsi="Arial" w:eastAsia="Arial" w:cs="Arial"/>
          <w:sz w:val="22"/>
          <w:szCs w:val="22"/>
        </w:rPr>
        <w:t xml:space="preserve"> </w:t>
      </w:r>
      <w:r w:rsidRPr="35C5CC2C" w:rsidR="3FEF84A7">
        <w:rPr>
          <w:rFonts w:ascii="Arial" w:hAnsi="Arial" w:eastAsia="Arial" w:cs="Arial"/>
          <w:sz w:val="22"/>
          <w:szCs w:val="22"/>
        </w:rPr>
        <w:t>remai</w:t>
      </w:r>
      <w:r w:rsidRPr="35C5CC2C" w:rsidR="3FEF84A7">
        <w:rPr>
          <w:rFonts w:ascii="Arial" w:hAnsi="Arial" w:eastAsia="Arial" w:cs="Arial"/>
          <w:sz w:val="22"/>
          <w:szCs w:val="22"/>
        </w:rPr>
        <w:t>n</w:t>
      </w:r>
      <w:r w:rsidRPr="35C5CC2C" w:rsidR="3FEF84A7">
        <w:rPr>
          <w:rFonts w:ascii="Arial" w:hAnsi="Arial" w:eastAsia="Arial" w:cs="Arial"/>
          <w:sz w:val="22"/>
          <w:szCs w:val="22"/>
        </w:rPr>
        <w:t xml:space="preserve"> substantial both within and between countries, and vulnerable populations continue to experience barriers to healthcare,</w:t>
      </w:r>
      <w:r w:rsidRPr="35C5CC2C" w:rsidR="3FEF84A7">
        <w:rPr>
          <w:rFonts w:ascii="Arial" w:hAnsi="Arial" w:eastAsia="Arial" w:cs="Arial"/>
          <w:sz w:val="22"/>
          <w:szCs w:val="22"/>
        </w:rPr>
        <w:t xml:space="preserve"> </w:t>
      </w:r>
      <w:r w:rsidRPr="35C5CC2C" w:rsidR="7190A312">
        <w:rPr>
          <w:rFonts w:ascii="Arial" w:hAnsi="Arial" w:eastAsia="Arial" w:cs="Arial"/>
          <w:sz w:val="22"/>
          <w:szCs w:val="22"/>
        </w:rPr>
        <w:t>educatio</w:t>
      </w:r>
      <w:r w:rsidRPr="35C5CC2C" w:rsidR="7190A312">
        <w:rPr>
          <w:rFonts w:ascii="Arial" w:hAnsi="Arial" w:eastAsia="Arial" w:cs="Arial"/>
          <w:sz w:val="22"/>
          <w:szCs w:val="22"/>
        </w:rPr>
        <w:t>n,</w:t>
      </w:r>
      <w:r w:rsidRPr="35C5CC2C" w:rsidR="3FEF84A7">
        <w:rPr>
          <w:rFonts w:ascii="Arial" w:hAnsi="Arial" w:eastAsia="Arial" w:cs="Arial"/>
          <w:sz w:val="22"/>
          <w:szCs w:val="22"/>
        </w:rPr>
        <w:t xml:space="preserve"> and employment. Thi</w:t>
      </w:r>
      <w:r w:rsidRPr="35C5CC2C" w:rsidR="3FEF84A7">
        <w:rPr>
          <w:rFonts w:ascii="Arial" w:hAnsi="Arial" w:eastAsia="Arial" w:cs="Arial"/>
          <w:sz w:val="22"/>
          <w:szCs w:val="22"/>
        </w:rPr>
        <w:t xml:space="preserve">s </w:t>
      </w:r>
      <w:r w:rsidRPr="35C5CC2C" w:rsidR="3FEF84A7">
        <w:rPr>
          <w:rFonts w:ascii="Arial" w:hAnsi="Arial" w:eastAsia="Arial" w:cs="Arial"/>
          <w:sz w:val="22"/>
          <w:szCs w:val="22"/>
        </w:rPr>
        <w:t>demonstrat</w:t>
      </w:r>
      <w:r w:rsidRPr="35C5CC2C" w:rsidR="3FEF84A7">
        <w:rPr>
          <w:rFonts w:ascii="Arial" w:hAnsi="Arial" w:eastAsia="Arial" w:cs="Arial"/>
          <w:sz w:val="22"/>
          <w:szCs w:val="22"/>
        </w:rPr>
        <w:t>es</w:t>
      </w:r>
      <w:r w:rsidRPr="35C5CC2C" w:rsidR="3FEF84A7">
        <w:rPr>
          <w:rFonts w:ascii="Arial" w:hAnsi="Arial" w:eastAsia="Arial" w:cs="Arial"/>
          <w:sz w:val="22"/>
          <w:szCs w:val="22"/>
        </w:rPr>
        <w:t xml:space="preserve"> that global commitments alone are insufficient without adequate national implementation and investment.</w:t>
      </w:r>
    </w:p>
    <w:p w:rsidRPr="00071003" w:rsidR="00071003" w:rsidP="35C5CC2C" w:rsidRDefault="00071003" w14:paraId="623B3E2C" w14:textId="24F40F75">
      <w:pPr>
        <w:spacing w:line="360" w:lineRule="auto"/>
        <w:jc w:val="both"/>
        <w:rPr>
          <w:rFonts w:ascii="Arial" w:hAnsi="Arial" w:eastAsia="Arial" w:cs="Arial"/>
          <w:sz w:val="22"/>
          <w:szCs w:val="22"/>
          <w:lang/>
        </w:rPr>
      </w:pPr>
      <w:r w:rsidRPr="35C5CC2C" w:rsidR="3FEF84A7">
        <w:rPr>
          <w:rFonts w:ascii="Arial" w:hAnsi="Arial" w:eastAsia="Arial" w:cs="Arial"/>
          <w:sz w:val="22"/>
          <w:szCs w:val="22"/>
        </w:rPr>
        <w:t xml:space="preserve">In the UK, several national policies aim to reduce inequalities and support SDG 10. The NHS Long Term Plan prioritises the reduction of health inequalities through prevention personalised </w:t>
      </w:r>
      <w:r w:rsidRPr="35C5CC2C" w:rsidR="75EB175E">
        <w:rPr>
          <w:rFonts w:ascii="Arial" w:hAnsi="Arial" w:eastAsia="Arial" w:cs="Arial"/>
          <w:sz w:val="22"/>
          <w:szCs w:val="22"/>
        </w:rPr>
        <w:t>care,</w:t>
      </w:r>
      <w:r w:rsidRPr="35C5CC2C" w:rsidR="3FEF84A7">
        <w:rPr>
          <w:rFonts w:ascii="Arial" w:hAnsi="Arial" w:eastAsia="Arial" w:cs="Arial"/>
          <w:sz w:val="22"/>
          <w:szCs w:val="22"/>
        </w:rPr>
        <w:t xml:space="preserve"> and improved access to services (</w:t>
      </w:r>
      <w:r w:rsidRPr="35C5CC2C" w:rsidR="3FEF84A7">
        <w:rPr>
          <w:rFonts w:ascii="Arial" w:hAnsi="Arial" w:eastAsia="Arial" w:cs="Arial"/>
          <w:sz w:val="22"/>
          <w:szCs w:val="22"/>
        </w:rPr>
        <w:t>Alderwick</w:t>
      </w:r>
      <w:r w:rsidRPr="35C5CC2C" w:rsidR="3FEF84A7">
        <w:rPr>
          <w:rFonts w:ascii="Arial" w:hAnsi="Arial" w:eastAsia="Arial" w:cs="Arial"/>
          <w:sz w:val="22"/>
          <w:szCs w:val="22"/>
        </w:rPr>
        <w:t xml:space="preserve"> and Dixon, 2019). More recently, the Core20PLUS5 approach has targeted the most deprived populations and groups experiencing poorer health outcomes, including ethnic minority communities and people with severe mental illness (NHS England, 2024). The Equality Act 2010 provides legal protection against discrimination and supports equal access to services. In response, healthcare organisations have increasingly prioritised underserved populations and the monitoring of health inequalities, although substantial disparities in access, experience and outcomes continue to persist (García-Corchero and Jiménez-Rubio, 2022). The Marmot Review found that people living in deprived areas experience shorter healthy life expectancy and higher rates of preventable illness than those living in more affluent areas (Marmot, 2020). In addition, the expansion of digital healthcare has improved access and convenience for many individuals, but it has also created barriers for people who lack internet access, digital </w:t>
      </w:r>
      <w:r w:rsidRPr="35C5CC2C" w:rsidR="28257FEC">
        <w:rPr>
          <w:rFonts w:ascii="Arial" w:hAnsi="Arial" w:eastAsia="Arial" w:cs="Arial"/>
          <w:sz w:val="22"/>
          <w:szCs w:val="22"/>
        </w:rPr>
        <w:t>skills,</w:t>
      </w:r>
      <w:r w:rsidRPr="35C5CC2C" w:rsidR="3FEF84A7">
        <w:rPr>
          <w:rFonts w:ascii="Arial" w:hAnsi="Arial" w:eastAsia="Arial" w:cs="Arial"/>
          <w:sz w:val="22"/>
          <w:szCs w:val="22"/>
        </w:rPr>
        <w:t xml:space="preserve"> or </w:t>
      </w:r>
      <w:r w:rsidRPr="35C5CC2C" w:rsidR="3FEF84A7">
        <w:rPr>
          <w:rFonts w:ascii="Arial" w:hAnsi="Arial" w:eastAsia="Arial" w:cs="Arial"/>
          <w:sz w:val="22"/>
          <w:szCs w:val="22"/>
        </w:rPr>
        <w:t>appropriate devices</w:t>
      </w:r>
      <w:r w:rsidRPr="35C5CC2C" w:rsidR="3FEF84A7">
        <w:rPr>
          <w:rFonts w:ascii="Arial" w:hAnsi="Arial" w:eastAsia="Arial" w:cs="Arial"/>
          <w:sz w:val="22"/>
          <w:szCs w:val="22"/>
        </w:rPr>
        <w:t xml:space="preserve">, thereby contributing to existing health inequalities (Davies et al., 2021). Therefore, although national policies have strengthened the focus on equity, implementation challenges </w:t>
      </w:r>
      <w:r w:rsidRPr="35C5CC2C" w:rsidR="3FEF84A7">
        <w:rPr>
          <w:rFonts w:ascii="Arial" w:hAnsi="Arial" w:eastAsia="Arial" w:cs="Arial"/>
          <w:sz w:val="22"/>
          <w:szCs w:val="22"/>
        </w:rPr>
        <w:t>remain</w:t>
      </w:r>
      <w:r w:rsidRPr="35C5CC2C" w:rsidR="3FEF84A7">
        <w:rPr>
          <w:rFonts w:ascii="Arial" w:hAnsi="Arial" w:eastAsia="Arial" w:cs="Arial"/>
          <w:sz w:val="22"/>
          <w:szCs w:val="22"/>
        </w:rPr>
        <w:t>.</w:t>
      </w:r>
    </w:p>
    <w:p w:rsidRPr="00071003" w:rsidR="00071003" w:rsidP="35C5CC2C" w:rsidRDefault="00071003" w14:paraId="15CD0C48" w14:textId="0290C5EF">
      <w:pPr>
        <w:spacing w:line="360" w:lineRule="auto"/>
        <w:jc w:val="both"/>
        <w:rPr>
          <w:rFonts w:ascii="Arial" w:hAnsi="Arial" w:eastAsia="Arial" w:cs="Arial"/>
          <w:sz w:val="22"/>
          <w:szCs w:val="22"/>
          <w:lang/>
        </w:rPr>
      </w:pPr>
      <w:r w:rsidRPr="35C5CC2C" w:rsidR="3FEF84A7">
        <w:rPr>
          <w:rFonts w:ascii="Arial" w:hAnsi="Arial" w:eastAsia="Arial" w:cs="Arial"/>
          <w:sz w:val="22"/>
          <w:szCs w:val="22"/>
        </w:rPr>
        <w:t xml:space="preserve">At the local level, Integrated Care Systems, local </w:t>
      </w:r>
      <w:r w:rsidRPr="35C5CC2C" w:rsidR="08DCA85C">
        <w:rPr>
          <w:rFonts w:ascii="Arial" w:hAnsi="Arial" w:eastAsia="Arial" w:cs="Arial"/>
          <w:sz w:val="22"/>
          <w:szCs w:val="22"/>
        </w:rPr>
        <w:t>authorities,</w:t>
      </w:r>
      <w:r w:rsidRPr="35C5CC2C" w:rsidR="3FEF84A7">
        <w:rPr>
          <w:rFonts w:ascii="Arial" w:hAnsi="Arial" w:eastAsia="Arial" w:cs="Arial"/>
          <w:sz w:val="22"/>
          <w:szCs w:val="22"/>
        </w:rPr>
        <w:t xml:space="preserve"> and voluntary organisations have introduced targeted interventions to reduce inequalities, including community outreach programmes, culturally </w:t>
      </w:r>
      <w:r w:rsidRPr="35C5CC2C" w:rsidR="3FEF84A7">
        <w:rPr>
          <w:rFonts w:ascii="Arial" w:hAnsi="Arial" w:eastAsia="Arial" w:cs="Arial"/>
          <w:sz w:val="22"/>
          <w:szCs w:val="22"/>
        </w:rPr>
        <w:t>appropriate services</w:t>
      </w:r>
      <w:r w:rsidRPr="35C5CC2C" w:rsidR="3FEF84A7">
        <w:rPr>
          <w:rFonts w:ascii="Arial" w:hAnsi="Arial" w:eastAsia="Arial" w:cs="Arial"/>
          <w:sz w:val="22"/>
          <w:szCs w:val="22"/>
        </w:rPr>
        <w:t xml:space="preserve">, food support </w:t>
      </w:r>
      <w:r w:rsidRPr="35C5CC2C" w:rsidR="5915F25C">
        <w:rPr>
          <w:rFonts w:ascii="Arial" w:hAnsi="Arial" w:eastAsia="Arial" w:cs="Arial"/>
          <w:sz w:val="22"/>
          <w:szCs w:val="22"/>
        </w:rPr>
        <w:t>initiatives,</w:t>
      </w:r>
      <w:r w:rsidRPr="35C5CC2C" w:rsidR="3FEF84A7">
        <w:rPr>
          <w:rFonts w:ascii="Arial" w:hAnsi="Arial" w:eastAsia="Arial" w:cs="Arial"/>
          <w:sz w:val="22"/>
          <w:szCs w:val="22"/>
        </w:rPr>
        <w:t xml:space="preserve"> and social prescribing schemes (Humphries, 2015</w:t>
      </w:r>
      <w:r w:rsidRPr="35C5CC2C" w:rsidR="4527B0D6">
        <w:rPr>
          <w:rFonts w:ascii="Arial" w:hAnsi="Arial" w:eastAsia="Arial" w:cs="Arial"/>
          <w:sz w:val="22"/>
          <w:szCs w:val="22"/>
        </w:rPr>
        <w:t xml:space="preserve"> Milam</w:t>
      </w:r>
      <w:r w:rsidRPr="35C5CC2C" w:rsidR="3FEF84A7">
        <w:rPr>
          <w:rFonts w:ascii="Arial" w:hAnsi="Arial" w:eastAsia="Arial" w:cs="Arial"/>
          <w:sz w:val="22"/>
          <w:szCs w:val="22"/>
        </w:rPr>
        <w:t xml:space="preserve"> et al., 2025). These initiatives are particularly valuable because they can be tailored to the specific needs of local populations. From my experience as a social healthcare worker, I have </w:t>
      </w:r>
      <w:r w:rsidRPr="35C5CC2C" w:rsidR="3FEF84A7">
        <w:rPr>
          <w:rFonts w:ascii="Arial" w:hAnsi="Arial" w:eastAsia="Arial" w:cs="Arial"/>
          <w:sz w:val="22"/>
          <w:szCs w:val="22"/>
        </w:rPr>
        <w:t>observed</w:t>
      </w:r>
      <w:r w:rsidRPr="35C5CC2C" w:rsidR="3FEF84A7">
        <w:rPr>
          <w:rFonts w:ascii="Arial" w:hAnsi="Arial" w:eastAsia="Arial" w:cs="Arial"/>
          <w:sz w:val="22"/>
          <w:szCs w:val="22"/>
        </w:rPr>
        <w:t xml:space="preserve"> that some service users struggle to attend appointments because of transport difficulties, financial </w:t>
      </w:r>
      <w:r w:rsidRPr="35C5CC2C" w:rsidR="5B3C64D5">
        <w:rPr>
          <w:rFonts w:ascii="Arial" w:hAnsi="Arial" w:eastAsia="Arial" w:cs="Arial"/>
          <w:sz w:val="22"/>
          <w:szCs w:val="22"/>
        </w:rPr>
        <w:t>pressures,</w:t>
      </w:r>
      <w:r w:rsidRPr="35C5CC2C" w:rsidR="3FEF84A7">
        <w:rPr>
          <w:rFonts w:ascii="Arial" w:hAnsi="Arial" w:eastAsia="Arial" w:cs="Arial"/>
          <w:sz w:val="22"/>
          <w:szCs w:val="22"/>
        </w:rPr>
        <w:t xml:space="preserve"> or limited family support. In such situations, collaboration between social care staff, healthcare professionals and community organisations can help individuals access services, remain engaged with their care and </w:t>
      </w:r>
      <w:r w:rsidRPr="35C5CC2C" w:rsidR="3FEF84A7">
        <w:rPr>
          <w:rFonts w:ascii="Arial" w:hAnsi="Arial" w:eastAsia="Arial" w:cs="Arial"/>
          <w:sz w:val="22"/>
          <w:szCs w:val="22"/>
        </w:rPr>
        <w:t>maintain</w:t>
      </w:r>
      <w:r w:rsidRPr="35C5CC2C" w:rsidR="3FEF84A7">
        <w:rPr>
          <w:rFonts w:ascii="Arial" w:hAnsi="Arial" w:eastAsia="Arial" w:cs="Arial"/>
          <w:sz w:val="22"/>
          <w:szCs w:val="22"/>
        </w:rPr>
        <w:t xml:space="preserve"> greater independence (Humphries, 2015). However, local provision varies </w:t>
      </w:r>
      <w:bookmarkStart w:name="_Int_bKttChMt" w:id="1130467546"/>
      <w:r w:rsidRPr="35C5CC2C" w:rsidR="3FEF84A7">
        <w:rPr>
          <w:rFonts w:ascii="Arial" w:hAnsi="Arial" w:eastAsia="Arial" w:cs="Arial"/>
          <w:sz w:val="22"/>
          <w:szCs w:val="22"/>
        </w:rPr>
        <w:t>considerably between</w:t>
      </w:r>
      <w:bookmarkEnd w:id="1130467546"/>
      <w:r w:rsidRPr="35C5CC2C" w:rsidR="3FEF84A7">
        <w:rPr>
          <w:rFonts w:ascii="Arial" w:hAnsi="Arial" w:eastAsia="Arial" w:cs="Arial"/>
          <w:sz w:val="22"/>
          <w:szCs w:val="22"/>
        </w:rPr>
        <w:t xml:space="preserve"> areas, and organisations often face funding constraints and workforce shortages, which can limit the availability of support.</w:t>
      </w:r>
    </w:p>
    <w:p w:rsidRPr="00071003" w:rsidR="00071003" w:rsidP="35C5CC2C" w:rsidRDefault="00071003" w14:paraId="765CE804" w14:textId="5088A8C3">
      <w:pPr>
        <w:spacing w:line="360" w:lineRule="auto"/>
        <w:jc w:val="both"/>
        <w:rPr>
          <w:rFonts w:ascii="Arial" w:hAnsi="Arial" w:eastAsia="Arial" w:cs="Arial"/>
          <w:sz w:val="22"/>
          <w:szCs w:val="22"/>
          <w:lang/>
        </w:rPr>
      </w:pPr>
      <w:r w:rsidRPr="35C5CC2C" w:rsidR="3FEF84A7">
        <w:rPr>
          <w:rFonts w:ascii="Arial" w:hAnsi="Arial" w:eastAsia="Arial" w:cs="Arial"/>
          <w:sz w:val="22"/>
          <w:szCs w:val="22"/>
        </w:rPr>
        <w:t xml:space="preserve">Theories and models also help explain how inequalities can be reduced. Social Cognitive Theory highlights the importance of self-efficacy, social support and learning from others (Sheeran et al., 2017). Community health programmes and peer-support initiatives reflect this approach by helping individuals develop confidence and healthy behaviours through supportive relationships. The Health Belief Model suggests that people are more likely to engage with preventive services when they perceive a health threat, believe that action will be beneficial and feel capable of taking that action (Glanz et al., 2015). However, these theories have limitations because they primarily focus on individual behaviour. Many people facing inequality </w:t>
      </w:r>
      <w:r w:rsidRPr="35C5CC2C" w:rsidR="3FEF84A7">
        <w:rPr>
          <w:rFonts w:ascii="Arial" w:hAnsi="Arial" w:eastAsia="Arial" w:cs="Arial"/>
          <w:sz w:val="22"/>
          <w:szCs w:val="22"/>
        </w:rPr>
        <w:t>encounter</w:t>
      </w:r>
      <w:r w:rsidRPr="35C5CC2C" w:rsidR="3FEF84A7">
        <w:rPr>
          <w:rFonts w:ascii="Arial" w:hAnsi="Arial" w:eastAsia="Arial" w:cs="Arial"/>
          <w:sz w:val="22"/>
          <w:szCs w:val="22"/>
        </w:rPr>
        <w:t xml:space="preserve"> structural barriers such as poverty, insecure </w:t>
      </w:r>
      <w:r w:rsidRPr="35C5CC2C" w:rsidR="4B5D9CCC">
        <w:rPr>
          <w:rFonts w:ascii="Arial" w:hAnsi="Arial" w:eastAsia="Arial" w:cs="Arial"/>
          <w:sz w:val="22"/>
          <w:szCs w:val="22"/>
        </w:rPr>
        <w:t>employment,</w:t>
      </w:r>
      <w:r w:rsidRPr="35C5CC2C" w:rsidR="3FEF84A7">
        <w:rPr>
          <w:rFonts w:ascii="Arial" w:hAnsi="Arial" w:eastAsia="Arial" w:cs="Arial"/>
          <w:sz w:val="22"/>
          <w:szCs w:val="22"/>
        </w:rPr>
        <w:t xml:space="preserve"> and poor housing, which cannot be addressed through behaviour change alone (Marmot, 2020). Consequently, effective policies must combine individual support with wider social and economic reforms.</w:t>
      </w:r>
    </w:p>
    <w:p w:rsidRPr="00071003" w:rsidR="00071003" w:rsidP="35C5CC2C" w:rsidRDefault="00071003" w14:paraId="653DD4B1" w14:textId="25995F4A">
      <w:pPr>
        <w:jc w:val="both"/>
        <w:rPr>
          <w:rFonts w:ascii="Arial" w:hAnsi="Arial" w:eastAsia="Arial" w:cs="Arial"/>
          <w:sz w:val="22"/>
          <w:szCs w:val="22"/>
          <w:lang/>
        </w:rPr>
      </w:pPr>
      <w:r w:rsidRPr="35C5CC2C" w:rsidR="3FEF84A7">
        <w:rPr>
          <w:rFonts w:ascii="Arial" w:hAnsi="Arial" w:eastAsia="Arial" w:cs="Arial"/>
          <w:sz w:val="22"/>
          <w:szCs w:val="22"/>
        </w:rPr>
        <w:t xml:space="preserve">Overall, SDG 10 has several strengths. It draws attention to health inequities, encourages inclusive </w:t>
      </w:r>
      <w:bookmarkStart w:name="_Int_2M0M8biQ" w:id="1793664271"/>
      <w:r w:rsidRPr="35C5CC2C" w:rsidR="282E9A3E">
        <w:rPr>
          <w:rFonts w:ascii="Arial" w:hAnsi="Arial" w:eastAsia="Arial" w:cs="Arial"/>
          <w:sz w:val="22"/>
          <w:szCs w:val="22"/>
        </w:rPr>
        <w:t>policymaking,</w:t>
      </w:r>
      <w:bookmarkEnd w:id="1793664271"/>
      <w:r w:rsidRPr="35C5CC2C" w:rsidR="3FEF84A7">
        <w:rPr>
          <w:rFonts w:ascii="Arial" w:hAnsi="Arial" w:eastAsia="Arial" w:cs="Arial"/>
          <w:sz w:val="22"/>
          <w:szCs w:val="22"/>
        </w:rPr>
        <w:t xml:space="preserve"> and supports targeted interventions for disadvantaged groups (United Nations, 2024). Yet important weaknesses</w:t>
      </w:r>
      <w:r w:rsidRPr="35C5CC2C" w:rsidR="3FEF84A7">
        <w:rPr>
          <w:rFonts w:ascii="Arial" w:hAnsi="Arial" w:eastAsia="Arial" w:cs="Arial"/>
          <w:sz w:val="22"/>
          <w:szCs w:val="22"/>
        </w:rPr>
        <w:t xml:space="preserve"> </w:t>
      </w:r>
      <w:r w:rsidRPr="35C5CC2C" w:rsidR="3FEF84A7">
        <w:rPr>
          <w:rFonts w:ascii="Arial" w:hAnsi="Arial" w:eastAsia="Arial" w:cs="Arial"/>
          <w:sz w:val="22"/>
          <w:szCs w:val="22"/>
        </w:rPr>
        <w:t>remai</w:t>
      </w:r>
      <w:r w:rsidRPr="35C5CC2C" w:rsidR="3FEF84A7">
        <w:rPr>
          <w:rFonts w:ascii="Arial" w:hAnsi="Arial" w:eastAsia="Arial" w:cs="Arial"/>
          <w:sz w:val="22"/>
          <w:szCs w:val="22"/>
        </w:rPr>
        <w:t>n</w:t>
      </w:r>
      <w:r w:rsidRPr="35C5CC2C" w:rsidR="3FEF84A7">
        <w:rPr>
          <w:rFonts w:ascii="Arial" w:hAnsi="Arial" w:eastAsia="Arial" w:cs="Arial"/>
          <w:sz w:val="22"/>
          <w:szCs w:val="22"/>
        </w:rPr>
        <w:t>, including persistent socioeconomic disparities, unequal access to digital services and differences in local service provision. To improve progress, governments should increase investment in deprived communities, strengthen digital inclusion programmes, expand culturally sensitive</w:t>
      </w:r>
      <w:r w:rsidRPr="35C5CC2C" w:rsidR="3FEF84A7">
        <w:rPr>
          <w:rFonts w:ascii="Arial" w:hAnsi="Arial" w:eastAsia="Arial" w:cs="Arial"/>
          <w:sz w:val="22"/>
          <w:szCs w:val="22"/>
        </w:rPr>
        <w:t xml:space="preserve"> </w:t>
      </w:r>
      <w:r w:rsidRPr="35C5CC2C" w:rsidR="62838208">
        <w:rPr>
          <w:rFonts w:ascii="Arial" w:hAnsi="Arial" w:eastAsia="Arial" w:cs="Arial"/>
          <w:sz w:val="22"/>
          <w:szCs w:val="22"/>
        </w:rPr>
        <w:t>service</w:t>
      </w:r>
      <w:r w:rsidRPr="35C5CC2C" w:rsidR="62838208">
        <w:rPr>
          <w:rFonts w:ascii="Arial" w:hAnsi="Arial" w:eastAsia="Arial" w:cs="Arial"/>
          <w:sz w:val="22"/>
          <w:szCs w:val="22"/>
        </w:rPr>
        <w:t>s,</w:t>
      </w:r>
      <w:r w:rsidRPr="35C5CC2C" w:rsidR="3FEF84A7">
        <w:rPr>
          <w:rFonts w:ascii="Arial" w:hAnsi="Arial" w:eastAsia="Arial" w:cs="Arial"/>
          <w:sz w:val="22"/>
          <w:szCs w:val="22"/>
        </w:rPr>
        <w:t xml:space="preserve"> and improve collaboration between health, socia</w:t>
      </w:r>
      <w:r w:rsidRPr="35C5CC2C" w:rsidR="3FEF84A7">
        <w:rPr>
          <w:rFonts w:ascii="Arial" w:hAnsi="Arial" w:eastAsia="Arial" w:cs="Arial"/>
          <w:sz w:val="22"/>
          <w:szCs w:val="22"/>
        </w:rPr>
        <w:t xml:space="preserve">l </w:t>
      </w:r>
      <w:r w:rsidRPr="35C5CC2C" w:rsidR="1689E2F2">
        <w:rPr>
          <w:rFonts w:ascii="Arial" w:hAnsi="Arial" w:eastAsia="Arial" w:cs="Arial"/>
          <w:sz w:val="22"/>
          <w:szCs w:val="22"/>
        </w:rPr>
        <w:t>ca</w:t>
      </w:r>
      <w:r w:rsidRPr="35C5CC2C" w:rsidR="1689E2F2">
        <w:rPr>
          <w:rFonts w:ascii="Arial" w:hAnsi="Arial" w:eastAsia="Arial" w:cs="Arial"/>
          <w:sz w:val="22"/>
          <w:szCs w:val="22"/>
        </w:rPr>
        <w:t>re,</w:t>
      </w:r>
      <w:r w:rsidRPr="35C5CC2C" w:rsidR="3FEF84A7">
        <w:rPr>
          <w:rFonts w:ascii="Arial" w:hAnsi="Arial" w:eastAsia="Arial" w:cs="Arial"/>
          <w:sz w:val="22"/>
          <w:szCs w:val="22"/>
        </w:rPr>
        <w:t xml:space="preserve"> and community organisations to achieve mo</w:t>
      </w:r>
      <w:r w:rsidRPr="35C5CC2C" w:rsidR="3FEF84A7">
        <w:rPr>
          <w:rFonts w:ascii="Arial" w:hAnsi="Arial" w:eastAsia="Arial" w:cs="Arial"/>
          <w:sz w:val="22"/>
          <w:szCs w:val="22"/>
        </w:rPr>
        <w:t xml:space="preserve">re </w:t>
      </w:r>
      <w:r w:rsidRPr="35C5CC2C" w:rsidR="3FEF84A7">
        <w:rPr>
          <w:rFonts w:ascii="Arial" w:hAnsi="Arial" w:eastAsia="Arial" w:cs="Arial"/>
          <w:sz w:val="22"/>
          <w:szCs w:val="22"/>
        </w:rPr>
        <w:t>equita</w:t>
      </w:r>
      <w:r w:rsidRPr="35C5CC2C" w:rsidR="3FEF84A7">
        <w:rPr>
          <w:rFonts w:ascii="Arial" w:hAnsi="Arial" w:eastAsia="Arial" w:cs="Arial"/>
          <w:sz w:val="22"/>
          <w:szCs w:val="22"/>
        </w:rPr>
        <w:t>ble</w:t>
      </w:r>
      <w:r w:rsidRPr="35C5CC2C" w:rsidR="3FEF84A7">
        <w:rPr>
          <w:rFonts w:ascii="Arial" w:hAnsi="Arial" w:eastAsia="Arial" w:cs="Arial"/>
          <w:sz w:val="22"/>
          <w:szCs w:val="22"/>
        </w:rPr>
        <w:t xml:space="preserve"> health outcomes (WHO, 2024). In addition, policymakers should address the root causes of inequality, including povert</w:t>
      </w:r>
      <w:r w:rsidRPr="35C5CC2C" w:rsidR="3FEF84A7">
        <w:rPr>
          <w:rFonts w:ascii="Arial" w:hAnsi="Arial" w:eastAsia="Arial" w:cs="Arial"/>
          <w:sz w:val="22"/>
          <w:szCs w:val="22"/>
        </w:rPr>
        <w:t xml:space="preserve">y, </w:t>
      </w:r>
      <w:r w:rsidRPr="35C5CC2C" w:rsidR="4FE2317E">
        <w:rPr>
          <w:rFonts w:ascii="Arial" w:hAnsi="Arial" w:eastAsia="Arial" w:cs="Arial"/>
          <w:sz w:val="22"/>
          <w:szCs w:val="22"/>
        </w:rPr>
        <w:t>educat</w:t>
      </w:r>
      <w:r w:rsidRPr="35C5CC2C" w:rsidR="4FE2317E">
        <w:rPr>
          <w:rFonts w:ascii="Arial" w:hAnsi="Arial" w:eastAsia="Arial" w:cs="Arial"/>
          <w:sz w:val="22"/>
          <w:szCs w:val="22"/>
        </w:rPr>
        <w:t>ion,</w:t>
      </w:r>
      <w:r w:rsidRPr="35C5CC2C" w:rsidR="3FEF84A7">
        <w:rPr>
          <w:rFonts w:ascii="Arial" w:hAnsi="Arial" w:eastAsia="Arial" w:cs="Arial"/>
          <w:sz w:val="22"/>
          <w:szCs w:val="22"/>
        </w:rPr>
        <w:t xml:space="preserve"> and housing, because sustainable improvements in health and wellbeing are unlikely to occur unless these wider determinants are tackled. By addressing both social inequalities and healthcare access, SDG 10 can make a significant contribution to achieving the broa</w:t>
      </w:r>
      <w:r w:rsidRPr="35C5CC2C" w:rsidR="3FEF84A7">
        <w:rPr>
          <w:rFonts w:ascii="Arial" w:hAnsi="Arial" w:eastAsia="Arial" w:cs="Arial"/>
          <w:sz w:val="22"/>
          <w:szCs w:val="22"/>
        </w:rPr>
        <w:t xml:space="preserve">der </w:t>
      </w:r>
      <w:r w:rsidRPr="35C5CC2C" w:rsidR="3FEF84A7">
        <w:rPr>
          <w:rFonts w:ascii="Arial" w:hAnsi="Arial" w:eastAsia="Arial" w:cs="Arial"/>
          <w:sz w:val="22"/>
          <w:szCs w:val="22"/>
        </w:rPr>
        <w:t>object</w:t>
      </w:r>
      <w:r w:rsidRPr="35C5CC2C" w:rsidR="3FEF84A7">
        <w:rPr>
          <w:rFonts w:ascii="Arial" w:hAnsi="Arial" w:eastAsia="Arial" w:cs="Arial"/>
          <w:sz w:val="22"/>
          <w:szCs w:val="22"/>
        </w:rPr>
        <w:t>ives</w:t>
      </w:r>
      <w:r w:rsidRPr="35C5CC2C" w:rsidR="3FEF84A7">
        <w:rPr>
          <w:rFonts w:ascii="Arial" w:hAnsi="Arial" w:eastAsia="Arial" w:cs="Arial"/>
          <w:sz w:val="22"/>
          <w:szCs w:val="22"/>
        </w:rPr>
        <w:t xml:space="preserve"> of SDG 3 and creating healthier and m</w:t>
      </w:r>
      <w:r w:rsidRPr="35C5CC2C" w:rsidR="3FEF84A7">
        <w:rPr>
          <w:rFonts w:ascii="Arial" w:hAnsi="Arial" w:eastAsia="Arial" w:cs="Arial"/>
          <w:sz w:val="22"/>
          <w:szCs w:val="22"/>
        </w:rPr>
        <w:t xml:space="preserve">ore </w:t>
      </w:r>
      <w:r w:rsidRPr="35C5CC2C" w:rsidR="3FEF84A7">
        <w:rPr>
          <w:rFonts w:ascii="Arial" w:hAnsi="Arial" w:eastAsia="Arial" w:cs="Arial"/>
          <w:sz w:val="22"/>
          <w:szCs w:val="22"/>
        </w:rPr>
        <w:t>equit</w:t>
      </w:r>
      <w:r w:rsidRPr="35C5CC2C" w:rsidR="3FEF84A7">
        <w:rPr>
          <w:rFonts w:ascii="Arial" w:hAnsi="Arial" w:eastAsia="Arial" w:cs="Arial"/>
          <w:sz w:val="22"/>
          <w:szCs w:val="22"/>
        </w:rPr>
        <w:t>able</w:t>
      </w:r>
      <w:r w:rsidRPr="35C5CC2C" w:rsidR="3FEF84A7">
        <w:rPr>
          <w:rFonts w:ascii="Arial" w:hAnsi="Arial" w:eastAsia="Arial" w:cs="Arial"/>
          <w:sz w:val="22"/>
          <w:szCs w:val="22"/>
        </w:rPr>
        <w:t xml:space="preserve"> communities (Braveman, 2023).</w:t>
      </w:r>
    </w:p>
    <w:p w:rsidRPr="00071003" w:rsidR="00071003" w:rsidP="35C5CC2C" w:rsidRDefault="00071003" w14:paraId="1015723B" w14:textId="77777777">
      <w:pPr>
        <w:rPr>
          <w:rFonts w:ascii="Arial" w:hAnsi="Arial" w:eastAsia="Arial" w:cs="Arial"/>
          <w:b w:val="1"/>
          <w:bCs w:val="1"/>
          <w:sz w:val="22"/>
          <w:szCs w:val="22"/>
          <w:lang/>
        </w:rPr>
      </w:pPr>
    </w:p>
    <w:p w:rsidRPr="00071003" w:rsidR="00071003" w:rsidP="35C5CC2C" w:rsidRDefault="00071003" w14:paraId="21CBF270" w14:textId="77777777">
      <w:pPr>
        <w:rPr>
          <w:rFonts w:ascii="Arial" w:hAnsi="Arial" w:eastAsia="Arial" w:cs="Arial"/>
          <w:b w:val="1"/>
          <w:bCs w:val="1"/>
          <w:sz w:val="22"/>
          <w:szCs w:val="22"/>
          <w:lang/>
        </w:rPr>
      </w:pPr>
      <w:r w:rsidRPr="35C5CC2C" w:rsidR="3FEF84A7">
        <w:rPr>
          <w:rFonts w:ascii="Arial" w:hAnsi="Arial" w:eastAsia="Arial" w:cs="Arial"/>
          <w:b w:val="1"/>
          <w:bCs w:val="1"/>
          <w:sz w:val="32"/>
          <w:szCs w:val="32"/>
        </w:rPr>
        <w:t>CONCLUSION</w:t>
      </w:r>
    </w:p>
    <w:p w:rsidR="35C5CC2C" w:rsidP="35C5CC2C" w:rsidRDefault="35C5CC2C" w14:paraId="4A086FEC" w14:textId="493A47A0">
      <w:pPr>
        <w:rPr>
          <w:rFonts w:ascii="Arial" w:hAnsi="Arial" w:eastAsia="Arial" w:cs="Arial"/>
          <w:sz w:val="22"/>
          <w:szCs w:val="22"/>
        </w:rPr>
      </w:pPr>
    </w:p>
    <w:p w:rsidRPr="00071003" w:rsidR="00071003" w:rsidP="35C5CC2C" w:rsidRDefault="00071003" w14:paraId="28208496" w14:textId="11783ABF">
      <w:pPr>
        <w:spacing w:line="360" w:lineRule="auto"/>
        <w:jc w:val="both"/>
        <w:rPr>
          <w:rFonts w:ascii="Arial" w:hAnsi="Arial" w:eastAsia="Arial" w:cs="Arial"/>
          <w:sz w:val="22"/>
          <w:szCs w:val="22"/>
          <w:lang/>
        </w:rPr>
      </w:pPr>
      <w:r w:rsidRPr="35C5CC2C" w:rsidR="3FEF84A7">
        <w:rPr>
          <w:rFonts w:ascii="Arial" w:hAnsi="Arial" w:eastAsia="Arial" w:cs="Arial"/>
          <w:sz w:val="22"/>
          <w:szCs w:val="22"/>
        </w:rPr>
        <w:t xml:space="preserve">This report has </w:t>
      </w:r>
      <w:r w:rsidRPr="35C5CC2C" w:rsidR="3FEF84A7">
        <w:rPr>
          <w:rFonts w:ascii="Arial" w:hAnsi="Arial" w:eastAsia="Arial" w:cs="Arial"/>
          <w:sz w:val="22"/>
          <w:szCs w:val="22"/>
        </w:rPr>
        <w:t>demonstrated</w:t>
      </w:r>
      <w:r w:rsidRPr="35C5CC2C" w:rsidR="3FEF84A7">
        <w:rPr>
          <w:rFonts w:ascii="Arial" w:hAnsi="Arial" w:eastAsia="Arial" w:cs="Arial"/>
          <w:sz w:val="22"/>
          <w:szCs w:val="22"/>
        </w:rPr>
        <w:t xml:space="preserve"> that SDG 3 and SDG 10 are closely interconnected, as improvements in health and wellbeing are difficult to achieve without addressing social and economic inequalities. The evaluation of global, national and local policies showed that initiatives such as universal health coverage, the NHS Long Term Plan, Core20PLUS5 and Integrated Care Systems have strengthened prevention, promoted more integrated care and increased attention to disadvantaged populations (United Nations, 2024; </w:t>
      </w:r>
      <w:r w:rsidRPr="35C5CC2C" w:rsidR="3FEF84A7">
        <w:rPr>
          <w:rFonts w:ascii="Arial" w:hAnsi="Arial" w:eastAsia="Arial" w:cs="Arial"/>
          <w:sz w:val="22"/>
          <w:szCs w:val="22"/>
        </w:rPr>
        <w:t>Alderwick</w:t>
      </w:r>
      <w:r w:rsidRPr="35C5CC2C" w:rsidR="3FEF84A7">
        <w:rPr>
          <w:rFonts w:ascii="Arial" w:hAnsi="Arial" w:eastAsia="Arial" w:cs="Arial"/>
          <w:sz w:val="22"/>
          <w:szCs w:val="22"/>
        </w:rPr>
        <w:t xml:space="preserve"> and Dixon, 2019; Humphries, 2015). However, persistent inequalities, workforce pressures and digital exclusion continue to limit progress (Marmot, 2020). The broader implication is that sustainable health improvement requires coordinated action across healthcare, social </w:t>
      </w:r>
      <w:r w:rsidRPr="35C5CC2C" w:rsidR="44152A1A">
        <w:rPr>
          <w:rFonts w:ascii="Arial" w:hAnsi="Arial" w:eastAsia="Arial" w:cs="Arial"/>
          <w:sz w:val="22"/>
          <w:szCs w:val="22"/>
        </w:rPr>
        <w:t>care,</w:t>
      </w:r>
      <w:r w:rsidRPr="35C5CC2C" w:rsidR="3FEF84A7">
        <w:rPr>
          <w:rFonts w:ascii="Arial" w:hAnsi="Arial" w:eastAsia="Arial" w:cs="Arial"/>
          <w:sz w:val="22"/>
          <w:szCs w:val="22"/>
        </w:rPr>
        <w:t xml:space="preserve"> and the wider determinants of health to create healthier and more </w:t>
      </w:r>
      <w:r w:rsidRPr="35C5CC2C" w:rsidR="3FEF84A7">
        <w:rPr>
          <w:rFonts w:ascii="Arial" w:hAnsi="Arial" w:eastAsia="Arial" w:cs="Arial"/>
          <w:sz w:val="22"/>
          <w:szCs w:val="22"/>
        </w:rPr>
        <w:t>equitable</w:t>
      </w:r>
      <w:r w:rsidRPr="35C5CC2C" w:rsidR="3FEF84A7">
        <w:rPr>
          <w:rFonts w:ascii="Arial" w:hAnsi="Arial" w:eastAsia="Arial" w:cs="Arial"/>
          <w:sz w:val="22"/>
          <w:szCs w:val="22"/>
        </w:rPr>
        <w:t xml:space="preserve"> communities.</w:t>
      </w:r>
    </w:p>
    <w:p w:rsidRPr="00071003" w:rsidR="00071003" w:rsidP="35C5CC2C" w:rsidRDefault="00071003" w14:paraId="028B366D" w14:textId="77777777">
      <w:pPr>
        <w:rPr>
          <w:rFonts w:ascii="Arial" w:hAnsi="Arial" w:eastAsia="Arial" w:cs="Arial"/>
          <w:sz w:val="22"/>
          <w:szCs w:val="22"/>
          <w:lang/>
        </w:rPr>
      </w:pPr>
    </w:p>
    <w:p w:rsidRPr="00071003" w:rsidR="00071003" w:rsidP="35C5CC2C" w:rsidRDefault="00071003" w14:paraId="31B3B576" w14:textId="77777777">
      <w:pPr>
        <w:rPr>
          <w:rFonts w:ascii="Arial" w:hAnsi="Arial" w:eastAsia="Arial" w:cs="Arial"/>
          <w:b w:val="1"/>
          <w:bCs w:val="1"/>
          <w:sz w:val="32"/>
          <w:szCs w:val="32"/>
          <w:lang/>
        </w:rPr>
      </w:pPr>
      <w:r w:rsidRPr="35C5CC2C" w:rsidR="3FEF84A7">
        <w:rPr>
          <w:rFonts w:ascii="Arial" w:hAnsi="Arial" w:eastAsia="Arial" w:cs="Arial"/>
          <w:b w:val="1"/>
          <w:bCs w:val="1"/>
          <w:sz w:val="32"/>
          <w:szCs w:val="32"/>
        </w:rPr>
        <w:t xml:space="preserve">REFERENCES </w:t>
      </w:r>
    </w:p>
    <w:p w:rsidR="35C5CC2C" w:rsidP="35C5CC2C" w:rsidRDefault="35C5CC2C" w14:paraId="0DC9E244" w14:textId="2628624A">
      <w:pPr>
        <w:rPr>
          <w:rFonts w:ascii="Arial" w:hAnsi="Arial" w:eastAsia="Arial" w:cs="Arial"/>
          <w:sz w:val="22"/>
          <w:szCs w:val="22"/>
        </w:rPr>
      </w:pPr>
    </w:p>
    <w:p w:rsidRPr="00071003" w:rsidR="00071003" w:rsidP="35C5CC2C" w:rsidRDefault="00071003" w14:paraId="56453CBF" w14:textId="77777777">
      <w:pPr>
        <w:spacing w:line="360" w:lineRule="auto"/>
        <w:jc w:val="both"/>
        <w:rPr>
          <w:rFonts w:ascii="Arial" w:hAnsi="Arial" w:eastAsia="Arial" w:cs="Arial"/>
          <w:sz w:val="22"/>
          <w:szCs w:val="22"/>
          <w:lang/>
        </w:rPr>
      </w:pPr>
      <w:r w:rsidRPr="35C5CC2C" w:rsidR="3FEF84A7">
        <w:rPr>
          <w:rFonts w:ascii="Arial" w:hAnsi="Arial" w:eastAsia="Arial" w:cs="Arial"/>
          <w:sz w:val="22"/>
          <w:szCs w:val="22"/>
        </w:rPr>
        <w:t>Abubakar, I., Aldridge, R.W., Devakumar, D., Orcutt, M., Burns, R., Barreto, M.L., Dhavan, P., Fouad, F.M., Groce, N., Guo, Y. and Hargreaves, S., 2018. The UCL–Lancet Commission on Migration and Health: the health of a world on the move. </w:t>
      </w:r>
      <w:r w:rsidRPr="35C5CC2C" w:rsidR="3FEF84A7">
        <w:rPr>
          <w:rFonts w:ascii="Arial" w:hAnsi="Arial" w:eastAsia="Arial" w:cs="Arial"/>
          <w:i w:val="1"/>
          <w:iCs w:val="1"/>
          <w:sz w:val="22"/>
          <w:szCs w:val="22"/>
        </w:rPr>
        <w:t>The Lancet</w:t>
      </w:r>
      <w:r w:rsidRPr="35C5CC2C" w:rsidR="3FEF84A7">
        <w:rPr>
          <w:rFonts w:ascii="Arial" w:hAnsi="Arial" w:eastAsia="Arial" w:cs="Arial"/>
          <w:sz w:val="22"/>
          <w:szCs w:val="22"/>
        </w:rPr>
        <w:t>, </w:t>
      </w:r>
      <w:r w:rsidRPr="35C5CC2C" w:rsidR="3FEF84A7">
        <w:rPr>
          <w:rFonts w:ascii="Arial" w:hAnsi="Arial" w:eastAsia="Arial" w:cs="Arial"/>
          <w:i w:val="1"/>
          <w:iCs w:val="1"/>
          <w:sz w:val="22"/>
          <w:szCs w:val="22"/>
        </w:rPr>
        <w:t>392</w:t>
      </w:r>
      <w:r w:rsidRPr="35C5CC2C" w:rsidR="3FEF84A7">
        <w:rPr>
          <w:rFonts w:ascii="Arial" w:hAnsi="Arial" w:eastAsia="Arial" w:cs="Arial"/>
          <w:sz w:val="22"/>
          <w:szCs w:val="22"/>
        </w:rPr>
        <w:t>(10164), pp.2606-2654.</w:t>
      </w:r>
    </w:p>
    <w:p w:rsidRPr="00071003" w:rsidR="00071003" w:rsidP="35C5CC2C" w:rsidRDefault="00071003" w14:paraId="393843CE" w14:textId="7DD198A6">
      <w:pPr>
        <w:spacing w:line="360" w:lineRule="auto"/>
        <w:jc w:val="both"/>
        <w:rPr>
          <w:rFonts w:ascii="Arial" w:hAnsi="Arial" w:eastAsia="Arial" w:cs="Arial"/>
          <w:sz w:val="22"/>
          <w:szCs w:val="22"/>
          <w:lang/>
        </w:rPr>
      </w:pPr>
      <w:r w:rsidRPr="35C5CC2C" w:rsidR="3FEF84A7">
        <w:rPr>
          <w:rFonts w:ascii="Arial" w:hAnsi="Arial" w:eastAsia="Arial" w:cs="Arial"/>
          <w:sz w:val="22"/>
          <w:szCs w:val="22"/>
        </w:rPr>
        <w:t xml:space="preserve">Aftab, W., Siddiqui, F.J., Tasic, H., Perveen, S., Siddiqi, </w:t>
      </w:r>
      <w:r w:rsidRPr="35C5CC2C" w:rsidR="3EFAB880">
        <w:rPr>
          <w:rFonts w:ascii="Arial" w:hAnsi="Arial" w:eastAsia="Arial" w:cs="Arial"/>
          <w:sz w:val="22"/>
          <w:szCs w:val="22"/>
        </w:rPr>
        <w:t>S.,</w:t>
      </w:r>
      <w:r w:rsidRPr="35C5CC2C" w:rsidR="3FEF84A7">
        <w:rPr>
          <w:rFonts w:ascii="Arial" w:hAnsi="Arial" w:eastAsia="Arial" w:cs="Arial"/>
          <w:sz w:val="22"/>
          <w:szCs w:val="22"/>
        </w:rPr>
        <w:t xml:space="preserve"> and Bhutta, Z.A., 2020. Implementation of health and health-related sustainable development goals: progress, </w:t>
      </w:r>
      <w:r w:rsidRPr="35C5CC2C" w:rsidR="0ACB7A42">
        <w:rPr>
          <w:rFonts w:ascii="Arial" w:hAnsi="Arial" w:eastAsia="Arial" w:cs="Arial"/>
          <w:sz w:val="22"/>
          <w:szCs w:val="22"/>
        </w:rPr>
        <w:t>challenges,</w:t>
      </w:r>
      <w:r w:rsidRPr="35C5CC2C" w:rsidR="3FEF84A7">
        <w:rPr>
          <w:rFonts w:ascii="Arial" w:hAnsi="Arial" w:eastAsia="Arial" w:cs="Arial"/>
          <w:sz w:val="22"/>
          <w:szCs w:val="22"/>
        </w:rPr>
        <w:t xml:space="preserve"> and opportunities–a systematic literature review. </w:t>
      </w:r>
      <w:r w:rsidRPr="35C5CC2C" w:rsidR="3FEF84A7">
        <w:rPr>
          <w:rFonts w:ascii="Arial" w:hAnsi="Arial" w:eastAsia="Arial" w:cs="Arial"/>
          <w:i w:val="1"/>
          <w:iCs w:val="1"/>
          <w:sz w:val="22"/>
          <w:szCs w:val="22"/>
        </w:rPr>
        <w:t>BMJ global health</w:t>
      </w:r>
      <w:r w:rsidRPr="35C5CC2C" w:rsidR="3FEF84A7">
        <w:rPr>
          <w:rFonts w:ascii="Arial" w:hAnsi="Arial" w:eastAsia="Arial" w:cs="Arial"/>
          <w:sz w:val="22"/>
          <w:szCs w:val="22"/>
        </w:rPr>
        <w:t>, </w:t>
      </w:r>
      <w:r w:rsidRPr="35C5CC2C" w:rsidR="3FEF84A7">
        <w:rPr>
          <w:rFonts w:ascii="Arial" w:hAnsi="Arial" w:eastAsia="Arial" w:cs="Arial"/>
          <w:i w:val="1"/>
          <w:iCs w:val="1"/>
          <w:sz w:val="22"/>
          <w:szCs w:val="22"/>
        </w:rPr>
        <w:t>5</w:t>
      </w:r>
      <w:r w:rsidRPr="35C5CC2C" w:rsidR="3FEF84A7">
        <w:rPr>
          <w:rFonts w:ascii="Arial" w:hAnsi="Arial" w:eastAsia="Arial" w:cs="Arial"/>
          <w:sz w:val="22"/>
          <w:szCs w:val="22"/>
        </w:rPr>
        <w:t>(8).</w:t>
      </w:r>
    </w:p>
    <w:p w:rsidRPr="00071003" w:rsidR="00071003" w:rsidP="35C5CC2C" w:rsidRDefault="00071003" w14:paraId="3E8DF633" w14:textId="77777777">
      <w:pPr>
        <w:spacing w:line="360" w:lineRule="auto"/>
        <w:jc w:val="both"/>
        <w:rPr>
          <w:rFonts w:ascii="Arial" w:hAnsi="Arial" w:eastAsia="Arial" w:cs="Arial"/>
          <w:sz w:val="22"/>
          <w:szCs w:val="22"/>
          <w:lang/>
        </w:rPr>
      </w:pPr>
      <w:r w:rsidRPr="35C5CC2C" w:rsidR="3FEF84A7">
        <w:rPr>
          <w:rFonts w:ascii="Arial" w:hAnsi="Arial" w:eastAsia="Arial" w:cs="Arial"/>
          <w:sz w:val="22"/>
          <w:szCs w:val="22"/>
        </w:rPr>
        <w:t>Alderwick, H. and Dixon, J., 2019. The NHS long term plan. </w:t>
      </w:r>
      <w:r w:rsidRPr="35C5CC2C" w:rsidR="3FEF84A7">
        <w:rPr>
          <w:rFonts w:ascii="Arial" w:hAnsi="Arial" w:eastAsia="Arial" w:cs="Arial"/>
          <w:i w:val="1"/>
          <w:iCs w:val="1"/>
          <w:sz w:val="22"/>
          <w:szCs w:val="22"/>
        </w:rPr>
        <w:t>bmj</w:t>
      </w:r>
      <w:r w:rsidRPr="35C5CC2C" w:rsidR="3FEF84A7">
        <w:rPr>
          <w:rFonts w:ascii="Arial" w:hAnsi="Arial" w:eastAsia="Arial" w:cs="Arial"/>
          <w:sz w:val="22"/>
          <w:szCs w:val="22"/>
        </w:rPr>
        <w:t>, </w:t>
      </w:r>
      <w:r w:rsidRPr="35C5CC2C" w:rsidR="3FEF84A7">
        <w:rPr>
          <w:rFonts w:ascii="Arial" w:hAnsi="Arial" w:eastAsia="Arial" w:cs="Arial"/>
          <w:i w:val="1"/>
          <w:iCs w:val="1"/>
          <w:sz w:val="22"/>
          <w:szCs w:val="22"/>
        </w:rPr>
        <w:t>364</w:t>
      </w:r>
      <w:r w:rsidRPr="35C5CC2C" w:rsidR="3FEF84A7">
        <w:rPr>
          <w:rFonts w:ascii="Arial" w:hAnsi="Arial" w:eastAsia="Arial" w:cs="Arial"/>
          <w:sz w:val="22"/>
          <w:szCs w:val="22"/>
        </w:rPr>
        <w:t>.</w:t>
      </w:r>
    </w:p>
    <w:p w:rsidRPr="00071003" w:rsidR="00071003" w:rsidP="35C5CC2C" w:rsidRDefault="00071003" w14:paraId="672ADD7D" w14:textId="77777777">
      <w:pPr>
        <w:spacing w:line="360" w:lineRule="auto"/>
        <w:jc w:val="both"/>
        <w:rPr>
          <w:rFonts w:ascii="Arial" w:hAnsi="Arial" w:eastAsia="Arial" w:cs="Arial"/>
          <w:sz w:val="22"/>
          <w:szCs w:val="22"/>
          <w:lang/>
        </w:rPr>
      </w:pPr>
      <w:r w:rsidRPr="35C5CC2C" w:rsidR="3FEF84A7">
        <w:rPr>
          <w:rFonts w:ascii="Arial" w:hAnsi="Arial" w:eastAsia="Arial" w:cs="Arial"/>
          <w:sz w:val="22"/>
          <w:szCs w:val="22"/>
        </w:rPr>
        <w:t>Bambra, C., Riordan, R., Ford, J. and Matthews, F., 2020. The COVID-19 pandemic and health inequalities. </w:t>
      </w:r>
      <w:r w:rsidRPr="35C5CC2C" w:rsidR="3FEF84A7">
        <w:rPr>
          <w:rFonts w:ascii="Arial" w:hAnsi="Arial" w:eastAsia="Arial" w:cs="Arial"/>
          <w:i w:val="1"/>
          <w:iCs w:val="1"/>
          <w:sz w:val="22"/>
          <w:szCs w:val="22"/>
        </w:rPr>
        <w:t>J Epidemiol Community Health</w:t>
      </w:r>
      <w:r w:rsidRPr="35C5CC2C" w:rsidR="3FEF84A7">
        <w:rPr>
          <w:rFonts w:ascii="Arial" w:hAnsi="Arial" w:eastAsia="Arial" w:cs="Arial"/>
          <w:sz w:val="22"/>
          <w:szCs w:val="22"/>
        </w:rPr>
        <w:t>, </w:t>
      </w:r>
      <w:r w:rsidRPr="35C5CC2C" w:rsidR="3FEF84A7">
        <w:rPr>
          <w:rFonts w:ascii="Arial" w:hAnsi="Arial" w:eastAsia="Arial" w:cs="Arial"/>
          <w:i w:val="1"/>
          <w:iCs w:val="1"/>
          <w:sz w:val="22"/>
          <w:szCs w:val="22"/>
        </w:rPr>
        <w:t>74</w:t>
      </w:r>
      <w:r w:rsidRPr="35C5CC2C" w:rsidR="3FEF84A7">
        <w:rPr>
          <w:rFonts w:ascii="Arial" w:hAnsi="Arial" w:eastAsia="Arial" w:cs="Arial"/>
          <w:sz w:val="22"/>
          <w:szCs w:val="22"/>
        </w:rPr>
        <w:t>(11), pp.964-968.</w:t>
      </w:r>
    </w:p>
    <w:p w:rsidRPr="00071003" w:rsidR="00071003" w:rsidP="35C5CC2C" w:rsidRDefault="00071003" w14:paraId="727FF1E1" w14:textId="77777777">
      <w:pPr>
        <w:spacing w:line="360" w:lineRule="auto"/>
        <w:jc w:val="both"/>
        <w:rPr>
          <w:rFonts w:ascii="Arial" w:hAnsi="Arial" w:eastAsia="Arial" w:cs="Arial"/>
          <w:sz w:val="22"/>
          <w:szCs w:val="22"/>
          <w:lang/>
        </w:rPr>
      </w:pPr>
      <w:r w:rsidRPr="35C5CC2C" w:rsidR="3FEF84A7">
        <w:rPr>
          <w:rFonts w:ascii="Arial" w:hAnsi="Arial" w:eastAsia="Arial" w:cs="Arial"/>
          <w:sz w:val="22"/>
          <w:szCs w:val="22"/>
        </w:rPr>
        <w:t>Braveman, P., 2023. </w:t>
      </w:r>
      <w:r w:rsidRPr="35C5CC2C" w:rsidR="3FEF84A7">
        <w:rPr>
          <w:rFonts w:ascii="Arial" w:hAnsi="Arial" w:eastAsia="Arial" w:cs="Arial"/>
          <w:i w:val="1"/>
          <w:iCs w:val="1"/>
          <w:sz w:val="22"/>
          <w:szCs w:val="22"/>
        </w:rPr>
        <w:t>The social determinants of health and health disparities</w:t>
      </w:r>
      <w:r w:rsidRPr="35C5CC2C" w:rsidR="3FEF84A7">
        <w:rPr>
          <w:rFonts w:ascii="Arial" w:hAnsi="Arial" w:eastAsia="Arial" w:cs="Arial"/>
          <w:sz w:val="22"/>
          <w:szCs w:val="22"/>
        </w:rPr>
        <w:t>. Oxford University Press.</w:t>
      </w:r>
    </w:p>
    <w:p w:rsidRPr="00071003" w:rsidR="00071003" w:rsidP="35C5CC2C" w:rsidRDefault="00071003" w14:paraId="316F2D0A" w14:textId="77777777">
      <w:pPr>
        <w:spacing w:line="360" w:lineRule="auto"/>
        <w:jc w:val="both"/>
        <w:rPr>
          <w:rFonts w:ascii="Arial" w:hAnsi="Arial" w:eastAsia="Arial" w:cs="Arial"/>
          <w:sz w:val="22"/>
          <w:szCs w:val="22"/>
          <w:lang/>
        </w:rPr>
      </w:pPr>
      <w:r w:rsidRPr="35C5CC2C" w:rsidR="3FEF84A7">
        <w:rPr>
          <w:rFonts w:ascii="Arial" w:hAnsi="Arial" w:eastAsia="Arial" w:cs="Arial"/>
          <w:sz w:val="22"/>
          <w:szCs w:val="22"/>
        </w:rPr>
        <w:t>Davies, A.R., Honeyman, M. and Gann, B., 2021. Addressing the digital inverse care law in the time of COVID-19: potential for digital technology to exacerbate or mitigate health inequalities. </w:t>
      </w:r>
      <w:r w:rsidRPr="35C5CC2C" w:rsidR="3FEF84A7">
        <w:rPr>
          <w:rFonts w:ascii="Arial" w:hAnsi="Arial" w:eastAsia="Arial" w:cs="Arial"/>
          <w:i w:val="1"/>
          <w:iCs w:val="1"/>
          <w:sz w:val="22"/>
          <w:szCs w:val="22"/>
        </w:rPr>
        <w:t>Journal of Medical Internet Research</w:t>
      </w:r>
      <w:r w:rsidRPr="35C5CC2C" w:rsidR="3FEF84A7">
        <w:rPr>
          <w:rFonts w:ascii="Arial" w:hAnsi="Arial" w:eastAsia="Arial" w:cs="Arial"/>
          <w:sz w:val="22"/>
          <w:szCs w:val="22"/>
        </w:rPr>
        <w:t>, </w:t>
      </w:r>
      <w:r w:rsidRPr="35C5CC2C" w:rsidR="3FEF84A7">
        <w:rPr>
          <w:rFonts w:ascii="Arial" w:hAnsi="Arial" w:eastAsia="Arial" w:cs="Arial"/>
          <w:i w:val="1"/>
          <w:iCs w:val="1"/>
          <w:sz w:val="22"/>
          <w:szCs w:val="22"/>
        </w:rPr>
        <w:t>23</w:t>
      </w:r>
      <w:r w:rsidRPr="35C5CC2C" w:rsidR="3FEF84A7">
        <w:rPr>
          <w:rFonts w:ascii="Arial" w:hAnsi="Arial" w:eastAsia="Arial" w:cs="Arial"/>
          <w:sz w:val="22"/>
          <w:szCs w:val="22"/>
        </w:rPr>
        <w:t>(4), p.e21726.</w:t>
      </w:r>
    </w:p>
    <w:p w:rsidRPr="00071003" w:rsidR="00071003" w:rsidP="35C5CC2C" w:rsidRDefault="00071003" w14:paraId="111FAC7B" w14:textId="77777777">
      <w:pPr>
        <w:spacing w:line="360" w:lineRule="auto"/>
        <w:jc w:val="both"/>
        <w:rPr>
          <w:rFonts w:ascii="Arial" w:hAnsi="Arial" w:eastAsia="Arial" w:cs="Arial"/>
          <w:sz w:val="22"/>
          <w:szCs w:val="22"/>
          <w:lang/>
        </w:rPr>
      </w:pPr>
      <w:r w:rsidRPr="35C5CC2C" w:rsidR="3FEF84A7">
        <w:rPr>
          <w:rFonts w:ascii="Arial" w:hAnsi="Arial" w:eastAsia="Arial" w:cs="Arial"/>
          <w:sz w:val="22"/>
          <w:szCs w:val="22"/>
        </w:rPr>
        <w:t>Davies, S., 2024. Type 2 diabetes in people with learning disabilities: promoting behaviour change.</w:t>
      </w:r>
    </w:p>
    <w:p w:rsidRPr="00071003" w:rsidR="00071003" w:rsidP="35C5CC2C" w:rsidRDefault="00071003" w14:paraId="0728A7FB" w14:textId="011219A0">
      <w:pPr>
        <w:spacing w:line="360" w:lineRule="auto"/>
        <w:jc w:val="both"/>
        <w:rPr>
          <w:rFonts w:ascii="Arial" w:hAnsi="Arial" w:eastAsia="Arial" w:cs="Arial"/>
          <w:sz w:val="22"/>
          <w:szCs w:val="22"/>
          <w:lang/>
        </w:rPr>
      </w:pPr>
      <w:r w:rsidRPr="35C5CC2C" w:rsidR="3FEF84A7">
        <w:rPr>
          <w:rFonts w:ascii="Arial" w:hAnsi="Arial" w:eastAsia="Arial" w:cs="Arial"/>
          <w:sz w:val="22"/>
          <w:szCs w:val="22"/>
        </w:rPr>
        <w:t xml:space="preserve">García-Corchero, J.D. and Jiménez-Rubio, D., 2022. Waiting times in healthcare: equal treatment for equal </w:t>
      </w:r>
      <w:r w:rsidRPr="35C5CC2C" w:rsidR="123859E8">
        <w:rPr>
          <w:rFonts w:ascii="Arial" w:hAnsi="Arial" w:eastAsia="Arial" w:cs="Arial"/>
          <w:sz w:val="22"/>
          <w:szCs w:val="22"/>
        </w:rPr>
        <w:t>need? International</w:t>
      </w:r>
      <w:r w:rsidRPr="35C5CC2C" w:rsidR="3FEF84A7">
        <w:rPr>
          <w:rFonts w:ascii="Arial" w:hAnsi="Arial" w:eastAsia="Arial" w:cs="Arial"/>
          <w:i w:val="1"/>
          <w:iCs w:val="1"/>
          <w:sz w:val="22"/>
          <w:szCs w:val="22"/>
        </w:rPr>
        <w:t xml:space="preserve"> journal for equity in health</w:t>
      </w:r>
      <w:r w:rsidRPr="35C5CC2C" w:rsidR="3FEF84A7">
        <w:rPr>
          <w:rFonts w:ascii="Arial" w:hAnsi="Arial" w:eastAsia="Arial" w:cs="Arial"/>
          <w:sz w:val="22"/>
          <w:szCs w:val="22"/>
        </w:rPr>
        <w:t>, </w:t>
      </w:r>
      <w:r w:rsidRPr="35C5CC2C" w:rsidR="3FEF84A7">
        <w:rPr>
          <w:rFonts w:ascii="Arial" w:hAnsi="Arial" w:eastAsia="Arial" w:cs="Arial"/>
          <w:i w:val="1"/>
          <w:iCs w:val="1"/>
          <w:sz w:val="22"/>
          <w:szCs w:val="22"/>
        </w:rPr>
        <w:t>21</w:t>
      </w:r>
      <w:r w:rsidRPr="35C5CC2C" w:rsidR="3FEF84A7">
        <w:rPr>
          <w:rFonts w:ascii="Arial" w:hAnsi="Arial" w:eastAsia="Arial" w:cs="Arial"/>
          <w:sz w:val="22"/>
          <w:szCs w:val="22"/>
        </w:rPr>
        <w:t>(1), p.184.</w:t>
      </w:r>
    </w:p>
    <w:p w:rsidRPr="00071003" w:rsidR="00071003" w:rsidP="35C5CC2C" w:rsidRDefault="00071003" w14:paraId="3DC0EBA0" w14:textId="237BA132">
      <w:pPr>
        <w:spacing w:line="360" w:lineRule="auto"/>
        <w:jc w:val="both"/>
        <w:rPr>
          <w:rFonts w:ascii="Arial" w:hAnsi="Arial" w:eastAsia="Arial" w:cs="Arial"/>
          <w:sz w:val="22"/>
          <w:szCs w:val="22"/>
          <w:lang/>
        </w:rPr>
      </w:pPr>
      <w:r w:rsidRPr="35C5CC2C" w:rsidR="3FEF84A7">
        <w:rPr>
          <w:rFonts w:ascii="Arial" w:hAnsi="Arial" w:eastAsia="Arial" w:cs="Arial"/>
          <w:sz w:val="22"/>
          <w:szCs w:val="22"/>
        </w:rPr>
        <w:t>Glanz, K., Rimer, B.K. and Viswanath, K. eds., 2015. </w:t>
      </w:r>
      <w:r w:rsidRPr="35C5CC2C" w:rsidR="3FEF84A7">
        <w:rPr>
          <w:rFonts w:ascii="Arial" w:hAnsi="Arial" w:eastAsia="Arial" w:cs="Arial"/>
          <w:i w:val="1"/>
          <w:iCs w:val="1"/>
          <w:sz w:val="22"/>
          <w:szCs w:val="22"/>
        </w:rPr>
        <w:t xml:space="preserve">Health </w:t>
      </w:r>
      <w:r w:rsidRPr="35C5CC2C" w:rsidR="4B1F3887">
        <w:rPr>
          <w:rFonts w:ascii="Arial" w:hAnsi="Arial" w:eastAsia="Arial" w:cs="Arial"/>
          <w:i w:val="1"/>
          <w:iCs w:val="1"/>
          <w:sz w:val="22"/>
          <w:szCs w:val="22"/>
        </w:rPr>
        <w:t>behaviour</w:t>
      </w:r>
      <w:r w:rsidRPr="35C5CC2C" w:rsidR="3FEF84A7">
        <w:rPr>
          <w:rFonts w:ascii="Arial" w:hAnsi="Arial" w:eastAsia="Arial" w:cs="Arial"/>
          <w:i w:val="1"/>
          <w:iCs w:val="1"/>
          <w:sz w:val="22"/>
          <w:szCs w:val="22"/>
        </w:rPr>
        <w:t>: Theory, research, and practice</w:t>
      </w:r>
      <w:r w:rsidRPr="35C5CC2C" w:rsidR="3FEF84A7">
        <w:rPr>
          <w:rFonts w:ascii="Arial" w:hAnsi="Arial" w:eastAsia="Arial" w:cs="Arial"/>
          <w:sz w:val="22"/>
          <w:szCs w:val="22"/>
        </w:rPr>
        <w:t>. John Wiley &amp; Sons.</w:t>
      </w:r>
    </w:p>
    <w:p w:rsidRPr="00071003" w:rsidR="00071003" w:rsidP="35C5CC2C" w:rsidRDefault="00071003" w14:paraId="2D1C2FBE" w14:textId="77777777">
      <w:pPr>
        <w:spacing w:line="360" w:lineRule="auto"/>
        <w:jc w:val="both"/>
        <w:rPr>
          <w:rFonts w:ascii="Arial" w:hAnsi="Arial" w:eastAsia="Arial" w:cs="Arial"/>
          <w:sz w:val="22"/>
          <w:szCs w:val="22"/>
          <w:lang/>
        </w:rPr>
      </w:pPr>
      <w:r w:rsidRPr="35C5CC2C" w:rsidR="3FEF84A7">
        <w:rPr>
          <w:rFonts w:ascii="Arial" w:hAnsi="Arial" w:eastAsia="Arial" w:cs="Arial"/>
          <w:sz w:val="22"/>
          <w:szCs w:val="22"/>
        </w:rPr>
        <w:t>Humphries, R., 2015. Integrated health and social care in England–Progress and prospects. </w:t>
      </w:r>
      <w:r w:rsidRPr="35C5CC2C" w:rsidR="3FEF84A7">
        <w:rPr>
          <w:rFonts w:ascii="Arial" w:hAnsi="Arial" w:eastAsia="Arial" w:cs="Arial"/>
          <w:i w:val="1"/>
          <w:iCs w:val="1"/>
          <w:sz w:val="22"/>
          <w:szCs w:val="22"/>
        </w:rPr>
        <w:t>Health policy</w:t>
      </w:r>
      <w:r w:rsidRPr="35C5CC2C" w:rsidR="3FEF84A7">
        <w:rPr>
          <w:rFonts w:ascii="Arial" w:hAnsi="Arial" w:eastAsia="Arial" w:cs="Arial"/>
          <w:sz w:val="22"/>
          <w:szCs w:val="22"/>
        </w:rPr>
        <w:t>, </w:t>
      </w:r>
      <w:r w:rsidRPr="35C5CC2C" w:rsidR="3FEF84A7">
        <w:rPr>
          <w:rFonts w:ascii="Arial" w:hAnsi="Arial" w:eastAsia="Arial" w:cs="Arial"/>
          <w:i w:val="1"/>
          <w:iCs w:val="1"/>
          <w:sz w:val="22"/>
          <w:szCs w:val="22"/>
        </w:rPr>
        <w:t>119</w:t>
      </w:r>
      <w:r w:rsidRPr="35C5CC2C" w:rsidR="3FEF84A7">
        <w:rPr>
          <w:rFonts w:ascii="Arial" w:hAnsi="Arial" w:eastAsia="Arial" w:cs="Arial"/>
          <w:sz w:val="22"/>
          <w:szCs w:val="22"/>
        </w:rPr>
        <w:t xml:space="preserve">(7), pp.856-859. </w:t>
      </w:r>
    </w:p>
    <w:p w:rsidRPr="00071003" w:rsidR="00071003" w:rsidP="35C5CC2C" w:rsidRDefault="00071003" w14:paraId="2D6064F7" w14:textId="77777777">
      <w:pPr>
        <w:spacing w:line="360" w:lineRule="auto"/>
        <w:jc w:val="both"/>
        <w:rPr>
          <w:rFonts w:ascii="Arial" w:hAnsi="Arial" w:eastAsia="Arial" w:cs="Arial"/>
          <w:sz w:val="22"/>
          <w:szCs w:val="22"/>
          <w:lang/>
        </w:rPr>
      </w:pPr>
      <w:r w:rsidRPr="35C5CC2C" w:rsidR="3FEF84A7">
        <w:rPr>
          <w:rFonts w:ascii="Arial" w:hAnsi="Arial" w:eastAsia="Arial" w:cs="Arial"/>
          <w:sz w:val="22"/>
          <w:szCs w:val="22"/>
        </w:rPr>
        <w:t>Koning, C., Pelletier, M. and Spooner, J., 2023. The national health service England diabetes prevention program—A narrative review. </w:t>
      </w:r>
      <w:r w:rsidRPr="35C5CC2C" w:rsidR="3FEF84A7">
        <w:rPr>
          <w:rFonts w:ascii="Arial" w:hAnsi="Arial" w:eastAsia="Arial" w:cs="Arial"/>
          <w:i w:val="1"/>
          <w:iCs w:val="1"/>
          <w:sz w:val="22"/>
          <w:szCs w:val="22"/>
        </w:rPr>
        <w:t>Journal of Diabetology</w:t>
      </w:r>
      <w:r w:rsidRPr="35C5CC2C" w:rsidR="3FEF84A7">
        <w:rPr>
          <w:rFonts w:ascii="Arial" w:hAnsi="Arial" w:eastAsia="Arial" w:cs="Arial"/>
          <w:sz w:val="22"/>
          <w:szCs w:val="22"/>
        </w:rPr>
        <w:t>, </w:t>
      </w:r>
      <w:r w:rsidRPr="35C5CC2C" w:rsidR="3FEF84A7">
        <w:rPr>
          <w:rFonts w:ascii="Arial" w:hAnsi="Arial" w:eastAsia="Arial" w:cs="Arial"/>
          <w:i w:val="1"/>
          <w:iCs w:val="1"/>
          <w:sz w:val="22"/>
          <w:szCs w:val="22"/>
        </w:rPr>
        <w:t>14</w:t>
      </w:r>
      <w:r w:rsidRPr="35C5CC2C" w:rsidR="3FEF84A7">
        <w:rPr>
          <w:rFonts w:ascii="Arial" w:hAnsi="Arial" w:eastAsia="Arial" w:cs="Arial"/>
          <w:sz w:val="22"/>
          <w:szCs w:val="22"/>
        </w:rPr>
        <w:t>(4), pp.198-206.</w:t>
      </w:r>
    </w:p>
    <w:p w:rsidRPr="00071003" w:rsidR="00071003" w:rsidP="35C5CC2C" w:rsidRDefault="00071003" w14:paraId="660E2282" w14:textId="721A7F11">
      <w:pPr>
        <w:spacing w:line="360" w:lineRule="auto"/>
        <w:jc w:val="both"/>
        <w:rPr>
          <w:rFonts w:ascii="Arial" w:hAnsi="Arial" w:eastAsia="Arial" w:cs="Arial"/>
          <w:sz w:val="22"/>
          <w:szCs w:val="22"/>
          <w:lang/>
        </w:rPr>
      </w:pPr>
      <w:r w:rsidRPr="35C5CC2C" w:rsidR="3FEF84A7">
        <w:rPr>
          <w:rFonts w:ascii="Arial" w:hAnsi="Arial" w:eastAsia="Arial" w:cs="Arial"/>
          <w:sz w:val="22"/>
          <w:szCs w:val="22"/>
        </w:rPr>
        <w:t xml:space="preserve">Marmot, M., 2020. Health equity in England: </w:t>
      </w:r>
      <w:r w:rsidRPr="35C5CC2C" w:rsidR="099418ED">
        <w:rPr>
          <w:rFonts w:ascii="Arial" w:hAnsi="Arial" w:eastAsia="Arial" w:cs="Arial"/>
          <w:sz w:val="22"/>
          <w:szCs w:val="22"/>
        </w:rPr>
        <w:t>The</w:t>
      </w:r>
      <w:r w:rsidRPr="35C5CC2C" w:rsidR="3FEF84A7">
        <w:rPr>
          <w:rFonts w:ascii="Arial" w:hAnsi="Arial" w:eastAsia="Arial" w:cs="Arial"/>
          <w:sz w:val="22"/>
          <w:szCs w:val="22"/>
        </w:rPr>
        <w:t xml:space="preserve"> Marmot review 10 years on. </w:t>
      </w:r>
      <w:r w:rsidRPr="35C5CC2C" w:rsidR="3FEF84A7">
        <w:rPr>
          <w:rFonts w:ascii="Arial" w:hAnsi="Arial" w:eastAsia="Arial" w:cs="Arial"/>
          <w:i w:val="1"/>
          <w:iCs w:val="1"/>
          <w:sz w:val="22"/>
          <w:szCs w:val="22"/>
        </w:rPr>
        <w:t>Bmj</w:t>
      </w:r>
      <w:r w:rsidRPr="35C5CC2C" w:rsidR="3FEF84A7">
        <w:rPr>
          <w:rFonts w:ascii="Arial" w:hAnsi="Arial" w:eastAsia="Arial" w:cs="Arial"/>
          <w:sz w:val="22"/>
          <w:szCs w:val="22"/>
        </w:rPr>
        <w:t>, </w:t>
      </w:r>
      <w:r w:rsidRPr="35C5CC2C" w:rsidR="3FEF84A7">
        <w:rPr>
          <w:rFonts w:ascii="Arial" w:hAnsi="Arial" w:eastAsia="Arial" w:cs="Arial"/>
          <w:i w:val="1"/>
          <w:iCs w:val="1"/>
          <w:sz w:val="22"/>
          <w:szCs w:val="22"/>
        </w:rPr>
        <w:t>368</w:t>
      </w:r>
      <w:r w:rsidRPr="35C5CC2C" w:rsidR="3FEF84A7">
        <w:rPr>
          <w:rFonts w:ascii="Arial" w:hAnsi="Arial" w:eastAsia="Arial" w:cs="Arial"/>
          <w:sz w:val="22"/>
          <w:szCs w:val="22"/>
        </w:rPr>
        <w:t>.</w:t>
      </w:r>
    </w:p>
    <w:p w:rsidRPr="00071003" w:rsidR="00071003" w:rsidP="35C5CC2C" w:rsidRDefault="00071003" w14:paraId="474EB9B5" w14:textId="77777777">
      <w:pPr>
        <w:spacing w:line="360" w:lineRule="auto"/>
        <w:jc w:val="both"/>
        <w:rPr>
          <w:rFonts w:ascii="Arial" w:hAnsi="Arial" w:eastAsia="Arial" w:cs="Arial"/>
          <w:sz w:val="22"/>
          <w:szCs w:val="22"/>
          <w:lang/>
        </w:rPr>
      </w:pPr>
      <w:r w:rsidRPr="35C5CC2C" w:rsidR="3FEF84A7">
        <w:rPr>
          <w:rFonts w:ascii="Arial" w:hAnsi="Arial" w:eastAsia="Arial" w:cs="Arial"/>
          <w:sz w:val="22"/>
          <w:szCs w:val="22"/>
        </w:rPr>
        <w:t>Melam, C., Dyson, J. and Thomson, K., 2025. The role of social prescribing interventions in addressing health inequalities in the United Kingdom: a narrative review. </w:t>
      </w:r>
      <w:r w:rsidRPr="35C5CC2C" w:rsidR="3FEF84A7">
        <w:rPr>
          <w:rFonts w:ascii="Arial" w:hAnsi="Arial" w:eastAsia="Arial" w:cs="Arial"/>
          <w:i w:val="1"/>
          <w:iCs w:val="1"/>
          <w:sz w:val="22"/>
          <w:szCs w:val="22"/>
        </w:rPr>
        <w:t>Health &amp; Social Care in the Community</w:t>
      </w:r>
      <w:r w:rsidRPr="35C5CC2C" w:rsidR="3FEF84A7">
        <w:rPr>
          <w:rFonts w:ascii="Arial" w:hAnsi="Arial" w:eastAsia="Arial" w:cs="Arial"/>
          <w:sz w:val="22"/>
          <w:szCs w:val="22"/>
        </w:rPr>
        <w:t>, </w:t>
      </w:r>
      <w:r w:rsidRPr="35C5CC2C" w:rsidR="3FEF84A7">
        <w:rPr>
          <w:rFonts w:ascii="Arial" w:hAnsi="Arial" w:eastAsia="Arial" w:cs="Arial"/>
          <w:i w:val="1"/>
          <w:iCs w:val="1"/>
          <w:sz w:val="22"/>
          <w:szCs w:val="22"/>
        </w:rPr>
        <w:t>2025</w:t>
      </w:r>
      <w:r w:rsidRPr="35C5CC2C" w:rsidR="3FEF84A7">
        <w:rPr>
          <w:rFonts w:ascii="Arial" w:hAnsi="Arial" w:eastAsia="Arial" w:cs="Arial"/>
          <w:sz w:val="22"/>
          <w:szCs w:val="22"/>
        </w:rPr>
        <w:t>(1), p.6613809.</w:t>
      </w:r>
    </w:p>
    <w:p w:rsidRPr="00071003" w:rsidR="00071003" w:rsidP="35C5CC2C" w:rsidRDefault="00071003" w14:paraId="32371E7C" w14:textId="6E9B415E">
      <w:pPr>
        <w:spacing w:line="360" w:lineRule="auto"/>
        <w:jc w:val="both"/>
        <w:rPr>
          <w:rFonts w:ascii="Arial" w:hAnsi="Arial" w:eastAsia="Arial" w:cs="Arial"/>
          <w:sz w:val="22"/>
          <w:szCs w:val="22"/>
          <w:lang/>
        </w:rPr>
      </w:pPr>
      <w:r w:rsidRPr="35C5CC2C" w:rsidR="3FEF84A7">
        <w:rPr>
          <w:rFonts w:ascii="Arial" w:hAnsi="Arial" w:eastAsia="Arial" w:cs="Arial"/>
          <w:sz w:val="22"/>
          <w:szCs w:val="22"/>
        </w:rPr>
        <w:t xml:space="preserve">NHS England, 2024. Core20PLUS5 (adults)–An approach to reducing health inequalities. </w:t>
      </w:r>
      <w:r w:rsidRPr="35C5CC2C" w:rsidR="3FEF84A7">
        <w:rPr>
          <w:rFonts w:ascii="Arial" w:hAnsi="Arial" w:eastAsia="Arial" w:cs="Arial"/>
          <w:i w:val="1"/>
          <w:iCs w:val="1"/>
          <w:sz w:val="22"/>
          <w:szCs w:val="22"/>
        </w:rPr>
        <w:t xml:space="preserve">Available at: </w:t>
      </w:r>
      <w:r w:rsidRPr="35C5CC2C" w:rsidR="3FEF84A7">
        <w:rPr>
          <w:rFonts w:ascii="Arial" w:hAnsi="Arial" w:eastAsia="Arial" w:cs="Arial"/>
          <w:sz w:val="22"/>
          <w:szCs w:val="22"/>
        </w:rPr>
        <w:t xml:space="preserve">https://www.england.nhs.uk/about/equality/equality-hub/core20plus5/ (Accessed: 8th </w:t>
      </w:r>
      <w:r w:rsidRPr="35C5CC2C" w:rsidR="676A65D9">
        <w:rPr>
          <w:rFonts w:ascii="Arial" w:hAnsi="Arial" w:eastAsia="Arial" w:cs="Arial"/>
          <w:sz w:val="22"/>
          <w:szCs w:val="22"/>
        </w:rPr>
        <w:t>July</w:t>
      </w:r>
      <w:r w:rsidRPr="35C5CC2C" w:rsidR="3FEF84A7">
        <w:rPr>
          <w:rFonts w:ascii="Arial" w:hAnsi="Arial" w:eastAsia="Arial" w:cs="Arial"/>
          <w:sz w:val="22"/>
          <w:szCs w:val="22"/>
        </w:rPr>
        <w:t xml:space="preserve"> 2026).</w:t>
      </w:r>
    </w:p>
    <w:p w:rsidRPr="00071003" w:rsidR="00071003" w:rsidP="35C5CC2C" w:rsidRDefault="00071003" w14:paraId="07994AB3" w14:textId="29151444">
      <w:pPr>
        <w:spacing w:line="360" w:lineRule="auto"/>
        <w:jc w:val="left"/>
        <w:rPr>
          <w:rFonts w:ascii="Arial" w:hAnsi="Arial" w:eastAsia="Arial" w:cs="Arial"/>
          <w:sz w:val="22"/>
          <w:szCs w:val="22"/>
          <w:lang/>
        </w:rPr>
      </w:pPr>
      <w:r w:rsidRPr="35C5CC2C" w:rsidR="3FEF84A7">
        <w:rPr>
          <w:rFonts w:ascii="Arial" w:hAnsi="Arial" w:eastAsia="Arial" w:cs="Arial"/>
          <w:sz w:val="22"/>
          <w:szCs w:val="22"/>
        </w:rPr>
        <w:t xml:space="preserve">Sheeran, P., Klein, W.M. and Rothman, A.J., 2017. Health </w:t>
      </w:r>
      <w:r w:rsidRPr="35C5CC2C" w:rsidR="2FF79437">
        <w:rPr>
          <w:rFonts w:ascii="Arial" w:hAnsi="Arial" w:eastAsia="Arial" w:cs="Arial"/>
          <w:sz w:val="22"/>
          <w:szCs w:val="22"/>
        </w:rPr>
        <w:t>behaviour</w:t>
      </w:r>
      <w:r w:rsidRPr="35C5CC2C" w:rsidR="3FEF84A7">
        <w:rPr>
          <w:rFonts w:ascii="Arial" w:hAnsi="Arial" w:eastAsia="Arial" w:cs="Arial"/>
          <w:sz w:val="22"/>
          <w:szCs w:val="22"/>
        </w:rPr>
        <w:t xml:space="preserve"> change: Moving from observation to intervention. </w:t>
      </w:r>
      <w:r w:rsidRPr="35C5CC2C" w:rsidR="3FEF84A7">
        <w:rPr>
          <w:rFonts w:ascii="Arial" w:hAnsi="Arial" w:eastAsia="Arial" w:cs="Arial"/>
          <w:i w:val="1"/>
          <w:iCs w:val="1"/>
          <w:sz w:val="22"/>
          <w:szCs w:val="22"/>
        </w:rPr>
        <w:t>Annual review of psychology</w:t>
      </w:r>
      <w:r w:rsidRPr="35C5CC2C" w:rsidR="3FEF84A7">
        <w:rPr>
          <w:rFonts w:ascii="Arial" w:hAnsi="Arial" w:eastAsia="Arial" w:cs="Arial"/>
          <w:sz w:val="22"/>
          <w:szCs w:val="22"/>
        </w:rPr>
        <w:t>, </w:t>
      </w:r>
      <w:r w:rsidRPr="35C5CC2C" w:rsidR="3FEF84A7">
        <w:rPr>
          <w:rFonts w:ascii="Arial" w:hAnsi="Arial" w:eastAsia="Arial" w:cs="Arial"/>
          <w:i w:val="1"/>
          <w:iCs w:val="1"/>
          <w:sz w:val="22"/>
          <w:szCs w:val="22"/>
        </w:rPr>
        <w:t>68</w:t>
      </w:r>
      <w:r w:rsidRPr="35C5CC2C" w:rsidR="3FEF84A7">
        <w:rPr>
          <w:rFonts w:ascii="Arial" w:hAnsi="Arial" w:eastAsia="Arial" w:cs="Arial"/>
          <w:sz w:val="22"/>
          <w:szCs w:val="22"/>
        </w:rPr>
        <w:t>, pp.573-600.</w:t>
      </w:r>
    </w:p>
    <w:p w:rsidRPr="00071003" w:rsidR="00071003" w:rsidP="35C5CC2C" w:rsidRDefault="00071003" w14:paraId="1ED36BBA" w14:textId="7FC3FBAC">
      <w:pPr>
        <w:spacing w:line="360" w:lineRule="auto"/>
        <w:jc w:val="left"/>
        <w:rPr>
          <w:rFonts w:ascii="Arial" w:hAnsi="Arial" w:eastAsia="Arial" w:cs="Arial"/>
          <w:sz w:val="22"/>
          <w:szCs w:val="22"/>
          <w:lang/>
        </w:rPr>
      </w:pPr>
      <w:r w:rsidRPr="35C5CC2C" w:rsidR="3FEF84A7">
        <w:rPr>
          <w:rFonts w:ascii="Arial" w:hAnsi="Arial" w:eastAsia="Arial" w:cs="Arial"/>
          <w:sz w:val="22"/>
          <w:szCs w:val="22"/>
        </w:rPr>
        <w:t xml:space="preserve">United Nations, 2024. The Sustainable Development Goals Report 2024. New York: United Nations Department of Economic and Social Affairs. Available at: https://unstats.un.org/sdgs/report/2024/ (Accessed: 8th </w:t>
      </w:r>
      <w:r w:rsidRPr="35C5CC2C" w:rsidR="0F7E10D3">
        <w:rPr>
          <w:rFonts w:ascii="Arial" w:hAnsi="Arial" w:eastAsia="Arial" w:cs="Arial"/>
          <w:sz w:val="22"/>
          <w:szCs w:val="22"/>
        </w:rPr>
        <w:t>July</w:t>
      </w:r>
      <w:r w:rsidRPr="35C5CC2C" w:rsidR="3FEF84A7">
        <w:rPr>
          <w:rFonts w:ascii="Arial" w:hAnsi="Arial" w:eastAsia="Arial" w:cs="Arial"/>
          <w:sz w:val="22"/>
          <w:szCs w:val="22"/>
        </w:rPr>
        <w:t>2026).</w:t>
      </w:r>
    </w:p>
    <w:p w:rsidRPr="00071003" w:rsidR="00071003" w:rsidP="35C5CC2C" w:rsidRDefault="00071003" w14:paraId="2FD888FA" w14:textId="77777777">
      <w:pPr>
        <w:spacing w:line="360" w:lineRule="auto"/>
        <w:jc w:val="left"/>
        <w:rPr>
          <w:rFonts w:ascii="Arial" w:hAnsi="Arial" w:eastAsia="Arial" w:cs="Arial"/>
          <w:sz w:val="22"/>
          <w:szCs w:val="22"/>
          <w:lang/>
        </w:rPr>
      </w:pPr>
      <w:r w:rsidRPr="35C5CC2C" w:rsidR="3FEF84A7">
        <w:rPr>
          <w:rFonts w:ascii="Arial" w:hAnsi="Arial" w:eastAsia="Arial" w:cs="Arial"/>
          <w:sz w:val="22"/>
          <w:szCs w:val="22"/>
        </w:rPr>
        <w:t>Valabhji, J., Barron, E., Bradley, D., Bakhai, C., Fagg, J., O’Neill, S., Young, B., Wareham, N., Khunti, K., Jebb, S. and Smith, J., 2020. Early outcomes from the English National health service diabetes prevention programme. </w:t>
      </w:r>
      <w:r w:rsidRPr="35C5CC2C" w:rsidR="3FEF84A7">
        <w:rPr>
          <w:rFonts w:ascii="Arial" w:hAnsi="Arial" w:eastAsia="Arial" w:cs="Arial"/>
          <w:i w:val="1"/>
          <w:iCs w:val="1"/>
          <w:sz w:val="22"/>
          <w:szCs w:val="22"/>
        </w:rPr>
        <w:t>Diabetes care</w:t>
      </w:r>
      <w:r w:rsidRPr="35C5CC2C" w:rsidR="3FEF84A7">
        <w:rPr>
          <w:rFonts w:ascii="Arial" w:hAnsi="Arial" w:eastAsia="Arial" w:cs="Arial"/>
          <w:sz w:val="22"/>
          <w:szCs w:val="22"/>
        </w:rPr>
        <w:t>, </w:t>
      </w:r>
      <w:r w:rsidRPr="35C5CC2C" w:rsidR="3FEF84A7">
        <w:rPr>
          <w:rFonts w:ascii="Arial" w:hAnsi="Arial" w:eastAsia="Arial" w:cs="Arial"/>
          <w:i w:val="1"/>
          <w:iCs w:val="1"/>
          <w:sz w:val="22"/>
          <w:szCs w:val="22"/>
        </w:rPr>
        <w:t>43</w:t>
      </w:r>
      <w:r w:rsidRPr="35C5CC2C" w:rsidR="3FEF84A7">
        <w:rPr>
          <w:rFonts w:ascii="Arial" w:hAnsi="Arial" w:eastAsia="Arial" w:cs="Arial"/>
          <w:sz w:val="22"/>
          <w:szCs w:val="22"/>
        </w:rPr>
        <w:t>(1), pp.152-160.</w:t>
      </w:r>
    </w:p>
    <w:p w:rsidRPr="00071003" w:rsidR="00071003" w:rsidP="35C5CC2C" w:rsidRDefault="00071003" w14:paraId="210BA076" w14:textId="75D6160F">
      <w:pPr>
        <w:spacing w:line="360" w:lineRule="auto"/>
        <w:jc w:val="left"/>
        <w:rPr>
          <w:rFonts w:ascii="Arial" w:hAnsi="Arial" w:eastAsia="Arial" w:cs="Arial"/>
          <w:sz w:val="22"/>
          <w:szCs w:val="22"/>
          <w:lang/>
        </w:rPr>
      </w:pPr>
      <w:r w:rsidRPr="35C5CC2C" w:rsidR="3FEF84A7">
        <w:rPr>
          <w:rFonts w:ascii="Arial" w:hAnsi="Arial" w:eastAsia="Arial" w:cs="Arial"/>
          <w:sz w:val="22"/>
          <w:szCs w:val="22"/>
        </w:rPr>
        <w:t xml:space="preserve">Van </w:t>
      </w:r>
      <w:r w:rsidRPr="35C5CC2C" w:rsidR="3FEF84A7">
        <w:rPr>
          <w:rFonts w:ascii="Arial" w:hAnsi="Arial" w:eastAsia="Arial" w:cs="Arial"/>
          <w:sz w:val="22"/>
          <w:szCs w:val="22"/>
        </w:rPr>
        <w:t>Weel</w:t>
      </w:r>
      <w:r w:rsidRPr="35C5CC2C" w:rsidR="3FEF84A7">
        <w:rPr>
          <w:rFonts w:ascii="Arial" w:hAnsi="Arial" w:eastAsia="Arial" w:cs="Arial"/>
          <w:sz w:val="22"/>
          <w:szCs w:val="22"/>
        </w:rPr>
        <w:t>, C. and Kidd, M.R., 2018. Why strengthening primary health care is essential to achieving universal health coverage. </w:t>
      </w:r>
      <w:r w:rsidRPr="35C5CC2C" w:rsidR="3FEF84A7">
        <w:rPr>
          <w:rFonts w:ascii="Arial" w:hAnsi="Arial" w:eastAsia="Arial" w:cs="Arial"/>
          <w:i w:val="1"/>
          <w:iCs w:val="1"/>
          <w:sz w:val="22"/>
          <w:szCs w:val="22"/>
        </w:rPr>
        <w:t>Cmaj</w:t>
      </w:r>
      <w:r w:rsidRPr="35C5CC2C" w:rsidR="3FEF84A7">
        <w:rPr>
          <w:rFonts w:ascii="Arial" w:hAnsi="Arial" w:eastAsia="Arial" w:cs="Arial"/>
          <w:sz w:val="22"/>
          <w:szCs w:val="22"/>
        </w:rPr>
        <w:t>, </w:t>
      </w:r>
      <w:r w:rsidRPr="35C5CC2C" w:rsidR="3FEF84A7">
        <w:rPr>
          <w:rFonts w:ascii="Arial" w:hAnsi="Arial" w:eastAsia="Arial" w:cs="Arial"/>
          <w:i w:val="1"/>
          <w:iCs w:val="1"/>
          <w:sz w:val="22"/>
          <w:szCs w:val="22"/>
        </w:rPr>
        <w:t>190</w:t>
      </w:r>
      <w:r w:rsidRPr="35C5CC2C" w:rsidR="3FEF84A7">
        <w:rPr>
          <w:rFonts w:ascii="Arial" w:hAnsi="Arial" w:eastAsia="Arial" w:cs="Arial"/>
          <w:sz w:val="22"/>
          <w:szCs w:val="22"/>
        </w:rPr>
        <w:t xml:space="preserve">(15), </w:t>
      </w:r>
      <w:r w:rsidRPr="35C5CC2C" w:rsidR="484CBB03">
        <w:rPr>
          <w:rFonts w:ascii="Arial" w:hAnsi="Arial" w:eastAsia="Arial" w:cs="Arial"/>
          <w:sz w:val="22"/>
          <w:szCs w:val="22"/>
        </w:rPr>
        <w:t>pp. E</w:t>
      </w:r>
      <w:r w:rsidRPr="35C5CC2C" w:rsidR="622044EA">
        <w:rPr>
          <w:rFonts w:ascii="Arial" w:hAnsi="Arial" w:eastAsia="Arial" w:cs="Arial"/>
          <w:sz w:val="22"/>
          <w:szCs w:val="22"/>
        </w:rPr>
        <w:t>E</w:t>
      </w:r>
      <w:r w:rsidRPr="35C5CC2C" w:rsidR="3FEF84A7">
        <w:rPr>
          <w:rFonts w:ascii="Arial" w:hAnsi="Arial" w:eastAsia="Arial" w:cs="Arial"/>
          <w:sz w:val="22"/>
          <w:szCs w:val="22"/>
        </w:rPr>
        <w:t>463-E466.</w:t>
      </w:r>
    </w:p>
    <w:p w:rsidRPr="00071003" w:rsidR="00071003" w:rsidP="35C5CC2C" w:rsidRDefault="00071003" w14:paraId="561786D6" w14:textId="77777777">
      <w:pPr>
        <w:spacing w:line="360" w:lineRule="auto"/>
        <w:jc w:val="left"/>
        <w:rPr>
          <w:rFonts w:ascii="Arial" w:hAnsi="Arial" w:eastAsia="Arial" w:cs="Arial"/>
          <w:sz w:val="22"/>
          <w:szCs w:val="22"/>
          <w:lang/>
        </w:rPr>
      </w:pPr>
      <w:r w:rsidRPr="35C5CC2C" w:rsidR="3FEF84A7">
        <w:rPr>
          <w:rFonts w:ascii="Arial" w:hAnsi="Arial" w:eastAsia="Arial" w:cs="Arial"/>
          <w:sz w:val="22"/>
          <w:szCs w:val="22"/>
        </w:rPr>
        <w:t>Williams, D.R., Lawrence, J.A. and Davis, B.A., 2019. Racism and health: evidence and needed research. </w:t>
      </w:r>
      <w:r w:rsidRPr="35C5CC2C" w:rsidR="3FEF84A7">
        <w:rPr>
          <w:rFonts w:ascii="Arial" w:hAnsi="Arial" w:eastAsia="Arial" w:cs="Arial"/>
          <w:i w:val="1"/>
          <w:iCs w:val="1"/>
          <w:sz w:val="22"/>
          <w:szCs w:val="22"/>
        </w:rPr>
        <w:t>Annual review of public health</w:t>
      </w:r>
      <w:r w:rsidRPr="35C5CC2C" w:rsidR="3FEF84A7">
        <w:rPr>
          <w:rFonts w:ascii="Arial" w:hAnsi="Arial" w:eastAsia="Arial" w:cs="Arial"/>
          <w:sz w:val="22"/>
          <w:szCs w:val="22"/>
        </w:rPr>
        <w:t>, </w:t>
      </w:r>
      <w:r w:rsidRPr="35C5CC2C" w:rsidR="3FEF84A7">
        <w:rPr>
          <w:rFonts w:ascii="Arial" w:hAnsi="Arial" w:eastAsia="Arial" w:cs="Arial"/>
          <w:i w:val="1"/>
          <w:iCs w:val="1"/>
          <w:sz w:val="22"/>
          <w:szCs w:val="22"/>
        </w:rPr>
        <w:t>40</w:t>
      </w:r>
      <w:r w:rsidRPr="35C5CC2C" w:rsidR="3FEF84A7">
        <w:rPr>
          <w:rFonts w:ascii="Arial" w:hAnsi="Arial" w:eastAsia="Arial" w:cs="Arial"/>
          <w:sz w:val="22"/>
          <w:szCs w:val="22"/>
        </w:rPr>
        <w:t>(1), pp.105-125.</w:t>
      </w:r>
    </w:p>
    <w:p w:rsidRPr="00071003" w:rsidR="00071003" w:rsidP="35C5CC2C" w:rsidRDefault="00071003" w14:paraId="5F9CB3E1" w14:textId="77777777">
      <w:pPr>
        <w:spacing w:line="360" w:lineRule="auto"/>
        <w:jc w:val="left"/>
        <w:rPr>
          <w:rFonts w:ascii="Arial" w:hAnsi="Arial" w:eastAsia="Arial" w:cs="Arial"/>
          <w:sz w:val="22"/>
          <w:szCs w:val="22"/>
          <w:lang/>
        </w:rPr>
      </w:pPr>
      <w:r w:rsidRPr="35C5CC2C" w:rsidR="3FEF84A7">
        <w:rPr>
          <w:rFonts w:ascii="Arial" w:hAnsi="Arial" w:eastAsia="Arial" w:cs="Arial"/>
          <w:sz w:val="22"/>
          <w:szCs w:val="22"/>
        </w:rPr>
        <w:t>World Health Organization, 2022. </w:t>
      </w:r>
      <w:r w:rsidRPr="35C5CC2C" w:rsidR="3FEF84A7">
        <w:rPr>
          <w:rFonts w:ascii="Arial" w:hAnsi="Arial" w:eastAsia="Arial" w:cs="Arial"/>
          <w:i w:val="1"/>
          <w:iCs w:val="1"/>
          <w:sz w:val="22"/>
          <w:szCs w:val="22"/>
        </w:rPr>
        <w:t>World mental health report: Transforming mental health for all</w:t>
      </w:r>
      <w:r w:rsidRPr="35C5CC2C" w:rsidR="3FEF84A7">
        <w:rPr>
          <w:rFonts w:ascii="Arial" w:hAnsi="Arial" w:eastAsia="Arial" w:cs="Arial"/>
          <w:sz w:val="22"/>
          <w:szCs w:val="22"/>
        </w:rPr>
        <w:t>. Geneva: WHO.</w:t>
      </w:r>
    </w:p>
    <w:p w:rsidRPr="00071003" w:rsidR="00071003" w:rsidP="35C5CC2C" w:rsidRDefault="00071003" w14:paraId="19ADAD69" w14:textId="77777777">
      <w:pPr>
        <w:spacing w:line="360" w:lineRule="auto"/>
        <w:jc w:val="both"/>
        <w:rPr>
          <w:rFonts w:ascii="Arial" w:hAnsi="Arial" w:eastAsia="Arial" w:cs="Arial"/>
          <w:sz w:val="22"/>
          <w:szCs w:val="22"/>
          <w:lang/>
        </w:rPr>
      </w:pPr>
      <w:r w:rsidRPr="35C5CC2C" w:rsidR="3FEF84A7">
        <w:rPr>
          <w:rFonts w:ascii="Arial" w:hAnsi="Arial" w:eastAsia="Arial" w:cs="Arial"/>
          <w:sz w:val="22"/>
          <w:szCs w:val="22"/>
        </w:rPr>
        <w:t>World Health Organization, 2023. </w:t>
      </w:r>
      <w:r w:rsidRPr="35C5CC2C" w:rsidR="3FEF84A7">
        <w:rPr>
          <w:rFonts w:ascii="Arial" w:hAnsi="Arial" w:eastAsia="Arial" w:cs="Arial"/>
          <w:i w:val="1"/>
          <w:iCs w:val="1"/>
          <w:sz w:val="22"/>
          <w:szCs w:val="22"/>
        </w:rPr>
        <w:t>Tracking universal health coverage: 2023 global monitoring report</w:t>
      </w:r>
      <w:r w:rsidRPr="35C5CC2C" w:rsidR="3FEF84A7">
        <w:rPr>
          <w:rFonts w:ascii="Arial" w:hAnsi="Arial" w:eastAsia="Arial" w:cs="Arial"/>
          <w:sz w:val="22"/>
          <w:szCs w:val="22"/>
        </w:rPr>
        <w:t>. World Health Organization.</w:t>
      </w:r>
    </w:p>
    <w:p w:rsidRPr="00071003" w:rsidR="00071003" w:rsidP="35C5CC2C" w:rsidRDefault="00071003" w14:paraId="36E2537C" w14:textId="77777777">
      <w:pPr>
        <w:spacing w:line="360" w:lineRule="auto"/>
        <w:jc w:val="both"/>
        <w:rPr>
          <w:rFonts w:ascii="Arial" w:hAnsi="Arial" w:eastAsia="Arial" w:cs="Arial"/>
          <w:sz w:val="22"/>
          <w:szCs w:val="22"/>
          <w:lang/>
        </w:rPr>
      </w:pPr>
      <w:r w:rsidRPr="35C5CC2C" w:rsidR="3FEF84A7">
        <w:rPr>
          <w:rFonts w:ascii="Arial" w:hAnsi="Arial" w:eastAsia="Arial" w:cs="Arial"/>
          <w:sz w:val="22"/>
          <w:szCs w:val="22"/>
        </w:rPr>
        <w:t>World Health Organization, 2024. </w:t>
      </w:r>
      <w:r w:rsidRPr="35C5CC2C" w:rsidR="3FEF84A7">
        <w:rPr>
          <w:rFonts w:ascii="Arial" w:hAnsi="Arial" w:eastAsia="Arial" w:cs="Arial"/>
          <w:i w:val="1"/>
          <w:iCs w:val="1"/>
          <w:sz w:val="22"/>
          <w:szCs w:val="22"/>
        </w:rPr>
        <w:t>Achieving well-being: A global framework for integrating well-being into public health utilizing a health promotion approach</w:t>
      </w:r>
      <w:r w:rsidRPr="35C5CC2C" w:rsidR="3FEF84A7">
        <w:rPr>
          <w:rFonts w:ascii="Arial" w:hAnsi="Arial" w:eastAsia="Arial" w:cs="Arial"/>
          <w:sz w:val="22"/>
          <w:szCs w:val="22"/>
        </w:rPr>
        <w:t>. Geneva: WHO.</w:t>
      </w:r>
    </w:p>
    <w:p w:rsidRPr="00071003" w:rsidR="00071003" w:rsidP="35C5CC2C" w:rsidRDefault="00071003" w14:paraId="23A99AAF" w14:textId="77777777">
      <w:pPr>
        <w:rPr>
          <w:rFonts w:ascii="Arial" w:hAnsi="Arial" w:eastAsia="Arial" w:cs="Arial"/>
          <w:sz w:val="22"/>
          <w:szCs w:val="22"/>
          <w:lang/>
        </w:rPr>
      </w:pPr>
    </w:p>
    <w:p w:rsidR="00071003" w:rsidP="35C5CC2C" w:rsidRDefault="00071003" w14:paraId="68D9D4BB" w14:textId="77777777">
      <w:pPr>
        <w:rPr>
          <w:rFonts w:ascii="Arial" w:hAnsi="Arial" w:eastAsia="Arial" w:cs="Arial"/>
          <w:sz w:val="22"/>
          <w:szCs w:val="22"/>
        </w:rPr>
      </w:pPr>
    </w:p>
    <w:sectPr w:rsidR="00071003">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m2p0EPXqVMoE4q" int2:id="KpxKzOEy">
      <int2:state int2:type="spell" int2:value="Rejected"/>
    </int2:textHash>
    <int2:textHash int2:hashCode="mV9de1LZrux4Le" int2:id="cJfQMcjY">
      <int2:state int2:type="spell" int2:value="Rejected"/>
    </int2:textHash>
    <int2:textHash int2:hashCode="GRcWNWTLRvr7K2" int2:id="R5cthoUK">
      <int2:state int2:type="spell" int2:value="Rejected"/>
    </int2:textHash>
    <int2:textHash int2:hashCode="PfsYGMda3dsioY" int2:id="c6aC9CTC">
      <int2:state int2:type="spell" int2:value="Rejected"/>
    </int2:textHash>
    <int2:textHash int2:hashCode="BCRcWhdSi6s23/" int2:id="8CzYDaQQ">
      <int2:state int2:type="spell" int2:value="Rejected"/>
    </int2:textHash>
    <int2:textHash int2:hashCode="5jBVSDthcZpoAt" int2:id="P5CMJNA7">
      <int2:state int2:type="spell" int2:value="Rejected"/>
    </int2:textHash>
    <int2:textHash int2:hashCode="bSBc0PUjRsB+EZ" int2:id="erdBxT2w">
      <int2:state int2:type="spell" int2:value="Rejected"/>
    </int2:textHash>
    <int2:textHash int2:hashCode="yh5ZyyZiqYEP/A" int2:id="7qhR9Mxw">
      <int2:state int2:type="spell" int2:value="Rejected"/>
    </int2:textHash>
    <int2:textHash int2:hashCode="jFGu+c6tQQGiEX" int2:id="pRFXW8V5">
      <int2:state int2:type="spell" int2:value="Rejected"/>
    </int2:textHash>
    <int2:textHash int2:hashCode="+z9xbKy/tURYWr" int2:id="ZoSJ3Chp">
      <int2:state int2:type="spell" int2:value="Rejected"/>
    </int2:textHash>
    <int2:bookmark int2:bookmarkName="_Int_ufYVBv17" int2:invalidationBookmarkName="" int2:hashCode="mQb2f+zSQnREnZ" int2:id="fKUCRzzD">
      <int2:state int2:type="style" int2:value="Rejected"/>
    </int2:bookmark>
    <int2:bookmark int2:bookmarkName="_Int_K3zTTMo3" int2:invalidationBookmarkName="" int2:hashCode="OQbSS8Lja4YP5H" int2:id="FsaNvzMF">
      <int2:state int2:type="gram" int2:value="Rejected"/>
    </int2:bookmark>
    <int2:bookmark int2:bookmarkName="_Int_2M0M8biQ" int2:invalidationBookmarkName="" int2:hashCode="5IGgALG49Rpq6h" int2:id="DGo1p4H2">
      <int2:state int2:type="gram" int2:value="Rejected"/>
    </int2:bookmark>
    <int2:bookmark int2:bookmarkName="_Int_bKttChMt" int2:invalidationBookmarkName="" int2:hashCode="/Ewu8hBfZVDJSK" int2:id="RWya24Gp">
      <int2:state int2:type="style" int2:value="Rejected"/>
    </int2:bookmark>
    <int2:bookmark int2:bookmarkName="_Int_ON37GQPe" int2:invalidationBookmarkName="" int2:hashCode="x9C4zAk9znw8rn" int2:id="GAyxnJTF">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003"/>
    <w:rsid w:val="00071003"/>
    <w:rsid w:val="00346D58"/>
    <w:rsid w:val="00C75BF1"/>
    <w:rsid w:val="013EF4F4"/>
    <w:rsid w:val="01DB1F96"/>
    <w:rsid w:val="0220993E"/>
    <w:rsid w:val="04504464"/>
    <w:rsid w:val="04982096"/>
    <w:rsid w:val="04CC9186"/>
    <w:rsid w:val="05A2C3A4"/>
    <w:rsid w:val="05C1073E"/>
    <w:rsid w:val="07C887EF"/>
    <w:rsid w:val="083E22BA"/>
    <w:rsid w:val="08936ACD"/>
    <w:rsid w:val="08B0FAC2"/>
    <w:rsid w:val="08DCA85C"/>
    <w:rsid w:val="094304E9"/>
    <w:rsid w:val="099418ED"/>
    <w:rsid w:val="0A74BA4B"/>
    <w:rsid w:val="0ACB7A42"/>
    <w:rsid w:val="0B7CEAC5"/>
    <w:rsid w:val="0BF9BD9C"/>
    <w:rsid w:val="0CAC663A"/>
    <w:rsid w:val="0CBC0E7B"/>
    <w:rsid w:val="0CC11D97"/>
    <w:rsid w:val="0CCAF557"/>
    <w:rsid w:val="0D5BE9FF"/>
    <w:rsid w:val="0E052183"/>
    <w:rsid w:val="0EE66398"/>
    <w:rsid w:val="0F7E10D3"/>
    <w:rsid w:val="0F9EC82B"/>
    <w:rsid w:val="0FABB63A"/>
    <w:rsid w:val="10EB850F"/>
    <w:rsid w:val="111D522F"/>
    <w:rsid w:val="117F8AC8"/>
    <w:rsid w:val="11923EF8"/>
    <w:rsid w:val="123859E8"/>
    <w:rsid w:val="125B3428"/>
    <w:rsid w:val="12725D91"/>
    <w:rsid w:val="13030275"/>
    <w:rsid w:val="1385C7EA"/>
    <w:rsid w:val="13BF7126"/>
    <w:rsid w:val="13EB255C"/>
    <w:rsid w:val="149EB4D0"/>
    <w:rsid w:val="1575ABD7"/>
    <w:rsid w:val="1689E2F2"/>
    <w:rsid w:val="1728E14C"/>
    <w:rsid w:val="183D46DD"/>
    <w:rsid w:val="1849F6B9"/>
    <w:rsid w:val="18A603D5"/>
    <w:rsid w:val="190F3677"/>
    <w:rsid w:val="19C9FF84"/>
    <w:rsid w:val="1B597F73"/>
    <w:rsid w:val="1B75F919"/>
    <w:rsid w:val="1D413249"/>
    <w:rsid w:val="1D6F77E5"/>
    <w:rsid w:val="1DD3E606"/>
    <w:rsid w:val="1E41188C"/>
    <w:rsid w:val="1E87E9E8"/>
    <w:rsid w:val="1E951917"/>
    <w:rsid w:val="1F12807D"/>
    <w:rsid w:val="213CBCBF"/>
    <w:rsid w:val="21C1435B"/>
    <w:rsid w:val="22834712"/>
    <w:rsid w:val="228B978F"/>
    <w:rsid w:val="22AA6327"/>
    <w:rsid w:val="22FE874C"/>
    <w:rsid w:val="2395C7C6"/>
    <w:rsid w:val="24791C4F"/>
    <w:rsid w:val="249CDC19"/>
    <w:rsid w:val="25692734"/>
    <w:rsid w:val="25971C0F"/>
    <w:rsid w:val="259C3D54"/>
    <w:rsid w:val="25DF6C2C"/>
    <w:rsid w:val="26B69C4C"/>
    <w:rsid w:val="26FD05DA"/>
    <w:rsid w:val="273B6A26"/>
    <w:rsid w:val="27E110E2"/>
    <w:rsid w:val="28257FEC"/>
    <w:rsid w:val="282E9A3E"/>
    <w:rsid w:val="28382612"/>
    <w:rsid w:val="28E36220"/>
    <w:rsid w:val="29FA4385"/>
    <w:rsid w:val="2A3FF5C4"/>
    <w:rsid w:val="2AA439F5"/>
    <w:rsid w:val="2ADACFD0"/>
    <w:rsid w:val="2C50B6D6"/>
    <w:rsid w:val="2C6797D5"/>
    <w:rsid w:val="2CB96386"/>
    <w:rsid w:val="2DB88EA5"/>
    <w:rsid w:val="2DE09F2F"/>
    <w:rsid w:val="2E05842E"/>
    <w:rsid w:val="2E802EE7"/>
    <w:rsid w:val="2EAF1B7D"/>
    <w:rsid w:val="2F136F70"/>
    <w:rsid w:val="2F409383"/>
    <w:rsid w:val="2F88DEDA"/>
    <w:rsid w:val="2FEA29E8"/>
    <w:rsid w:val="2FF79437"/>
    <w:rsid w:val="3086ADE1"/>
    <w:rsid w:val="30D2561F"/>
    <w:rsid w:val="32FC3C5D"/>
    <w:rsid w:val="33E21B72"/>
    <w:rsid w:val="352E91DA"/>
    <w:rsid w:val="35C372C9"/>
    <w:rsid w:val="35C5CC2C"/>
    <w:rsid w:val="362A89CC"/>
    <w:rsid w:val="3645AC6D"/>
    <w:rsid w:val="36ED233C"/>
    <w:rsid w:val="377AE7D7"/>
    <w:rsid w:val="3824445D"/>
    <w:rsid w:val="3A0167BF"/>
    <w:rsid w:val="3A5D4C41"/>
    <w:rsid w:val="3C1E94EB"/>
    <w:rsid w:val="3CA38BBC"/>
    <w:rsid w:val="3DBB2CE8"/>
    <w:rsid w:val="3EFAB880"/>
    <w:rsid w:val="3F289F71"/>
    <w:rsid w:val="3FB2CF16"/>
    <w:rsid w:val="3FB33987"/>
    <w:rsid w:val="3FBA489A"/>
    <w:rsid w:val="3FEF84A7"/>
    <w:rsid w:val="406A70DF"/>
    <w:rsid w:val="40DF44F2"/>
    <w:rsid w:val="41DC3F2D"/>
    <w:rsid w:val="41E69399"/>
    <w:rsid w:val="42B79412"/>
    <w:rsid w:val="435103F3"/>
    <w:rsid w:val="44152A1A"/>
    <w:rsid w:val="44515A62"/>
    <w:rsid w:val="4478F870"/>
    <w:rsid w:val="44DB3B18"/>
    <w:rsid w:val="4527B0D6"/>
    <w:rsid w:val="45EAFFF2"/>
    <w:rsid w:val="4756CF5F"/>
    <w:rsid w:val="484CBB03"/>
    <w:rsid w:val="495A5F27"/>
    <w:rsid w:val="4ACDB2EE"/>
    <w:rsid w:val="4B1F3887"/>
    <w:rsid w:val="4B5D9CCC"/>
    <w:rsid w:val="4BCAA4C3"/>
    <w:rsid w:val="4C296707"/>
    <w:rsid w:val="4C2A49BC"/>
    <w:rsid w:val="4D3E3A98"/>
    <w:rsid w:val="4E1382DC"/>
    <w:rsid w:val="4E285A92"/>
    <w:rsid w:val="4FD97877"/>
    <w:rsid w:val="4FE2317E"/>
    <w:rsid w:val="5184E783"/>
    <w:rsid w:val="5186D2FF"/>
    <w:rsid w:val="52A1DF48"/>
    <w:rsid w:val="53974963"/>
    <w:rsid w:val="54BF90EB"/>
    <w:rsid w:val="5683FBF3"/>
    <w:rsid w:val="5915F25C"/>
    <w:rsid w:val="5AC5C915"/>
    <w:rsid w:val="5B3C64D5"/>
    <w:rsid w:val="5BEEB61A"/>
    <w:rsid w:val="5DDA5F38"/>
    <w:rsid w:val="5E0166AC"/>
    <w:rsid w:val="5E9D3F6D"/>
    <w:rsid w:val="5F344606"/>
    <w:rsid w:val="5F3F4088"/>
    <w:rsid w:val="5F5C1E97"/>
    <w:rsid w:val="5FBB0474"/>
    <w:rsid w:val="61173085"/>
    <w:rsid w:val="61B16944"/>
    <w:rsid w:val="61C027BC"/>
    <w:rsid w:val="622044EA"/>
    <w:rsid w:val="62838208"/>
    <w:rsid w:val="628C1E1D"/>
    <w:rsid w:val="62A8CCF3"/>
    <w:rsid w:val="62FCC4E2"/>
    <w:rsid w:val="631E7A5D"/>
    <w:rsid w:val="64A4767C"/>
    <w:rsid w:val="6608E0A4"/>
    <w:rsid w:val="6739C145"/>
    <w:rsid w:val="676A65D9"/>
    <w:rsid w:val="67CA3030"/>
    <w:rsid w:val="695A7EA8"/>
    <w:rsid w:val="69B7D697"/>
    <w:rsid w:val="69E212A9"/>
    <w:rsid w:val="6A899E8C"/>
    <w:rsid w:val="6ABD7486"/>
    <w:rsid w:val="6AD98B5D"/>
    <w:rsid w:val="6C46DCB3"/>
    <w:rsid w:val="6C7F4132"/>
    <w:rsid w:val="6C8BBD5A"/>
    <w:rsid w:val="6D1B639F"/>
    <w:rsid w:val="6D3BC43F"/>
    <w:rsid w:val="6D645AE7"/>
    <w:rsid w:val="6E883C26"/>
    <w:rsid w:val="6F9A8260"/>
    <w:rsid w:val="6FAB7E3A"/>
    <w:rsid w:val="714574AC"/>
    <w:rsid w:val="716060E5"/>
    <w:rsid w:val="71792D4B"/>
    <w:rsid w:val="7190A312"/>
    <w:rsid w:val="71EB1000"/>
    <w:rsid w:val="725D663A"/>
    <w:rsid w:val="730AABB5"/>
    <w:rsid w:val="730B4D5F"/>
    <w:rsid w:val="7322B6C0"/>
    <w:rsid w:val="738EF5B7"/>
    <w:rsid w:val="744CA568"/>
    <w:rsid w:val="759F8CB9"/>
    <w:rsid w:val="75EB175E"/>
    <w:rsid w:val="76B72F04"/>
    <w:rsid w:val="7807B9CA"/>
    <w:rsid w:val="791C5295"/>
    <w:rsid w:val="7AA8C779"/>
    <w:rsid w:val="7B16F002"/>
    <w:rsid w:val="7BE3FAE4"/>
    <w:rsid w:val="7D3CE342"/>
    <w:rsid w:val="7D3F7CCB"/>
    <w:rsid w:val="7E33F945"/>
    <w:rsid w:val="7F7B89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829E2"/>
  <w15:chartTrackingRefBased/>
  <w15:docId w15:val="{832F9263-F71A-4C85-9E94-5E519F7B9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071003"/>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71003"/>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10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10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10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10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10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10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1003"/>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71003"/>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071003"/>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071003"/>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071003"/>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071003"/>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071003"/>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71003"/>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71003"/>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71003"/>
    <w:rPr>
      <w:rFonts w:eastAsiaTheme="majorEastAsia" w:cstheme="majorBidi"/>
      <w:color w:val="272727" w:themeColor="text1" w:themeTint="D8"/>
    </w:rPr>
  </w:style>
  <w:style w:type="paragraph" w:styleId="Title">
    <w:name w:val="Title"/>
    <w:basedOn w:val="Normal"/>
    <w:next w:val="Normal"/>
    <w:link w:val="TitleChar"/>
    <w:uiPriority w:val="10"/>
    <w:qFormat/>
    <w:rsid w:val="00071003"/>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71003"/>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71003"/>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0710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1003"/>
    <w:pPr>
      <w:spacing w:before="160"/>
      <w:jc w:val="center"/>
    </w:pPr>
    <w:rPr>
      <w:i/>
      <w:iCs/>
      <w:color w:val="404040" w:themeColor="text1" w:themeTint="BF"/>
    </w:rPr>
  </w:style>
  <w:style w:type="character" w:styleId="QuoteChar" w:customStyle="1">
    <w:name w:val="Quote Char"/>
    <w:basedOn w:val="DefaultParagraphFont"/>
    <w:link w:val="Quote"/>
    <w:uiPriority w:val="29"/>
    <w:rsid w:val="00071003"/>
    <w:rPr>
      <w:i/>
      <w:iCs/>
      <w:color w:val="404040" w:themeColor="text1" w:themeTint="BF"/>
    </w:rPr>
  </w:style>
  <w:style w:type="paragraph" w:styleId="ListParagraph">
    <w:name w:val="List Paragraph"/>
    <w:basedOn w:val="Normal"/>
    <w:uiPriority w:val="34"/>
    <w:qFormat/>
    <w:rsid w:val="00071003"/>
    <w:pPr>
      <w:ind w:left="720"/>
      <w:contextualSpacing/>
    </w:pPr>
  </w:style>
  <w:style w:type="character" w:styleId="IntenseEmphasis">
    <w:name w:val="Intense Emphasis"/>
    <w:basedOn w:val="DefaultParagraphFont"/>
    <w:uiPriority w:val="21"/>
    <w:qFormat/>
    <w:rsid w:val="00071003"/>
    <w:rPr>
      <w:i/>
      <w:iCs/>
      <w:color w:val="0F4761" w:themeColor="accent1" w:themeShade="BF"/>
    </w:rPr>
  </w:style>
  <w:style w:type="paragraph" w:styleId="IntenseQuote">
    <w:name w:val="Intense Quote"/>
    <w:basedOn w:val="Normal"/>
    <w:next w:val="Normal"/>
    <w:link w:val="IntenseQuoteChar"/>
    <w:uiPriority w:val="30"/>
    <w:qFormat/>
    <w:rsid w:val="00071003"/>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071003"/>
    <w:rPr>
      <w:i/>
      <w:iCs/>
      <w:color w:val="0F4761" w:themeColor="accent1" w:themeShade="BF"/>
    </w:rPr>
  </w:style>
  <w:style w:type="character" w:styleId="IntenseReference">
    <w:name w:val="Intense Reference"/>
    <w:basedOn w:val="DefaultParagraphFont"/>
    <w:uiPriority w:val="32"/>
    <w:qFormat/>
    <w:rsid w:val="0007100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customXml" Target="../customXml/item3.xml" Id="rId3" /><Relationship Type="http://schemas.openxmlformats.org/officeDocument/2006/relationships/fontTable" Target="fontTable.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openxmlformats.org/officeDocument/2006/relationships/image" Target="/media/image.png" Id="rId1487144127" /><Relationship Type="http://schemas.microsoft.com/office/2020/10/relationships/intelligence" Target="intelligence2.xml" Id="R429105ac68ce471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5" ma:contentTypeDescription="Create a new document." ma:contentTypeScope="" ma:versionID="e975c61e2b1dd6636e1dcae2a0f66b77">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5761fe7639aa885dfef4f1d15ce9e997"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Tags" minOccurs="0"/>
                <xsd:element ref="ns3:MediaLengthInSeconds" minOccurs="0"/>
                <xsd:element ref="ns3:MediaServiceDateTaken"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Props1.xml><?xml version="1.0" encoding="utf-8"?>
<ds:datastoreItem xmlns:ds="http://schemas.openxmlformats.org/officeDocument/2006/customXml" ds:itemID="{AD8F5904-46B7-4654-A19D-B206F2A81F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3CE784-5736-4B04-AE5B-560D5E9762C7}">
  <ds:schemaRefs>
    <ds:schemaRef ds:uri="http://schemas.microsoft.com/sharepoint/v3/contenttype/forms"/>
  </ds:schemaRefs>
</ds:datastoreItem>
</file>

<file path=customXml/itemProps3.xml><?xml version="1.0" encoding="utf-8"?>
<ds:datastoreItem xmlns:ds="http://schemas.openxmlformats.org/officeDocument/2006/customXml" ds:itemID="{91A9A63F-3A3D-4202-A7DA-0259B6ABEBED}">
  <ds:schemaRefs>
    <ds:schemaRef ds:uri="http://schemas.microsoft.com/office/2006/metadata/properties"/>
    <ds:schemaRef ds:uri="http://schemas.microsoft.com/office/infopath/2007/PartnerControls"/>
    <ds:schemaRef ds:uri="60ab93c2-c2e2-4a82-ab36-09e8ba3f753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Rose Akpan (2309192)</dc:creator>
  <keywords/>
  <dc:description/>
  <lastModifiedBy>Rose Akpan (2309192)</lastModifiedBy>
  <revision>2</revision>
  <dcterms:created xsi:type="dcterms:W3CDTF">2026-07-13T15:49:00.0000000Z</dcterms:created>
  <dcterms:modified xsi:type="dcterms:W3CDTF">2026-07-16T10:48:10.5459174Z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