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7B198E" w:rsidRDefault="007B198E" w:rsidP="007B198E">
      <w:pPr>
        <w:pBdr>
          <w:bottom w:val="single" w:sz="4" w:space="1" w:color="auto"/>
        </w:pBdr>
        <w:jc w:val="center"/>
        <w:rPr>
          <w:b/>
          <w:sz w:val="32"/>
        </w:rPr>
      </w:pPr>
    </w:p>
    <w:p w:rsidR="003D3FE6" w:rsidRDefault="003D3FE6" w:rsidP="003D3FE6">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6"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2AAEB57EA3184680A522D319D1E64FF0"/>
        </w:placeholder>
        <w:dataBinding w:prefixMappings="xmlns:ns0='http://purl.org/dc/elements/1.1/' xmlns:ns1='http://schemas.openxmlformats.org/package/2006/metadata/core-properties' " w:xpath="/ns1:coreProperties[1]/ns0:title[1]" w:storeItemID="{6C3C8BC8-F283-45AE-878A-BAB7291924A1}"/>
        <w:text/>
      </w:sdtPr>
      <w:sdtContent>
        <w:p w:rsidR="003D3FE6" w:rsidRDefault="003D3FE6" w:rsidP="003D3FE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Mariott international inc</w:t>
          </w:r>
        </w:p>
      </w:sdtContent>
    </w:sdt>
    <w:sdt>
      <w:sdtPr>
        <w:rPr>
          <w:color w:val="4F81BD" w:themeColor="accent1"/>
          <w:sz w:val="28"/>
          <w:szCs w:val="28"/>
        </w:rPr>
        <w:alias w:val="Subtitle"/>
        <w:tag w:val=""/>
        <w:id w:val="328029620"/>
        <w:placeholder>
          <w:docPart w:val="6B627888338049779C2F24F65D295EEA"/>
        </w:placeholder>
        <w:dataBinding w:prefixMappings="xmlns:ns0='http://purl.org/dc/elements/1.1/' xmlns:ns1='http://schemas.openxmlformats.org/package/2006/metadata/core-properties' " w:xpath="/ns1:coreProperties[1]/ns0:subject[1]" w:storeItemID="{6C3C8BC8-F283-45AE-878A-BAB7291924A1}"/>
        <w:text/>
      </w:sdtPr>
      <w:sdtContent>
        <w:p w:rsidR="003D3FE6" w:rsidRDefault="003D3FE6" w:rsidP="003D3FE6">
          <w:pPr>
            <w:pStyle w:val="NoSpacing"/>
            <w:jc w:val="center"/>
            <w:rPr>
              <w:color w:val="4F81BD" w:themeColor="accent1"/>
              <w:sz w:val="28"/>
              <w:szCs w:val="28"/>
            </w:rPr>
          </w:pPr>
          <w:r>
            <w:rPr>
              <w:color w:val="4F81BD" w:themeColor="accent1"/>
              <w:sz w:val="28"/>
              <w:szCs w:val="28"/>
            </w:rPr>
            <w:t>Financial statement</w:t>
          </w:r>
        </w:p>
      </w:sdtContent>
    </w:sdt>
    <w:p w:rsidR="003D3FE6" w:rsidRDefault="003D3FE6" w:rsidP="003D3FE6">
      <w:pPr>
        <w:pStyle w:val="NoSpacing"/>
        <w:spacing w:before="480"/>
        <w:jc w:val="center"/>
        <w:rPr>
          <w:b/>
        </w:rPr>
      </w:pPr>
      <w:r w:rsidRPr="00B57B94">
        <w:rPr>
          <w:noProof/>
          <w:color w:val="4F81BD" w:themeColor="accent1"/>
          <w:lang w:val="en-GB" w:eastAsia="en-GB"/>
        </w:rPr>
        <w:pict>
          <v:shapetype id="_x0000_t202" coordsize="21600,21600" o:spt="202" path="m,l,21600r21600,l21600,xe">
            <v:stroke joinstyle="miter"/>
            <v:path gradientshapeok="t" o:connecttype="rect"/>
          </v:shapetype>
          <v:shape id="Text Box 142" o:spid="_x0000_s1028" type="#_x0000_t202" style="position:absolute;left:0;text-align:left;margin-left:0;margin-top:0;width:516pt;height:43.9pt;z-index:251660288;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3D3FE6" w:rsidRDefault="003D3FE6" w:rsidP="003D3FE6">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w:r>
      <w:r>
        <w:rPr>
          <w:noProof/>
          <w:color w:val="4F81BD" w:themeColor="accent1"/>
        </w:rPr>
        <w:drawing>
          <wp:inline distT="0" distB="0" distL="0" distR="0">
            <wp:extent cx="758952" cy="478932"/>
            <wp:effectExtent l="0" t="0" r="3175" b="0"/>
            <wp:docPr id="7"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3D3FE6" w:rsidRDefault="003D3FE6" w:rsidP="003D3FE6">
      <w:pPr>
        <w:pStyle w:val="NoSpacing"/>
        <w:spacing w:before="480"/>
        <w:jc w:val="center"/>
        <w:rPr>
          <w:b/>
        </w:rPr>
      </w:pPr>
    </w:p>
    <w:p w:rsidR="003D3FE6" w:rsidRDefault="003D3FE6" w:rsidP="003D3FE6">
      <w:pPr>
        <w:pStyle w:val="NoSpacing"/>
        <w:spacing w:before="480"/>
        <w:jc w:val="center"/>
        <w:rPr>
          <w:b/>
        </w:rPr>
      </w:pPr>
    </w:p>
    <w:p w:rsidR="003D3FE6" w:rsidRPr="003D3FE6" w:rsidRDefault="003D3FE6" w:rsidP="003D3FE6">
      <w:pPr>
        <w:pStyle w:val="NoSpacing"/>
        <w:spacing w:before="480"/>
        <w:jc w:val="center"/>
        <w:rPr>
          <w:b/>
          <w:color w:val="4F81BD" w:themeColor="accent1"/>
          <w:sz w:val="24"/>
          <w:szCs w:val="24"/>
        </w:rPr>
      </w:pPr>
      <w:r w:rsidRPr="003D3FE6">
        <w:rPr>
          <w:b/>
          <w:color w:val="4F81BD" w:themeColor="accent1"/>
          <w:sz w:val="24"/>
          <w:szCs w:val="24"/>
        </w:rPr>
        <w:t xml:space="preserve">Student </w:t>
      </w:r>
      <w:r>
        <w:rPr>
          <w:b/>
          <w:color w:val="4F81BD" w:themeColor="accent1"/>
          <w:sz w:val="24"/>
          <w:szCs w:val="24"/>
        </w:rPr>
        <w:t>N</w:t>
      </w:r>
      <w:r w:rsidRPr="003D3FE6">
        <w:rPr>
          <w:b/>
          <w:color w:val="4F81BD" w:themeColor="accent1"/>
          <w:sz w:val="24"/>
          <w:szCs w:val="24"/>
        </w:rPr>
        <w:t>ame: Constantin Albu</w:t>
      </w:r>
    </w:p>
    <w:p w:rsidR="003D3FE6" w:rsidRPr="003D3FE6" w:rsidRDefault="003D3FE6" w:rsidP="003D3FE6">
      <w:pPr>
        <w:pStyle w:val="NoSpacing"/>
        <w:jc w:val="center"/>
        <w:rPr>
          <w:b/>
          <w:color w:val="4F81BD" w:themeColor="accent1"/>
          <w:sz w:val="24"/>
          <w:szCs w:val="24"/>
        </w:rPr>
      </w:pPr>
      <w:r w:rsidRPr="003D3FE6">
        <w:rPr>
          <w:b/>
          <w:color w:val="4F81BD" w:themeColor="accent1"/>
          <w:sz w:val="24"/>
          <w:szCs w:val="24"/>
        </w:rPr>
        <w:t>Student Number: 2022952</w:t>
      </w:r>
    </w:p>
    <w:p w:rsidR="003D3FE6" w:rsidRPr="003D3FE6" w:rsidRDefault="003D3FE6" w:rsidP="003D3FE6">
      <w:pPr>
        <w:pStyle w:val="NoSpacing"/>
        <w:jc w:val="center"/>
        <w:rPr>
          <w:b/>
          <w:color w:val="4F81BD" w:themeColor="accent1"/>
          <w:sz w:val="24"/>
          <w:szCs w:val="24"/>
        </w:rPr>
      </w:pPr>
      <w:r w:rsidRPr="003D3FE6">
        <w:rPr>
          <w:b/>
          <w:color w:val="4F81BD" w:themeColor="accent1"/>
          <w:sz w:val="24"/>
          <w:szCs w:val="24"/>
        </w:rPr>
        <w:t>Module Name: Financial Management for the Hotel Industry</w:t>
      </w:r>
    </w:p>
    <w:p w:rsidR="003D3FE6" w:rsidRPr="003D3FE6" w:rsidRDefault="003D3FE6" w:rsidP="003D3FE6">
      <w:pPr>
        <w:pStyle w:val="NoSpacing"/>
        <w:jc w:val="center"/>
        <w:rPr>
          <w:b/>
          <w:color w:val="4F81BD" w:themeColor="accent1"/>
          <w:sz w:val="24"/>
          <w:szCs w:val="24"/>
        </w:rPr>
      </w:pPr>
      <w:r w:rsidRPr="003D3FE6">
        <w:rPr>
          <w:b/>
          <w:color w:val="4F81BD" w:themeColor="accent1"/>
          <w:sz w:val="24"/>
          <w:szCs w:val="24"/>
        </w:rPr>
        <w:t>Module Code: BMIH5007</w:t>
      </w:r>
    </w:p>
    <w:p w:rsidR="003D3FE6" w:rsidRPr="003D3FE6" w:rsidRDefault="003D3FE6" w:rsidP="003D3FE6">
      <w:pPr>
        <w:pStyle w:val="NoSpacing"/>
        <w:jc w:val="center"/>
        <w:rPr>
          <w:b/>
          <w:color w:val="4F81BD" w:themeColor="accent1"/>
          <w:sz w:val="24"/>
          <w:szCs w:val="24"/>
        </w:rPr>
      </w:pPr>
      <w:r w:rsidRPr="003D3FE6">
        <w:rPr>
          <w:b/>
          <w:color w:val="4F81BD" w:themeColor="accent1"/>
          <w:sz w:val="24"/>
          <w:szCs w:val="24"/>
        </w:rPr>
        <w:t xml:space="preserve">Lecturer’s </w:t>
      </w:r>
      <w:r>
        <w:rPr>
          <w:b/>
          <w:color w:val="4F81BD" w:themeColor="accent1"/>
          <w:sz w:val="24"/>
          <w:szCs w:val="24"/>
        </w:rPr>
        <w:t>N</w:t>
      </w:r>
      <w:r w:rsidRPr="003D3FE6">
        <w:rPr>
          <w:b/>
          <w:color w:val="4F81BD" w:themeColor="accent1"/>
          <w:sz w:val="24"/>
          <w:szCs w:val="24"/>
        </w:rPr>
        <w:t>ame: Christopher Wilkin</w:t>
      </w:r>
    </w:p>
    <w:sdt>
      <w:sdtPr>
        <w:rPr>
          <w:rFonts w:ascii="Times New Roman" w:eastAsia="Times New Roman" w:hAnsi="Times New Roman" w:cs="Times New Roman"/>
          <w:b w:val="0"/>
          <w:bCs w:val="0"/>
          <w:color w:val="auto"/>
          <w:sz w:val="24"/>
          <w:szCs w:val="24"/>
          <w:lang w:val="en-GB" w:eastAsia="en-IN"/>
        </w:rPr>
        <w:id w:val="-203334948"/>
        <w:docPartObj>
          <w:docPartGallery w:val="Table of Contents"/>
          <w:docPartUnique/>
        </w:docPartObj>
      </w:sdtPr>
      <w:sdtEndPr>
        <w:rPr>
          <w:noProof/>
        </w:rPr>
      </w:sdtEndPr>
      <w:sdtContent>
        <w:p w:rsidR="007B198E" w:rsidRPr="007B198E" w:rsidRDefault="007B198E" w:rsidP="007B198E">
          <w:pPr>
            <w:pStyle w:val="TOCHeading"/>
            <w:jc w:val="center"/>
            <w:rPr>
              <w:rFonts w:ascii="Times New Roman" w:hAnsi="Times New Roman" w:cs="Times New Roman"/>
              <w:color w:val="000000" w:themeColor="text1"/>
            </w:rPr>
          </w:pPr>
          <w:r w:rsidRPr="007B198E">
            <w:rPr>
              <w:rFonts w:ascii="Times New Roman" w:hAnsi="Times New Roman" w:cs="Times New Roman"/>
              <w:color w:val="000000" w:themeColor="text1"/>
            </w:rPr>
            <w:t>Table of Contents</w:t>
          </w:r>
        </w:p>
        <w:p w:rsidR="007B198E" w:rsidRDefault="00A20F43">
          <w:pPr>
            <w:pStyle w:val="TOC1"/>
            <w:tabs>
              <w:tab w:val="right" w:leader="dot" w:pos="9016"/>
            </w:tabs>
            <w:rPr>
              <w:noProof/>
            </w:rPr>
          </w:pPr>
          <w:r w:rsidRPr="00A20F43">
            <w:fldChar w:fldCharType="begin"/>
          </w:r>
          <w:r w:rsidR="007B198E">
            <w:instrText xml:space="preserve"> TOC \o "1-3" \h \z \u </w:instrText>
          </w:r>
          <w:r w:rsidRPr="00A20F43">
            <w:fldChar w:fldCharType="separate"/>
          </w:r>
          <w:hyperlink w:anchor="_Toc121239632" w:history="1">
            <w:r w:rsidR="007B198E" w:rsidRPr="00A50088">
              <w:rPr>
                <w:rStyle w:val="Hyperlink"/>
                <w:noProof/>
              </w:rPr>
              <w:t>Introduction</w:t>
            </w:r>
            <w:r w:rsidR="007B198E">
              <w:rPr>
                <w:noProof/>
                <w:webHidden/>
              </w:rPr>
              <w:tab/>
            </w:r>
            <w:r>
              <w:rPr>
                <w:noProof/>
                <w:webHidden/>
              </w:rPr>
              <w:fldChar w:fldCharType="begin"/>
            </w:r>
            <w:r w:rsidR="007B198E">
              <w:rPr>
                <w:noProof/>
                <w:webHidden/>
              </w:rPr>
              <w:instrText xml:space="preserve"> PAGEREF _Toc121239632 \h </w:instrText>
            </w:r>
            <w:r>
              <w:rPr>
                <w:noProof/>
                <w:webHidden/>
              </w:rPr>
            </w:r>
            <w:r>
              <w:rPr>
                <w:noProof/>
                <w:webHidden/>
              </w:rPr>
              <w:fldChar w:fldCharType="separate"/>
            </w:r>
            <w:r w:rsidR="007B198E">
              <w:rPr>
                <w:noProof/>
                <w:webHidden/>
              </w:rPr>
              <w:t>3</w:t>
            </w:r>
            <w:r>
              <w:rPr>
                <w:noProof/>
                <w:webHidden/>
              </w:rPr>
              <w:fldChar w:fldCharType="end"/>
            </w:r>
          </w:hyperlink>
        </w:p>
        <w:p w:rsidR="007B198E" w:rsidRDefault="00A20F43">
          <w:pPr>
            <w:pStyle w:val="TOC1"/>
            <w:tabs>
              <w:tab w:val="right" w:leader="dot" w:pos="9016"/>
            </w:tabs>
            <w:rPr>
              <w:noProof/>
            </w:rPr>
          </w:pPr>
          <w:hyperlink w:anchor="_Toc121239633" w:history="1">
            <w:r w:rsidR="007B198E" w:rsidRPr="00A50088">
              <w:rPr>
                <w:rStyle w:val="Hyperlink"/>
                <w:noProof/>
              </w:rPr>
              <w:t>Task 1</w:t>
            </w:r>
            <w:r w:rsidR="007B198E">
              <w:rPr>
                <w:noProof/>
                <w:webHidden/>
              </w:rPr>
              <w:tab/>
            </w:r>
            <w:r>
              <w:rPr>
                <w:noProof/>
                <w:webHidden/>
              </w:rPr>
              <w:fldChar w:fldCharType="begin"/>
            </w:r>
            <w:r w:rsidR="007B198E">
              <w:rPr>
                <w:noProof/>
                <w:webHidden/>
              </w:rPr>
              <w:instrText xml:space="preserve"> PAGEREF _Toc121239633 \h </w:instrText>
            </w:r>
            <w:r>
              <w:rPr>
                <w:noProof/>
                <w:webHidden/>
              </w:rPr>
            </w:r>
            <w:r>
              <w:rPr>
                <w:noProof/>
                <w:webHidden/>
              </w:rPr>
              <w:fldChar w:fldCharType="separate"/>
            </w:r>
            <w:r w:rsidR="007B198E">
              <w:rPr>
                <w:noProof/>
                <w:webHidden/>
              </w:rPr>
              <w:t>3</w:t>
            </w:r>
            <w:r>
              <w:rPr>
                <w:noProof/>
                <w:webHidden/>
              </w:rPr>
              <w:fldChar w:fldCharType="end"/>
            </w:r>
          </w:hyperlink>
        </w:p>
        <w:p w:rsidR="007B198E" w:rsidRDefault="00A20F43">
          <w:pPr>
            <w:pStyle w:val="TOC2"/>
            <w:tabs>
              <w:tab w:val="right" w:leader="dot" w:pos="9016"/>
            </w:tabs>
            <w:rPr>
              <w:noProof/>
            </w:rPr>
          </w:pPr>
          <w:hyperlink w:anchor="_Toc121239634" w:history="1">
            <w:r w:rsidR="007B198E" w:rsidRPr="00A50088">
              <w:rPr>
                <w:rStyle w:val="Hyperlink"/>
                <w:noProof/>
              </w:rPr>
              <w:t>A. Evaluating key financial ratios for the business of Marriott 2020 and 2021</w:t>
            </w:r>
            <w:r w:rsidR="007B198E">
              <w:rPr>
                <w:noProof/>
                <w:webHidden/>
              </w:rPr>
              <w:tab/>
            </w:r>
            <w:r>
              <w:rPr>
                <w:noProof/>
                <w:webHidden/>
              </w:rPr>
              <w:fldChar w:fldCharType="begin"/>
            </w:r>
            <w:r w:rsidR="007B198E">
              <w:rPr>
                <w:noProof/>
                <w:webHidden/>
              </w:rPr>
              <w:instrText xml:space="preserve"> PAGEREF _Toc121239634 \h </w:instrText>
            </w:r>
            <w:r>
              <w:rPr>
                <w:noProof/>
                <w:webHidden/>
              </w:rPr>
            </w:r>
            <w:r>
              <w:rPr>
                <w:noProof/>
                <w:webHidden/>
              </w:rPr>
              <w:fldChar w:fldCharType="separate"/>
            </w:r>
            <w:r w:rsidR="007B198E">
              <w:rPr>
                <w:noProof/>
                <w:webHidden/>
              </w:rPr>
              <w:t>3</w:t>
            </w:r>
            <w:r>
              <w:rPr>
                <w:noProof/>
                <w:webHidden/>
              </w:rPr>
              <w:fldChar w:fldCharType="end"/>
            </w:r>
          </w:hyperlink>
        </w:p>
        <w:p w:rsidR="007B198E" w:rsidRDefault="00A20F43">
          <w:pPr>
            <w:pStyle w:val="TOC2"/>
            <w:tabs>
              <w:tab w:val="right" w:leader="dot" w:pos="9016"/>
            </w:tabs>
            <w:rPr>
              <w:noProof/>
            </w:rPr>
          </w:pPr>
          <w:hyperlink w:anchor="_Toc121239635" w:history="1">
            <w:r w:rsidR="007B198E" w:rsidRPr="00A50088">
              <w:rPr>
                <w:rStyle w:val="Hyperlink"/>
                <w:noProof/>
              </w:rPr>
              <w:t>B. Disadvantages of ratio analysis, ratio fluctuation for hotel management</w:t>
            </w:r>
            <w:r w:rsidR="007B198E">
              <w:rPr>
                <w:noProof/>
                <w:webHidden/>
              </w:rPr>
              <w:tab/>
            </w:r>
            <w:r>
              <w:rPr>
                <w:noProof/>
                <w:webHidden/>
              </w:rPr>
              <w:fldChar w:fldCharType="begin"/>
            </w:r>
            <w:r w:rsidR="007B198E">
              <w:rPr>
                <w:noProof/>
                <w:webHidden/>
              </w:rPr>
              <w:instrText xml:space="preserve"> PAGEREF _Toc121239635 \h </w:instrText>
            </w:r>
            <w:r>
              <w:rPr>
                <w:noProof/>
                <w:webHidden/>
              </w:rPr>
            </w:r>
            <w:r>
              <w:rPr>
                <w:noProof/>
                <w:webHidden/>
              </w:rPr>
              <w:fldChar w:fldCharType="separate"/>
            </w:r>
            <w:r w:rsidR="007B198E">
              <w:rPr>
                <w:noProof/>
                <w:webHidden/>
              </w:rPr>
              <w:t>10</w:t>
            </w:r>
            <w:r>
              <w:rPr>
                <w:noProof/>
                <w:webHidden/>
              </w:rPr>
              <w:fldChar w:fldCharType="end"/>
            </w:r>
          </w:hyperlink>
        </w:p>
        <w:p w:rsidR="007B198E" w:rsidRDefault="00A20F43">
          <w:pPr>
            <w:pStyle w:val="TOC2"/>
            <w:tabs>
              <w:tab w:val="right" w:leader="dot" w:pos="9016"/>
            </w:tabs>
            <w:rPr>
              <w:noProof/>
            </w:rPr>
          </w:pPr>
          <w:hyperlink w:anchor="_Toc121239636" w:history="1">
            <w:r w:rsidR="007B198E" w:rsidRPr="00A50088">
              <w:rPr>
                <w:rStyle w:val="Hyperlink"/>
                <w:noProof/>
              </w:rPr>
              <w:t>C. Importance ratio on business decision-making</w:t>
            </w:r>
            <w:r w:rsidR="007B198E">
              <w:rPr>
                <w:noProof/>
                <w:webHidden/>
              </w:rPr>
              <w:tab/>
            </w:r>
            <w:r>
              <w:rPr>
                <w:noProof/>
                <w:webHidden/>
              </w:rPr>
              <w:fldChar w:fldCharType="begin"/>
            </w:r>
            <w:r w:rsidR="007B198E">
              <w:rPr>
                <w:noProof/>
                <w:webHidden/>
              </w:rPr>
              <w:instrText xml:space="preserve"> PAGEREF _Toc121239636 \h </w:instrText>
            </w:r>
            <w:r>
              <w:rPr>
                <w:noProof/>
                <w:webHidden/>
              </w:rPr>
            </w:r>
            <w:r>
              <w:rPr>
                <w:noProof/>
                <w:webHidden/>
              </w:rPr>
              <w:fldChar w:fldCharType="separate"/>
            </w:r>
            <w:r w:rsidR="007B198E">
              <w:rPr>
                <w:noProof/>
                <w:webHidden/>
              </w:rPr>
              <w:t>11</w:t>
            </w:r>
            <w:r>
              <w:rPr>
                <w:noProof/>
                <w:webHidden/>
              </w:rPr>
              <w:fldChar w:fldCharType="end"/>
            </w:r>
          </w:hyperlink>
        </w:p>
        <w:p w:rsidR="007B198E" w:rsidRDefault="00A20F43">
          <w:pPr>
            <w:pStyle w:val="TOC1"/>
            <w:tabs>
              <w:tab w:val="right" w:leader="dot" w:pos="9016"/>
            </w:tabs>
            <w:rPr>
              <w:noProof/>
            </w:rPr>
          </w:pPr>
          <w:hyperlink w:anchor="_Toc121239637" w:history="1">
            <w:r w:rsidR="007B198E" w:rsidRPr="00A50088">
              <w:rPr>
                <w:rStyle w:val="Hyperlink"/>
                <w:noProof/>
              </w:rPr>
              <w:t>Conclusions</w:t>
            </w:r>
            <w:r w:rsidR="007B198E">
              <w:rPr>
                <w:noProof/>
                <w:webHidden/>
              </w:rPr>
              <w:tab/>
            </w:r>
            <w:r>
              <w:rPr>
                <w:noProof/>
                <w:webHidden/>
              </w:rPr>
              <w:fldChar w:fldCharType="begin"/>
            </w:r>
            <w:r w:rsidR="007B198E">
              <w:rPr>
                <w:noProof/>
                <w:webHidden/>
              </w:rPr>
              <w:instrText xml:space="preserve"> PAGEREF _Toc121239637 \h </w:instrText>
            </w:r>
            <w:r>
              <w:rPr>
                <w:noProof/>
                <w:webHidden/>
              </w:rPr>
            </w:r>
            <w:r>
              <w:rPr>
                <w:noProof/>
                <w:webHidden/>
              </w:rPr>
              <w:fldChar w:fldCharType="separate"/>
            </w:r>
            <w:r w:rsidR="007B198E">
              <w:rPr>
                <w:noProof/>
                <w:webHidden/>
              </w:rPr>
              <w:t>11</w:t>
            </w:r>
            <w:r>
              <w:rPr>
                <w:noProof/>
                <w:webHidden/>
              </w:rPr>
              <w:fldChar w:fldCharType="end"/>
            </w:r>
          </w:hyperlink>
        </w:p>
        <w:p w:rsidR="007B198E" w:rsidRDefault="00A20F43">
          <w:pPr>
            <w:pStyle w:val="TOC1"/>
            <w:tabs>
              <w:tab w:val="right" w:leader="dot" w:pos="9016"/>
            </w:tabs>
            <w:rPr>
              <w:noProof/>
            </w:rPr>
          </w:pPr>
          <w:hyperlink w:anchor="_Toc121239638" w:history="1">
            <w:r w:rsidR="007B198E" w:rsidRPr="00A50088">
              <w:rPr>
                <w:rStyle w:val="Hyperlink"/>
                <w:noProof/>
              </w:rPr>
              <w:t>References</w:t>
            </w:r>
            <w:r w:rsidR="007B198E">
              <w:rPr>
                <w:noProof/>
                <w:webHidden/>
              </w:rPr>
              <w:tab/>
            </w:r>
            <w:r>
              <w:rPr>
                <w:noProof/>
                <w:webHidden/>
              </w:rPr>
              <w:fldChar w:fldCharType="begin"/>
            </w:r>
            <w:r w:rsidR="007B198E">
              <w:rPr>
                <w:noProof/>
                <w:webHidden/>
              </w:rPr>
              <w:instrText xml:space="preserve"> PAGEREF _Toc121239638 \h </w:instrText>
            </w:r>
            <w:r>
              <w:rPr>
                <w:noProof/>
                <w:webHidden/>
              </w:rPr>
            </w:r>
            <w:r>
              <w:rPr>
                <w:noProof/>
                <w:webHidden/>
              </w:rPr>
              <w:fldChar w:fldCharType="separate"/>
            </w:r>
            <w:r w:rsidR="007B198E">
              <w:rPr>
                <w:noProof/>
                <w:webHidden/>
              </w:rPr>
              <w:t>12</w:t>
            </w:r>
            <w:r>
              <w:rPr>
                <w:noProof/>
                <w:webHidden/>
              </w:rPr>
              <w:fldChar w:fldCharType="end"/>
            </w:r>
          </w:hyperlink>
        </w:p>
        <w:p w:rsidR="007B198E" w:rsidRDefault="00A20F43">
          <w:r>
            <w:rPr>
              <w:b/>
              <w:bCs/>
              <w:noProof/>
            </w:rPr>
            <w:fldChar w:fldCharType="end"/>
          </w:r>
        </w:p>
      </w:sdtContent>
    </w:sdt>
    <w:p w:rsidR="007B198E" w:rsidRDefault="007B198E">
      <w:pPr>
        <w:rPr>
          <w:b/>
        </w:rPr>
      </w:pPr>
      <w:r>
        <w:rPr>
          <w:b/>
        </w:rPr>
        <w:br w:type="page"/>
      </w:r>
    </w:p>
    <w:p w:rsidR="00B53159" w:rsidRPr="007B198E" w:rsidRDefault="00D57DA0" w:rsidP="007B198E">
      <w:pPr>
        <w:pStyle w:val="Heading1"/>
      </w:pPr>
      <w:bookmarkStart w:id="0" w:name="_Toc121239632"/>
      <w:r w:rsidRPr="007B198E">
        <w:lastRenderedPageBreak/>
        <w:t>Introduction</w:t>
      </w:r>
      <w:bookmarkEnd w:id="0"/>
    </w:p>
    <w:p w:rsidR="00B53159" w:rsidRPr="007B198E" w:rsidRDefault="00D57DA0">
      <w:pPr>
        <w:rPr>
          <w:b/>
        </w:rPr>
      </w:pPr>
      <w:r w:rsidRPr="007B198E">
        <w:t xml:space="preserve">Under “Financial Management” a general evaluation of financial processing including capabilities of individual organisations’ are evaluated that provides proper recognition support regarding business accounting initiatives. With the processing of such the primary financial capability including strategic initiatives is formulated that brings the ultimate benefits of accounting progress. The organisation </w:t>
      </w:r>
      <w:r w:rsidRPr="007B198E">
        <w:rPr>
          <w:b/>
        </w:rPr>
        <w:t>Marriott International, Inc</w:t>
      </w:r>
      <w:r w:rsidRPr="007B198E">
        <w:t xml:space="preserve"> is mainly recognised as the largest American multinational hotel and it was founded in 1927 by J. Willard Marriott and Alice Marriott. In the present situation, it is operated in 8484 different areas and in the present period, it gained around $13,857 million as business revenue and $1099 million of net profit value on an effective basis (Marriott International, 2019). </w:t>
      </w:r>
    </w:p>
    <w:p w:rsidR="00B53159" w:rsidRPr="007B198E" w:rsidRDefault="00D57DA0" w:rsidP="007B198E">
      <w:pPr>
        <w:pStyle w:val="Heading1"/>
      </w:pPr>
      <w:bookmarkStart w:id="1" w:name="_Toc121239633"/>
      <w:r w:rsidRPr="007B198E">
        <w:t>Task 1</w:t>
      </w:r>
      <w:bookmarkEnd w:id="1"/>
    </w:p>
    <w:p w:rsidR="00B53159" w:rsidRPr="007B198E" w:rsidRDefault="00D57DA0" w:rsidP="007B198E">
      <w:pPr>
        <w:pStyle w:val="Heading2"/>
      </w:pPr>
      <w:bookmarkStart w:id="2" w:name="_Toc121239634"/>
      <w:r w:rsidRPr="007B198E">
        <w:t>A. Evaluating key financial ratios for the business of Marriott 2020 and 2021</w:t>
      </w:r>
      <w:bookmarkEnd w:id="2"/>
    </w:p>
    <w:p w:rsidR="00B53159" w:rsidRPr="007B198E" w:rsidRDefault="00D57DA0">
      <w:r w:rsidRPr="007B198E">
        <w:t>Identifying the approach of accounting measurement through the analysis of “accounting ratios” brings the ultimate benefits of financial measurement that is sustainable for initiating the value maintenance approach on a proper basis. The presence of such for the business of Marriott has been provided (Macrotrends.net, 2022)</w:t>
      </w:r>
    </w:p>
    <w:p w:rsidR="00B53159" w:rsidRPr="007B198E" w:rsidRDefault="00D57DA0">
      <w:r w:rsidRPr="007B198E">
        <w:rPr>
          <w:b/>
        </w:rPr>
        <w:t xml:space="preserve">Profitability ratios: </w:t>
      </w:r>
      <w:r w:rsidRPr="007B198E">
        <w:t>“Identification of this particular measurement has been initiated for recognising capability approach of business with support of profit formulation processing (Grossi</w:t>
      </w:r>
      <w:r w:rsidRPr="007B198E">
        <w:rPr>
          <w:i/>
        </w:rPr>
        <w:t xml:space="preserve"> et al.</w:t>
      </w:r>
      <w:r w:rsidRPr="007B198E">
        <w:t xml:space="preserve">, 2021)”. </w:t>
      </w:r>
    </w:p>
    <w:p w:rsidR="00B53159" w:rsidRPr="007B198E" w:rsidRDefault="00D57DA0">
      <w:pPr>
        <w:rPr>
          <w:b/>
        </w:rPr>
      </w:pPr>
      <w:r w:rsidRPr="007B198E">
        <w:rPr>
          <w:b/>
        </w:rPr>
        <w:t xml:space="preserve">Gross profit margin </w:t>
      </w:r>
    </w:p>
    <w:p w:rsidR="00B53159" w:rsidRPr="007B198E" w:rsidRDefault="00D57DA0">
      <w:r w:rsidRPr="007B198E">
        <w:rPr>
          <w:b/>
        </w:rPr>
        <w:t xml:space="preserve">Concept: </w:t>
      </w:r>
      <w:r w:rsidRPr="007B198E">
        <w:t>It is initiated for recognising the product or service-</w:t>
      </w:r>
      <w:r w:rsidR="007B198E" w:rsidRPr="007B198E">
        <w:t>oriented profit</w:t>
      </w:r>
      <w:r w:rsidRPr="007B198E">
        <w:t xml:space="preserve"> of the business in the present accounting period. Application of it is managed for initiating the progressive formulated development support also. </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Formula: “(Gross profit / Sales) x 100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2021 =&gt; (2801 / 13857) x 100 = 20.20%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(1459 / 10571) x 100 = 13.80%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Bdr>
                <w:top w:val="nil"/>
                <w:left w:val="nil"/>
                <w:bottom w:val="nil"/>
                <w:right w:val="nil"/>
                <w:between w:val="nil"/>
              </w:pBdr>
            </w:pPr>
            <w:r w:rsidRPr="007B198E">
              <w:rPr>
                <w:b/>
              </w:rPr>
              <w:t xml:space="preserve">Interpretation: </w:t>
            </w:r>
            <w:r w:rsidRPr="007B198E">
              <w:t xml:space="preserve">In the present period a significant volume of development with level of 6.40% has been noticed compared to earlier period that indicates a sustainable and progressive financial position in the present period mainly. In the current period due to the expansion of business productivity engagement the value of demand provides a supportive opportunity for initiating the optimum value processing growth including the supply chain </w:t>
            </w:r>
            <w:r w:rsidRPr="007B198E">
              <w:lastRenderedPageBreak/>
              <w:t xml:space="preserve">development. </w:t>
            </w:r>
          </w:p>
        </w:tc>
      </w:tr>
    </w:tbl>
    <w:p w:rsidR="00B53159" w:rsidRPr="007B198E" w:rsidRDefault="00B53159">
      <w:pPr>
        <w:rPr>
          <w:b/>
        </w:rPr>
      </w:pPr>
    </w:p>
    <w:p w:rsidR="00B53159" w:rsidRPr="007B198E" w:rsidRDefault="00D57DA0">
      <w:pPr>
        <w:rPr>
          <w:b/>
        </w:rPr>
      </w:pPr>
      <w:r w:rsidRPr="007B198E">
        <w:rPr>
          <w:b/>
        </w:rPr>
        <w:t xml:space="preserve">Net profit margin </w:t>
      </w:r>
    </w:p>
    <w:p w:rsidR="00B53159" w:rsidRPr="007B198E" w:rsidRDefault="00D57DA0">
      <w:r w:rsidRPr="007B198E">
        <w:rPr>
          <w:b/>
        </w:rPr>
        <w:t xml:space="preserve">Concept: </w:t>
      </w:r>
      <w:r w:rsidRPr="007B198E">
        <w:t xml:space="preserve">“Identified for measuring the overall earning capability of the business in respect to general operating engagement and other performance development support. </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Formula: “(Net profit / Sales) x 100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2021 =&gt; (1099 / 13857) x 100 = 7.90%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2020 =&gt; (-267 / 10571) x 100 = -2.50%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the current measurement is a significant volume of development position is basically notice compared to the previous year which indicates after the pandemic crisis in a systematic volume of demand related to the hotel industry has been initiated that generally influence the marketing position as well as business revenue population support significantly (Sargiacomo and Walker, 2020). Additionally, the present pricing approach and operational strategies of this business provide a systematic opportunity for expansion. </w:t>
            </w:r>
          </w:p>
        </w:tc>
      </w:tr>
    </w:tbl>
    <w:p w:rsidR="00B53159" w:rsidRPr="007B198E" w:rsidRDefault="00B53159">
      <w:pPr>
        <w:rPr>
          <w:b/>
        </w:rPr>
      </w:pPr>
    </w:p>
    <w:p w:rsidR="00B53159" w:rsidRPr="007B198E" w:rsidRDefault="00D57DA0">
      <w:pPr>
        <w:rPr>
          <w:b/>
        </w:rPr>
      </w:pPr>
      <w:r w:rsidRPr="007B198E">
        <w:rPr>
          <w:b/>
        </w:rPr>
        <w:t>Return on capital employed</w:t>
      </w:r>
    </w:p>
    <w:p w:rsidR="00B53159" w:rsidRPr="007B198E" w:rsidRDefault="00D57DA0">
      <w:r w:rsidRPr="007B198E">
        <w:rPr>
          <w:b/>
        </w:rPr>
        <w:t xml:space="preserve">Concept: </w:t>
      </w:r>
      <w:r w:rsidRPr="007B198E">
        <w:t xml:space="preserve">Initiated for recognising the volume of earning capability with respect to the capital volume that provides a positive volume of marketing progressive performances. </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“(Profit before interest / Capital employed) x 100”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2021 =&gt; (1750 / 13857) x 100 = 9.10%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(84 / 10571) x 100 = 0.40%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Capital employed= (Total assets - Current liabilities)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i/>
              </w:rPr>
            </w:pPr>
            <w:r w:rsidRPr="007B198E">
              <w:rPr>
                <w:b/>
                <w:i/>
              </w:rPr>
              <w:t>For 2021 =&gt; (25553 - 6407) = 19146</w:t>
            </w:r>
          </w:p>
          <w:p w:rsidR="00B53159" w:rsidRPr="007B198E" w:rsidRDefault="00D57DA0">
            <w:pPr>
              <w:rPr>
                <w:b/>
                <w:i/>
              </w:rPr>
            </w:pPr>
            <w:r w:rsidRPr="007B198E">
              <w:rPr>
                <w:b/>
                <w:i/>
              </w:rPr>
              <w:t>For 2020 =&gt; (24701 - 5752) = 18949</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the current measurement a systematic volume of business optimise growth initiative is basically noticed that indicates the marketing different position </w:t>
            </w:r>
            <w:r w:rsidRPr="007B198E">
              <w:lastRenderedPageBreak/>
              <w:t>as well as and optimise market capitalisation structure also. After the pandemic, the initiative of market formulation with the investment approach generally develops the capital volume in a systematic bias and is associated with the same approach the supply chain development to initiate a proper volume of profitability identification mainly (Malo-Alain</w:t>
            </w:r>
            <w:r w:rsidRPr="007B198E">
              <w:rPr>
                <w:i/>
              </w:rPr>
              <w:t xml:space="preserve"> et al., </w:t>
            </w:r>
            <w:r w:rsidRPr="007B198E">
              <w:t xml:space="preserve">2021). </w:t>
            </w:r>
          </w:p>
        </w:tc>
      </w:tr>
    </w:tbl>
    <w:p w:rsidR="00B53159" w:rsidRPr="007B198E" w:rsidRDefault="00B53159">
      <w:pPr>
        <w:rPr>
          <w:b/>
        </w:rPr>
      </w:pPr>
    </w:p>
    <w:p w:rsidR="00B53159" w:rsidRPr="007B198E" w:rsidRDefault="00D57DA0">
      <w:pPr>
        <w:rPr>
          <w:b/>
        </w:rPr>
      </w:pPr>
      <w:r w:rsidRPr="007B198E">
        <w:rPr>
          <w:b/>
        </w:rPr>
        <w:t xml:space="preserve">Assets turnover ratio </w:t>
      </w:r>
    </w:p>
    <w:p w:rsidR="00B53159" w:rsidRPr="007B198E" w:rsidRDefault="00D57DA0">
      <w:r w:rsidRPr="007B198E">
        <w:rPr>
          <w:b/>
        </w:rPr>
        <w:t xml:space="preserve">Concept: </w:t>
      </w:r>
      <w:r w:rsidRPr="007B198E">
        <w:t xml:space="preserve">Identify this measurement initiated for recognising the revenue formulation support with respect to the volume of business as a structure that can be initiated in order to provide the stability approach.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“[Revenue /  (Total assets - Current liabilities)] x 100”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2021 =&gt; [13857/ (25553 - 6407)] x 100 =72.40%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[10571/ (24701 - 5752)] x 100 = 55.80%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the measurement a proper volume of revenue progress is basically </w:t>
            </w:r>
            <w:r w:rsidR="007B198E" w:rsidRPr="007B198E">
              <w:t>noticed associated</w:t>
            </w:r>
            <w:r w:rsidRPr="007B198E">
              <w:t xml:space="preserve"> with the systematic development in total assets position that influences a sustainable growth initiative in an effective basis. In relation to the present engagement, the level of present supply chain processing including optimised development is generally noticed in the present period with the marketing demand value that indicates sustainable marketing engagement mainly (Aini </w:t>
            </w:r>
            <w:r w:rsidRPr="007B198E">
              <w:rPr>
                <w:i/>
              </w:rPr>
              <w:t>et al.</w:t>
            </w:r>
            <w:r w:rsidRPr="007B198E">
              <w:t xml:space="preserve">, 2020).  </w:t>
            </w:r>
          </w:p>
        </w:tc>
      </w:tr>
    </w:tbl>
    <w:p w:rsidR="00B53159" w:rsidRPr="007B198E" w:rsidRDefault="00B53159">
      <w:pPr>
        <w:rPr>
          <w:b/>
        </w:rPr>
      </w:pPr>
    </w:p>
    <w:p w:rsidR="00B53159" w:rsidRPr="007B198E" w:rsidRDefault="00D57DA0">
      <w:pPr>
        <w:rPr>
          <w:b/>
        </w:rPr>
      </w:pPr>
      <w:r w:rsidRPr="007B198E">
        <w:rPr>
          <w:b/>
        </w:rPr>
        <w:t xml:space="preserve">Working capital turnover </w:t>
      </w:r>
    </w:p>
    <w:p w:rsidR="00B53159" w:rsidRPr="007B198E" w:rsidRDefault="00D57DA0">
      <w:r w:rsidRPr="007B198E">
        <w:rPr>
          <w:b/>
        </w:rPr>
        <w:t>Concept:</w:t>
      </w:r>
      <w:r w:rsidRPr="007B198E">
        <w:t xml:space="preserve"> According to the current position it is basically initiated for maintaining the working capital position of the business in respect to the revenue processing growth that is optimum in order to initiate the business valuation support. </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“[Revenue /  Net current assets] x 100”</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2021 =&gt; [13857/ 3626] x 100 = 3.82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[10571/ 2825] x 100 = 3.74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present identification is systematic standardized  </w:t>
            </w:r>
            <w:r w:rsidRPr="007B198E">
              <w:lastRenderedPageBreak/>
              <w:t xml:space="preserve">development is generally noticed that indicates is systematic and supportive expansion level of business revenue in respect to the volume of net current assets structure. It can also </w:t>
            </w:r>
            <w:r w:rsidR="007B198E" w:rsidRPr="007B198E">
              <w:t>be considered</w:t>
            </w:r>
            <w:r w:rsidRPr="007B198E">
              <w:t xml:space="preserve"> that at the present situation along with the volume of demand the revenue is expanded and simultaneously the assets structure of the business is also developed for initiating comprehensive performance stability (Steccolini </w:t>
            </w:r>
            <w:r w:rsidRPr="007B198E">
              <w:rPr>
                <w:i/>
              </w:rPr>
              <w:t xml:space="preserve">et al., </w:t>
            </w:r>
            <w:r w:rsidRPr="007B198E">
              <w:t xml:space="preserve">2020). </w:t>
            </w:r>
          </w:p>
        </w:tc>
      </w:tr>
    </w:tbl>
    <w:p w:rsidR="00B53159" w:rsidRPr="007B198E" w:rsidRDefault="00B53159">
      <w:pPr>
        <w:rPr>
          <w:b/>
        </w:rPr>
      </w:pPr>
    </w:p>
    <w:p w:rsidR="00B53159" w:rsidRPr="007B198E" w:rsidRDefault="00D57DA0" w:rsidP="00B42D44">
      <w:pPr>
        <w:jc w:val="center"/>
        <w:rPr>
          <w:b/>
        </w:rPr>
      </w:pPr>
      <w:bookmarkStart w:id="3" w:name="_GoBack"/>
      <w:r w:rsidRPr="007B198E">
        <w:rPr>
          <w:b/>
          <w:noProof/>
          <w:lang w:val="en-US" w:eastAsia="en-US"/>
        </w:rPr>
        <w:drawing>
          <wp:inline distT="114300" distB="114300" distL="114300" distR="114300">
            <wp:extent cx="5082363" cy="3019646"/>
            <wp:effectExtent l="0" t="0" r="4445"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82586" cy="3019778"/>
                    </a:xfrm>
                    <a:prstGeom prst="rect">
                      <a:avLst/>
                    </a:prstGeom>
                    <a:ln/>
                  </pic:spPr>
                </pic:pic>
              </a:graphicData>
            </a:graphic>
          </wp:inline>
        </w:drawing>
      </w:r>
      <w:bookmarkEnd w:id="3"/>
    </w:p>
    <w:p w:rsidR="00B53159" w:rsidRPr="007B198E" w:rsidRDefault="00B53159">
      <w:pPr>
        <w:rPr>
          <w:b/>
        </w:rPr>
      </w:pPr>
    </w:p>
    <w:p w:rsidR="00B53159" w:rsidRPr="007B198E" w:rsidRDefault="00D57DA0">
      <w:r w:rsidRPr="007B198E">
        <w:rPr>
          <w:b/>
        </w:rPr>
        <w:t xml:space="preserve">Liquidity ratios: </w:t>
      </w:r>
      <w:r w:rsidRPr="007B198E">
        <w:t xml:space="preserve">With support to the general principle that is basically identified for measuring the liquidity or working capital position of a business  that can be initiated in order to maintain the formulated development and operating stability approach (Heino </w:t>
      </w:r>
      <w:r w:rsidRPr="007B198E">
        <w:rPr>
          <w:i/>
        </w:rPr>
        <w:t xml:space="preserve">et al., </w:t>
      </w:r>
      <w:r w:rsidRPr="007B198E">
        <w:t>2019).</w:t>
      </w:r>
    </w:p>
    <w:p w:rsidR="00B53159" w:rsidRPr="007B198E" w:rsidRDefault="00D57DA0">
      <w:pPr>
        <w:rPr>
          <w:b/>
        </w:rPr>
      </w:pPr>
      <w:r w:rsidRPr="007B198E">
        <w:rPr>
          <w:b/>
        </w:rPr>
        <w:t xml:space="preserve">Current ratio </w:t>
      </w:r>
    </w:p>
    <w:p w:rsidR="00B53159" w:rsidRPr="007B198E" w:rsidRDefault="00D57DA0">
      <w:r w:rsidRPr="007B198E">
        <w:rPr>
          <w:b/>
        </w:rPr>
        <w:t xml:space="preserve">Concept: </w:t>
      </w:r>
      <w:r w:rsidRPr="007B198E">
        <w:t xml:space="preserve">According to basic analysis it is identified for representing the working capital position of a business associated with the current asset and liability structure support.  </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“[Current assets / Current liabilities]”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2021 =&gt; [3626 / 6407] = 0.56</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2020 =&gt; [2825 / 5752] = 0.49</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According to the general identification</w:t>
            </w:r>
            <w:r w:rsidR="007B198E" w:rsidRPr="007B198E">
              <w:t>, the</w:t>
            </w:r>
            <w:r w:rsidRPr="007B198E">
              <w:t xml:space="preserve"> present financial position of this business is indicating a comparatively expanded position where the level of current assets is expanded along with simultaneous approach in current liability also. In the present </w:t>
            </w:r>
            <w:r w:rsidRPr="007B198E">
              <w:lastRenderedPageBreak/>
              <w:t xml:space="preserve">situation due to the supplier issue, the overall financial performances of this business are not supportively initiated and the overall liquidity formulations are not also generated on a proper basis (Aggarwal and Garg, 2022). </w:t>
            </w:r>
          </w:p>
        </w:tc>
      </w:tr>
    </w:tbl>
    <w:p w:rsidR="00B53159" w:rsidRPr="007B198E" w:rsidRDefault="00B53159">
      <w:pPr>
        <w:rPr>
          <w:b/>
        </w:rPr>
      </w:pPr>
    </w:p>
    <w:p w:rsidR="00B53159" w:rsidRPr="007B198E" w:rsidRDefault="00D57DA0">
      <w:pPr>
        <w:rPr>
          <w:b/>
        </w:rPr>
      </w:pPr>
      <w:r w:rsidRPr="007B198E">
        <w:rPr>
          <w:b/>
        </w:rPr>
        <w:t xml:space="preserve">Quick ratio </w:t>
      </w:r>
    </w:p>
    <w:p w:rsidR="00B53159" w:rsidRPr="007B198E" w:rsidRDefault="00D57DA0">
      <w:r w:rsidRPr="007B198E">
        <w:rPr>
          <w:b/>
        </w:rPr>
        <w:t xml:space="preserve">Concept: </w:t>
      </w:r>
      <w:r w:rsidRPr="007B198E">
        <w:t xml:space="preserve">It is mainly initiated in order to represent the volume of liquidity apart from the existence of inventory volume in the present situation. With recognising this analysis, a positive volume of business financial development including working capital competencies with respect to the cash flow initiative can be identified. </w:t>
      </w:r>
    </w:p>
    <w:tbl>
      <w:tblPr>
        <w:tblStyle w:val="a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“[(Current assets - Inventory) / Current liabilities]”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2021 =&gt; [(3626 - 0) / 6407] = 0.56</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2020 =&gt; [(2825 - 0) / 5752] = 0.49</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As per the basic analysis, for the business of hotel industry generally the volume of inventory is lower and due to such reason, in this case, the current ratio is considered as the result of quick ratio as well. </w:t>
            </w:r>
          </w:p>
        </w:tc>
      </w:tr>
    </w:tbl>
    <w:p w:rsidR="00B53159" w:rsidRPr="007B198E" w:rsidRDefault="00B53159">
      <w:pPr>
        <w:rPr>
          <w:b/>
        </w:rPr>
      </w:pPr>
    </w:p>
    <w:p w:rsidR="00B53159" w:rsidRPr="007B198E" w:rsidRDefault="00D57DA0">
      <w:pPr>
        <w:rPr>
          <w:b/>
        </w:rPr>
      </w:pPr>
      <w:r w:rsidRPr="007B198E">
        <w:rPr>
          <w:b/>
        </w:rPr>
        <w:t xml:space="preserve">Accounting receivable days </w:t>
      </w:r>
    </w:p>
    <w:p w:rsidR="00B53159" w:rsidRPr="007B198E" w:rsidRDefault="00D57DA0">
      <w:r w:rsidRPr="007B198E">
        <w:rPr>
          <w:b/>
        </w:rPr>
        <w:t xml:space="preserve">Concept: </w:t>
      </w:r>
      <w:r w:rsidRPr="007B198E">
        <w:t xml:space="preserve">Application of this particular measurement is initiated in order to represent the overall collection processing of business liquidity in order to manage the working capital positions properly. </w:t>
      </w:r>
    </w:p>
    <w:tbl>
      <w:tblPr>
        <w:tblStyle w:val="a6"/>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i/>
              </w:rPr>
            </w:pPr>
            <w:r w:rsidRPr="007B198E">
              <w:rPr>
                <w:b/>
                <w:i/>
              </w:rPr>
              <w:t>Formula: “[(Accounting receivable x 365) / Revenue]”</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i/>
              </w:rPr>
            </w:pPr>
            <w:r w:rsidRPr="007B198E">
              <w:rPr>
                <w:b/>
                <w:i/>
              </w:rPr>
              <w:t xml:space="preserve">For 2021 =&gt; [(1982 x 365) / 13857] = 52 days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i/>
              </w:rPr>
            </w:pPr>
            <w:r w:rsidRPr="007B198E">
              <w:rPr>
                <w:b/>
                <w:i/>
              </w:rPr>
              <w:t xml:space="preserve">For 2020 =&gt; [(1768 x 365) / 10571] = 61 days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r w:rsidRPr="007B198E">
              <w:rPr>
                <w:b/>
              </w:rPr>
              <w:t>Interpretation</w:t>
            </w:r>
            <w:r w:rsidRPr="007B198E">
              <w:t>: According to the current analysis basically the volume of this time period has been declined which indicates compared to the previous period at the present situation overall financial standardisation including Credit Policy development has been initiated that generally provides  a positive and formulated development structure mainly. However</w:t>
            </w:r>
            <w:r w:rsidR="007B198E" w:rsidRPr="007B198E">
              <w:t>, the</w:t>
            </w:r>
            <w:r w:rsidRPr="007B198E">
              <w:t xml:space="preserve"> management is required to initiate some systematic progress related to collection </w:t>
            </w:r>
            <w:r w:rsidRPr="007B198E">
              <w:lastRenderedPageBreak/>
              <w:t xml:space="preserve">support.  </w:t>
            </w:r>
          </w:p>
        </w:tc>
      </w:tr>
    </w:tbl>
    <w:p w:rsidR="00B53159" w:rsidRPr="007B198E" w:rsidRDefault="00B53159">
      <w:pPr>
        <w:rPr>
          <w:b/>
        </w:rPr>
      </w:pPr>
    </w:p>
    <w:p w:rsidR="00B53159" w:rsidRPr="007B198E" w:rsidRDefault="00D57DA0">
      <w:pPr>
        <w:rPr>
          <w:b/>
        </w:rPr>
      </w:pPr>
      <w:r w:rsidRPr="007B198E">
        <w:rPr>
          <w:b/>
        </w:rPr>
        <w:t xml:space="preserve">Accounting payable days </w:t>
      </w:r>
    </w:p>
    <w:p w:rsidR="00B53159" w:rsidRPr="007B198E" w:rsidRDefault="00D57DA0">
      <w:r w:rsidRPr="007B198E">
        <w:rPr>
          <w:b/>
        </w:rPr>
        <w:t xml:space="preserve">Concept: </w:t>
      </w:r>
      <w:r w:rsidRPr="007B198E">
        <w:t xml:space="preserve">It is initiated for the reason of recognising the overall volume of the </w:t>
      </w:r>
      <w:r w:rsidR="007B198E" w:rsidRPr="007B198E">
        <w:t>payable capability</w:t>
      </w:r>
      <w:r w:rsidRPr="007B198E">
        <w:t xml:space="preserve"> of the business depending on which the financial positivity and working capital value can be balanced. </w:t>
      </w:r>
    </w:p>
    <w:tbl>
      <w:tblPr>
        <w:tblStyle w:val="a7"/>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“[(Accounting payable x 365) / Cost of goods sold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 2021 =&gt; [(726 x 365) / 11056] = 24 days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[(527 x 365) / 9112]  = 21 days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As per the current computation the overall volume of the payable approach of the business is generally expanded that generally indicates the </w:t>
            </w:r>
            <w:r w:rsidR="007B198E" w:rsidRPr="007B198E">
              <w:t>non-optimised</w:t>
            </w:r>
            <w:r w:rsidRPr="007B198E">
              <w:t xml:space="preserve"> financial capability level. Under the present situation due to the supplier issue, the overall liquidity formulation capability of the business is not supported be initiated generally imposing a negative impact on the business growth (Ngo, 2021). </w:t>
            </w:r>
          </w:p>
        </w:tc>
      </w:tr>
    </w:tbl>
    <w:p w:rsidR="00B53159" w:rsidRPr="007B198E" w:rsidRDefault="00B53159">
      <w:pPr>
        <w:rPr>
          <w:b/>
        </w:rPr>
      </w:pPr>
    </w:p>
    <w:p w:rsidR="00B53159" w:rsidRPr="007B198E" w:rsidRDefault="00D57DA0">
      <w:pPr>
        <w:jc w:val="center"/>
        <w:rPr>
          <w:b/>
        </w:rPr>
      </w:pPr>
      <w:r w:rsidRPr="007B198E">
        <w:rPr>
          <w:b/>
          <w:noProof/>
          <w:lang w:val="en-US" w:eastAsia="en-US"/>
        </w:rPr>
        <w:drawing>
          <wp:inline distT="114300" distB="114300" distL="114300" distR="114300">
            <wp:extent cx="4412512" cy="3019647"/>
            <wp:effectExtent l="0" t="0" r="762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12705" cy="3019779"/>
                    </a:xfrm>
                    <a:prstGeom prst="rect">
                      <a:avLst/>
                    </a:prstGeom>
                    <a:ln/>
                  </pic:spPr>
                </pic:pic>
              </a:graphicData>
            </a:graphic>
          </wp:inline>
        </w:drawing>
      </w:r>
    </w:p>
    <w:p w:rsidR="00B53159" w:rsidRPr="007B198E" w:rsidRDefault="00B53159">
      <w:pPr>
        <w:rPr>
          <w:b/>
        </w:rPr>
      </w:pPr>
    </w:p>
    <w:p w:rsidR="00B53159" w:rsidRPr="007B198E" w:rsidRDefault="007B198E">
      <w:r>
        <w:rPr>
          <w:b/>
        </w:rPr>
        <w:t xml:space="preserve">Gearing </w:t>
      </w:r>
      <w:r w:rsidR="00D57DA0" w:rsidRPr="007B198E">
        <w:rPr>
          <w:b/>
        </w:rPr>
        <w:t xml:space="preserve">ratio: </w:t>
      </w:r>
      <w:r w:rsidR="00D57DA0" w:rsidRPr="007B198E">
        <w:t>Application of this analysis is initiated for opti</w:t>
      </w:r>
      <w:r>
        <w:t xml:space="preserve">mum capital positioning support, which is </w:t>
      </w:r>
      <w:r w:rsidR="00D57DA0" w:rsidRPr="007B198E">
        <w:t>formulated for the development of market capitalisation and Outsourcing financial control</w:t>
      </w:r>
    </w:p>
    <w:p w:rsidR="00B53159" w:rsidRPr="007B198E" w:rsidRDefault="00D57DA0">
      <w:pPr>
        <w:rPr>
          <w:b/>
        </w:rPr>
      </w:pPr>
      <w:r w:rsidRPr="007B198E">
        <w:rPr>
          <w:b/>
        </w:rPr>
        <w:lastRenderedPageBreak/>
        <w:t xml:space="preserve">Debt ratio  </w:t>
      </w:r>
    </w:p>
    <w:p w:rsidR="00B53159" w:rsidRPr="007B198E" w:rsidRDefault="00D57DA0">
      <w:r w:rsidRPr="007B198E">
        <w:rPr>
          <w:b/>
        </w:rPr>
        <w:t xml:space="preserve">Concept: </w:t>
      </w:r>
      <w:r w:rsidRPr="007B198E">
        <w:t xml:space="preserve">According to the present position it is initiated for recognising the Outsourcing financial capital and operating stability approach that is optimal for business progressive measurement. </w:t>
      </w:r>
    </w:p>
    <w:tbl>
      <w:tblPr>
        <w:tblStyle w:val="a8"/>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rsidTr="007B198E">
        <w:trPr>
          <w:trHeight w:val="503"/>
        </w:trPr>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“[Total debts / Total assets]”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2021 =&gt; [17732/ 25553] x 100 = 0.69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[18519/ 24701] x 100 = 0.75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the present analysis, basically a declining approach is noticed that Indicates in the present situation the volume of business Outsourcing capital level are declining which is progressive for initiating a systematic development related to the capital optimised approach. With respect to the present position, the management of the business is required to initiate some share issuance to support future stability. </w:t>
            </w:r>
          </w:p>
        </w:tc>
      </w:tr>
    </w:tbl>
    <w:p w:rsidR="00B53159" w:rsidRPr="007B198E" w:rsidRDefault="00B53159">
      <w:pPr>
        <w:rPr>
          <w:b/>
        </w:rPr>
      </w:pPr>
    </w:p>
    <w:p w:rsidR="00B53159" w:rsidRPr="007B198E" w:rsidRDefault="00D57DA0">
      <w:pPr>
        <w:rPr>
          <w:b/>
        </w:rPr>
      </w:pPr>
      <w:r w:rsidRPr="007B198E">
        <w:rPr>
          <w:b/>
        </w:rPr>
        <w:t>Interest Coverage</w:t>
      </w:r>
    </w:p>
    <w:p w:rsidR="00B53159" w:rsidRPr="007B198E" w:rsidRDefault="00D57DA0">
      <w:r w:rsidRPr="007B198E">
        <w:rPr>
          <w:b/>
        </w:rPr>
        <w:t xml:space="preserve">Concept: </w:t>
      </w:r>
      <w:r w:rsidRPr="007B198E">
        <w:t xml:space="preserve">It is initiated for recognising the overall volume of business earning capability depending on which the volume of financial borrowing capital payback capability can be identified. </w:t>
      </w:r>
    </w:p>
    <w:tbl>
      <w:tblPr>
        <w:tblStyle w:val="a9"/>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Formula: “[Profit before interest and tax / Interest charges]”</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2021 =&gt; [1750/ 420] x 100 = 4.17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rPr>
                <w:b/>
              </w:rPr>
            </w:pPr>
            <w:r w:rsidRPr="007B198E">
              <w:rPr>
                <w:b/>
              </w:rPr>
              <w:t xml:space="preserve">For 2020 =&gt; [84/ 445] x 100 = 0.19 </w:t>
            </w:r>
          </w:p>
        </w:tc>
      </w:tr>
      <w:tr w:rsidR="00B53159" w:rsidRPr="007B198E">
        <w:tc>
          <w:tcPr>
            <w:tcW w:w="9026" w:type="dxa"/>
            <w:shd w:val="clear" w:color="auto" w:fill="auto"/>
            <w:tcMar>
              <w:top w:w="100" w:type="dxa"/>
              <w:left w:w="100" w:type="dxa"/>
              <w:bottom w:w="100" w:type="dxa"/>
              <w:right w:w="100" w:type="dxa"/>
            </w:tcMar>
          </w:tcPr>
          <w:p w:rsidR="00B53159" w:rsidRPr="007B198E" w:rsidRDefault="00D57DA0">
            <w:pPr>
              <w:widowControl w:val="0"/>
            </w:pPr>
            <w:r w:rsidRPr="007B198E">
              <w:rPr>
                <w:b/>
              </w:rPr>
              <w:t xml:space="preserve">Interpretation: </w:t>
            </w:r>
            <w:r w:rsidRPr="007B198E">
              <w:t xml:space="preserve">According to the current measuring approach a progressive and sustainable development is generally noticed that </w:t>
            </w:r>
            <w:r w:rsidR="007B198E" w:rsidRPr="007B198E">
              <w:t>indicates in</w:t>
            </w:r>
            <w:r w:rsidRPr="007B198E">
              <w:t xml:space="preserve"> the present situation with the volume of demand expansion the profit volume is supportively expanded which provides a systematic volume of the capability to the business for paying the borrowings charges. However, a proper volume of the market initiative is required for future stability. </w:t>
            </w:r>
          </w:p>
        </w:tc>
      </w:tr>
    </w:tbl>
    <w:p w:rsidR="00B53159" w:rsidRPr="007B198E" w:rsidRDefault="00B53159">
      <w:pPr>
        <w:rPr>
          <w:b/>
        </w:rPr>
      </w:pPr>
    </w:p>
    <w:p w:rsidR="00B53159" w:rsidRPr="007B198E" w:rsidRDefault="00B53159">
      <w:pPr>
        <w:rPr>
          <w:b/>
        </w:rPr>
      </w:pPr>
    </w:p>
    <w:p w:rsidR="00B53159" w:rsidRPr="007B198E" w:rsidRDefault="00D57DA0">
      <w:pPr>
        <w:jc w:val="center"/>
        <w:rPr>
          <w:b/>
        </w:rPr>
      </w:pPr>
      <w:r w:rsidRPr="007B198E">
        <w:rPr>
          <w:b/>
          <w:noProof/>
          <w:lang w:val="en-US" w:eastAsia="en-US"/>
        </w:rPr>
        <w:lastRenderedPageBreak/>
        <w:drawing>
          <wp:inline distT="114300" distB="114300" distL="114300" distR="114300">
            <wp:extent cx="4678326" cy="3030279"/>
            <wp:effectExtent l="0" t="0" r="8255"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78531" cy="3030412"/>
                    </a:xfrm>
                    <a:prstGeom prst="rect">
                      <a:avLst/>
                    </a:prstGeom>
                    <a:ln/>
                  </pic:spPr>
                </pic:pic>
              </a:graphicData>
            </a:graphic>
          </wp:inline>
        </w:drawing>
      </w:r>
    </w:p>
    <w:p w:rsidR="00B53159" w:rsidRPr="007B198E" w:rsidRDefault="00B53159">
      <w:pPr>
        <w:rPr>
          <w:b/>
        </w:rPr>
      </w:pPr>
    </w:p>
    <w:p w:rsidR="00B53159" w:rsidRPr="007B198E" w:rsidRDefault="00D57DA0" w:rsidP="007B198E">
      <w:pPr>
        <w:pStyle w:val="Heading2"/>
      </w:pPr>
      <w:bookmarkStart w:id="4" w:name="_Toc121239635"/>
      <w:r w:rsidRPr="007B198E">
        <w:t>B. Disadvantages of ratio analysis, ratio fluctuation for hotel management</w:t>
      </w:r>
      <w:bookmarkEnd w:id="4"/>
    </w:p>
    <w:p w:rsidR="00B53159" w:rsidRPr="007B198E" w:rsidRDefault="00D57DA0">
      <w:r w:rsidRPr="007B198E">
        <w:t>Application of this measurement is unable to provide any systematic appearances to the short-term business decisions depending on which business progressive measurements can be initiated. It is also recognised that the computation of ratios is unable to provide a proper volume of strategic identification approach with respect to which the volume of business compatibility can be balanced. It is also unable to recognise that time value factor and also does not provide any significance to the measurement of non-financial factor that is equally essential for business identification. It is also unable to provide significance to the market initiatives depending on which the controlling and development initiative related to the product can be balanced (Syahputri</w:t>
      </w:r>
      <w:r w:rsidRPr="007B198E">
        <w:rPr>
          <w:i/>
        </w:rPr>
        <w:t xml:space="preserve"> et al.</w:t>
      </w:r>
      <w:r w:rsidRPr="007B198E">
        <w:t xml:space="preserve">, 2020). </w:t>
      </w:r>
    </w:p>
    <w:p w:rsidR="00B53159" w:rsidRPr="007B198E" w:rsidRDefault="00D57DA0">
      <w:r w:rsidRPr="007B198E">
        <w:t xml:space="preserve">The primary engagement of Hotel Management is used to provide a systematic volume of significance to the accounting formulations related to the market initiatives systematically.  </w:t>
      </w:r>
      <w:r w:rsidR="007B198E" w:rsidRPr="007B198E">
        <w:t>With</w:t>
      </w:r>
      <w:r w:rsidRPr="007B198E">
        <w:t xml:space="preserve"> the support of ratio measurement, a proper volume of market identification as well as some of the significant changes can be recognised which provides a proper opportunity for the management to initiate business supportive strategies. For example</w:t>
      </w:r>
      <w:r w:rsidR="007B198E" w:rsidRPr="007B198E">
        <w:t>; during</w:t>
      </w:r>
      <w:r w:rsidRPr="007B198E">
        <w:t xml:space="preserve"> the pandemic due to market insufficiencies the overall volume of demand significantly declined impacted over hotel business negatively. With recognising financial ratios support a proper fluctuation can be identified depending on which the investors can initiate supportive investment over the business share engagement. Therefore the application of share fluctuation is necessary in order to identify the financial measurement support. </w:t>
      </w:r>
    </w:p>
    <w:p w:rsidR="00B53159" w:rsidRPr="007B198E" w:rsidRDefault="00D57DA0" w:rsidP="007B198E">
      <w:pPr>
        <w:pStyle w:val="Heading2"/>
      </w:pPr>
      <w:bookmarkStart w:id="5" w:name="_Toc121239636"/>
      <w:r w:rsidRPr="007B198E">
        <w:t>C. Importance ratio on business decision-making</w:t>
      </w:r>
      <w:bookmarkEnd w:id="5"/>
    </w:p>
    <w:p w:rsidR="00B53159" w:rsidRPr="007B198E" w:rsidRDefault="00D57DA0">
      <w:pPr>
        <w:rPr>
          <w:b/>
        </w:rPr>
      </w:pPr>
      <w:r w:rsidRPr="007B198E">
        <w:lastRenderedPageBreak/>
        <w:t xml:space="preserve">Application of analysis for individual business provides a systematic volume of opportunity regarding the financial analysis as well as marketing foundation support. With the initiative of ratio analysis, the management can systematically recognise the marketing progress as well as business profitability, liquidity and efficiency processing support in a formulated basis so that the optimum value can be initiated. It also provides an opportunity for market </w:t>
      </w:r>
      <w:r w:rsidR="007B198E" w:rsidRPr="007B198E">
        <w:t>progress including value chain supports</w:t>
      </w:r>
      <w:r w:rsidRPr="007B198E">
        <w:t xml:space="preserve"> as well that is comprehensive in order to manage the performance stability properly. It also provides systematic recognitions about the investment processing support so that the basic requisite value of capital can be balanced.</w:t>
      </w:r>
    </w:p>
    <w:p w:rsidR="00B53159" w:rsidRPr="007B198E" w:rsidRDefault="00D57DA0" w:rsidP="007B198E">
      <w:pPr>
        <w:pStyle w:val="Heading1"/>
      </w:pPr>
      <w:bookmarkStart w:id="6" w:name="_Toc121239637"/>
      <w:r w:rsidRPr="007B198E">
        <w:t>Conclusions</w:t>
      </w:r>
      <w:bookmarkEnd w:id="6"/>
    </w:p>
    <w:p w:rsidR="00B53159" w:rsidRDefault="00D57DA0">
      <w:r w:rsidRPr="007B198E">
        <w:t>The present financial position of this hotel industry is indicating a comparatively developed level position due to the high volume of marketing demand level. In the present situation, the overall volume of business financial volume related to the capital positioning is indicating an optimised structure that is comprehensive in order to manage the stability and progressive performance ability level as well. However</w:t>
      </w:r>
      <w:r w:rsidR="007B198E" w:rsidRPr="007B198E">
        <w:t>, a</w:t>
      </w:r>
      <w:r w:rsidRPr="007B198E">
        <w:t xml:space="preserve"> positive volume of market stability including optimised formulation is required for the progress of future competitive advantages. </w:t>
      </w:r>
    </w:p>
    <w:p w:rsidR="007B198E" w:rsidRDefault="007B198E">
      <w:r>
        <w:br w:type="page"/>
      </w:r>
    </w:p>
    <w:p w:rsidR="007B198E" w:rsidRPr="007B198E" w:rsidRDefault="007B198E" w:rsidP="007B198E">
      <w:pPr>
        <w:pStyle w:val="Heading1"/>
      </w:pPr>
      <w:bookmarkStart w:id="7" w:name="_Toc121239638"/>
      <w:r w:rsidRPr="007B198E">
        <w:lastRenderedPageBreak/>
        <w:t>References</w:t>
      </w:r>
      <w:bookmarkEnd w:id="7"/>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Aggarwal, P. and Garg, S., 2022. Impact of mergers and acquisitions on accounting-based performance of acquiring firms in India. </w:t>
      </w:r>
      <w:r w:rsidRPr="00D4149B">
        <w:rPr>
          <w:i/>
          <w:iCs/>
          <w:color w:val="000000"/>
          <w:lang w:val="en-GB"/>
        </w:rPr>
        <w:t>Global Business Review</w:t>
      </w:r>
      <w:r w:rsidRPr="00D4149B">
        <w:rPr>
          <w:color w:val="000000"/>
          <w:lang w:val="en-GB"/>
        </w:rPr>
        <w:t>, </w:t>
      </w:r>
      <w:r w:rsidRPr="00D4149B">
        <w:rPr>
          <w:i/>
          <w:iCs/>
          <w:color w:val="000000"/>
          <w:lang w:val="en-GB"/>
        </w:rPr>
        <w:t>23</w:t>
      </w:r>
      <w:r w:rsidRPr="00D4149B">
        <w:rPr>
          <w:color w:val="000000"/>
          <w:lang w:val="en-GB"/>
        </w:rPr>
        <w:t>(1), pp.218-236.</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Aini, Q., Anoesyirwan, A. and Ana, Y., 2020. Effect of Cloud Accounting as income statement on Accountant Performance. </w:t>
      </w:r>
      <w:r w:rsidRPr="00D4149B">
        <w:rPr>
          <w:i/>
          <w:iCs/>
          <w:color w:val="000000"/>
          <w:lang w:val="en-GB"/>
        </w:rPr>
        <w:t>Aptisi Transactions On Management (ATM)</w:t>
      </w:r>
      <w:r w:rsidRPr="00D4149B">
        <w:rPr>
          <w:color w:val="000000"/>
          <w:lang w:val="en-GB"/>
        </w:rPr>
        <w:t>, </w:t>
      </w:r>
      <w:r w:rsidRPr="00D4149B">
        <w:rPr>
          <w:i/>
          <w:iCs/>
          <w:color w:val="000000"/>
          <w:lang w:val="en-GB"/>
        </w:rPr>
        <w:t>4</w:t>
      </w:r>
      <w:r w:rsidRPr="00D4149B">
        <w:rPr>
          <w:color w:val="000000"/>
          <w:lang w:val="en-GB"/>
        </w:rPr>
        <w:t>(1), pp.13-21.</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Grossi, G., Vakkuri, J. and Sargiacomo, M., 2021. Accounting, performance and accountability challenges in hybrid organisations: a value creation perspective. </w:t>
      </w:r>
      <w:r w:rsidRPr="00D4149B">
        <w:rPr>
          <w:i/>
          <w:iCs/>
          <w:color w:val="000000"/>
          <w:lang w:val="en-GB"/>
        </w:rPr>
        <w:t>Accounting, Auditing &amp; Accountability Journal</w:t>
      </w:r>
      <w:r w:rsidRPr="00D4149B">
        <w:rPr>
          <w:color w:val="000000"/>
          <w:lang w:val="en-GB"/>
        </w:rPr>
        <w:t>.</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Heino, N., Tuominen, P. and Tuominen, T., 2019. The accounting performance of listed family firms vs. non-family firms: a systematic review of empirical studies. </w:t>
      </w:r>
      <w:r w:rsidRPr="00D4149B">
        <w:rPr>
          <w:i/>
          <w:iCs/>
          <w:color w:val="000000"/>
          <w:lang w:val="en-GB"/>
        </w:rPr>
        <w:t>International Journal of Entrepreneurial Venturing</w:t>
      </w:r>
      <w:r w:rsidRPr="00D4149B">
        <w:rPr>
          <w:color w:val="000000"/>
          <w:lang w:val="en-GB"/>
        </w:rPr>
        <w:t>, </w:t>
      </w:r>
      <w:r w:rsidRPr="00D4149B">
        <w:rPr>
          <w:i/>
          <w:iCs/>
          <w:color w:val="000000"/>
          <w:lang w:val="en-GB"/>
        </w:rPr>
        <w:t>11</w:t>
      </w:r>
      <w:r w:rsidRPr="00D4149B">
        <w:rPr>
          <w:color w:val="000000"/>
          <w:lang w:val="en-GB"/>
        </w:rPr>
        <w:t>(2), pp.103-141.</w:t>
      </w:r>
    </w:p>
    <w:p w:rsidR="007B198E" w:rsidRDefault="007B198E" w:rsidP="007B198E">
      <w:pPr>
        <w:pStyle w:val="NormalWeb"/>
        <w:spacing w:before="0" w:beforeAutospacing="0" w:after="0" w:afterAutospacing="0" w:line="360" w:lineRule="auto"/>
        <w:jc w:val="both"/>
        <w:rPr>
          <w:color w:val="000000"/>
        </w:rPr>
      </w:pPr>
      <w:r>
        <w:rPr>
          <w:color w:val="000000"/>
        </w:rPr>
        <w:t>Macrotrends.net. (2022</w:t>
      </w:r>
      <w:r w:rsidRPr="00644207">
        <w:rPr>
          <w:color w:val="000000"/>
        </w:rPr>
        <w:t>). </w:t>
      </w:r>
      <w:r w:rsidRPr="00644207">
        <w:rPr>
          <w:i/>
          <w:iCs/>
          <w:color w:val="000000"/>
        </w:rPr>
        <w:t>Marriott Income Statement 2009-2022 | MAR</w:t>
      </w:r>
      <w:r w:rsidRPr="00644207">
        <w:rPr>
          <w:color w:val="000000"/>
        </w:rPr>
        <w:t>. [online] Available at: https://www.macrotrends.net/stocks/charts/MAR/marriott/income-s</w:t>
      </w:r>
      <w:r>
        <w:rPr>
          <w:color w:val="000000"/>
        </w:rPr>
        <w:t xml:space="preserve">tatement [Accessed 6 Dec. 2022]. </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Malo-Alain, A., Aldoseri, M. and Melegy, M., 2021.Measuring the effect of international financial reporting standards on quality of accounting performance and efficiency of investment decisions. </w:t>
      </w:r>
      <w:r w:rsidRPr="00D4149B">
        <w:rPr>
          <w:i/>
          <w:iCs/>
          <w:color w:val="000000"/>
          <w:lang w:val="en-GB"/>
        </w:rPr>
        <w:t>Accounting</w:t>
      </w:r>
      <w:r w:rsidRPr="00D4149B">
        <w:rPr>
          <w:color w:val="000000"/>
          <w:lang w:val="en-GB"/>
        </w:rPr>
        <w:t>, </w:t>
      </w:r>
      <w:r w:rsidRPr="00D4149B">
        <w:rPr>
          <w:i/>
          <w:iCs/>
          <w:color w:val="000000"/>
          <w:lang w:val="en-GB"/>
        </w:rPr>
        <w:t>7</w:t>
      </w:r>
      <w:r w:rsidRPr="00D4149B">
        <w:rPr>
          <w:color w:val="000000"/>
          <w:lang w:val="en-GB"/>
        </w:rPr>
        <w:t>(1), pp.249-256.</w:t>
      </w:r>
    </w:p>
    <w:p w:rsidR="007B198E" w:rsidRDefault="007B198E" w:rsidP="007B198E">
      <w:pPr>
        <w:pStyle w:val="NormalWeb"/>
        <w:spacing w:before="0" w:beforeAutospacing="0" w:after="0" w:afterAutospacing="0" w:line="360" w:lineRule="auto"/>
        <w:jc w:val="both"/>
        <w:rPr>
          <w:color w:val="000000"/>
        </w:rPr>
      </w:pPr>
      <w:r w:rsidRPr="00644207">
        <w:rPr>
          <w:color w:val="000000"/>
        </w:rPr>
        <w:t>Marriott International (2019). </w:t>
      </w:r>
      <w:r w:rsidRPr="00644207">
        <w:rPr>
          <w:i/>
          <w:iCs/>
          <w:color w:val="000000"/>
        </w:rPr>
        <w:t>Our Story</w:t>
      </w:r>
      <w:r w:rsidRPr="00644207">
        <w:rPr>
          <w:color w:val="000000"/>
        </w:rPr>
        <w:t xml:space="preserve">. [online] www.marriott.com. Available at: </w:t>
      </w:r>
      <w:hyperlink r:id="rId12" w:history="1">
        <w:r w:rsidRPr="008C66B0">
          <w:rPr>
            <w:rStyle w:val="Hyperlink"/>
          </w:rPr>
          <w:t>https://www.marriott.com/about/culture-and-values/history.mi</w:t>
        </w:r>
      </w:hyperlink>
      <w:r>
        <w:rPr>
          <w:color w:val="000000"/>
        </w:rPr>
        <w:t>. [Accessed 6</w:t>
      </w:r>
      <w:r w:rsidRPr="00644207">
        <w:rPr>
          <w:color w:val="000000"/>
        </w:rPr>
        <w:t xml:space="preserve"> Dec. 2022].</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Ngo, Q.H., 2021. The impact of market orientation on small businesses' performance in Vietnam: The mediating effects of the management accounting system. </w:t>
      </w:r>
      <w:r w:rsidRPr="00D4149B">
        <w:rPr>
          <w:i/>
          <w:iCs/>
          <w:color w:val="000000"/>
          <w:lang w:val="en-GB"/>
        </w:rPr>
        <w:t>Entrepreneurial Business and Economics Review</w:t>
      </w:r>
      <w:r w:rsidRPr="00D4149B">
        <w:rPr>
          <w:color w:val="000000"/>
          <w:lang w:val="en-GB"/>
        </w:rPr>
        <w:t>, </w:t>
      </w:r>
      <w:r w:rsidRPr="00D4149B">
        <w:rPr>
          <w:i/>
          <w:iCs/>
          <w:color w:val="000000"/>
          <w:lang w:val="en-GB"/>
        </w:rPr>
        <w:t>9</w:t>
      </w:r>
      <w:r w:rsidRPr="00D4149B">
        <w:rPr>
          <w:color w:val="000000"/>
          <w:lang w:val="en-GB"/>
        </w:rPr>
        <w:t>(3), pp.59-72.</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Sargiacomo, M. and Walker, S.P., 2020. Disaster governance and hybrid organizations: accounting, performance challenges and evacuee housing. </w:t>
      </w:r>
      <w:r w:rsidRPr="00D4149B">
        <w:rPr>
          <w:i/>
          <w:iCs/>
          <w:color w:val="000000"/>
          <w:lang w:val="en-GB"/>
        </w:rPr>
        <w:t>Accounting, Auditing &amp; Accountability Journal</w:t>
      </w:r>
      <w:r w:rsidRPr="00D4149B">
        <w:rPr>
          <w:color w:val="000000"/>
          <w:lang w:val="en-GB"/>
        </w:rPr>
        <w:t>, </w:t>
      </w:r>
      <w:r w:rsidRPr="00D4149B">
        <w:rPr>
          <w:i/>
          <w:iCs/>
          <w:color w:val="000000"/>
          <w:lang w:val="en-GB"/>
        </w:rPr>
        <w:t>35</w:t>
      </w:r>
      <w:r w:rsidRPr="00D4149B">
        <w:rPr>
          <w:color w:val="000000"/>
          <w:lang w:val="en-GB"/>
        </w:rPr>
        <w:t>(3), pp.887-916.</w:t>
      </w:r>
    </w:p>
    <w:p w:rsidR="007B198E" w:rsidRDefault="007B198E" w:rsidP="007B198E">
      <w:pPr>
        <w:pStyle w:val="NormalWeb"/>
        <w:spacing w:before="0" w:beforeAutospacing="0" w:after="0" w:afterAutospacing="0" w:line="360" w:lineRule="auto"/>
        <w:jc w:val="both"/>
        <w:rPr>
          <w:color w:val="000000"/>
          <w:lang w:val="en-GB"/>
        </w:rPr>
      </w:pPr>
      <w:r w:rsidRPr="00D4149B">
        <w:rPr>
          <w:color w:val="000000"/>
          <w:lang w:val="en-GB"/>
        </w:rPr>
        <w:t>Steccolini, I., Saliterer, I. and Guthrie, J., 2020. The role (s) of accounting and performance measurement systems in contemporary public administration. </w:t>
      </w:r>
      <w:r w:rsidRPr="00D4149B">
        <w:rPr>
          <w:i/>
          <w:iCs/>
          <w:color w:val="000000"/>
          <w:lang w:val="en-GB"/>
        </w:rPr>
        <w:t>Public Administration</w:t>
      </w:r>
      <w:r w:rsidRPr="00D4149B">
        <w:rPr>
          <w:color w:val="000000"/>
          <w:lang w:val="en-GB"/>
        </w:rPr>
        <w:t>, </w:t>
      </w:r>
      <w:r w:rsidRPr="00D4149B">
        <w:rPr>
          <w:i/>
          <w:iCs/>
          <w:color w:val="000000"/>
          <w:lang w:val="en-GB"/>
        </w:rPr>
        <w:t>98</w:t>
      </w:r>
      <w:r w:rsidRPr="00D4149B">
        <w:rPr>
          <w:color w:val="000000"/>
          <w:lang w:val="en-GB"/>
        </w:rPr>
        <w:t>(1), pp.3-13.</w:t>
      </w:r>
    </w:p>
    <w:p w:rsidR="007B198E" w:rsidRPr="007B198E" w:rsidRDefault="007B198E" w:rsidP="007B198E">
      <w:pPr>
        <w:pStyle w:val="NormalWeb"/>
        <w:spacing w:before="0" w:beforeAutospacing="0" w:after="0" w:afterAutospacing="0" w:line="360" w:lineRule="auto"/>
        <w:jc w:val="both"/>
        <w:rPr>
          <w:lang w:val="en-GB"/>
        </w:rPr>
      </w:pPr>
      <w:r w:rsidRPr="00D4149B">
        <w:rPr>
          <w:color w:val="000000"/>
          <w:lang w:val="en-GB"/>
        </w:rPr>
        <w:t>Syahputri, Y., Pribadi, T. and Dalimunthe, H., 2020.The Implementation of Liability Accounting on Managerial Performance in PT. Telkom Tbk, Medan Branch. </w:t>
      </w:r>
      <w:r w:rsidRPr="00D4149B">
        <w:rPr>
          <w:i/>
          <w:iCs/>
          <w:color w:val="000000"/>
          <w:lang w:val="en-GB"/>
        </w:rPr>
        <w:t>Budapest International Research and Critics Institute (BIRCI-Journal): Humanities and Social Sciences</w:t>
      </w:r>
      <w:r w:rsidRPr="00D4149B">
        <w:rPr>
          <w:color w:val="000000"/>
          <w:lang w:val="en-GB"/>
        </w:rPr>
        <w:t>, </w:t>
      </w:r>
      <w:r w:rsidRPr="00D4149B">
        <w:rPr>
          <w:i/>
          <w:iCs/>
          <w:color w:val="000000"/>
          <w:lang w:val="en-GB"/>
        </w:rPr>
        <w:t>3</w:t>
      </w:r>
      <w:r w:rsidRPr="00D4149B">
        <w:rPr>
          <w:color w:val="000000"/>
          <w:lang w:val="en-GB"/>
        </w:rPr>
        <w:t>(3), pp.2395-2402.</w:t>
      </w:r>
    </w:p>
    <w:sectPr w:rsidR="007B198E" w:rsidRPr="007B198E" w:rsidSect="00A20F43">
      <w:footerReference w:type="default" r:id="rId13"/>
      <w:pgSz w:w="11906" w:h="16838"/>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004A" w:rsidRDefault="0094004A" w:rsidP="0041774B">
      <w:pPr>
        <w:spacing w:line="240" w:lineRule="auto"/>
      </w:pPr>
      <w:r>
        <w:separator/>
      </w:r>
    </w:p>
  </w:endnote>
  <w:endnote w:type="continuationSeparator" w:id="1">
    <w:p w:rsidR="0094004A" w:rsidRDefault="0094004A" w:rsidP="0041774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2224906"/>
      <w:docPartObj>
        <w:docPartGallery w:val="Page Numbers (Bottom of Page)"/>
        <w:docPartUnique/>
      </w:docPartObj>
    </w:sdtPr>
    <w:sdtEndPr>
      <w:rPr>
        <w:noProof/>
      </w:rPr>
    </w:sdtEndPr>
    <w:sdtContent>
      <w:p w:rsidR="0041774B" w:rsidRDefault="00A20F43">
        <w:pPr>
          <w:pStyle w:val="Footer"/>
          <w:jc w:val="right"/>
        </w:pPr>
        <w:r>
          <w:fldChar w:fldCharType="begin"/>
        </w:r>
        <w:r w:rsidR="0041774B">
          <w:instrText xml:space="preserve"> PAGE   \* MERGEFORMAT </w:instrText>
        </w:r>
        <w:r>
          <w:fldChar w:fldCharType="separate"/>
        </w:r>
        <w:r w:rsidR="00184DA4">
          <w:rPr>
            <w:noProof/>
          </w:rPr>
          <w:t>7</w:t>
        </w:r>
        <w:r>
          <w:rPr>
            <w:noProof/>
          </w:rPr>
          <w:fldChar w:fldCharType="end"/>
        </w:r>
      </w:p>
    </w:sdtContent>
  </w:sdt>
  <w:p w:rsidR="0041774B" w:rsidRDefault="0041774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004A" w:rsidRDefault="0094004A" w:rsidP="0041774B">
      <w:pPr>
        <w:spacing w:line="240" w:lineRule="auto"/>
      </w:pPr>
      <w:r>
        <w:separator/>
      </w:r>
    </w:p>
  </w:footnote>
  <w:footnote w:type="continuationSeparator" w:id="1">
    <w:p w:rsidR="0094004A" w:rsidRDefault="0094004A" w:rsidP="0041774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B53159"/>
    <w:rsid w:val="00184DA4"/>
    <w:rsid w:val="003D3FE6"/>
    <w:rsid w:val="0041774B"/>
    <w:rsid w:val="007B198E"/>
    <w:rsid w:val="0094004A"/>
    <w:rsid w:val="00A20F43"/>
    <w:rsid w:val="00B42D44"/>
    <w:rsid w:val="00B53159"/>
    <w:rsid w:val="00D57D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20F43"/>
    <w:rPr>
      <w:lang w:val="en-GB"/>
    </w:rPr>
  </w:style>
  <w:style w:type="paragraph" w:styleId="Heading1">
    <w:name w:val="heading 1"/>
    <w:basedOn w:val="Normal"/>
    <w:next w:val="Normal"/>
    <w:rsid w:val="007B198E"/>
    <w:pPr>
      <w:outlineLvl w:val="0"/>
    </w:pPr>
    <w:rPr>
      <w:b/>
    </w:rPr>
  </w:style>
  <w:style w:type="paragraph" w:styleId="Heading2">
    <w:name w:val="heading 2"/>
    <w:basedOn w:val="Normal"/>
    <w:next w:val="Normal"/>
    <w:rsid w:val="007B198E"/>
    <w:pPr>
      <w:outlineLvl w:val="1"/>
    </w:pPr>
    <w:rPr>
      <w:b/>
    </w:rPr>
  </w:style>
  <w:style w:type="paragraph" w:styleId="Heading3">
    <w:name w:val="heading 3"/>
    <w:basedOn w:val="Normal"/>
    <w:next w:val="Normal"/>
    <w:rsid w:val="00A20F43"/>
    <w:pPr>
      <w:keepNext/>
      <w:keepLines/>
      <w:spacing w:before="320" w:after="80"/>
      <w:outlineLvl w:val="2"/>
    </w:pPr>
    <w:rPr>
      <w:color w:val="434343"/>
      <w:sz w:val="28"/>
      <w:szCs w:val="28"/>
    </w:rPr>
  </w:style>
  <w:style w:type="paragraph" w:styleId="Heading4">
    <w:name w:val="heading 4"/>
    <w:basedOn w:val="Normal"/>
    <w:next w:val="Normal"/>
    <w:rsid w:val="00A20F43"/>
    <w:pPr>
      <w:keepNext/>
      <w:keepLines/>
      <w:spacing w:before="280" w:after="80"/>
      <w:outlineLvl w:val="3"/>
    </w:pPr>
    <w:rPr>
      <w:color w:val="666666"/>
    </w:rPr>
  </w:style>
  <w:style w:type="paragraph" w:styleId="Heading5">
    <w:name w:val="heading 5"/>
    <w:basedOn w:val="Normal"/>
    <w:next w:val="Normal"/>
    <w:rsid w:val="00A20F43"/>
    <w:pPr>
      <w:keepNext/>
      <w:keepLines/>
      <w:spacing w:before="240" w:after="80"/>
      <w:outlineLvl w:val="4"/>
    </w:pPr>
    <w:rPr>
      <w:color w:val="666666"/>
      <w:sz w:val="22"/>
      <w:szCs w:val="22"/>
    </w:rPr>
  </w:style>
  <w:style w:type="paragraph" w:styleId="Heading6">
    <w:name w:val="heading 6"/>
    <w:basedOn w:val="Normal"/>
    <w:next w:val="Normal"/>
    <w:rsid w:val="00A20F4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20F43"/>
    <w:pPr>
      <w:keepNext/>
      <w:keepLines/>
      <w:spacing w:after="60"/>
    </w:pPr>
    <w:rPr>
      <w:sz w:val="52"/>
      <w:szCs w:val="52"/>
    </w:rPr>
  </w:style>
  <w:style w:type="paragraph" w:styleId="Subtitle">
    <w:name w:val="Subtitle"/>
    <w:basedOn w:val="Normal"/>
    <w:next w:val="Normal"/>
    <w:rsid w:val="00A20F43"/>
    <w:pPr>
      <w:keepNext/>
      <w:keepLines/>
      <w:spacing w:after="320"/>
    </w:pPr>
    <w:rPr>
      <w:rFonts w:ascii="Arial" w:eastAsia="Arial" w:hAnsi="Arial" w:cs="Arial"/>
      <w:color w:val="666666"/>
      <w:sz w:val="30"/>
      <w:szCs w:val="30"/>
    </w:rPr>
  </w:style>
  <w:style w:type="table" w:customStyle="1" w:styleId="a">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A20F43"/>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A20F4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B19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98E"/>
    <w:rPr>
      <w:rFonts w:ascii="Tahoma" w:hAnsi="Tahoma" w:cs="Tahoma"/>
      <w:sz w:val="16"/>
      <w:szCs w:val="16"/>
      <w:lang w:val="en-GB"/>
    </w:rPr>
  </w:style>
  <w:style w:type="paragraph" w:styleId="NormalWeb">
    <w:name w:val="Normal (Web)"/>
    <w:basedOn w:val="Normal"/>
    <w:uiPriority w:val="99"/>
    <w:unhideWhenUsed/>
    <w:rsid w:val="007B198E"/>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7B198E"/>
    <w:rPr>
      <w:color w:val="0000FF" w:themeColor="hyperlink"/>
      <w:u w:val="single"/>
    </w:rPr>
  </w:style>
  <w:style w:type="paragraph" w:styleId="TOCHeading">
    <w:name w:val="TOC Heading"/>
    <w:basedOn w:val="Heading1"/>
    <w:next w:val="Normal"/>
    <w:uiPriority w:val="39"/>
    <w:semiHidden/>
    <w:unhideWhenUsed/>
    <w:qFormat/>
    <w:rsid w:val="007B198E"/>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B198E"/>
    <w:pPr>
      <w:spacing w:after="100"/>
    </w:pPr>
  </w:style>
  <w:style w:type="paragraph" w:styleId="TOC2">
    <w:name w:val="toc 2"/>
    <w:basedOn w:val="Normal"/>
    <w:next w:val="Normal"/>
    <w:autoRedefine/>
    <w:uiPriority w:val="39"/>
    <w:unhideWhenUsed/>
    <w:rsid w:val="007B198E"/>
    <w:pPr>
      <w:spacing w:after="100"/>
      <w:ind w:left="240"/>
    </w:pPr>
  </w:style>
  <w:style w:type="paragraph" w:styleId="Header">
    <w:name w:val="header"/>
    <w:basedOn w:val="Normal"/>
    <w:link w:val="HeaderChar"/>
    <w:uiPriority w:val="99"/>
    <w:unhideWhenUsed/>
    <w:rsid w:val="0041774B"/>
    <w:pPr>
      <w:tabs>
        <w:tab w:val="center" w:pos="4513"/>
        <w:tab w:val="right" w:pos="9026"/>
      </w:tabs>
      <w:spacing w:line="240" w:lineRule="auto"/>
    </w:pPr>
  </w:style>
  <w:style w:type="character" w:customStyle="1" w:styleId="HeaderChar">
    <w:name w:val="Header Char"/>
    <w:basedOn w:val="DefaultParagraphFont"/>
    <w:link w:val="Header"/>
    <w:uiPriority w:val="99"/>
    <w:rsid w:val="0041774B"/>
    <w:rPr>
      <w:lang w:val="en-GB"/>
    </w:rPr>
  </w:style>
  <w:style w:type="paragraph" w:styleId="Footer">
    <w:name w:val="footer"/>
    <w:basedOn w:val="Normal"/>
    <w:link w:val="FooterChar"/>
    <w:uiPriority w:val="99"/>
    <w:unhideWhenUsed/>
    <w:rsid w:val="0041774B"/>
    <w:pPr>
      <w:tabs>
        <w:tab w:val="center" w:pos="4513"/>
        <w:tab w:val="right" w:pos="9026"/>
      </w:tabs>
      <w:spacing w:line="240" w:lineRule="auto"/>
    </w:pPr>
  </w:style>
  <w:style w:type="character" w:customStyle="1" w:styleId="FooterChar">
    <w:name w:val="Footer Char"/>
    <w:basedOn w:val="DefaultParagraphFont"/>
    <w:link w:val="Footer"/>
    <w:uiPriority w:val="99"/>
    <w:rsid w:val="0041774B"/>
    <w:rPr>
      <w:lang w:val="en-GB"/>
    </w:rPr>
  </w:style>
  <w:style w:type="paragraph" w:styleId="NoSpacing">
    <w:name w:val="No Spacing"/>
    <w:link w:val="NoSpacingChar"/>
    <w:uiPriority w:val="1"/>
    <w:qFormat/>
    <w:rsid w:val="003D3FE6"/>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D3FE6"/>
    <w:rPr>
      <w:rFonts w:asciiTheme="minorHAnsi" w:eastAsiaTheme="minorEastAsia" w:hAnsiTheme="minorHAnsi" w:cstheme="minorBidi"/>
      <w:sz w:val="22"/>
      <w:szCs w:val="22"/>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rsid w:val="007B198E"/>
    <w:pPr>
      <w:outlineLvl w:val="0"/>
    </w:pPr>
    <w:rPr>
      <w:b/>
    </w:rPr>
  </w:style>
  <w:style w:type="paragraph" w:styleId="Heading2">
    <w:name w:val="heading 2"/>
    <w:basedOn w:val="Normal"/>
    <w:next w:val="Normal"/>
    <w:rsid w:val="007B198E"/>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table" w:customStyle="1" w:styleId="a8">
    <w:basedOn w:val="TableNormal"/>
    <w:tblPr>
      <w:tblStyleRowBandSize w:val="1"/>
      <w:tblStyleColBandSize w:val="1"/>
      <w:tblInd w:w="0" w:type="dxa"/>
      <w:tblCellMar>
        <w:top w:w="100" w:type="dxa"/>
        <w:left w:w="100" w:type="dxa"/>
        <w:bottom w:w="100" w:type="dxa"/>
        <w:right w:w="100" w:type="dxa"/>
      </w:tblCellMar>
    </w:tblPr>
  </w:style>
  <w:style w:type="table" w:customStyle="1" w:styleId="a9">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B19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98E"/>
    <w:rPr>
      <w:rFonts w:ascii="Tahoma" w:hAnsi="Tahoma" w:cs="Tahoma"/>
      <w:sz w:val="16"/>
      <w:szCs w:val="16"/>
      <w:lang w:val="en-GB"/>
    </w:rPr>
  </w:style>
  <w:style w:type="paragraph" w:styleId="NormalWeb">
    <w:name w:val="Normal (Web)"/>
    <w:basedOn w:val="Normal"/>
    <w:uiPriority w:val="99"/>
    <w:unhideWhenUsed/>
    <w:rsid w:val="007B198E"/>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7B198E"/>
    <w:rPr>
      <w:color w:val="0000FF" w:themeColor="hyperlink"/>
      <w:u w:val="single"/>
    </w:rPr>
  </w:style>
  <w:style w:type="paragraph" w:styleId="TOCHeading">
    <w:name w:val="TOC Heading"/>
    <w:basedOn w:val="Heading1"/>
    <w:next w:val="Normal"/>
    <w:uiPriority w:val="39"/>
    <w:semiHidden/>
    <w:unhideWhenUsed/>
    <w:qFormat/>
    <w:rsid w:val="007B198E"/>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B198E"/>
    <w:pPr>
      <w:spacing w:after="100"/>
    </w:pPr>
  </w:style>
  <w:style w:type="paragraph" w:styleId="TOC2">
    <w:name w:val="toc 2"/>
    <w:basedOn w:val="Normal"/>
    <w:next w:val="Normal"/>
    <w:autoRedefine/>
    <w:uiPriority w:val="39"/>
    <w:unhideWhenUsed/>
    <w:rsid w:val="007B198E"/>
    <w:pPr>
      <w:spacing w:after="100"/>
      <w:ind w:left="240"/>
    </w:pPr>
  </w:style>
  <w:style w:type="paragraph" w:styleId="Header">
    <w:name w:val="header"/>
    <w:basedOn w:val="Normal"/>
    <w:link w:val="HeaderChar"/>
    <w:uiPriority w:val="99"/>
    <w:unhideWhenUsed/>
    <w:rsid w:val="0041774B"/>
    <w:pPr>
      <w:tabs>
        <w:tab w:val="center" w:pos="4513"/>
        <w:tab w:val="right" w:pos="9026"/>
      </w:tabs>
      <w:spacing w:line="240" w:lineRule="auto"/>
    </w:pPr>
  </w:style>
  <w:style w:type="character" w:customStyle="1" w:styleId="HeaderChar">
    <w:name w:val="Header Char"/>
    <w:basedOn w:val="DefaultParagraphFont"/>
    <w:link w:val="Header"/>
    <w:uiPriority w:val="99"/>
    <w:rsid w:val="0041774B"/>
    <w:rPr>
      <w:lang w:val="en-GB"/>
    </w:rPr>
  </w:style>
  <w:style w:type="paragraph" w:styleId="Footer">
    <w:name w:val="footer"/>
    <w:basedOn w:val="Normal"/>
    <w:link w:val="FooterChar"/>
    <w:uiPriority w:val="99"/>
    <w:unhideWhenUsed/>
    <w:rsid w:val="0041774B"/>
    <w:pPr>
      <w:tabs>
        <w:tab w:val="center" w:pos="4513"/>
        <w:tab w:val="right" w:pos="9026"/>
      </w:tabs>
      <w:spacing w:line="240" w:lineRule="auto"/>
    </w:pPr>
  </w:style>
  <w:style w:type="character" w:customStyle="1" w:styleId="FooterChar">
    <w:name w:val="Footer Char"/>
    <w:basedOn w:val="DefaultParagraphFont"/>
    <w:link w:val="Footer"/>
    <w:uiPriority w:val="99"/>
    <w:rsid w:val="0041774B"/>
    <w:rPr>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rriott.com/about/culture-and-values/history.mi" TargetMode="External"/><Relationship Id="rId17" Type="http://schemas.microsoft.com/office/2007/relationships/stylesWithEffects" Target="stylesWithEffect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AAEB57EA3184680A522D319D1E64FF0"/>
        <w:category>
          <w:name w:val="General"/>
          <w:gallery w:val="placeholder"/>
        </w:category>
        <w:types>
          <w:type w:val="bbPlcHdr"/>
        </w:types>
        <w:behaviors>
          <w:behavior w:val="content"/>
        </w:behaviors>
        <w:guid w:val="{82B86A40-D56B-4D82-A1C7-6416CBDE787C}"/>
      </w:docPartPr>
      <w:docPartBody>
        <w:p w:rsidR="00000000" w:rsidRDefault="00D61751" w:rsidP="00D61751">
          <w:pPr>
            <w:pStyle w:val="2AAEB57EA3184680A522D319D1E64FF0"/>
          </w:pPr>
          <w:r>
            <w:rPr>
              <w:rFonts w:asciiTheme="majorHAnsi" w:eastAsiaTheme="majorEastAsia" w:hAnsiTheme="majorHAnsi" w:cstheme="majorBidi"/>
              <w:caps/>
              <w:color w:val="4F81BD" w:themeColor="accent1"/>
              <w:sz w:val="80"/>
              <w:szCs w:val="80"/>
            </w:rPr>
            <w:t>[Document title]</w:t>
          </w:r>
        </w:p>
      </w:docPartBody>
    </w:docPart>
    <w:docPart>
      <w:docPartPr>
        <w:name w:val="6B627888338049779C2F24F65D295EEA"/>
        <w:category>
          <w:name w:val="General"/>
          <w:gallery w:val="placeholder"/>
        </w:category>
        <w:types>
          <w:type w:val="bbPlcHdr"/>
        </w:types>
        <w:behaviors>
          <w:behavior w:val="content"/>
        </w:behaviors>
        <w:guid w:val="{D47B7B71-0BB5-4836-9F02-ED2651D1EF28}"/>
      </w:docPartPr>
      <w:docPartBody>
        <w:p w:rsidR="00000000" w:rsidRDefault="00D61751" w:rsidP="00D61751">
          <w:pPr>
            <w:pStyle w:val="6B627888338049779C2F24F65D295EEA"/>
          </w:pPr>
          <w:r>
            <w:rPr>
              <w:color w:val="4F81BD" w:themeColor="accent1"/>
              <w:sz w:val="28"/>
              <w:szCs w:val="28"/>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61751"/>
    <w:rsid w:val="0015556E"/>
    <w:rsid w:val="00D6175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692FAE296B449C863091FA9A3DA037">
    <w:name w:val="3D692FAE296B449C863091FA9A3DA037"/>
    <w:rsid w:val="00D61751"/>
  </w:style>
  <w:style w:type="paragraph" w:customStyle="1" w:styleId="A01F9449D604495DB0D010059458E146">
    <w:name w:val="A01F9449D604495DB0D010059458E146"/>
    <w:rsid w:val="00D61751"/>
  </w:style>
  <w:style w:type="paragraph" w:customStyle="1" w:styleId="61A2E8FB5AC6434FA1B43B7CD43A191D">
    <w:name w:val="61A2E8FB5AC6434FA1B43B7CD43A191D"/>
    <w:rsid w:val="00D61751"/>
  </w:style>
  <w:style w:type="paragraph" w:customStyle="1" w:styleId="9D0A1EC5C07247E2B967D114D54FA083">
    <w:name w:val="9D0A1EC5C07247E2B967D114D54FA083"/>
    <w:rsid w:val="00D61751"/>
  </w:style>
  <w:style w:type="paragraph" w:customStyle="1" w:styleId="2AAEB57EA3184680A522D319D1E64FF0">
    <w:name w:val="2AAEB57EA3184680A522D319D1E64FF0"/>
    <w:rsid w:val="00D61751"/>
  </w:style>
  <w:style w:type="paragraph" w:customStyle="1" w:styleId="6B627888338049779C2F24F65D295EEA">
    <w:name w:val="6B627888338049779C2F24F65D295EEA"/>
    <w:rsid w:val="00D6175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01B2DB-31FD-4D99-94BB-6F2C146AC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2634</Words>
  <Characters>15016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Mariott international inc</dc:title>
  <dc:subject>Financial statement</dc:subject>
  <dc:creator>Utilizator</dc:creator>
  <cp:lastModifiedBy>Utilizator</cp:lastModifiedBy>
  <cp:revision>2</cp:revision>
  <dcterms:created xsi:type="dcterms:W3CDTF">2022-12-09T22:29:00Z</dcterms:created>
  <dcterms:modified xsi:type="dcterms:W3CDTF">2022-12-09T22:29:00Z</dcterms:modified>
</cp:coreProperties>
</file>