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lang w:bidi="bn-IN"/>
        </w:rPr>
        <w:t>Planning and Delivering an International Meeting/Event</w:t>
        <w:br/>
        <w:t>Module: International Meetings Management (BMIH6007)</w:t>
        <w:br/>
        <w:t>Event: Welsh Coastal Heritage &amp; Arts Expo</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pPr>
      <w:r>
        <w:rPr>
          <w:lang w:val="en-US"/>
        </w:rPr>
        <w:t xml:space="preserve">Student name: </w:t>
      </w:r>
      <w:r>
        <w:rPr>
          <w:lang w:val="en-US"/>
        </w:rPr>
        <w:t>Teohar Nicoleta Valentina</w:t>
      </w:r>
    </w:p>
    <w:p>
      <w:pPr>
        <w:pStyle w:val="Normal"/>
        <w:rPr/>
      </w:pPr>
      <w:r>
        <w:rPr>
          <w:lang w:val="en-US"/>
        </w:rPr>
        <w:t xml:space="preserve">Student ID: </w:t>
      </w:r>
      <w:r>
        <w:rPr>
          <w:lang w:val="en-US"/>
        </w:rPr>
        <w:t>1918827</w:t>
      </w:r>
    </w:p>
    <w:p>
      <w:pPr>
        <w:pStyle w:val="Normal"/>
        <w:rPr>
          <w:lang w:val="en-US"/>
        </w:rPr>
      </w:pPr>
      <w:r>
        <w:rPr>
          <w:lang w:val="en-US"/>
        </w:rPr>
      </w:r>
    </w:p>
    <w:p>
      <w:pPr>
        <w:pStyle w:val="Normal"/>
        <w:spacing w:lineRule="auto" w:line="259"/>
        <w:jc w:val="left"/>
        <w:rPr>
          <w:lang w:val="en-US"/>
        </w:rPr>
      </w:pPr>
      <w:r>
        <w:rPr>
          <w:lang w:val="en-US"/>
        </w:rPr>
      </w:r>
    </w:p>
    <w:sdt>
      <w:sdtPr>
        <w:docPartObj>
          <w:docPartGallery w:val="Table of Contents"/>
          <w:docPartUnique w:val="true"/>
        </w:docPartObj>
      </w:sdtPr>
      <w:sdtContent>
        <w:p>
          <w:pPr>
            <w:pStyle w:val="TOCHeading"/>
            <w:jc w:val="center"/>
            <w:rPr>
              <w:rFonts w:ascii="Arial" w:hAnsi="Arial" w:cs="Arial"/>
              <w:b/>
              <w:b/>
            </w:rPr>
          </w:pPr>
          <w:r>
            <w:rPr>
              <w:rFonts w:cs="Arial" w:ascii="Arial" w:hAnsi="Arial"/>
              <w:b/>
            </w:rPr>
            <w:t>Table of Contents</w:t>
          </w:r>
        </w:p>
        <w:p>
          <w:pPr>
            <w:pStyle w:val="Contents1"/>
            <w:tabs>
              <w:tab w:val="clear" w:pos="720"/>
              <w:tab w:val="right" w:pos="9016" w:leader="dot"/>
            </w:tabs>
            <w:rPr>
              <w:rFonts w:ascii="Aptos" w:hAnsi="Aptos" w:eastAsia="" w:asciiTheme="minorHAnsi" w:eastAsiaTheme="minorEastAsia" w:hAnsiTheme="minorHAnsi"/>
              <w:sz w:val="22"/>
              <w:lang w:val="en-US"/>
            </w:rPr>
          </w:pPr>
          <w:r>
            <w:fldChar w:fldCharType="begin"/>
          </w:r>
          <w:r>
            <w:rPr>
              <w:webHidden/>
              <w:rStyle w:val="IndexLink"/>
              <w:rFonts w:eastAsia="Times New Roman"/>
            </w:rPr>
            <w:instrText> TOC \z \o "1-3" \u \h</w:instrText>
          </w:r>
          <w:r>
            <w:rPr>
              <w:webHidden/>
              <w:rStyle w:val="IndexLink"/>
              <w:rFonts w:eastAsia="Times New Roman"/>
            </w:rPr>
            <w:fldChar w:fldCharType="separate"/>
          </w:r>
          <w:hyperlink w:anchor="_Toc200638993">
            <w:r>
              <w:rPr>
                <w:webHidden/>
                <w:rStyle w:val="IndexLink"/>
                <w:rFonts w:eastAsia="Times New Roman"/>
                <w:lang w:bidi="bn-IN"/>
              </w:rPr>
              <w:t>Introduction</w:t>
            </w:r>
            <w:r>
              <w:rPr>
                <w:webHidden/>
              </w:rPr>
              <w:fldChar w:fldCharType="begin"/>
            </w:r>
            <w:r>
              <w:rPr>
                <w:webHidden/>
              </w:rPr>
              <w:instrText>PAGEREF _Toc200638993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8994">
            <w:r>
              <w:rPr>
                <w:webHidden/>
                <w:rStyle w:val="IndexLink"/>
                <w:rFonts w:eastAsia="Times New Roman"/>
                <w:lang w:bidi="bn-IN"/>
              </w:rPr>
              <w:t>The Event Cycle</w:t>
            </w:r>
            <w:r>
              <w:rPr>
                <w:webHidden/>
              </w:rPr>
              <w:fldChar w:fldCharType="begin"/>
            </w:r>
            <w:r>
              <w:rPr>
                <w:webHidden/>
              </w:rPr>
              <w:instrText>PAGEREF _Toc200638994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8995">
            <w:r>
              <w:rPr>
                <w:webHidden/>
                <w:rStyle w:val="IndexLink"/>
                <w:rFonts w:eastAsia="Times New Roman"/>
                <w:lang w:bidi="bn-IN"/>
              </w:rPr>
              <w:t>Event Concept</w:t>
            </w:r>
            <w:r>
              <w:rPr>
                <w:webHidden/>
              </w:rPr>
              <w:fldChar w:fldCharType="begin"/>
            </w:r>
            <w:r>
              <w:rPr>
                <w:webHidden/>
              </w:rPr>
              <w:instrText>PAGEREF _Toc200638995 \h</w:instrText>
            </w:r>
            <w:r>
              <w:rPr>
                <w:webHidden/>
              </w:rPr>
              <w:fldChar w:fldCharType="separate"/>
            </w:r>
            <w:r>
              <w:rPr>
                <w:rStyle w:val="IndexLink"/>
                <w:vanish w:val="false"/>
              </w:rPr>
              <w:tab/>
              <w:t>6</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8996">
            <w:r>
              <w:rPr>
                <w:webHidden/>
                <w:rStyle w:val="IndexLink"/>
                <w:rFonts w:eastAsia="Times New Roman"/>
                <w:lang w:bidi="bn-IN"/>
              </w:rPr>
              <w:t>Aim and SMART Objectives</w:t>
            </w:r>
            <w:r>
              <w:rPr>
                <w:webHidden/>
              </w:rPr>
              <w:fldChar w:fldCharType="begin"/>
            </w:r>
            <w:r>
              <w:rPr>
                <w:webHidden/>
              </w:rPr>
              <w:instrText>PAGEREF _Toc200638996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8997">
            <w:r>
              <w:rPr>
                <w:webHidden/>
                <w:rStyle w:val="IndexLink"/>
                <w:rFonts w:eastAsia="Times New Roman"/>
                <w:lang w:bidi="bn-IN"/>
              </w:rPr>
              <w:t>Event Management</w:t>
            </w:r>
            <w:r>
              <w:rPr>
                <w:webHidden/>
              </w:rPr>
              <w:fldChar w:fldCharType="begin"/>
            </w:r>
            <w:r>
              <w:rPr>
                <w:webHidden/>
              </w:rPr>
              <w:instrText>PAGEREF _Toc200638997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8998">
            <w:r>
              <w:rPr>
                <w:webHidden/>
                <w:rStyle w:val="IndexLink"/>
                <w:rFonts w:eastAsia="Times New Roman"/>
                <w:lang w:bidi="bn-IN"/>
              </w:rPr>
              <w:t>Event Budget</w:t>
            </w:r>
            <w:r>
              <w:rPr>
                <w:webHidden/>
              </w:rPr>
              <w:fldChar w:fldCharType="begin"/>
            </w:r>
            <w:r>
              <w:rPr>
                <w:webHidden/>
              </w:rPr>
              <w:instrText>PAGEREF _Toc200638998 \h</w:instrText>
            </w:r>
            <w:r>
              <w:rPr>
                <w:webHidden/>
              </w:rPr>
              <w:fldChar w:fldCharType="separate"/>
            </w:r>
            <w:r>
              <w:rPr>
                <w:rStyle w:val="IndexLink"/>
                <w:vanish w:val="false"/>
              </w:rPr>
              <w:tab/>
              <w:t>10</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8999">
            <w:r>
              <w:rPr>
                <w:webHidden/>
                <w:rStyle w:val="IndexLink"/>
                <w:rFonts w:eastAsia="Times New Roman"/>
                <w:lang w:bidi="bn-IN"/>
              </w:rPr>
              <w:t>Industry Trends / Issues / Impacts</w:t>
            </w:r>
            <w:r>
              <w:rPr>
                <w:webHidden/>
              </w:rPr>
              <w:fldChar w:fldCharType="begin"/>
            </w:r>
            <w:r>
              <w:rPr>
                <w:webHidden/>
              </w:rPr>
              <w:instrText>PAGEREF _Toc200638999 \h</w:instrText>
            </w:r>
            <w:r>
              <w:rPr>
                <w:webHidden/>
              </w:rPr>
              <w:fldChar w:fldCharType="separate"/>
            </w:r>
            <w:r>
              <w:rPr>
                <w:rStyle w:val="IndexLink"/>
                <w:vanish w:val="false"/>
              </w:rPr>
              <w:tab/>
              <w:t>12</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9000">
            <w:r>
              <w:rPr>
                <w:webHidden/>
                <w:rStyle w:val="IndexLink"/>
              </w:rPr>
              <w:t>Situational and Cultural Considerations</w:t>
            </w:r>
            <w:r>
              <w:rPr>
                <w:webHidden/>
              </w:rPr>
              <w:fldChar w:fldCharType="begin"/>
            </w:r>
            <w:r>
              <w:rPr>
                <w:webHidden/>
              </w:rPr>
              <w:instrText>PAGEREF _Toc200639000 \h</w:instrText>
            </w:r>
            <w:r>
              <w:rPr>
                <w:webHidden/>
              </w:rPr>
              <w:fldChar w:fldCharType="separate"/>
            </w:r>
            <w:r>
              <w:rPr>
                <w:rStyle w:val="IndexLink"/>
                <w:vanish w:val="false"/>
              </w:rPr>
              <w:tab/>
              <w:t>14</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9001">
            <w:r>
              <w:rPr>
                <w:webHidden/>
                <w:rStyle w:val="IndexLink"/>
                <w:lang w:val="en-US" w:bidi="bn-IN"/>
              </w:rPr>
              <w:t>Conclusion</w:t>
            </w:r>
            <w:r>
              <w:rPr>
                <w:webHidden/>
              </w:rPr>
              <w:fldChar w:fldCharType="begin"/>
            </w:r>
            <w:r>
              <w:rPr>
                <w:webHidden/>
              </w:rPr>
              <w:instrText>PAGEREF _Toc200639001 \h</w:instrText>
            </w:r>
            <w:r>
              <w:rPr>
                <w:webHidden/>
              </w:rPr>
              <w:fldChar w:fldCharType="separate"/>
            </w:r>
            <w:r>
              <w:rPr>
                <w:rStyle w:val="IndexLink"/>
                <w:vanish w:val="false"/>
              </w:rPr>
              <w:tab/>
              <w:t>15</w:t>
            </w:r>
            <w:r>
              <w:rPr>
                <w:webHidden/>
              </w:rPr>
              <w:fldChar w:fldCharType="end"/>
            </w:r>
          </w:hyperlink>
        </w:p>
        <w:p>
          <w:pPr>
            <w:pStyle w:val="Contents1"/>
            <w:tabs>
              <w:tab w:val="clear" w:pos="720"/>
              <w:tab w:val="right" w:pos="9016" w:leader="dot"/>
            </w:tabs>
            <w:rPr>
              <w:rFonts w:ascii="Aptos" w:hAnsi="Aptos" w:eastAsia="" w:asciiTheme="minorHAnsi" w:eastAsiaTheme="minorEastAsia" w:hAnsiTheme="minorHAnsi"/>
              <w:sz w:val="22"/>
              <w:lang w:val="en-US"/>
            </w:rPr>
          </w:pPr>
          <w:hyperlink w:anchor="_Toc200639002">
            <w:r>
              <w:rPr>
                <w:webHidden/>
                <w:rStyle w:val="IndexLink"/>
                <w:lang w:val="en-US" w:bidi="bn-IN"/>
              </w:rPr>
              <w:t>References</w:t>
            </w:r>
            <w:r>
              <w:rPr>
                <w:webHidden/>
              </w:rPr>
              <w:fldChar w:fldCharType="begin"/>
            </w:r>
            <w:r>
              <w:rPr>
                <w:webHidden/>
              </w:rPr>
              <w:instrText>PAGEREF _Toc200639002 \h</w:instrText>
            </w:r>
            <w:r>
              <w:rPr>
                <w:webHidden/>
              </w:rPr>
              <w:fldChar w:fldCharType="separate"/>
            </w:r>
            <w:r>
              <w:rPr>
                <w:rStyle w:val="IndexLink"/>
                <w:vanish w:val="false"/>
              </w:rPr>
              <w:tab/>
              <w:t>16</w:t>
            </w:r>
            <w:r>
              <w:rPr>
                <w:webHidden/>
              </w:rPr>
              <w:fldChar w:fldCharType="end"/>
            </w:r>
          </w:hyperlink>
        </w:p>
        <w:p>
          <w:pPr>
            <w:pStyle w:val="Normal"/>
            <w:rPr/>
          </w:pPr>
          <w:r>
            <w:rPr/>
          </w:r>
          <w:r>
            <w:rPr/>
            <w:fldChar w:fldCharType="end"/>
          </w:r>
        </w:p>
      </w:sdtContent>
    </w:sdt>
    <w:p>
      <w:pPr>
        <w:pStyle w:val="Normal"/>
        <w:rPr>
          <w:lang w:val="en-US"/>
        </w:rPr>
      </w:pPr>
      <w:r>
        <w:rPr>
          <w:lang w:val="en-US"/>
        </w:rPr>
      </w:r>
    </w:p>
    <w:p>
      <w:pPr>
        <w:pStyle w:val="Normal"/>
        <w:rPr/>
      </w:pPr>
      <w:r>
        <w:rPr/>
      </w:r>
    </w:p>
    <w:p>
      <w:pPr>
        <w:pStyle w:val="Normal"/>
        <w:spacing w:lineRule="auto" w:line="259"/>
        <w:jc w:val="left"/>
        <w:rPr/>
      </w:pPr>
      <w:r>
        <w:rPr/>
      </w:r>
      <w:r>
        <w:br w:type="page"/>
      </w:r>
    </w:p>
    <w:p>
      <w:pPr>
        <w:pStyle w:val="Heading1"/>
        <w:rPr>
          <w:rFonts w:eastAsia="Times New Roman"/>
          <w:lang w:bidi="bn-IN"/>
        </w:rPr>
      </w:pPr>
      <w:bookmarkStart w:id="0" w:name="_Toc200638993"/>
      <w:r>
        <w:rPr>
          <w:rFonts w:eastAsia="Times New Roman"/>
          <w:lang w:bidi="bn-IN"/>
        </w:rPr>
        <w:t>Introduction</w:t>
      </w:r>
      <w:bookmarkEnd w:id="0"/>
    </w:p>
    <w:p>
      <w:pPr>
        <w:pStyle w:val="Normal"/>
        <w:rPr>
          <w:lang w:val="en-US" w:bidi="bn-IN"/>
        </w:rPr>
      </w:pPr>
      <w:r>
        <w:rPr>
          <w:lang w:val="en-US" w:bidi="bn-IN"/>
        </w:rPr>
        <w:t>The Welsh Coastal Heritage &amp; Arts Expo will be a three-day international cultural extravaganza meant to promote the Visit Wales 2025 campaign of the year of Croeso (Welcome). Located in the picturesque Welsh town of New Quay, the event will celebrate the distinct sense of place in the nation by using interactive arts, heritage activities and eco-tourism. It provides a platform where visitors can experience the Welsh traditions, language, food, and the beauty of the coastal areas in a meaningful and sustainable form of interaction. The event aims to meet the needs of international tourists, who want to get an authentic cultural experience and showcase Wales as a destination that takes responsible tourism seriously (Wales Gov, 2024). The current report is based on the feasibility study that was reported earlier, with the emphasis on strategic planning and delivery. Based on event management models and event industry trends, it discusses what logistics, budgeting, marketing, and risk factors have to be considered to make the event successful. The aim is to introduce the detailed strategic plan, which will correspond with the expectations of visitors and the national tourism goals.</w:t>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Heading1"/>
        <w:rPr>
          <w:rFonts w:eastAsia="Times New Roman"/>
          <w:lang w:bidi="bn-IN"/>
        </w:rPr>
      </w:pPr>
      <w:bookmarkStart w:id="1" w:name="_Toc200638994"/>
      <w:r>
        <w:rPr>
          <w:rFonts w:eastAsia="Times New Roman"/>
          <w:lang w:bidi="bn-IN"/>
        </w:rPr>
        <w:t>The Event Cycle</w:t>
      </w:r>
      <w:bookmarkEnd w:id="1"/>
    </w:p>
    <w:p>
      <w:pPr>
        <w:pStyle w:val="Normal"/>
        <w:rPr>
          <w:lang w:val="en-US" w:bidi="bn-IN"/>
        </w:rPr>
      </w:pPr>
      <w:r>
        <w:rPr>
          <w:lang w:val="en-US" w:bidi="bn-IN"/>
        </w:rPr>
        <w:t>The Event Management Body of Knowledge (EMBOK) model will be used to ensure that there is proper planning and delivery of the Welsh Coastal Heritage &amp; Arts Expo. EMBOK outlines five domains, Administration, Design, Marketing, Operations and Risk, that assist event professionals in handling complex events through conceptualisation to completion (EMBOK, 2022).These areas play a crucial role in creating a methodical way of approaching the event evolution, particularly when dealing with the cultural integrity, experience of international visitors and realities of operation.</w:t>
      </w:r>
    </w:p>
    <w:p>
      <w:pPr>
        <w:pStyle w:val="Normal"/>
        <w:rPr>
          <w:b/>
          <w:b/>
          <w:i/>
          <w:i/>
          <w:iCs/>
          <w:lang w:val="en-US" w:bidi="bn-IN"/>
        </w:rPr>
      </w:pPr>
      <w:r>
        <w:rPr>
          <w:b/>
          <w:i/>
          <w:iCs/>
          <w:lang w:val="en-US" w:bidi="bn-IN"/>
        </w:rPr>
        <w:t>Initiation Phase:</w:t>
      </w:r>
    </w:p>
    <w:p>
      <w:pPr>
        <w:pStyle w:val="Normal"/>
        <w:rPr>
          <w:lang w:val="en-US" w:bidi="bn-IN"/>
        </w:rPr>
      </w:pPr>
      <w:r>
        <w:rPr>
          <w:lang w:val="en-US" w:bidi="bn-IN"/>
        </w:rPr>
        <w:t>These consist of event ideation, involvement of stakeholders, and aligning the concept with the Year of Croeso 2025 by Visit Wales. The Expo will be aligned to play a role in the cultural tourism and sustainable economic growth of New Quay.</w:t>
      </w:r>
    </w:p>
    <w:p>
      <w:pPr>
        <w:pStyle w:val="Normal"/>
        <w:rPr>
          <w:b/>
          <w:b/>
          <w:i/>
          <w:i/>
          <w:iCs/>
          <w:lang w:val="en-US" w:bidi="bn-IN"/>
        </w:rPr>
      </w:pPr>
      <w:r>
        <w:rPr>
          <w:b/>
          <w:i/>
          <w:iCs/>
          <w:lang w:val="en-US" w:bidi="bn-IN"/>
        </w:rPr>
        <w:t>Planning Phase:</w:t>
      </w:r>
    </w:p>
    <w:p>
      <w:pPr>
        <w:pStyle w:val="Normal"/>
        <w:rPr>
          <w:lang w:val="en-US" w:bidi="bn-IN"/>
        </w:rPr>
      </w:pPr>
      <w:r>
        <w:rPr>
          <w:lang w:val="en-US" w:bidi="bn-IN"/>
        </w:rPr>
        <w:t>The main operations involved during this stage are the site selection, development of itineraries, budget, marketing, health and safety planning, as well as environmental impact assessment (Erick T. Byrd, 2021). Particular designs should be made concerning the venue arrangements (seafront, beaches, Memorial Hall), the assignment of volunteers, the organisation of vendors, and weather backup plans.</w:t>
      </w:r>
    </w:p>
    <w:p>
      <w:pPr>
        <w:pStyle w:val="Normal"/>
        <w:rPr>
          <w:b/>
          <w:b/>
          <w:i/>
          <w:i/>
          <w:iCs/>
          <w:lang w:val="en-US" w:bidi="bn-IN"/>
        </w:rPr>
      </w:pPr>
      <w:r>
        <w:rPr>
          <w:b/>
          <w:i/>
          <w:iCs/>
          <w:lang w:val="en-US" w:bidi="bn-IN"/>
        </w:rPr>
        <w:t>Implementation Phase:</w:t>
      </w:r>
    </w:p>
    <w:p>
      <w:pPr>
        <w:pStyle w:val="Normal"/>
        <w:rPr>
          <w:lang w:val="en-US" w:bidi="bn-IN"/>
        </w:rPr>
      </w:pPr>
      <w:r>
        <w:rPr>
          <w:lang w:val="en-US" w:bidi="bn-IN"/>
        </w:rPr>
        <w:t>Executing requires managing the logistics, installing temporary infrastructure (e.g. performance stages and workshop tents), registration, distribution of marketing content on various platforms and preparing vendors and performers. It is also where staff are trained and volunteers briefed (Edgell et al., 2018).</w:t>
      </w:r>
    </w:p>
    <w:p>
      <w:pPr>
        <w:pStyle w:val="Normal"/>
        <w:rPr>
          <w:b/>
          <w:b/>
          <w:i/>
          <w:i/>
          <w:iCs/>
          <w:lang w:val="en-US" w:bidi="bn-IN"/>
        </w:rPr>
      </w:pPr>
      <w:r>
        <w:rPr>
          <w:b/>
          <w:i/>
          <w:iCs/>
          <w:lang w:val="en-US" w:bidi="bn-IN"/>
        </w:rPr>
        <w:t>Delivery Phase:</w:t>
      </w:r>
    </w:p>
    <w:p>
      <w:pPr>
        <w:pStyle w:val="Normal"/>
        <w:rPr>
          <w:lang w:val="en-US" w:bidi="bn-IN"/>
        </w:rPr>
      </w:pPr>
      <w:r>
        <w:rPr>
          <w:lang w:val="en-US" w:bidi="bn-IN"/>
        </w:rPr>
        <w:t>The event is to be presented within three days, with real-time management across the locations, monitoring of the program direction, audience interaction and continuous troubleshooting. Effective communication among staff, volunteers and the emergency services is key to a successful implementation (Erick T. Byrd, 2021).</w:t>
      </w:r>
    </w:p>
    <w:p>
      <w:pPr>
        <w:pStyle w:val="Normal"/>
        <w:rPr>
          <w:lang w:val="en-US" w:bidi="bn-IN"/>
        </w:rPr>
      </w:pPr>
      <w:r>
        <w:rPr>
          <w:lang w:val="en-US" w:bidi="bn-IN"/>
        </w:rPr>
      </w:r>
    </w:p>
    <w:p>
      <w:pPr>
        <w:pStyle w:val="Normal"/>
        <w:rPr>
          <w:b/>
          <w:b/>
          <w:i/>
          <w:i/>
          <w:iCs/>
          <w:lang w:val="en-US" w:bidi="bn-IN"/>
        </w:rPr>
      </w:pPr>
      <w:r>
        <w:rPr>
          <w:b/>
          <w:i/>
          <w:iCs/>
          <w:lang w:val="en-US" w:bidi="bn-IN"/>
        </w:rPr>
        <w:t>Evaluation Phase:</w:t>
      </w:r>
    </w:p>
    <w:p>
      <w:pPr>
        <w:pStyle w:val="Normal"/>
        <w:rPr>
          <w:lang w:val="en-US" w:bidi="bn-IN"/>
        </w:rPr>
      </w:pPr>
      <w:r>
        <w:rPr>
          <w:lang w:val="en-US" w:bidi="bn-IN"/>
        </w:rPr>
        <w:t>It is important to evaluate the post-event to measure success by objectives. These are surveys on visitor satisfaction, financial performance, media coverage and stakeholder responses. What will be learned will be applied to future editions or the expansion of the event (Biddle and Montigaud-Green, 2020).</w:t>
      </w:r>
    </w:p>
    <w:p>
      <w:pPr>
        <w:pStyle w:val="Normal"/>
        <w:rPr>
          <w:lang w:val="en-US" w:bidi="bn-IN"/>
        </w:rPr>
      </w:pPr>
      <w:r>
        <w:rPr>
          <w:lang w:val="en-US" w:bidi="bn-IN"/>
        </w:rPr>
        <w:t>Application of the EMBOK model would provide a strategic, structured, and professional approach to the delivery of the Welsh Coastal Heritage &amp; Arts Expo and meets the standards required by the industry and improves the experience of the visitors due to the attention given to detail with regards to planning and proper management of resources.</w:t>
      </w:r>
    </w:p>
    <w:p>
      <w:pPr>
        <w:pStyle w:val="Normal"/>
        <w:spacing w:lineRule="auto" w:line="259"/>
        <w:jc w:val="left"/>
        <w:rPr>
          <w:lang w:val="en-US" w:bidi="bn-IN"/>
        </w:rPr>
      </w:pPr>
      <w:r>
        <w:rPr>
          <w:lang w:val="en-US" w:bidi="bn-IN"/>
        </w:rPr>
      </w:r>
      <w:r>
        <w:br w:type="page"/>
      </w:r>
    </w:p>
    <w:p>
      <w:pPr>
        <w:pStyle w:val="Heading1"/>
        <w:rPr>
          <w:rFonts w:eastAsia="Times New Roman"/>
          <w:lang w:bidi="bn-IN"/>
        </w:rPr>
      </w:pPr>
      <w:bookmarkStart w:id="2" w:name="_Toc200638995"/>
      <w:r>
        <w:rPr>
          <w:rFonts w:eastAsia="Times New Roman"/>
          <w:lang w:bidi="bn-IN"/>
        </w:rPr>
        <w:t>Event Concept</w:t>
      </w:r>
      <w:bookmarkEnd w:id="2"/>
    </w:p>
    <w:p>
      <w:pPr>
        <w:pStyle w:val="Normal"/>
        <w:rPr>
          <w:lang w:val="en-US" w:bidi="bn-IN"/>
        </w:rPr>
      </w:pPr>
      <w:r>
        <w:rPr>
          <w:lang w:val="en-US" w:bidi="bn-IN"/>
        </w:rPr>
        <w:t>The Welsh Coastal Heritage &amp; Arts Expo is proposed to be a multi-day cultural tourism experience, a fusion of Welsh heritage, arts and eco-tourism within the coastal town of New Quay. The event framework encourages genuine cultural experience with the application of themed days, which will attract a worldwide audience to the “Year of Croeso 2025" in Wales (Travel Trade Wales, 2025).</w:t>
      </w:r>
    </w:p>
    <w:p>
      <w:pPr>
        <w:pStyle w:val="Normal"/>
        <w:rPr>
          <w:b/>
          <w:b/>
          <w:bCs/>
          <w:i/>
          <w:i/>
          <w:iCs/>
          <w:lang w:val="en-US" w:bidi="bn-IN"/>
        </w:rPr>
      </w:pPr>
      <w:r>
        <w:rPr>
          <w:b/>
          <w:bCs/>
          <w:i/>
          <w:iCs/>
          <w:lang w:val="en-US" w:bidi="bn-IN"/>
        </w:rPr>
        <w:t>Day 1: Coastal identity &amp; Art</w:t>
      </w:r>
    </w:p>
    <w:p>
      <w:pPr>
        <w:pStyle w:val="Normal"/>
        <w:rPr>
          <w:lang w:val="en-US" w:bidi="bn-IN"/>
        </w:rPr>
      </w:pPr>
      <w:r>
        <w:rPr>
          <w:lang w:val="en-US" w:bidi="bn-IN"/>
        </w:rPr>
        <w:t>The event starts with a beachfront art market, where local crafters show their traditional pottery, wool crafts, and handmade products. Tourists are welcome to participate in practical workshops and watch folk music bands playing at sunset.</w:t>
      </w:r>
    </w:p>
    <w:p>
      <w:pPr>
        <w:pStyle w:val="Normal"/>
        <w:rPr>
          <w:b/>
          <w:b/>
          <w:bCs/>
          <w:i/>
          <w:i/>
          <w:iCs/>
          <w:lang w:val="en-US" w:bidi="bn-IN"/>
        </w:rPr>
      </w:pPr>
      <w:r>
        <w:rPr>
          <w:b/>
          <w:bCs/>
          <w:i/>
          <w:iCs/>
          <w:lang w:val="en-US" w:bidi="bn-IN"/>
        </w:rPr>
        <w:t>Day 2: Heritage of Living</w:t>
      </w:r>
    </w:p>
    <w:p>
      <w:pPr>
        <w:pStyle w:val="Normal"/>
        <w:rPr>
          <w:lang w:val="en-US" w:bidi="bn-IN"/>
        </w:rPr>
      </w:pPr>
      <w:r>
        <w:rPr>
          <w:lang w:val="en-US" w:bidi="bn-IN"/>
        </w:rPr>
        <w:t>Day two focuses on Welsh culture with language sampler classes, storytelling groups, and cooking demonstrations and classes of traditional foods such as cawl and bara brith. There is a cultural procession displaying Welsh clothing and music (Edgell et al., 2018).</w:t>
      </w:r>
    </w:p>
    <w:p>
      <w:pPr>
        <w:pStyle w:val="Normal"/>
        <w:rPr>
          <w:b/>
          <w:b/>
          <w:bCs/>
          <w:i/>
          <w:i/>
          <w:iCs/>
          <w:lang w:val="en-US" w:bidi="bn-IN"/>
        </w:rPr>
      </w:pPr>
      <w:r>
        <w:rPr>
          <w:b/>
          <w:bCs/>
          <w:i/>
          <w:iCs/>
          <w:lang w:val="en-US" w:bidi="bn-IN"/>
        </w:rPr>
        <w:t>Day 3: Environmentally-friendly Wales</w:t>
      </w:r>
    </w:p>
    <w:p>
      <w:pPr>
        <w:pStyle w:val="Normal"/>
        <w:rPr>
          <w:lang w:val="en-US" w:bidi="bn-IN"/>
        </w:rPr>
      </w:pPr>
      <w:r>
        <w:rPr>
          <w:lang w:val="en-US" w:bidi="bn-IN"/>
        </w:rPr>
        <w:t>The last day is dedicated to sustainability and marine conservation. The events will consist of cleaning the beaches, dolphin-watching tours, and lectures by local environmentalists.</w:t>
      </w:r>
    </w:p>
    <w:p>
      <w:pPr>
        <w:pStyle w:val="Normal"/>
        <w:rPr>
          <w:b/>
          <w:b/>
          <w:bCs/>
          <w:i/>
          <w:i/>
          <w:iCs/>
          <w:lang w:val="en-US" w:bidi="bn-IN"/>
        </w:rPr>
      </w:pPr>
      <w:r>
        <w:rPr>
          <w:b/>
          <w:bCs/>
          <w:i/>
          <w:iCs/>
          <w:lang w:val="en-US" w:bidi="bn-IN"/>
        </w:rPr>
        <w:t>Sense with Place</w:t>
      </w:r>
    </w:p>
    <w:p>
      <w:pPr>
        <w:pStyle w:val="Normal"/>
        <w:rPr>
          <w:lang w:val="en-US" w:bidi="bn-IN"/>
        </w:rPr>
      </w:pPr>
      <w:r>
        <w:rPr>
          <w:lang w:val="en-US" w:bidi="bn-IN"/>
        </w:rPr>
        <w:t>Each of the three days is centred on the idea of the sense of place, so visitors are guaranteed to get in touch with local identity and values. The event incorporates cultural education and environmental awareness, thus being the flagship of sustainable tourism in Wales (Edgell et al., 2018).</w:t>
      </w:r>
    </w:p>
    <w:p>
      <w:pPr>
        <w:pStyle w:val="Normal"/>
        <w:spacing w:lineRule="auto" w:line="259"/>
        <w:jc w:val="left"/>
        <w:rPr>
          <w:lang w:val="en-US" w:bidi="bn-IN"/>
        </w:rPr>
      </w:pPr>
      <w:r>
        <w:rPr>
          <w:lang w:val="en-US" w:bidi="bn-IN"/>
        </w:rPr>
      </w:r>
      <w:r>
        <w:br w:type="page"/>
      </w:r>
    </w:p>
    <w:p>
      <w:pPr>
        <w:pStyle w:val="Heading1"/>
        <w:rPr>
          <w:rFonts w:eastAsia="Times New Roman"/>
          <w:lang w:bidi="bn-IN"/>
        </w:rPr>
      </w:pPr>
      <w:bookmarkStart w:id="3" w:name="_Toc200638996"/>
      <w:r>
        <w:rPr>
          <w:rFonts w:eastAsia="Times New Roman"/>
          <w:lang w:bidi="bn-IN"/>
        </w:rPr>
        <w:t>Aim and SMART Objectives</w:t>
      </w:r>
      <w:bookmarkEnd w:id="3"/>
    </w:p>
    <w:p>
      <w:pPr>
        <w:pStyle w:val="Normal"/>
        <w:rPr>
          <w:rFonts w:eastAsia="Times New Roman"/>
          <w:b/>
          <w:b/>
          <w:i/>
          <w:i/>
          <w:iCs/>
          <w:lang w:bidi="bn-IN"/>
        </w:rPr>
      </w:pPr>
      <w:r>
        <w:rPr>
          <w:rFonts w:eastAsia="Times New Roman"/>
          <w:b/>
          <w:i/>
          <w:iCs/>
          <w:lang w:bidi="bn-IN"/>
        </w:rPr>
        <w:t>Overall Aim</w:t>
      </w:r>
    </w:p>
    <w:p>
      <w:pPr>
        <w:pStyle w:val="Normal"/>
        <w:rPr>
          <w:rFonts w:eastAsia="Times New Roman"/>
          <w:lang w:bidi="bn-IN"/>
        </w:rPr>
      </w:pPr>
      <w:r>
        <w:rPr>
          <w:rFonts w:eastAsia="Times New Roman"/>
          <w:lang w:bidi="bn-IN"/>
        </w:rPr>
        <w:t>The key objective of the Welsh Coastal Heritage &amp; Arts Expo is to market Wales as a major cultural and eco-tourism location by providing an inclusive event experience which illustrates the ethos of Croeso - the warm Welsh welcome. Cultural appreciation, the support of local craftspeople, and sustainable tourism practices will be promoted through the event, making it a part of national tourism aims as part of Visit Wales Year of Croeso 2025 (Edgell et al., 2018).</w:t>
      </w:r>
    </w:p>
    <w:p>
      <w:pPr>
        <w:pStyle w:val="Normal"/>
        <w:rPr>
          <w:rFonts w:eastAsia="Times New Roman"/>
          <w:b/>
          <w:b/>
          <w:i/>
          <w:i/>
          <w:iCs/>
          <w:lang w:bidi="bn-IN"/>
        </w:rPr>
      </w:pPr>
      <w:r>
        <w:rPr>
          <w:rFonts w:eastAsia="Times New Roman"/>
          <w:b/>
          <w:i/>
          <w:iCs/>
          <w:lang w:bidi="bn-IN"/>
        </w:rPr>
        <w:t>SMART Objectives</w:t>
      </w:r>
    </w:p>
    <w:p>
      <w:pPr>
        <w:pStyle w:val="Normal"/>
        <w:rPr>
          <w:rFonts w:eastAsia="Times New Roman"/>
          <w:lang w:bidi="bn-IN"/>
        </w:rPr>
      </w:pPr>
      <w:r>
        <w:rPr>
          <w:rFonts w:eastAsia="Times New Roman"/>
          <w:lang w:bidi="bn-IN"/>
        </w:rPr>
        <w:t>Goal 1- Reaching the Audience:</w:t>
      </w:r>
    </w:p>
    <w:p>
      <w:pPr>
        <w:pStyle w:val="Normal"/>
        <w:rPr>
          <w:rFonts w:eastAsia="Times New Roman"/>
          <w:lang w:bidi="bn-IN"/>
        </w:rPr>
      </w:pPr>
      <w:r>
        <w:rPr>
          <w:rFonts w:eastAsia="Times New Roman"/>
          <w:lang w:bidi="bn-IN"/>
        </w:rPr>
        <w:t>Recruit international visitors of at least 1,000 during the three days, to attract tourists visiting the USA, Germany, France and Australia with an interest inJohn Gregory</w:t>
      </w:r>
    </w:p>
    <w:p>
      <w:pPr>
        <w:pStyle w:val="Normal"/>
        <w:rPr>
          <w:rFonts w:eastAsia="Times New Roman"/>
          <w:lang w:bidi="bn-IN"/>
        </w:rPr>
      </w:pPr>
      <w:r>
        <w:rPr>
          <w:rFonts w:eastAsia="Times New Roman"/>
          <w:lang w:bidi="bn-IN"/>
        </w:rPr>
        <w:t>Goal 2- Financial Performance:</w:t>
      </w:r>
    </w:p>
    <w:p>
      <w:pPr>
        <w:pStyle w:val="Normal"/>
        <w:rPr>
          <w:rFonts w:eastAsia="Times New Roman"/>
          <w:lang w:bidi="bn-IN"/>
        </w:rPr>
      </w:pPr>
      <w:r>
        <w:rPr>
          <w:rFonts w:eastAsia="Times New Roman"/>
          <w:lang w:bidi="bn-IN"/>
        </w:rPr>
        <w:t>Attract at least 30,000 in revenue through ticket sales, vendor fees, sponsorship and merchandise to break even and make the event economically viable.</w:t>
      </w:r>
    </w:p>
    <w:p>
      <w:pPr>
        <w:pStyle w:val="Normal"/>
        <w:rPr>
          <w:rFonts w:eastAsia="Times New Roman"/>
          <w:lang w:bidi="bn-IN"/>
        </w:rPr>
      </w:pPr>
      <w:r>
        <w:rPr>
          <w:rFonts w:eastAsia="Times New Roman"/>
          <w:lang w:bidi="bn-IN"/>
        </w:rPr>
        <w:t>Goal 3- Visitor Satisfaction:</w:t>
      </w:r>
    </w:p>
    <w:p>
      <w:pPr>
        <w:pStyle w:val="Normal"/>
        <w:rPr>
          <w:rFonts w:eastAsia="Times New Roman"/>
          <w:lang w:bidi="bn-IN"/>
        </w:rPr>
      </w:pPr>
      <w:r>
        <w:rPr>
          <w:rFonts w:eastAsia="Times New Roman"/>
          <w:lang w:bidi="bn-IN"/>
        </w:rPr>
        <w:t>Obtain positive feedback of at least 90 per cent of the attendees in post-event surveys, especially with regard to cultural experience, organisation and sustainability.</w:t>
      </w:r>
    </w:p>
    <w:p>
      <w:pPr>
        <w:pStyle w:val="Normal"/>
        <w:rPr>
          <w:rFonts w:eastAsia="Times New Roman"/>
          <w:lang w:bidi="bn-IN"/>
        </w:rPr>
      </w:pPr>
      <w:r>
        <w:rPr>
          <w:rFonts w:eastAsia="Times New Roman"/>
          <w:lang w:bidi="bn-IN"/>
        </w:rPr>
        <w:t>Goal 4-Digital Reach:</w:t>
      </w:r>
    </w:p>
    <w:p>
      <w:pPr>
        <w:pStyle w:val="Normal"/>
        <w:rPr>
          <w:rFonts w:eastAsia="Times New Roman"/>
          <w:lang w:bidi="bn-IN"/>
        </w:rPr>
      </w:pPr>
      <w:r>
        <w:rPr>
          <w:rFonts w:eastAsia="Times New Roman"/>
          <w:lang w:bidi="bn-IN"/>
        </w:rPr>
        <w:t>Target 100,000 individuals online with the help of targeted digital campaigns and collaboration with influencers to promote visibility and foreign interest.</w:t>
      </w:r>
    </w:p>
    <w:p>
      <w:pPr>
        <w:pStyle w:val="Normal"/>
        <w:rPr>
          <w:rFonts w:eastAsia="Times New Roman"/>
          <w:lang w:bidi="bn-IN"/>
        </w:rPr>
      </w:pPr>
      <w:r>
        <w:rPr>
          <w:rFonts w:eastAsia="Times New Roman"/>
          <w:lang w:bidi="bn-IN"/>
        </w:rPr>
        <w:t>These goals are Specific, Measurable, Achievable, Relevant, and Time-bound, which makes a solid basis for assessment (Kellams, 2020).</w:t>
      </w:r>
    </w:p>
    <w:p>
      <w:pPr>
        <w:pStyle w:val="Normal"/>
        <w:spacing w:lineRule="auto" w:line="259"/>
        <w:jc w:val="left"/>
        <w:rPr>
          <w:rFonts w:eastAsia="Times New Roman"/>
          <w:lang w:bidi="bn-IN"/>
        </w:rPr>
      </w:pPr>
      <w:r>
        <w:rPr>
          <w:rFonts w:eastAsia="Times New Roman"/>
          <w:lang w:bidi="bn-IN"/>
        </w:rPr>
      </w:r>
      <w:r>
        <w:br w:type="page"/>
      </w:r>
    </w:p>
    <w:p>
      <w:pPr>
        <w:pStyle w:val="Heading1"/>
        <w:rPr>
          <w:rFonts w:eastAsia="Times New Roman"/>
          <w:lang w:bidi="bn-IN"/>
        </w:rPr>
      </w:pPr>
      <w:bookmarkStart w:id="4" w:name="_Toc200638997"/>
      <w:r>
        <w:rPr>
          <w:rFonts w:eastAsia="Times New Roman"/>
          <w:lang w:bidi="bn-IN"/>
        </w:rPr>
        <w:t>Event Management</w:t>
      </w:r>
      <w:bookmarkEnd w:id="4"/>
    </w:p>
    <w:p>
      <w:pPr>
        <w:pStyle w:val="Normal"/>
        <w:rPr>
          <w:rFonts w:eastAsia="Times New Roman"/>
          <w:lang w:bidi="bn-IN"/>
        </w:rPr>
      </w:pPr>
      <w:r>
        <w:rPr>
          <w:rFonts w:eastAsia="Times New Roman"/>
          <w:lang w:bidi="bn-IN"/>
        </w:rPr>
        <w:t>The Welsh Coastal Heritage &amp; Arts Expo requires proper event management, which includes coordination of human resources, logistics, marketing and contingency planning. The strategic implementation in each of these facets makes certain that the international visitors experience a quality event and remember it too (Pappas, 2019).</w:t>
      </w:r>
    </w:p>
    <w:p>
      <w:pPr>
        <w:pStyle w:val="Normal"/>
        <w:rPr>
          <w:rFonts w:eastAsia="Times New Roman"/>
          <w:b/>
          <w:b/>
          <w:i/>
          <w:i/>
          <w:iCs/>
          <w:lang w:bidi="bn-IN"/>
        </w:rPr>
      </w:pPr>
      <w:r>
        <w:rPr>
          <w:rFonts w:eastAsia="Times New Roman"/>
          <w:b/>
          <w:i/>
          <w:iCs/>
          <w:lang w:bidi="bn-IN"/>
        </w:rPr>
        <w:t>Personnel and Functions</w:t>
      </w:r>
    </w:p>
    <w:p>
      <w:pPr>
        <w:pStyle w:val="Normal"/>
        <w:rPr>
          <w:rFonts w:eastAsia="Times New Roman"/>
          <w:lang w:bidi="bn-IN"/>
        </w:rPr>
      </w:pPr>
      <w:r>
        <w:rPr>
          <w:rFonts w:eastAsia="Times New Roman"/>
          <w:lang w:bidi="bn-IN"/>
        </w:rPr>
        <w:t>There will be a central organising committee to take care of the organisation and operations:</w:t>
      </w:r>
    </w:p>
    <w:p>
      <w:pPr>
        <w:pStyle w:val="ListParagraph"/>
        <w:numPr>
          <w:ilvl w:val="0"/>
          <w:numId w:val="1"/>
        </w:numPr>
        <w:rPr>
          <w:rFonts w:eastAsia="Times New Roman"/>
          <w:lang w:bidi="bn-IN"/>
        </w:rPr>
      </w:pPr>
      <w:r>
        <w:rPr>
          <w:rFonts w:eastAsia="Times New Roman"/>
          <w:lang w:bidi="bn-IN"/>
        </w:rPr>
        <w:t>Event Director: Monitors the high-level strategy, compliance and manages the coordination of stakeholders.</w:t>
      </w:r>
    </w:p>
    <w:p>
      <w:pPr>
        <w:pStyle w:val="ListParagraph"/>
        <w:numPr>
          <w:ilvl w:val="0"/>
          <w:numId w:val="1"/>
        </w:numPr>
        <w:rPr>
          <w:rFonts w:eastAsia="Times New Roman"/>
          <w:lang w:bidi="bn-IN"/>
        </w:rPr>
      </w:pPr>
      <w:r>
        <w:rPr>
          <w:rFonts w:eastAsia="Times New Roman"/>
          <w:lang w:bidi="bn-IN"/>
        </w:rPr>
        <w:t>Operations Manager: Oversees logistics in the venue, equipment rental and set up of infrastructure.</w:t>
      </w:r>
    </w:p>
    <w:p>
      <w:pPr>
        <w:pStyle w:val="ListParagraph"/>
        <w:numPr>
          <w:ilvl w:val="0"/>
          <w:numId w:val="1"/>
        </w:numPr>
        <w:rPr>
          <w:rFonts w:eastAsia="Times New Roman"/>
          <w:lang w:bidi="bn-IN"/>
        </w:rPr>
      </w:pPr>
      <w:r>
        <w:rPr>
          <w:rFonts w:eastAsia="Times New Roman"/>
          <w:lang w:bidi="bn-IN"/>
        </w:rPr>
        <w:t>Marketing Coordinator: Creates and executes email and electronic partnerships and campaigns.</w:t>
      </w:r>
    </w:p>
    <w:p>
      <w:pPr>
        <w:pStyle w:val="ListParagraph"/>
        <w:numPr>
          <w:ilvl w:val="0"/>
          <w:numId w:val="1"/>
        </w:numPr>
        <w:rPr>
          <w:rFonts w:eastAsia="Times New Roman"/>
          <w:lang w:bidi="bn-IN"/>
        </w:rPr>
      </w:pPr>
      <w:r>
        <w:rPr>
          <w:rFonts w:eastAsia="Times New Roman"/>
          <w:lang w:bidi="bn-IN"/>
        </w:rPr>
        <w:t>Cultural Programmers: Manage performance, workshops and exhibitions.</w:t>
      </w:r>
    </w:p>
    <w:p>
      <w:pPr>
        <w:pStyle w:val="Normal"/>
        <w:rPr>
          <w:rFonts w:eastAsia="Times New Roman"/>
          <w:lang w:bidi="bn-IN"/>
        </w:rPr>
      </w:pPr>
      <w:r>
        <w:rPr>
          <w:rFonts w:eastAsia="Times New Roman"/>
          <w:lang w:bidi="bn-IN"/>
        </w:rPr>
        <w:t>Together with this, sessions will be led by local craftspeople, entertainers and ecological researchers to give it that local feel and touch of community participation.</w:t>
      </w:r>
    </w:p>
    <w:p>
      <w:pPr>
        <w:pStyle w:val="Normal"/>
        <w:rPr>
          <w:rFonts w:eastAsia="Times New Roman"/>
          <w:b/>
          <w:b/>
          <w:i/>
          <w:i/>
          <w:iCs/>
          <w:lang w:bidi="bn-IN"/>
        </w:rPr>
      </w:pPr>
      <w:r>
        <w:rPr>
          <w:rFonts w:eastAsia="Times New Roman"/>
          <w:b/>
          <w:i/>
          <w:iCs/>
          <w:lang w:bidi="bn-IN"/>
        </w:rPr>
        <w:t>Resource Planning</w:t>
      </w:r>
    </w:p>
    <w:p>
      <w:pPr>
        <w:pStyle w:val="Normal"/>
        <w:rPr>
          <w:rFonts w:eastAsia="Times New Roman"/>
          <w:lang w:bidi="bn-IN"/>
        </w:rPr>
      </w:pPr>
      <w:r>
        <w:rPr>
          <w:rFonts w:eastAsia="Times New Roman"/>
          <w:lang w:bidi="bn-IN"/>
        </w:rPr>
        <w:t>The major resources are:</w:t>
      </w:r>
    </w:p>
    <w:p>
      <w:pPr>
        <w:pStyle w:val="ListParagraph"/>
        <w:numPr>
          <w:ilvl w:val="0"/>
          <w:numId w:val="2"/>
        </w:numPr>
        <w:rPr>
          <w:rFonts w:eastAsia="Times New Roman"/>
          <w:lang w:bidi="bn-IN"/>
        </w:rPr>
      </w:pPr>
      <w:r>
        <w:rPr>
          <w:rFonts w:eastAsia="Times New Roman"/>
          <w:lang w:bidi="bn-IN"/>
        </w:rPr>
        <w:t>Venues: New Quay Memorial Hall, Cei Newydd Seafront and beaches nearby.</w:t>
      </w:r>
    </w:p>
    <w:p>
      <w:pPr>
        <w:pStyle w:val="ListParagraph"/>
        <w:numPr>
          <w:ilvl w:val="0"/>
          <w:numId w:val="2"/>
        </w:numPr>
        <w:rPr>
          <w:rFonts w:eastAsia="Times New Roman"/>
          <w:lang w:bidi="bn-IN"/>
        </w:rPr>
      </w:pPr>
      <w:r>
        <w:rPr>
          <w:rFonts w:eastAsia="Times New Roman"/>
          <w:lang w:bidi="bn-IN"/>
        </w:rPr>
        <w:t>Infrastructure: Staging (temporary), tents, seating, signs and sound systems.</w:t>
      </w:r>
    </w:p>
    <w:p>
      <w:pPr>
        <w:pStyle w:val="ListParagraph"/>
        <w:numPr>
          <w:ilvl w:val="0"/>
          <w:numId w:val="2"/>
        </w:numPr>
        <w:rPr>
          <w:rFonts w:eastAsia="Times New Roman"/>
          <w:lang w:bidi="bn-IN"/>
        </w:rPr>
      </w:pPr>
      <w:r>
        <w:rPr>
          <w:rFonts w:eastAsia="Times New Roman"/>
          <w:lang w:bidi="bn-IN"/>
        </w:rPr>
        <w:t>Catering: Traditional Welsh food sold by local food traders.</w:t>
      </w:r>
    </w:p>
    <w:p>
      <w:pPr>
        <w:pStyle w:val="Normal"/>
        <w:rPr>
          <w:rFonts w:eastAsia="Times New Roman"/>
          <w:lang w:bidi="bn-IN"/>
        </w:rPr>
      </w:pPr>
      <w:r>
        <w:rPr>
          <w:rFonts w:eastAsia="Times New Roman"/>
          <w:lang w:bidi="bn-IN"/>
        </w:rPr>
        <w:t>Each facility will be adapted to sustain different weather conditions and accessibility requirements (Pappas, 2019).</w:t>
      </w:r>
    </w:p>
    <w:p>
      <w:pPr>
        <w:pStyle w:val="Normal"/>
        <w:rPr>
          <w:b/>
          <w:b/>
          <w:i/>
          <w:i/>
          <w:iCs/>
          <w:lang w:val="en-US" w:bidi="bn-IN"/>
        </w:rPr>
      </w:pPr>
      <w:r>
        <w:rPr>
          <w:b/>
          <w:i/>
          <w:iCs/>
          <w:lang w:val="en-US" w:bidi="bn-IN"/>
        </w:rPr>
        <w:t>Marketing Activities</w:t>
      </w:r>
    </w:p>
    <w:p>
      <w:pPr>
        <w:pStyle w:val="Normal"/>
        <w:rPr>
          <w:lang w:val="en-US" w:bidi="bn-IN"/>
        </w:rPr>
      </w:pPr>
      <w:r>
        <w:rPr>
          <w:lang w:val="en-US" w:bidi="bn-IN"/>
        </w:rPr>
        <w:t>A digital marketing campaign will be carried out focusing on Instagram, Facebook, and tourism websites. Partnerships with influencers who focus on culture and eco-tourism will allow increasing the involvement (Koc, 2020). The international mailing lists will be contacted through email campaigns through the network of Visit Wales. The offline marketing consists of press releases to the Welsh and UK travel press, posters in partner hotels and features in cultural magazines.</w:t>
      </w:r>
    </w:p>
    <w:p>
      <w:pPr>
        <w:pStyle w:val="Normal"/>
        <w:rPr>
          <w:b/>
          <w:b/>
          <w:i/>
          <w:i/>
          <w:iCs/>
          <w:lang w:val="en-US" w:bidi="bn-IN"/>
        </w:rPr>
      </w:pPr>
      <w:r>
        <w:rPr>
          <w:b/>
          <w:i/>
          <w:iCs/>
          <w:lang w:val="en-US" w:bidi="bn-IN"/>
        </w:rPr>
        <w:t>Risk Management and Sustainability</w:t>
      </w:r>
    </w:p>
    <w:p>
      <w:pPr>
        <w:pStyle w:val="Normal"/>
        <w:rPr>
          <w:lang w:val="en-US" w:bidi="bn-IN"/>
        </w:rPr>
      </w:pPr>
      <w:r>
        <w:rPr>
          <w:lang w:val="en-US" w:bidi="bn-IN"/>
        </w:rPr>
        <w:t>The organisation will focus on sustainability by:</w:t>
      </w:r>
    </w:p>
    <w:p>
      <w:pPr>
        <w:pStyle w:val="ListParagraph"/>
        <w:numPr>
          <w:ilvl w:val="0"/>
          <w:numId w:val="3"/>
        </w:numPr>
        <w:rPr>
          <w:lang w:val="en-US" w:bidi="bn-IN"/>
        </w:rPr>
      </w:pPr>
      <w:r>
        <w:rPr>
          <w:lang w:val="en-US" w:bidi="bn-IN"/>
        </w:rPr>
        <w:t>Recyclable material and environmentally friendly vendors.</w:t>
      </w:r>
    </w:p>
    <w:p>
      <w:pPr>
        <w:pStyle w:val="ListParagraph"/>
        <w:numPr>
          <w:ilvl w:val="0"/>
          <w:numId w:val="3"/>
        </w:numPr>
        <w:rPr>
          <w:lang w:val="en-US" w:bidi="bn-IN"/>
        </w:rPr>
      </w:pPr>
      <w:r>
        <w:rPr>
          <w:lang w:val="en-US" w:bidi="bn-IN"/>
        </w:rPr>
        <w:t>Beach clean-ups in collaboration with marine conservation organisations.</w:t>
      </w:r>
    </w:p>
    <w:p>
      <w:pPr>
        <w:pStyle w:val="ListParagraph"/>
        <w:numPr>
          <w:ilvl w:val="0"/>
          <w:numId w:val="3"/>
        </w:numPr>
        <w:rPr>
          <w:lang w:val="en-US" w:bidi="bn-IN"/>
        </w:rPr>
      </w:pPr>
      <w:r>
        <w:rPr>
          <w:lang w:val="en-US" w:bidi="bn-IN"/>
        </w:rPr>
        <w:t>Electronic-only ticketing and electronic communications.</w:t>
      </w:r>
    </w:p>
    <w:p>
      <w:pPr>
        <w:pStyle w:val="Normal"/>
        <w:rPr>
          <w:lang w:val="en-US" w:bidi="bn-IN"/>
        </w:rPr>
      </w:pPr>
      <w:r>
        <w:rPr>
          <w:lang w:val="en-US" w:bidi="bn-IN"/>
        </w:rPr>
        <w:t>All venues will be assessed in terms of risk, along with emergency evacuation plans, insurance cover, and weather-contingency possibilities (e.g., indoor backup at the Memorial Hall).</w:t>
      </w:r>
    </w:p>
    <w:p>
      <w:pPr>
        <w:pStyle w:val="Normal"/>
        <w:spacing w:lineRule="auto" w:line="259"/>
        <w:jc w:val="left"/>
        <w:rPr>
          <w:lang w:val="en-US" w:bidi="bn-IN"/>
        </w:rPr>
      </w:pPr>
      <w:r>
        <w:rPr>
          <w:lang w:val="en-US" w:bidi="bn-IN"/>
        </w:rPr>
      </w:r>
      <w:r>
        <w:br w:type="page"/>
      </w:r>
    </w:p>
    <w:p>
      <w:pPr>
        <w:pStyle w:val="Heading1"/>
        <w:rPr>
          <w:rFonts w:eastAsia="Times New Roman"/>
          <w:lang w:bidi="bn-IN"/>
        </w:rPr>
      </w:pPr>
      <w:bookmarkStart w:id="5" w:name="_Toc200638998"/>
      <w:r>
        <w:rPr>
          <w:rFonts w:eastAsia="Times New Roman"/>
          <w:lang w:bidi="bn-IN"/>
        </w:rPr>
        <w:t>Event Budget</w:t>
      </w:r>
      <w:bookmarkEnd w:id="5"/>
    </w:p>
    <w:p>
      <w:pPr>
        <w:pStyle w:val="Normal"/>
        <w:rPr/>
      </w:pPr>
      <w:r>
        <w:rPr>
          <w:lang w:val="en-US" w:bidi="bn-IN"/>
        </w:rPr>
        <w:t>The delivery of the Welsh Coastal Heritage &amp; Arts Expo will require a well-thought-out budget in order to be successful. The financial plan involves proper projection of the expenditure and income, in which the event will be sustainable and profitable without compromising the quality of experiences for the attendees (Vogel, 2016).</w:t>
      </w:r>
    </w:p>
    <w:p>
      <w:pPr>
        <w:pStyle w:val="Normal"/>
        <w:rPr>
          <w:i/>
          <w:i/>
          <w:iCs/>
          <w:lang w:bidi="bn-IN"/>
        </w:rPr>
      </w:pPr>
      <w:r>
        <w:rPr>
          <w:i/>
          <w:iCs/>
          <w:lang w:bidi="bn-IN"/>
        </w:rPr>
        <w:t>Estimated Expenditure</w:t>
      </w:r>
    </w:p>
    <w:tbl>
      <w:tblPr>
        <w:tblStyle w:val="TableGrid"/>
        <w:tblW w:w="5943" w:type="dxa"/>
        <w:jc w:val="center"/>
        <w:tblInd w:w="0" w:type="dxa"/>
        <w:tblCellMar>
          <w:top w:w="0" w:type="dxa"/>
          <w:left w:w="108" w:type="dxa"/>
          <w:bottom w:w="0" w:type="dxa"/>
          <w:right w:w="108" w:type="dxa"/>
        </w:tblCellMar>
        <w:tblLook w:firstRow="1" w:noVBand="1" w:lastRow="0" w:firstColumn="1" w:lastColumn="0" w:noHBand="0" w:val="04a0"/>
      </w:tblPr>
      <w:tblGrid>
        <w:gridCol w:w="3738"/>
        <w:gridCol w:w="2204"/>
      </w:tblGrid>
      <w:tr>
        <w:trPr/>
        <w:tc>
          <w:tcPr>
            <w:tcW w:w="3738" w:type="dxa"/>
            <w:tcBorders/>
            <w:shd w:fill="auto" w:val="clear"/>
          </w:tcPr>
          <w:p>
            <w:pPr>
              <w:pStyle w:val="Normal"/>
              <w:spacing w:lineRule="auto" w:line="240" w:before="0" w:after="0"/>
              <w:rPr>
                <w:lang w:bidi="bn-IN"/>
              </w:rPr>
            </w:pPr>
            <w:r>
              <w:rPr>
                <w:lang w:val="en-GB" w:bidi="bn-IN"/>
              </w:rPr>
              <w:t>Category</w:t>
            </w:r>
          </w:p>
        </w:tc>
        <w:tc>
          <w:tcPr>
            <w:tcW w:w="2204" w:type="dxa"/>
            <w:tcBorders/>
            <w:shd w:fill="auto" w:val="clear"/>
          </w:tcPr>
          <w:p>
            <w:pPr>
              <w:pStyle w:val="Normal"/>
              <w:spacing w:lineRule="auto" w:line="240" w:before="0" w:after="0"/>
              <w:rPr>
                <w:lang w:bidi="bn-IN"/>
              </w:rPr>
            </w:pPr>
            <w:r>
              <w:rPr>
                <w:lang w:val="en-GB" w:bidi="bn-IN"/>
              </w:rPr>
              <w:t>Estimated Cost (£)</w:t>
            </w:r>
          </w:p>
        </w:tc>
      </w:tr>
      <w:tr>
        <w:trPr/>
        <w:tc>
          <w:tcPr>
            <w:tcW w:w="3738" w:type="dxa"/>
            <w:tcBorders/>
            <w:shd w:fill="auto" w:val="clear"/>
          </w:tcPr>
          <w:p>
            <w:pPr>
              <w:pStyle w:val="Normal"/>
              <w:spacing w:lineRule="auto" w:line="240" w:before="0" w:after="0"/>
              <w:rPr>
                <w:lang w:bidi="bn-IN"/>
              </w:rPr>
            </w:pPr>
            <w:r>
              <w:rPr>
                <w:lang w:val="en-GB" w:bidi="bn-IN"/>
              </w:rPr>
              <w:t>Venue Hire (Seafront, Hall)</w:t>
            </w:r>
          </w:p>
        </w:tc>
        <w:tc>
          <w:tcPr>
            <w:tcW w:w="2204" w:type="dxa"/>
            <w:tcBorders/>
            <w:shd w:fill="auto" w:val="clear"/>
          </w:tcPr>
          <w:p>
            <w:pPr>
              <w:pStyle w:val="Normal"/>
              <w:spacing w:lineRule="auto" w:line="240" w:before="0" w:after="0"/>
              <w:rPr>
                <w:lang w:bidi="bn-IN"/>
              </w:rPr>
            </w:pPr>
            <w:r>
              <w:rPr>
                <w:lang w:val="en-GB" w:bidi="bn-IN"/>
              </w:rPr>
              <w:t>3,000</w:t>
            </w:r>
          </w:p>
        </w:tc>
      </w:tr>
      <w:tr>
        <w:trPr/>
        <w:tc>
          <w:tcPr>
            <w:tcW w:w="3738" w:type="dxa"/>
            <w:tcBorders/>
            <w:shd w:fill="auto" w:val="clear"/>
          </w:tcPr>
          <w:p>
            <w:pPr>
              <w:pStyle w:val="Normal"/>
              <w:spacing w:lineRule="auto" w:line="240" w:before="0" w:after="0"/>
              <w:rPr>
                <w:lang w:bidi="bn-IN"/>
              </w:rPr>
            </w:pPr>
            <w:r>
              <w:rPr>
                <w:lang w:val="en-GB" w:bidi="bn-IN"/>
              </w:rPr>
              <w:t>Temporary Infrastructure</w:t>
            </w:r>
          </w:p>
        </w:tc>
        <w:tc>
          <w:tcPr>
            <w:tcW w:w="2204" w:type="dxa"/>
            <w:tcBorders/>
            <w:shd w:fill="auto" w:val="clear"/>
          </w:tcPr>
          <w:p>
            <w:pPr>
              <w:pStyle w:val="Normal"/>
              <w:spacing w:lineRule="auto" w:line="240" w:before="0" w:after="0"/>
              <w:rPr>
                <w:lang w:bidi="bn-IN"/>
              </w:rPr>
            </w:pPr>
            <w:r>
              <w:rPr>
                <w:lang w:val="en-GB" w:bidi="bn-IN"/>
              </w:rPr>
              <w:t>5,000</w:t>
            </w:r>
          </w:p>
        </w:tc>
      </w:tr>
      <w:tr>
        <w:trPr/>
        <w:tc>
          <w:tcPr>
            <w:tcW w:w="3738" w:type="dxa"/>
            <w:tcBorders/>
            <w:shd w:fill="auto" w:val="clear"/>
          </w:tcPr>
          <w:p>
            <w:pPr>
              <w:pStyle w:val="Normal"/>
              <w:spacing w:lineRule="auto" w:line="240" w:before="0" w:after="0"/>
              <w:rPr>
                <w:lang w:bidi="bn-IN"/>
              </w:rPr>
            </w:pPr>
            <w:r>
              <w:rPr>
                <w:lang w:val="en-GB" w:bidi="bn-IN"/>
              </w:rPr>
              <w:t>Artist and Performer Fees</w:t>
            </w:r>
          </w:p>
        </w:tc>
        <w:tc>
          <w:tcPr>
            <w:tcW w:w="2204" w:type="dxa"/>
            <w:tcBorders/>
            <w:shd w:fill="auto" w:val="clear"/>
          </w:tcPr>
          <w:p>
            <w:pPr>
              <w:pStyle w:val="Normal"/>
              <w:spacing w:lineRule="auto" w:line="240" w:before="0" w:after="0"/>
              <w:rPr>
                <w:lang w:bidi="bn-IN"/>
              </w:rPr>
            </w:pPr>
            <w:r>
              <w:rPr>
                <w:lang w:val="en-GB" w:bidi="bn-IN"/>
              </w:rPr>
              <w:t>4,000</w:t>
            </w:r>
          </w:p>
        </w:tc>
      </w:tr>
      <w:tr>
        <w:trPr/>
        <w:tc>
          <w:tcPr>
            <w:tcW w:w="3738" w:type="dxa"/>
            <w:tcBorders/>
            <w:shd w:fill="auto" w:val="clear"/>
          </w:tcPr>
          <w:p>
            <w:pPr>
              <w:pStyle w:val="Normal"/>
              <w:spacing w:lineRule="auto" w:line="240" w:before="0" w:after="0"/>
              <w:rPr>
                <w:lang w:bidi="bn-IN"/>
              </w:rPr>
            </w:pPr>
            <w:r>
              <w:rPr>
                <w:lang w:val="en-GB" w:bidi="bn-IN"/>
              </w:rPr>
              <w:t>Catering &amp; Local Vendor Support</w:t>
            </w:r>
          </w:p>
        </w:tc>
        <w:tc>
          <w:tcPr>
            <w:tcW w:w="2204" w:type="dxa"/>
            <w:tcBorders/>
            <w:shd w:fill="auto" w:val="clear"/>
          </w:tcPr>
          <w:p>
            <w:pPr>
              <w:pStyle w:val="Normal"/>
              <w:spacing w:lineRule="auto" w:line="240" w:before="0" w:after="0"/>
              <w:rPr>
                <w:lang w:bidi="bn-IN"/>
              </w:rPr>
            </w:pPr>
            <w:r>
              <w:rPr>
                <w:lang w:val="en-GB" w:bidi="bn-IN"/>
              </w:rPr>
              <w:t>2,000</w:t>
            </w:r>
          </w:p>
        </w:tc>
      </w:tr>
      <w:tr>
        <w:trPr/>
        <w:tc>
          <w:tcPr>
            <w:tcW w:w="3738" w:type="dxa"/>
            <w:tcBorders/>
            <w:shd w:fill="auto" w:val="clear"/>
          </w:tcPr>
          <w:p>
            <w:pPr>
              <w:pStyle w:val="Normal"/>
              <w:spacing w:lineRule="auto" w:line="240" w:before="0" w:after="0"/>
              <w:rPr>
                <w:lang w:bidi="bn-IN"/>
              </w:rPr>
            </w:pPr>
            <w:r>
              <w:rPr>
                <w:lang w:val="en-GB" w:bidi="bn-IN"/>
              </w:rPr>
              <w:t>Audio-Visual and Lighting Setup</w:t>
            </w:r>
          </w:p>
        </w:tc>
        <w:tc>
          <w:tcPr>
            <w:tcW w:w="2204" w:type="dxa"/>
            <w:tcBorders/>
            <w:shd w:fill="auto" w:val="clear"/>
          </w:tcPr>
          <w:p>
            <w:pPr>
              <w:pStyle w:val="Normal"/>
              <w:spacing w:lineRule="auto" w:line="240" w:before="0" w:after="0"/>
              <w:rPr>
                <w:lang w:bidi="bn-IN"/>
              </w:rPr>
            </w:pPr>
            <w:r>
              <w:rPr>
                <w:lang w:val="en-GB" w:bidi="bn-IN"/>
              </w:rPr>
              <w:t>1,500</w:t>
            </w:r>
          </w:p>
        </w:tc>
      </w:tr>
      <w:tr>
        <w:trPr/>
        <w:tc>
          <w:tcPr>
            <w:tcW w:w="3738" w:type="dxa"/>
            <w:tcBorders/>
            <w:shd w:fill="auto" w:val="clear"/>
          </w:tcPr>
          <w:p>
            <w:pPr>
              <w:pStyle w:val="Normal"/>
              <w:spacing w:lineRule="auto" w:line="240" w:before="0" w:after="0"/>
              <w:rPr>
                <w:lang w:bidi="bn-IN"/>
              </w:rPr>
            </w:pPr>
            <w:r>
              <w:rPr>
                <w:lang w:val="en-GB" w:bidi="bn-IN"/>
              </w:rPr>
              <w:t>Marketing and Promotion</w:t>
            </w:r>
          </w:p>
        </w:tc>
        <w:tc>
          <w:tcPr>
            <w:tcW w:w="2204" w:type="dxa"/>
            <w:tcBorders/>
            <w:shd w:fill="auto" w:val="clear"/>
          </w:tcPr>
          <w:p>
            <w:pPr>
              <w:pStyle w:val="Normal"/>
              <w:spacing w:lineRule="auto" w:line="240" w:before="0" w:after="0"/>
              <w:rPr>
                <w:lang w:bidi="bn-IN"/>
              </w:rPr>
            </w:pPr>
            <w:r>
              <w:rPr>
                <w:lang w:val="en-GB" w:bidi="bn-IN"/>
              </w:rPr>
              <w:t>2,500</w:t>
            </w:r>
          </w:p>
        </w:tc>
      </w:tr>
      <w:tr>
        <w:trPr/>
        <w:tc>
          <w:tcPr>
            <w:tcW w:w="3738" w:type="dxa"/>
            <w:tcBorders/>
            <w:shd w:fill="auto" w:val="clear"/>
          </w:tcPr>
          <w:p>
            <w:pPr>
              <w:pStyle w:val="Normal"/>
              <w:spacing w:lineRule="auto" w:line="240" w:before="0" w:after="0"/>
              <w:rPr>
                <w:lang w:bidi="bn-IN"/>
              </w:rPr>
            </w:pPr>
            <w:r>
              <w:rPr>
                <w:lang w:val="en-GB" w:bidi="bn-IN"/>
              </w:rPr>
              <w:t>Event Insurance and Permits</w:t>
            </w:r>
          </w:p>
        </w:tc>
        <w:tc>
          <w:tcPr>
            <w:tcW w:w="2204" w:type="dxa"/>
            <w:tcBorders/>
            <w:shd w:fill="auto" w:val="clear"/>
          </w:tcPr>
          <w:p>
            <w:pPr>
              <w:pStyle w:val="Normal"/>
              <w:spacing w:lineRule="auto" w:line="240" w:before="0" w:after="0"/>
              <w:rPr>
                <w:lang w:bidi="bn-IN"/>
              </w:rPr>
            </w:pPr>
            <w:r>
              <w:rPr>
                <w:lang w:val="en-GB" w:bidi="bn-IN"/>
              </w:rPr>
              <w:t>1,000</w:t>
            </w:r>
          </w:p>
        </w:tc>
      </w:tr>
      <w:tr>
        <w:trPr/>
        <w:tc>
          <w:tcPr>
            <w:tcW w:w="3738" w:type="dxa"/>
            <w:tcBorders/>
            <w:shd w:fill="auto" w:val="clear"/>
          </w:tcPr>
          <w:p>
            <w:pPr>
              <w:pStyle w:val="Normal"/>
              <w:spacing w:lineRule="auto" w:line="240" w:before="0" w:after="0"/>
              <w:rPr>
                <w:lang w:bidi="bn-IN"/>
              </w:rPr>
            </w:pPr>
            <w:r>
              <w:rPr>
                <w:lang w:val="en-GB" w:bidi="bn-IN"/>
              </w:rPr>
              <w:t>Staff and Volunteer Expenses</w:t>
            </w:r>
          </w:p>
        </w:tc>
        <w:tc>
          <w:tcPr>
            <w:tcW w:w="2204" w:type="dxa"/>
            <w:tcBorders/>
            <w:shd w:fill="auto" w:val="clear"/>
          </w:tcPr>
          <w:p>
            <w:pPr>
              <w:pStyle w:val="Normal"/>
              <w:spacing w:lineRule="auto" w:line="240" w:before="0" w:after="0"/>
              <w:rPr>
                <w:lang w:bidi="bn-IN"/>
              </w:rPr>
            </w:pPr>
            <w:r>
              <w:rPr>
                <w:lang w:val="en-GB" w:bidi="bn-IN"/>
              </w:rPr>
              <w:t>1,500</w:t>
            </w:r>
          </w:p>
        </w:tc>
      </w:tr>
      <w:tr>
        <w:trPr/>
        <w:tc>
          <w:tcPr>
            <w:tcW w:w="3738" w:type="dxa"/>
            <w:tcBorders/>
            <w:shd w:fill="auto" w:val="clear"/>
          </w:tcPr>
          <w:p>
            <w:pPr>
              <w:pStyle w:val="Normal"/>
              <w:spacing w:lineRule="auto" w:line="240" w:before="0" w:after="0"/>
              <w:rPr>
                <w:lang w:bidi="bn-IN"/>
              </w:rPr>
            </w:pPr>
            <w:r>
              <w:rPr>
                <w:lang w:val="en-GB" w:bidi="bn-IN"/>
              </w:rPr>
              <w:t>Contingency Fund (10%)</w:t>
            </w:r>
          </w:p>
        </w:tc>
        <w:tc>
          <w:tcPr>
            <w:tcW w:w="2204" w:type="dxa"/>
            <w:tcBorders/>
            <w:shd w:fill="auto" w:val="clear"/>
          </w:tcPr>
          <w:p>
            <w:pPr>
              <w:pStyle w:val="Normal"/>
              <w:spacing w:lineRule="auto" w:line="240" w:before="0" w:after="0"/>
              <w:rPr>
                <w:lang w:bidi="bn-IN"/>
              </w:rPr>
            </w:pPr>
            <w:r>
              <w:rPr>
                <w:lang w:val="en-GB" w:bidi="bn-IN"/>
              </w:rPr>
              <w:t>2,000</w:t>
            </w:r>
          </w:p>
        </w:tc>
      </w:tr>
      <w:tr>
        <w:trPr/>
        <w:tc>
          <w:tcPr>
            <w:tcW w:w="3738" w:type="dxa"/>
            <w:tcBorders/>
            <w:shd w:fill="auto" w:val="clear"/>
          </w:tcPr>
          <w:p>
            <w:pPr>
              <w:pStyle w:val="Normal"/>
              <w:spacing w:lineRule="auto" w:line="240" w:before="0" w:after="0"/>
              <w:rPr>
                <w:lang w:bidi="bn-IN"/>
              </w:rPr>
            </w:pPr>
            <w:r>
              <w:rPr>
                <w:lang w:val="en-GB" w:bidi="bn-IN"/>
              </w:rPr>
              <w:t>Total Estimated Cost</w:t>
            </w:r>
          </w:p>
        </w:tc>
        <w:tc>
          <w:tcPr>
            <w:tcW w:w="2204" w:type="dxa"/>
            <w:tcBorders/>
            <w:shd w:fill="auto" w:val="clear"/>
          </w:tcPr>
          <w:p>
            <w:pPr>
              <w:pStyle w:val="Normal"/>
              <w:spacing w:lineRule="auto" w:line="240" w:before="0" w:after="0"/>
              <w:rPr>
                <w:lang w:bidi="bn-IN"/>
              </w:rPr>
            </w:pPr>
            <w:r>
              <w:rPr>
                <w:lang w:val="en-GB" w:bidi="bn-IN"/>
              </w:rPr>
              <w:t>22,500</w:t>
            </w:r>
          </w:p>
        </w:tc>
      </w:tr>
    </w:tbl>
    <w:p>
      <w:pPr>
        <w:pStyle w:val="Normal"/>
        <w:rPr>
          <w:i/>
          <w:i/>
          <w:iCs/>
          <w:lang w:bidi="bn-IN"/>
        </w:rPr>
      </w:pPr>
      <w:r>
        <w:rPr>
          <w:i/>
          <w:iCs/>
          <w:lang w:bidi="bn-IN"/>
        </w:rPr>
        <w:t>Revenue Streams</w:t>
      </w:r>
    </w:p>
    <w:tbl>
      <w:tblPr>
        <w:tblStyle w:val="TableGrid"/>
        <w:tblW w:w="6062" w:type="dxa"/>
        <w:jc w:val="center"/>
        <w:tblInd w:w="0" w:type="dxa"/>
        <w:tblCellMar>
          <w:top w:w="0" w:type="dxa"/>
          <w:left w:w="108" w:type="dxa"/>
          <w:bottom w:w="0" w:type="dxa"/>
          <w:right w:w="108" w:type="dxa"/>
        </w:tblCellMar>
        <w:tblLook w:firstRow="1" w:noVBand="1" w:lastRow="0" w:firstColumn="1" w:lastColumn="0" w:noHBand="0" w:val="04a0"/>
      </w:tblPr>
      <w:tblGrid>
        <w:gridCol w:w="3617"/>
        <w:gridCol w:w="2444"/>
      </w:tblGrid>
      <w:tr>
        <w:trPr/>
        <w:tc>
          <w:tcPr>
            <w:tcW w:w="3617" w:type="dxa"/>
            <w:tcBorders/>
            <w:shd w:fill="auto" w:val="clear"/>
          </w:tcPr>
          <w:p>
            <w:pPr>
              <w:pStyle w:val="Normal"/>
              <w:spacing w:lineRule="auto" w:line="240" w:before="0" w:after="0"/>
              <w:rPr>
                <w:lang w:bidi="bn-IN"/>
              </w:rPr>
            </w:pPr>
            <w:r>
              <w:rPr>
                <w:lang w:val="en-GB" w:bidi="bn-IN"/>
              </w:rPr>
              <w:t>Source</w:t>
            </w:r>
          </w:p>
        </w:tc>
        <w:tc>
          <w:tcPr>
            <w:tcW w:w="2444" w:type="dxa"/>
            <w:tcBorders/>
            <w:shd w:fill="auto" w:val="clear"/>
          </w:tcPr>
          <w:p>
            <w:pPr>
              <w:pStyle w:val="Normal"/>
              <w:spacing w:lineRule="auto" w:line="240" w:before="0" w:after="0"/>
              <w:rPr>
                <w:lang w:bidi="bn-IN"/>
              </w:rPr>
            </w:pPr>
            <w:r>
              <w:rPr>
                <w:lang w:val="en-GB" w:bidi="bn-IN"/>
              </w:rPr>
              <w:t>Projected Income (£)</w:t>
            </w:r>
          </w:p>
        </w:tc>
      </w:tr>
      <w:tr>
        <w:trPr/>
        <w:tc>
          <w:tcPr>
            <w:tcW w:w="3617" w:type="dxa"/>
            <w:tcBorders/>
            <w:shd w:fill="auto" w:val="clear"/>
          </w:tcPr>
          <w:p>
            <w:pPr>
              <w:pStyle w:val="Normal"/>
              <w:spacing w:lineRule="auto" w:line="240" w:before="0" w:after="0"/>
              <w:rPr>
                <w:lang w:bidi="bn-IN"/>
              </w:rPr>
            </w:pPr>
            <w:r>
              <w:rPr>
                <w:lang w:val="en-GB" w:bidi="bn-IN"/>
              </w:rPr>
              <w:t>General Admission Ticket Sales</w:t>
            </w:r>
          </w:p>
        </w:tc>
        <w:tc>
          <w:tcPr>
            <w:tcW w:w="2444" w:type="dxa"/>
            <w:tcBorders/>
            <w:shd w:fill="auto" w:val="clear"/>
          </w:tcPr>
          <w:p>
            <w:pPr>
              <w:pStyle w:val="Normal"/>
              <w:spacing w:lineRule="auto" w:line="240" w:before="0" w:after="0"/>
              <w:rPr>
                <w:lang w:bidi="bn-IN"/>
              </w:rPr>
            </w:pPr>
            <w:r>
              <w:rPr>
                <w:lang w:val="en-GB" w:bidi="bn-IN"/>
              </w:rPr>
              <w:t>20,000 (1,000 x £20)</w:t>
            </w:r>
          </w:p>
        </w:tc>
      </w:tr>
      <w:tr>
        <w:trPr/>
        <w:tc>
          <w:tcPr>
            <w:tcW w:w="3617" w:type="dxa"/>
            <w:tcBorders/>
            <w:shd w:fill="auto" w:val="clear"/>
          </w:tcPr>
          <w:p>
            <w:pPr>
              <w:pStyle w:val="Normal"/>
              <w:spacing w:lineRule="auto" w:line="240" w:before="0" w:after="0"/>
              <w:rPr>
                <w:lang w:bidi="bn-IN"/>
              </w:rPr>
            </w:pPr>
            <w:r>
              <w:rPr>
                <w:lang w:val="en-GB" w:bidi="bn-IN"/>
              </w:rPr>
              <w:t>Vendor Booth Fees (20 x £200)</w:t>
            </w:r>
          </w:p>
        </w:tc>
        <w:tc>
          <w:tcPr>
            <w:tcW w:w="2444" w:type="dxa"/>
            <w:tcBorders/>
            <w:shd w:fill="auto" w:val="clear"/>
          </w:tcPr>
          <w:p>
            <w:pPr>
              <w:pStyle w:val="Normal"/>
              <w:spacing w:lineRule="auto" w:line="240" w:before="0" w:after="0"/>
              <w:rPr>
                <w:lang w:bidi="bn-IN"/>
              </w:rPr>
            </w:pPr>
            <w:r>
              <w:rPr>
                <w:lang w:val="en-GB" w:bidi="bn-IN"/>
              </w:rPr>
              <w:t>4,000</w:t>
            </w:r>
          </w:p>
        </w:tc>
      </w:tr>
      <w:tr>
        <w:trPr/>
        <w:tc>
          <w:tcPr>
            <w:tcW w:w="3617" w:type="dxa"/>
            <w:tcBorders/>
            <w:shd w:fill="auto" w:val="clear"/>
          </w:tcPr>
          <w:p>
            <w:pPr>
              <w:pStyle w:val="Normal"/>
              <w:spacing w:lineRule="auto" w:line="240" w:before="0" w:after="0"/>
              <w:rPr>
                <w:lang w:bidi="bn-IN"/>
              </w:rPr>
            </w:pPr>
            <w:r>
              <w:rPr>
                <w:lang w:val="en-GB" w:bidi="bn-IN"/>
              </w:rPr>
              <w:t>Sponsorships and Donations</w:t>
            </w:r>
          </w:p>
        </w:tc>
        <w:tc>
          <w:tcPr>
            <w:tcW w:w="2444" w:type="dxa"/>
            <w:tcBorders/>
            <w:shd w:fill="auto" w:val="clear"/>
          </w:tcPr>
          <w:p>
            <w:pPr>
              <w:pStyle w:val="Normal"/>
              <w:spacing w:lineRule="auto" w:line="240" w:before="0" w:after="0"/>
              <w:rPr>
                <w:lang w:bidi="bn-IN"/>
              </w:rPr>
            </w:pPr>
            <w:r>
              <w:rPr>
                <w:lang w:val="en-GB" w:bidi="bn-IN"/>
              </w:rPr>
              <w:t>5,000</w:t>
            </w:r>
          </w:p>
        </w:tc>
      </w:tr>
      <w:tr>
        <w:trPr/>
        <w:tc>
          <w:tcPr>
            <w:tcW w:w="3617" w:type="dxa"/>
            <w:tcBorders/>
            <w:shd w:fill="auto" w:val="clear"/>
          </w:tcPr>
          <w:p>
            <w:pPr>
              <w:pStyle w:val="Normal"/>
              <w:spacing w:lineRule="auto" w:line="240" w:before="0" w:after="0"/>
              <w:rPr>
                <w:lang w:bidi="bn-IN"/>
              </w:rPr>
            </w:pPr>
            <w:r>
              <w:rPr>
                <w:lang w:val="en-GB" w:bidi="bn-IN"/>
              </w:rPr>
              <w:t>Merchandise Sales</w:t>
            </w:r>
          </w:p>
        </w:tc>
        <w:tc>
          <w:tcPr>
            <w:tcW w:w="2444" w:type="dxa"/>
            <w:tcBorders/>
            <w:shd w:fill="auto" w:val="clear"/>
          </w:tcPr>
          <w:p>
            <w:pPr>
              <w:pStyle w:val="Normal"/>
              <w:spacing w:lineRule="auto" w:line="240" w:before="0" w:after="0"/>
              <w:rPr>
                <w:lang w:bidi="bn-IN"/>
              </w:rPr>
            </w:pPr>
            <w:r>
              <w:rPr>
                <w:lang w:val="en-GB" w:bidi="bn-IN"/>
              </w:rPr>
              <w:t>2,500</w:t>
            </w:r>
          </w:p>
        </w:tc>
      </w:tr>
      <w:tr>
        <w:trPr/>
        <w:tc>
          <w:tcPr>
            <w:tcW w:w="3617" w:type="dxa"/>
            <w:tcBorders/>
            <w:shd w:fill="auto" w:val="clear"/>
          </w:tcPr>
          <w:p>
            <w:pPr>
              <w:pStyle w:val="Normal"/>
              <w:spacing w:lineRule="auto" w:line="240" w:before="0" w:after="0"/>
              <w:rPr>
                <w:lang w:bidi="bn-IN"/>
              </w:rPr>
            </w:pPr>
            <w:r>
              <w:rPr>
                <w:lang w:val="en-GB" w:bidi="bn-IN"/>
              </w:rPr>
              <w:t>Total Projected Income</w:t>
            </w:r>
          </w:p>
        </w:tc>
        <w:tc>
          <w:tcPr>
            <w:tcW w:w="2444" w:type="dxa"/>
            <w:tcBorders/>
            <w:shd w:fill="auto" w:val="clear"/>
          </w:tcPr>
          <w:p>
            <w:pPr>
              <w:pStyle w:val="Normal"/>
              <w:spacing w:lineRule="auto" w:line="240" w:before="0" w:after="0"/>
              <w:rPr>
                <w:lang w:bidi="bn-IN"/>
              </w:rPr>
            </w:pPr>
            <w:r>
              <w:rPr>
                <w:lang w:val="en-GB" w:bidi="bn-IN"/>
              </w:rPr>
              <w:t>31,500</w:t>
            </w:r>
          </w:p>
        </w:tc>
      </w:tr>
    </w:tbl>
    <w:p>
      <w:pPr>
        <w:pStyle w:val="Normal"/>
        <w:rPr>
          <w:i/>
          <w:i/>
          <w:iCs/>
          <w:lang w:bidi="bn-IN"/>
        </w:rPr>
      </w:pPr>
      <w:r>
        <w:rPr>
          <w:i/>
          <w:iCs/>
          <w:lang w:bidi="bn-IN"/>
        </w:rPr>
        <w:t>Financial Analysis</w:t>
      </w:r>
    </w:p>
    <w:p>
      <w:pPr>
        <w:pStyle w:val="Normal"/>
        <w:rPr>
          <w:lang w:val="en-US" w:bidi="bn-IN"/>
        </w:rPr>
      </w:pPr>
      <w:r>
        <w:rPr>
          <w:lang w:val="en-US" w:bidi="bn-IN"/>
        </w:rPr>
        <w:t>The event is expected to have a net surplus of 9,000, making it financially viable. This excess may be put back into the future event development or local projects.</w:t>
      </w:r>
    </w:p>
    <w:p>
      <w:pPr>
        <w:pStyle w:val="Normal"/>
        <w:rPr>
          <w:lang w:val="en-US" w:bidi="bn-IN"/>
        </w:rPr>
      </w:pPr>
      <w:r>
        <w:rPr>
          <w:lang w:val="en-US" w:bidi="bn-IN"/>
        </w:rPr>
        <w:t>The budget concerns a good balance between quality programming and cost effectiveness. Compensation of the local talent and offer of professional infrastructure is given priority, along with promotion of the Welsh culture. The financial model is reinforced by the dependency on a variety of sources of revenue, including ticketing, sponsorship, the involvement of vendors, and merchandise.</w:t>
      </w:r>
    </w:p>
    <w:p>
      <w:pPr>
        <w:pStyle w:val="Normal"/>
        <w:rPr>
          <w:lang w:val="en-US" w:bidi="bn-IN"/>
        </w:rPr>
      </w:pPr>
      <w:r>
        <w:rPr>
          <w:lang w:val="en-US" w:bidi="bn-IN"/>
        </w:rPr>
        <w:t>With a balanced financial planning and strategy, the Expo will establish itself as a self-sustaining, effective cultural event, which can be included in the long-term plan of Wales as an experiential tourism destination (Koc, 2020).</w:t>
      </w:r>
    </w:p>
    <w:p>
      <w:pPr>
        <w:pStyle w:val="Normal"/>
        <w:spacing w:lineRule="auto" w:line="259"/>
        <w:jc w:val="left"/>
        <w:rPr>
          <w:lang w:val="en-US" w:bidi="bn-IN"/>
        </w:rPr>
      </w:pPr>
      <w:r>
        <w:rPr>
          <w:lang w:val="en-US" w:bidi="bn-IN"/>
        </w:rPr>
      </w:r>
      <w:r>
        <w:br w:type="page"/>
      </w:r>
    </w:p>
    <w:p>
      <w:pPr>
        <w:pStyle w:val="Heading1"/>
        <w:rPr>
          <w:rFonts w:eastAsia="Times New Roman"/>
          <w:lang w:bidi="bn-IN"/>
        </w:rPr>
      </w:pPr>
      <w:bookmarkStart w:id="6" w:name="_Toc200638999"/>
      <w:r>
        <w:rPr>
          <w:rFonts w:eastAsia="Times New Roman"/>
          <w:lang w:bidi="bn-IN"/>
        </w:rPr>
        <w:t>Industry Trends / Issues / Impacts</w:t>
      </w:r>
      <w:bookmarkEnd w:id="6"/>
    </w:p>
    <w:p>
      <w:pPr>
        <w:pStyle w:val="Normal"/>
        <w:rPr>
          <w:rFonts w:eastAsia="Times New Roman"/>
          <w:lang w:bidi="bn-IN"/>
        </w:rPr>
      </w:pPr>
      <w:r>
        <w:rPr>
          <w:rFonts w:eastAsia="Times New Roman"/>
          <w:lang w:bidi="bn-IN"/>
        </w:rPr>
        <w:t>Welsh Coastal Heritage &amp; Arts Expo is a direct responder to the trends and challenges facing the meetings and events industry across the globe. These factors are critical to know in terms of strategic positioning and future-proofing the event.</w:t>
      </w:r>
    </w:p>
    <w:p>
      <w:pPr>
        <w:pStyle w:val="Normal"/>
        <w:rPr>
          <w:rFonts w:eastAsia="Times New Roman"/>
          <w:b/>
          <w:b/>
          <w:bCs/>
          <w:i/>
          <w:i/>
          <w:iCs/>
          <w:lang w:bidi="bn-IN"/>
        </w:rPr>
      </w:pPr>
      <w:r>
        <w:rPr>
          <w:rFonts w:eastAsia="Times New Roman"/>
          <w:b/>
          <w:bCs/>
          <w:i/>
          <w:iCs/>
          <w:lang w:bidi="bn-IN"/>
        </w:rPr>
        <w:t>Major Industry Trends</w:t>
      </w:r>
    </w:p>
    <w:p>
      <w:pPr>
        <w:pStyle w:val="Normal"/>
        <w:rPr>
          <w:rFonts w:eastAsia="Times New Roman"/>
          <w:lang w:bidi="bn-IN"/>
        </w:rPr>
      </w:pPr>
      <w:r>
        <w:rPr>
          <w:rFonts w:eastAsia="Times New Roman"/>
          <w:lang w:bidi="bn-IN"/>
        </w:rPr>
        <w:t>1. Experimental &amp; Cultural Tourism:</w:t>
      </w:r>
    </w:p>
    <w:p>
      <w:pPr>
        <w:pStyle w:val="Normal"/>
        <w:rPr>
          <w:rFonts w:eastAsia="Times New Roman"/>
          <w:lang w:bidi="bn-IN"/>
        </w:rPr>
      </w:pPr>
      <w:r>
        <w:rPr>
          <w:rFonts w:eastAsia="Times New Roman"/>
          <w:lang w:bidi="bn-IN"/>
        </w:rPr>
        <w:t>Travellers are also looking into more genuine, immersive experiences that allow them to be in touch with the local culture, food, and history (Luigi Fusco Girard and Nijkamp, 2016). The Expo fulfils this need through practical workshops, performances and storytelling based on the Welsh heritage.</w:t>
      </w:r>
    </w:p>
    <w:p>
      <w:pPr>
        <w:pStyle w:val="Normal"/>
        <w:rPr>
          <w:rFonts w:eastAsia="Times New Roman"/>
          <w:lang w:bidi="bn-IN"/>
        </w:rPr>
      </w:pPr>
      <w:r>
        <w:rPr>
          <w:rFonts w:eastAsia="Times New Roman"/>
          <w:lang w:bidi="bn-IN"/>
        </w:rPr>
        <w:t>2. Eco-Tourism and Sustainability:</w:t>
      </w:r>
    </w:p>
    <w:p>
      <w:pPr>
        <w:pStyle w:val="Normal"/>
        <w:rPr>
          <w:rFonts w:eastAsia="Times New Roman"/>
          <w:lang w:bidi="bn-IN"/>
        </w:rPr>
      </w:pPr>
      <w:r>
        <w:rPr>
          <w:rFonts w:eastAsia="Times New Roman"/>
          <w:lang w:bidi="bn-IN"/>
        </w:rPr>
        <w:t>Eco-conscious travel has also experienced a surge in the post-pandemic tourism (Price, 2017). Visitors will likely give their support to events that have good environmental credentials. The sustainability theme of the Expo, with its beach clean-ups, conservation lectures and recyclable materials, directly coincides with this change.</w:t>
      </w:r>
    </w:p>
    <w:p>
      <w:pPr>
        <w:pStyle w:val="Normal"/>
        <w:rPr>
          <w:rFonts w:eastAsia="Times New Roman"/>
          <w:lang w:bidi="bn-IN"/>
        </w:rPr>
      </w:pPr>
      <w:r>
        <w:rPr>
          <w:rFonts w:eastAsia="Times New Roman"/>
          <w:lang w:bidi="bn-IN"/>
        </w:rPr>
        <w:t>3. Digital Impact on the Attendances:</w:t>
      </w:r>
    </w:p>
    <w:p>
      <w:pPr>
        <w:pStyle w:val="Normal"/>
        <w:rPr>
          <w:rFonts w:eastAsia="Times New Roman"/>
          <w:lang w:bidi="bn-IN"/>
        </w:rPr>
      </w:pPr>
      <w:r>
        <w:rPr>
          <w:rFonts w:eastAsia="Times New Roman"/>
          <w:lang w:bidi="bn-IN"/>
        </w:rPr>
        <w:t>The use of social media in promotions and engaging the audience has become a requirement in events. User-generated content, geo-tagged experiences and influencers will assist in generating international interest (Mercer, Hogg and Kelly, 2022). The Expo targets niche travel audiences around the world with the help of digital marketing.</w:t>
      </w:r>
    </w:p>
    <w:p>
      <w:pPr>
        <w:pStyle w:val="Normal"/>
        <w:rPr>
          <w:rFonts w:eastAsia="Times New Roman"/>
          <w:b/>
          <w:b/>
          <w:i/>
          <w:i/>
          <w:iCs/>
          <w:lang w:bidi="bn-IN"/>
        </w:rPr>
      </w:pPr>
      <w:r>
        <w:rPr>
          <w:rFonts w:eastAsia="Times New Roman"/>
          <w:b/>
          <w:i/>
          <w:iCs/>
          <w:lang w:bidi="bn-IN"/>
        </w:rPr>
        <w:t>Present Problems and Consequences</w:t>
      </w:r>
    </w:p>
    <w:p>
      <w:pPr>
        <w:pStyle w:val="Normal"/>
        <w:rPr>
          <w:rFonts w:eastAsia="Times New Roman"/>
          <w:lang w:bidi="bn-IN"/>
        </w:rPr>
      </w:pPr>
      <w:r>
        <w:rPr>
          <w:rFonts w:eastAsia="Times New Roman"/>
          <w:lang w:bidi="bn-IN"/>
        </w:rPr>
        <w:t>1. Weather Dependency:</w:t>
      </w:r>
    </w:p>
    <w:p>
      <w:pPr>
        <w:pStyle w:val="Normal"/>
        <w:rPr>
          <w:rFonts w:eastAsia="Times New Roman"/>
          <w:lang w:bidi="bn-IN"/>
        </w:rPr>
      </w:pPr>
      <w:r>
        <w:rPr>
          <w:rFonts w:eastAsia="Times New Roman"/>
          <w:lang w:bidi="bn-IN"/>
        </w:rPr>
        <w:t>The risks affecting outdoor events in coastal areas are weather-related. As a measure against this, backup indoor facilities such as the Memorial Hall are booked.</w:t>
      </w:r>
    </w:p>
    <w:p>
      <w:pPr>
        <w:pStyle w:val="Normal"/>
        <w:rPr>
          <w:rFonts w:eastAsia="Times New Roman"/>
          <w:lang w:bidi="bn-IN"/>
        </w:rPr>
      </w:pPr>
      <w:r>
        <w:rPr>
          <w:rFonts w:eastAsia="Times New Roman"/>
          <w:lang w:bidi="bn-IN"/>
        </w:rPr>
      </w:r>
    </w:p>
    <w:p>
      <w:pPr>
        <w:pStyle w:val="Normal"/>
        <w:rPr>
          <w:rFonts w:eastAsia="Times New Roman"/>
          <w:lang w:bidi="bn-IN"/>
        </w:rPr>
      </w:pPr>
      <w:r>
        <w:rPr>
          <w:rFonts w:eastAsia="Times New Roman"/>
          <w:lang w:bidi="bn-IN"/>
        </w:rPr>
      </w:r>
    </w:p>
    <w:p>
      <w:pPr>
        <w:pStyle w:val="Normal"/>
        <w:rPr>
          <w:rFonts w:eastAsia="Times New Roman"/>
          <w:lang w:bidi="bn-IN"/>
        </w:rPr>
      </w:pPr>
      <w:r>
        <w:rPr>
          <w:rFonts w:eastAsia="Times New Roman"/>
          <w:lang w:bidi="bn-IN"/>
        </w:rPr>
        <w:t>2. Cost Inflation:</w:t>
      </w:r>
    </w:p>
    <w:p>
      <w:pPr>
        <w:pStyle w:val="Normal"/>
        <w:rPr>
          <w:rFonts w:eastAsia="Times New Roman"/>
          <w:lang w:bidi="bn-IN"/>
        </w:rPr>
      </w:pPr>
      <w:r>
        <w:rPr>
          <w:rFonts w:eastAsia="Times New Roman"/>
          <w:lang w:bidi="bn-IN"/>
        </w:rPr>
        <w:t>An increase in the prices of materials and services can have an impact on the flexibility of the budget. Community partnerships and early contracting with suppliers are two ways to manage expenditures.</w:t>
      </w:r>
    </w:p>
    <w:p>
      <w:pPr>
        <w:pStyle w:val="Normal"/>
        <w:rPr>
          <w:rFonts w:eastAsia="Times New Roman"/>
          <w:lang w:bidi="bn-IN"/>
        </w:rPr>
      </w:pPr>
      <w:r>
        <w:rPr>
          <w:rFonts w:eastAsia="Times New Roman"/>
          <w:lang w:bidi="bn-IN"/>
        </w:rPr>
        <w:t>3. Competitive Landscape:</w:t>
      </w:r>
    </w:p>
    <w:p>
      <w:pPr>
        <w:pStyle w:val="Normal"/>
        <w:rPr>
          <w:rFonts w:eastAsia="Times New Roman"/>
          <w:lang w:bidi="bn-IN"/>
        </w:rPr>
      </w:pPr>
      <w:r>
        <w:rPr>
          <w:rFonts w:eastAsia="Times New Roman"/>
          <w:lang w:bidi="bn-IN"/>
        </w:rPr>
        <w:t>There are a lot of summer events in Wales, so differentiation is essential. The Expo is not another music or food festival, because of its holistic approach, combining arts, heritage and marine conservation (Pappas, 2019).</w:t>
      </w:r>
    </w:p>
    <w:p>
      <w:pPr>
        <w:pStyle w:val="Normal"/>
        <w:rPr>
          <w:rFonts w:eastAsia="Times New Roman"/>
          <w:b/>
          <w:b/>
          <w:i/>
          <w:i/>
          <w:iCs/>
          <w:lang w:bidi="bn-IN"/>
        </w:rPr>
      </w:pPr>
      <w:r>
        <w:rPr>
          <w:rFonts w:eastAsia="Times New Roman"/>
          <w:b/>
          <w:i/>
          <w:iCs/>
          <w:lang w:bidi="bn-IN"/>
        </w:rPr>
        <w:t>Strategic Advantage</w:t>
      </w:r>
    </w:p>
    <w:p>
      <w:pPr>
        <w:pStyle w:val="Normal"/>
        <w:rPr>
          <w:lang w:val="en-US" w:bidi="bn-IN"/>
        </w:rPr>
      </w:pPr>
      <w:r>
        <w:rPr>
          <w:rFonts w:eastAsia="Times New Roman"/>
          <w:lang w:bidi="bn-IN"/>
        </w:rPr>
        <w:t>In following these trends and solving challenges in advance, the Expo becomes more relevant and resilient. The cultural authenticity, eco-tourism and digital outreach that it possesses in a unique blend all point towards its viability as a Welsh signature event in the long term (Luigi Fusco Girard and Nijkamp, 2016).</w:t>
      </w:r>
    </w:p>
    <w:p>
      <w:pPr>
        <w:pStyle w:val="Normal"/>
        <w:spacing w:lineRule="auto" w:line="259"/>
        <w:jc w:val="left"/>
        <w:rPr>
          <w:lang w:val="en-US" w:bidi="bn-IN"/>
        </w:rPr>
      </w:pPr>
      <w:r>
        <w:rPr>
          <w:lang w:val="en-US" w:bidi="bn-IN"/>
        </w:rPr>
      </w:r>
      <w:r>
        <w:br w:type="page"/>
      </w:r>
    </w:p>
    <w:p>
      <w:pPr>
        <w:pStyle w:val="Heading1"/>
        <w:rPr/>
      </w:pPr>
      <w:bookmarkStart w:id="7" w:name="_Toc200639000"/>
      <w:r>
        <w:rPr/>
        <w:t>Situational and Cultural Considerations</w:t>
      </w:r>
      <w:bookmarkEnd w:id="7"/>
    </w:p>
    <w:p>
      <w:pPr>
        <w:pStyle w:val="Normal"/>
        <w:rPr>
          <w:rFonts w:eastAsia="Times New Roman"/>
          <w:lang w:bidi="bn-IN"/>
        </w:rPr>
      </w:pPr>
      <w:r>
        <w:rPr>
          <w:rFonts w:eastAsia="Times New Roman"/>
          <w:lang w:bidi="bn-IN"/>
        </w:rPr>
        <w:t>In determining the bigger picture that affects the Welsh Coastal Heritage &amp; Arts Expo, a SWOT analysis is used to analyse the internal strengths and weaknesses, and the external opportunities and threats.</w:t>
      </w:r>
    </w:p>
    <w:p>
      <w:pPr>
        <w:pStyle w:val="Normal"/>
        <w:rPr>
          <w:b/>
          <w:b/>
          <w:i/>
          <w:i/>
          <w:iCs/>
          <w:lang w:bidi="bn-IN"/>
        </w:rPr>
      </w:pPr>
      <w:r>
        <w:rPr>
          <w:b/>
          <w:i/>
          <w:iCs/>
          <w:lang w:bidi="bn-IN"/>
        </w:rPr>
        <w:t>SWOT Analysis Table</w:t>
      </w:r>
    </w:p>
    <w:tbl>
      <w:tblPr>
        <w:tblStyle w:val="TableGrid"/>
        <w:tblW w:w="9016" w:type="dxa"/>
        <w:jc w:val="left"/>
        <w:tblInd w:w="0" w:type="dxa"/>
        <w:tblCellMar>
          <w:top w:w="0" w:type="dxa"/>
          <w:left w:w="108" w:type="dxa"/>
          <w:bottom w:w="0" w:type="dxa"/>
          <w:right w:w="108" w:type="dxa"/>
        </w:tblCellMar>
        <w:tblLook w:firstRow="1" w:noVBand="1" w:lastRow="0" w:firstColumn="1" w:lastColumn="0" w:noHBand="0" w:val="04a0"/>
      </w:tblPr>
      <w:tblGrid>
        <w:gridCol w:w="4399"/>
        <w:gridCol w:w="4616"/>
      </w:tblGrid>
      <w:tr>
        <w:trPr/>
        <w:tc>
          <w:tcPr>
            <w:tcW w:w="4399" w:type="dxa"/>
            <w:tcBorders/>
            <w:shd w:fill="auto" w:val="clear"/>
          </w:tcPr>
          <w:p>
            <w:pPr>
              <w:pStyle w:val="Normal"/>
              <w:spacing w:lineRule="auto" w:line="240" w:before="0" w:after="0"/>
              <w:jc w:val="center"/>
              <w:rPr>
                <w:b/>
                <w:b/>
                <w:bCs/>
                <w:i/>
                <w:i/>
                <w:iCs/>
                <w:lang w:bidi="bn-IN"/>
              </w:rPr>
            </w:pPr>
            <w:r>
              <w:rPr>
                <w:b/>
                <w:bCs/>
                <w:i/>
                <w:iCs/>
                <w:lang w:val="en-GB" w:bidi="bn-IN"/>
              </w:rPr>
              <w:t>Strengths</w:t>
            </w:r>
          </w:p>
        </w:tc>
        <w:tc>
          <w:tcPr>
            <w:tcW w:w="4616" w:type="dxa"/>
            <w:tcBorders/>
            <w:shd w:fill="auto" w:val="clear"/>
          </w:tcPr>
          <w:p>
            <w:pPr>
              <w:pStyle w:val="Normal"/>
              <w:spacing w:lineRule="auto" w:line="240" w:before="0" w:after="0"/>
              <w:jc w:val="center"/>
              <w:rPr>
                <w:b/>
                <w:b/>
                <w:bCs/>
                <w:i/>
                <w:i/>
                <w:iCs/>
                <w:lang w:bidi="bn-IN"/>
              </w:rPr>
            </w:pPr>
            <w:r>
              <w:rPr>
                <w:b/>
                <w:bCs/>
                <w:i/>
                <w:iCs/>
                <w:lang w:val="en-GB" w:bidi="bn-IN"/>
              </w:rPr>
              <w:t>Weaknesses</w:t>
            </w:r>
          </w:p>
        </w:tc>
      </w:tr>
      <w:tr>
        <w:trPr/>
        <w:tc>
          <w:tcPr>
            <w:tcW w:w="4399" w:type="dxa"/>
            <w:tcBorders/>
            <w:shd w:fill="auto" w:val="clear"/>
          </w:tcPr>
          <w:p>
            <w:pPr>
              <w:pStyle w:val="Normal"/>
              <w:spacing w:lineRule="auto" w:line="240" w:before="0" w:after="0"/>
              <w:rPr>
                <w:lang w:bidi="bn-IN"/>
              </w:rPr>
            </w:pPr>
            <w:r>
              <w:rPr>
                <w:lang w:val="en-GB" w:bidi="bn-IN"/>
              </w:rPr>
              <w:t>Aligned with the Year of Croeso 2025 strategy</w:t>
            </w:r>
          </w:p>
        </w:tc>
        <w:tc>
          <w:tcPr>
            <w:tcW w:w="4616" w:type="dxa"/>
            <w:tcBorders/>
            <w:shd w:fill="auto" w:val="clear"/>
          </w:tcPr>
          <w:p>
            <w:pPr>
              <w:pStyle w:val="Normal"/>
              <w:spacing w:lineRule="auto" w:line="240" w:before="0" w:after="0"/>
              <w:rPr>
                <w:lang w:bidi="bn-IN"/>
              </w:rPr>
            </w:pPr>
            <w:r>
              <w:rPr>
                <w:lang w:val="en-GB" w:bidi="bn-IN"/>
              </w:rPr>
              <w:t>Limited transport access in rural New Quay</w:t>
            </w:r>
          </w:p>
        </w:tc>
      </w:tr>
      <w:tr>
        <w:trPr/>
        <w:tc>
          <w:tcPr>
            <w:tcW w:w="4399" w:type="dxa"/>
            <w:tcBorders/>
            <w:shd w:fill="auto" w:val="clear"/>
          </w:tcPr>
          <w:p>
            <w:pPr>
              <w:pStyle w:val="Normal"/>
              <w:spacing w:lineRule="auto" w:line="240" w:before="0" w:after="0"/>
              <w:rPr>
                <w:lang w:bidi="bn-IN"/>
              </w:rPr>
            </w:pPr>
            <w:r>
              <w:rPr>
                <w:lang w:val="en-GB" w:bidi="bn-IN"/>
              </w:rPr>
              <w:t>Unique blend of arts, culture, and sustainability</w:t>
            </w:r>
          </w:p>
        </w:tc>
        <w:tc>
          <w:tcPr>
            <w:tcW w:w="4616" w:type="dxa"/>
            <w:tcBorders/>
            <w:shd w:fill="auto" w:val="clear"/>
          </w:tcPr>
          <w:p>
            <w:pPr>
              <w:pStyle w:val="Normal"/>
              <w:spacing w:lineRule="auto" w:line="240" w:before="0" w:after="0"/>
              <w:rPr>
                <w:lang w:bidi="bn-IN"/>
              </w:rPr>
            </w:pPr>
            <w:r>
              <w:rPr>
                <w:lang w:val="en-GB" w:bidi="bn-IN"/>
              </w:rPr>
              <w:t>Outdoor venues are vulnerable to weather</w:t>
            </w:r>
          </w:p>
        </w:tc>
      </w:tr>
      <w:tr>
        <w:trPr/>
        <w:tc>
          <w:tcPr>
            <w:tcW w:w="4399" w:type="dxa"/>
            <w:tcBorders/>
            <w:shd w:fill="auto" w:val="clear"/>
          </w:tcPr>
          <w:p>
            <w:pPr>
              <w:pStyle w:val="Normal"/>
              <w:spacing w:lineRule="auto" w:line="240" w:before="0" w:after="0"/>
              <w:rPr>
                <w:lang w:bidi="bn-IN"/>
              </w:rPr>
            </w:pPr>
            <w:r>
              <w:rPr>
                <w:lang w:val="en-GB" w:bidi="bn-IN"/>
              </w:rPr>
              <w:t>Strong local engagement and cultural authenticity</w:t>
            </w:r>
          </w:p>
        </w:tc>
        <w:tc>
          <w:tcPr>
            <w:tcW w:w="4616" w:type="dxa"/>
            <w:tcBorders/>
            <w:shd w:fill="auto" w:val="clear"/>
          </w:tcPr>
          <w:p>
            <w:pPr>
              <w:pStyle w:val="Normal"/>
              <w:spacing w:lineRule="auto" w:line="240" w:before="0" w:after="0"/>
              <w:rPr>
                <w:lang w:bidi="bn-IN"/>
              </w:rPr>
            </w:pPr>
            <w:r>
              <w:rPr>
                <w:lang w:val="en-GB" w:bidi="bn-IN"/>
              </w:rPr>
              <w:t>Limited experience with international-scale events</w:t>
            </w:r>
          </w:p>
        </w:tc>
      </w:tr>
      <w:tr>
        <w:trPr/>
        <w:tc>
          <w:tcPr>
            <w:tcW w:w="4399" w:type="dxa"/>
            <w:tcBorders/>
            <w:shd w:fill="auto" w:val="clear"/>
          </w:tcPr>
          <w:p>
            <w:pPr>
              <w:pStyle w:val="Normal"/>
              <w:spacing w:lineRule="auto" w:line="240" w:before="0" w:after="0"/>
              <w:jc w:val="center"/>
              <w:rPr>
                <w:b/>
                <w:b/>
                <w:bCs/>
                <w:lang w:bidi="bn-IN"/>
              </w:rPr>
            </w:pPr>
            <w:r>
              <w:rPr>
                <w:b/>
                <w:bCs/>
                <w:lang w:val="en-GB" w:bidi="bn-IN"/>
              </w:rPr>
              <w:t>Opportunities</w:t>
            </w:r>
          </w:p>
        </w:tc>
        <w:tc>
          <w:tcPr>
            <w:tcW w:w="4616" w:type="dxa"/>
            <w:tcBorders/>
            <w:shd w:fill="auto" w:val="clear"/>
          </w:tcPr>
          <w:p>
            <w:pPr>
              <w:pStyle w:val="Normal"/>
              <w:spacing w:lineRule="auto" w:line="240" w:before="0" w:after="0"/>
              <w:jc w:val="center"/>
              <w:rPr>
                <w:b/>
                <w:b/>
                <w:bCs/>
                <w:lang w:bidi="bn-IN"/>
              </w:rPr>
            </w:pPr>
            <w:r>
              <w:rPr>
                <w:b/>
                <w:bCs/>
                <w:lang w:val="en-GB" w:bidi="bn-IN"/>
              </w:rPr>
              <w:t>Threats</w:t>
            </w:r>
          </w:p>
        </w:tc>
      </w:tr>
      <w:tr>
        <w:trPr/>
        <w:tc>
          <w:tcPr>
            <w:tcW w:w="4399" w:type="dxa"/>
            <w:tcBorders/>
            <w:shd w:fill="auto" w:val="clear"/>
          </w:tcPr>
          <w:p>
            <w:pPr>
              <w:pStyle w:val="Normal"/>
              <w:spacing w:lineRule="auto" w:line="240" w:before="0" w:after="0"/>
              <w:rPr>
                <w:lang w:bidi="bn-IN"/>
              </w:rPr>
            </w:pPr>
            <w:r>
              <w:rPr>
                <w:lang w:val="en-GB" w:bidi="bn-IN"/>
              </w:rPr>
              <w:t>Growing demand for eco-cultural tourism</w:t>
            </w:r>
          </w:p>
        </w:tc>
        <w:tc>
          <w:tcPr>
            <w:tcW w:w="4616" w:type="dxa"/>
            <w:tcBorders/>
            <w:shd w:fill="auto" w:val="clear"/>
          </w:tcPr>
          <w:p>
            <w:pPr>
              <w:pStyle w:val="Normal"/>
              <w:spacing w:lineRule="auto" w:line="240" w:before="0" w:after="0"/>
              <w:rPr>
                <w:lang w:bidi="bn-IN"/>
              </w:rPr>
            </w:pPr>
            <w:r>
              <w:rPr>
                <w:lang w:val="en-GB" w:bidi="bn-IN"/>
              </w:rPr>
              <w:t>Competition from other summer events in Wales</w:t>
            </w:r>
          </w:p>
        </w:tc>
      </w:tr>
      <w:tr>
        <w:trPr/>
        <w:tc>
          <w:tcPr>
            <w:tcW w:w="4399" w:type="dxa"/>
            <w:tcBorders/>
            <w:shd w:fill="auto" w:val="clear"/>
          </w:tcPr>
          <w:p>
            <w:pPr>
              <w:pStyle w:val="Normal"/>
              <w:spacing w:lineRule="auto" w:line="240" w:before="0" w:after="0"/>
              <w:rPr>
                <w:lang w:bidi="bn-IN"/>
              </w:rPr>
            </w:pPr>
            <w:r>
              <w:rPr>
                <w:lang w:val="en-GB" w:bidi="bn-IN"/>
              </w:rPr>
              <w:t>Potential for media and influencer partnerships</w:t>
            </w:r>
          </w:p>
        </w:tc>
        <w:tc>
          <w:tcPr>
            <w:tcW w:w="4616" w:type="dxa"/>
            <w:tcBorders/>
            <w:shd w:fill="auto" w:val="clear"/>
          </w:tcPr>
          <w:p>
            <w:pPr>
              <w:pStyle w:val="Normal"/>
              <w:spacing w:lineRule="auto" w:line="240" w:before="0" w:after="0"/>
              <w:rPr>
                <w:lang w:bidi="bn-IN"/>
              </w:rPr>
            </w:pPr>
            <w:r>
              <w:rPr>
                <w:lang w:val="en-GB" w:bidi="bn-IN"/>
              </w:rPr>
              <w:t>Economic and travel uncertainties</w:t>
            </w:r>
          </w:p>
        </w:tc>
      </w:tr>
      <w:tr>
        <w:trPr/>
        <w:tc>
          <w:tcPr>
            <w:tcW w:w="4399" w:type="dxa"/>
            <w:tcBorders/>
            <w:shd w:fill="auto" w:val="clear"/>
          </w:tcPr>
          <w:p>
            <w:pPr>
              <w:pStyle w:val="Normal"/>
              <w:spacing w:lineRule="auto" w:line="240" w:before="0" w:after="0"/>
              <w:rPr>
                <w:lang w:bidi="bn-IN"/>
              </w:rPr>
            </w:pPr>
            <w:r>
              <w:rPr>
                <w:lang w:val="en-GB" w:bidi="bn-IN"/>
              </w:rPr>
              <w:t>Scope to evolve into a recurring flagship event</w:t>
            </w:r>
          </w:p>
        </w:tc>
        <w:tc>
          <w:tcPr>
            <w:tcW w:w="4616" w:type="dxa"/>
            <w:tcBorders/>
            <w:shd w:fill="auto" w:val="clear"/>
          </w:tcPr>
          <w:p>
            <w:pPr>
              <w:pStyle w:val="Normal"/>
              <w:spacing w:lineRule="auto" w:line="240" w:before="0" w:after="0"/>
              <w:rPr>
                <w:lang w:bidi="bn-IN"/>
              </w:rPr>
            </w:pPr>
            <w:r>
              <w:rPr>
                <w:lang w:val="en-GB" w:bidi="bn-IN"/>
              </w:rPr>
              <w:t>Weather-related disruptions could impact attendance</w:t>
            </w:r>
          </w:p>
        </w:tc>
      </w:tr>
    </w:tbl>
    <w:p>
      <w:pPr>
        <w:pStyle w:val="Normal"/>
        <w:rPr>
          <w:i/>
          <w:i/>
          <w:iCs/>
          <w:lang w:val="en-US" w:bidi="bn-IN"/>
        </w:rPr>
      </w:pPr>
      <w:r>
        <w:rPr>
          <w:i/>
          <w:iCs/>
          <w:lang w:val="en-US" w:bidi="bn-IN"/>
        </w:rPr>
      </w:r>
    </w:p>
    <w:p>
      <w:pPr>
        <w:pStyle w:val="Normal"/>
        <w:rPr>
          <w:b/>
          <w:b/>
          <w:i/>
          <w:i/>
          <w:iCs/>
          <w:lang w:val="en-US" w:bidi="bn-IN"/>
        </w:rPr>
      </w:pPr>
      <w:r>
        <w:rPr>
          <w:b/>
          <w:i/>
          <w:iCs/>
          <w:lang w:val="en-US" w:bidi="bn-IN"/>
        </w:rPr>
        <w:t>Analysis</w:t>
      </w:r>
    </w:p>
    <w:p>
      <w:pPr>
        <w:pStyle w:val="Normal"/>
        <w:rPr>
          <w:lang w:val="en-US" w:bidi="bn-IN"/>
        </w:rPr>
      </w:pPr>
      <w:r>
        <w:rPr>
          <w:lang w:val="en-US" w:bidi="bn-IN"/>
        </w:rPr>
        <w:t>The event has the advantage of being strategic to national tourism objectives as well as having a clear identity based on the Welsh culture. These advantages provide a buffer against stiff competition and market saturation. Such weaknesses, like accessibility and exposure to weather, are overcome by having backup venues and starting the planning early enough. The increase in conscious tourism and online marketing provides enormous possibilities for growth. Nevertheless, there are threats of uncertain weather conditions and economic strains that should be addressed very carefully. In general, the SWOT is very viable and has a wide range of possibilities to succeed in the long term (Koc, 2020).</w:t>
      </w:r>
    </w:p>
    <w:p>
      <w:pPr>
        <w:pStyle w:val="Heading1"/>
        <w:rPr>
          <w:lang w:val="en-US" w:bidi="bn-IN"/>
        </w:rPr>
      </w:pPr>
      <w:bookmarkStart w:id="8" w:name="_Toc200639001"/>
      <w:r>
        <w:rPr>
          <w:lang w:val="en-US" w:bidi="bn-IN"/>
        </w:rPr>
        <w:t>Conclusion</w:t>
      </w:r>
      <w:bookmarkEnd w:id="8"/>
      <w:r>
        <w:rPr>
          <w:lang w:val="en-US" w:bidi="bn-IN"/>
        </w:rPr>
        <w:t xml:space="preserve"> </w:t>
      </w:r>
    </w:p>
    <w:p>
      <w:pPr>
        <w:pStyle w:val="Normal"/>
        <w:rPr>
          <w:lang w:val="en-US" w:bidi="bn-IN"/>
        </w:rPr>
      </w:pPr>
      <w:r>
        <w:rPr>
          <w:lang w:val="en-US" w:bidi="bn-IN"/>
        </w:rPr>
        <w:t>The Welsh Coastal Heritage &amp; Arts Expo is a strategically planned cultural event which aligns with the objectives of the Visit Wales Year of Croeso 2025 because it will promote heritage, arts and the coastal environment of Wales. The event is covered by relevant considerations of feasibility, sustainability, and international appeal through the organised planning conducted according to the EMBOK framework. It also takes advantage of rising trends in experiential and eco-tourism, and both weather and competition have been addressed as risks through effective operational planning and community participation. Having in mind the clear SMART objectives, sustainable budget, and effective marketing strategies, the Expo has excellent chances to bring cultural value and economic consequences. With the right combination of authenticity and innovation, the event is able not only to contribute a boosted image of Wales in terms of tourism to the world, but also ensures sustainability benefits to the local communities. The Expo can become a calling card event that promotes Welsh identity and provides valuable and unforgettable experiences to foreign guests.</w:t>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Normal"/>
        <w:rPr>
          <w:lang w:val="en-US" w:bidi="bn-IN"/>
        </w:rPr>
      </w:pPr>
      <w:r>
        <w:rPr>
          <w:lang w:val="en-US" w:bidi="bn-IN"/>
        </w:rPr>
      </w:r>
    </w:p>
    <w:p>
      <w:pPr>
        <w:pStyle w:val="Heading1"/>
        <w:rPr>
          <w:lang w:val="en-US" w:bidi="bn-IN"/>
        </w:rPr>
      </w:pPr>
      <w:bookmarkStart w:id="9" w:name="_Toc200639002"/>
      <w:r>
        <w:rPr>
          <w:lang w:val="en-US" w:bidi="bn-IN"/>
        </w:rPr>
        <w:t>References</w:t>
      </w:r>
      <w:bookmarkEnd w:id="9"/>
    </w:p>
    <w:p>
      <w:pPr>
        <w:pStyle w:val="Normal"/>
        <w:rPr>
          <w:b/>
          <w:b/>
          <w:bCs/>
          <w:lang w:val="en-US" w:bidi="bn-IN"/>
        </w:rPr>
      </w:pPr>
      <w:bookmarkStart w:id="10" w:name="_GoBack"/>
      <w:bookmarkEnd w:id="10"/>
      <w:r>
        <w:rPr>
          <w:lang w:val="en-US" w:bidi="bn-IN"/>
        </w:rPr>
        <w:t xml:space="preserve">Biddle, C.L. and Montigaud-Green, V. (2020). A Measure of Success? Utilizing Citation Analysis to Evaluate Consultation Strategies in Oral Communication Courses. </w:t>
      </w:r>
      <w:r>
        <w:rPr>
          <w:i/>
          <w:iCs/>
          <w:lang w:val="en-US" w:bidi="bn-IN"/>
        </w:rPr>
        <w:t>Virginia Libraries</w:t>
      </w:r>
      <w:r>
        <w:rPr>
          <w:lang w:val="en-US" w:bidi="bn-IN"/>
        </w:rPr>
        <w:t>, 64(1), p.3. doi:https://doi.org/10.21061/valib.v64i1.597.</w:t>
      </w:r>
    </w:p>
    <w:p>
      <w:pPr>
        <w:pStyle w:val="Normal"/>
        <w:rPr>
          <w:lang w:val="en-US" w:bidi="bn-IN"/>
        </w:rPr>
      </w:pPr>
      <w:r>
        <w:rPr>
          <w:lang w:val="en-US" w:bidi="bn-IN"/>
        </w:rPr>
        <w:t xml:space="preserve">Edgell, D.L., Maria Delmastro Allen, Smith, G., Swanson, J., Edgell, D.L. and Swanson, J.R. (2018). </w:t>
      </w:r>
      <w:r>
        <w:rPr>
          <w:i/>
          <w:iCs/>
          <w:lang w:val="en-US" w:bidi="bn-IN"/>
        </w:rPr>
        <w:t>Tourism Policy and Planning</w:t>
      </w:r>
      <w:r>
        <w:rPr>
          <w:lang w:val="en-US" w:bidi="bn-IN"/>
        </w:rPr>
        <w:t>. Routledge.</w:t>
      </w:r>
    </w:p>
    <w:p>
      <w:pPr>
        <w:pStyle w:val="Normal"/>
        <w:rPr>
          <w:lang w:val="en-US" w:bidi="bn-IN"/>
        </w:rPr>
      </w:pPr>
      <w:r>
        <w:rPr>
          <w:lang w:val="en-US" w:bidi="bn-IN"/>
        </w:rPr>
        <w:t xml:space="preserve">EMBOK (2022). </w:t>
      </w:r>
      <w:r>
        <w:rPr>
          <w:i/>
          <w:iCs/>
          <w:lang w:val="en-US" w:bidi="bn-IN"/>
        </w:rPr>
        <w:t>EMBOK - Event Management Body of Knowledge - Domains</w:t>
      </w:r>
      <w:r>
        <w:rPr>
          <w:lang w:val="en-US" w:bidi="bn-IN"/>
        </w:rPr>
        <w:t>. [online] www.embok.org. Available at: https://www.embok.org/index.php/domains-page.</w:t>
      </w:r>
    </w:p>
    <w:p>
      <w:pPr>
        <w:pStyle w:val="Normal"/>
        <w:rPr>
          <w:lang w:val="en-US" w:bidi="bn-IN"/>
        </w:rPr>
      </w:pPr>
      <w:r>
        <w:rPr>
          <w:lang w:val="en-US" w:bidi="bn-IN"/>
        </w:rPr>
        <w:t xml:space="preserve">Erick T. Byrd (2021). </w:t>
      </w:r>
      <w:r>
        <w:rPr>
          <w:i/>
          <w:iCs/>
          <w:lang w:val="en-US" w:bidi="bn-IN"/>
        </w:rPr>
        <w:t>Stakeholders in sustainable tourism development and their roles: Applying stakeholder theory to sustainable tourism development</w:t>
      </w:r>
      <w:r>
        <w:rPr>
          <w:lang w:val="en-US" w:bidi="bn-IN"/>
        </w:rPr>
        <w:t>. [online] ResearchGate. Available at: https://www.researchgate.net/publication/235299864_Stakeholders_in_sustainable_tourism_development_and_their_roles_Applying_stakeholder_theory_to_sustainable_tourism_development.</w:t>
      </w:r>
    </w:p>
    <w:p>
      <w:pPr>
        <w:pStyle w:val="Normal"/>
        <w:rPr>
          <w:lang w:val="en-US" w:bidi="bn-IN"/>
        </w:rPr>
      </w:pPr>
      <w:r>
        <w:rPr>
          <w:lang w:val="en-US" w:bidi="bn-IN"/>
        </w:rPr>
        <w:t xml:space="preserve">Greenberg, J.D. and LoBianco, J.L. (2025). </w:t>
      </w:r>
      <w:r>
        <w:rPr>
          <w:i/>
          <w:iCs/>
          <w:lang w:val="en-US" w:bidi="bn-IN"/>
        </w:rPr>
        <w:t>Organization and Administration of Physical Education</w:t>
      </w:r>
      <w:r>
        <w:rPr>
          <w:lang w:val="en-US" w:bidi="bn-IN"/>
        </w:rPr>
        <w:t>. Human Kinetics.</w:t>
      </w:r>
    </w:p>
    <w:p>
      <w:pPr>
        <w:pStyle w:val="Normal"/>
        <w:rPr>
          <w:lang w:val="en-US" w:bidi="bn-IN"/>
        </w:rPr>
      </w:pPr>
      <w:r>
        <w:rPr>
          <w:lang w:val="en-US" w:bidi="bn-IN"/>
        </w:rPr>
        <w:t xml:space="preserve">Kellams, T. (2020). </w:t>
      </w:r>
      <w:r>
        <w:rPr>
          <w:i/>
          <w:iCs/>
          <w:lang w:val="en-US" w:bidi="bn-IN"/>
        </w:rPr>
        <w:t>Smart Goals- Understanding Of The Smart Method For Goal Setting And Achievement</w:t>
      </w:r>
      <w:r>
        <w:rPr>
          <w:lang w:val="en-US" w:bidi="bn-IN"/>
        </w:rPr>
        <w:t>. Independently Published.</w:t>
      </w:r>
    </w:p>
    <w:p>
      <w:pPr>
        <w:pStyle w:val="Normal"/>
        <w:rPr>
          <w:lang w:val="en-US" w:bidi="bn-IN"/>
        </w:rPr>
      </w:pPr>
      <w:r>
        <w:rPr>
          <w:lang w:val="en-US" w:bidi="bn-IN"/>
        </w:rPr>
        <w:t xml:space="preserve">Koc, E. (2020). </w:t>
      </w:r>
      <w:r>
        <w:rPr>
          <w:i/>
          <w:iCs/>
          <w:lang w:val="en-US" w:bidi="bn-IN"/>
        </w:rPr>
        <w:t>Cross-Cultural Aspects of Tourism and Hospitality A Services Marketing and Management Perspective</w:t>
      </w:r>
      <w:r>
        <w:rPr>
          <w:lang w:val="en-US" w:bidi="bn-IN"/>
        </w:rPr>
        <w:t>. Milton: Taylor &amp; Francis Group.</w:t>
      </w:r>
    </w:p>
    <w:p>
      <w:pPr>
        <w:pStyle w:val="Normal"/>
        <w:rPr>
          <w:lang w:val="en-US" w:bidi="bn-IN"/>
        </w:rPr>
      </w:pPr>
      <w:r>
        <w:rPr>
          <w:lang w:val="en-US" w:bidi="bn-IN"/>
        </w:rPr>
        <w:t xml:space="preserve">Luigi Fusco Girard and Nijkamp, P. (2016). </w:t>
      </w:r>
      <w:r>
        <w:rPr>
          <w:i/>
          <w:iCs/>
          <w:lang w:val="en-US" w:bidi="bn-IN"/>
        </w:rPr>
        <w:t>Cultural Tourism and Sustainable Local Development</w:t>
      </w:r>
      <w:r>
        <w:rPr>
          <w:lang w:val="en-US" w:bidi="bn-IN"/>
        </w:rPr>
        <w:t>. Routledge.</w:t>
      </w:r>
    </w:p>
    <w:p>
      <w:pPr>
        <w:pStyle w:val="Normal"/>
        <w:rPr>
          <w:lang w:val="en-US" w:bidi="bn-IN"/>
        </w:rPr>
      </w:pPr>
      <w:r>
        <w:rPr>
          <w:lang w:val="en-US" w:bidi="bn-IN"/>
        </w:rPr>
        <w:t xml:space="preserve">Mercer, C., Hogg, P. and Kelly, J. (2022). </w:t>
      </w:r>
      <w:r>
        <w:rPr>
          <w:i/>
          <w:iCs/>
          <w:lang w:val="en-US" w:bidi="bn-IN"/>
        </w:rPr>
        <w:t>Digital Mammography</w:t>
      </w:r>
      <w:r>
        <w:rPr>
          <w:lang w:val="en-US" w:bidi="bn-IN"/>
        </w:rPr>
        <w:t>. Springer Nature.</w:t>
      </w:r>
    </w:p>
    <w:p>
      <w:pPr>
        <w:pStyle w:val="Normal"/>
        <w:rPr>
          <w:lang w:val="en-US" w:bidi="bn-IN"/>
        </w:rPr>
      </w:pPr>
      <w:r>
        <w:rPr>
          <w:lang w:val="en-US" w:bidi="bn-IN"/>
        </w:rPr>
        <w:t xml:space="preserve">Pappas, N. (2019). CRISIS MANAGEMENT COMMUNICATIONS FOR POPULAR CULTURE EVENTS. </w:t>
      </w:r>
      <w:r>
        <w:rPr>
          <w:i/>
          <w:iCs/>
          <w:lang w:val="en-US" w:bidi="bn-IN"/>
        </w:rPr>
        <w:t>Event Management</w:t>
      </w:r>
      <w:r>
        <w:rPr>
          <w:lang w:val="en-US" w:bidi="bn-IN"/>
        </w:rPr>
        <w:t>, 23(4-5), pp.655–667. doi:https://doi.org/10.3727/152599519x15506259855652.</w:t>
      </w:r>
    </w:p>
    <w:p>
      <w:pPr>
        <w:pStyle w:val="Normal"/>
        <w:rPr>
          <w:lang w:val="en-US" w:bidi="bn-IN"/>
        </w:rPr>
      </w:pPr>
      <w:r>
        <w:rPr>
          <w:lang w:val="en-US" w:bidi="bn-IN"/>
        </w:rPr>
        <w:t xml:space="preserve">Price, R.H. (2017). </w:t>
      </w:r>
      <w:r>
        <w:rPr>
          <w:i/>
          <w:iCs/>
          <w:lang w:val="en-US" w:bidi="bn-IN"/>
        </w:rPr>
        <w:t>Ecotourism and sustainable tourism : management, opportunities and challenges</w:t>
      </w:r>
      <w:r>
        <w:rPr>
          <w:lang w:val="en-US" w:bidi="bn-IN"/>
        </w:rPr>
        <w:t>. Hauppauge, New York: Nova Science Publishers, Inc.</w:t>
      </w:r>
    </w:p>
    <w:p>
      <w:pPr>
        <w:pStyle w:val="Normal"/>
        <w:rPr>
          <w:lang w:val="en-US" w:bidi="bn-IN"/>
        </w:rPr>
      </w:pPr>
      <w:r>
        <w:rPr>
          <w:lang w:val="en-US" w:bidi="bn-IN"/>
        </w:rPr>
        <w:t xml:space="preserve">Travel Trade Wales (2025). </w:t>
      </w:r>
      <w:r>
        <w:rPr>
          <w:i/>
          <w:iCs/>
          <w:lang w:val="en-US" w:bidi="bn-IN"/>
        </w:rPr>
        <w:t>Wales is celebrating a Year of Croeso, a Welsh welcome for visitors</w:t>
      </w:r>
      <w:r>
        <w:rPr>
          <w:lang w:val="en-US" w:bidi="bn-IN"/>
        </w:rPr>
        <w:t>. [online] TravelTrade. Available at: https://traveltrade.visitwales.com/useful-information/toolkit/year-of-croeso.</w:t>
      </w:r>
    </w:p>
    <w:p>
      <w:pPr>
        <w:pStyle w:val="Normal"/>
        <w:rPr>
          <w:lang w:val="en-US" w:bidi="bn-IN"/>
        </w:rPr>
      </w:pPr>
      <w:r>
        <w:rPr>
          <w:lang w:val="en-US" w:bidi="bn-IN"/>
        </w:rPr>
        <w:t xml:space="preserve">Vogel, H.L. (2016). </w:t>
      </w:r>
      <w:r>
        <w:rPr>
          <w:i/>
          <w:iCs/>
          <w:lang w:val="en-US" w:bidi="bn-IN"/>
        </w:rPr>
        <w:t>Travel Industry Economics : A Guide for Financial Analysis</w:t>
      </w:r>
      <w:r>
        <w:rPr>
          <w:lang w:val="en-US" w:bidi="bn-IN"/>
        </w:rPr>
        <w:t>. Cham: Springer International Publishing.</w:t>
      </w:r>
    </w:p>
    <w:p>
      <w:pPr>
        <w:pStyle w:val="Normal"/>
        <w:widowControl/>
        <w:bidi w:val="0"/>
        <w:spacing w:lineRule="auto" w:line="360" w:before="0" w:after="160"/>
        <w:jc w:val="both"/>
        <w:rPr/>
      </w:pPr>
      <w:r>
        <w:rPr>
          <w:lang w:val="en-US" w:bidi="bn-IN"/>
        </w:rPr>
        <w:t xml:space="preserve">Wales Gov (2024). </w:t>
      </w:r>
      <w:r>
        <w:rPr>
          <w:i/>
          <w:iCs/>
          <w:lang w:val="en-US" w:bidi="bn-IN"/>
        </w:rPr>
        <w:t>‘Croeso’ i bawb! A warm Welsh ‘Welcome!’ | GOV.WALES</w:t>
      </w:r>
      <w:r>
        <w:rPr>
          <w:lang w:val="en-US" w:bidi="bn-IN"/>
        </w:rPr>
        <w:t>. [online] GOV.WALES. Available at: https://www.gov.wales/croeso-i-bawb-warm-welsh-welcome.</w:t>
      </w:r>
    </w:p>
    <w:sectPr>
      <w:footerReference w:type="default" r:id="rId2"/>
      <w:type w:val="nextPage"/>
      <w:pgSz w:w="11906" w:h="16838"/>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ptos">
    <w:charset w:val="00"/>
    <w:family w:val="roman"/>
    <w:pitch w:val="variable"/>
  </w:font>
  <w:font w:name="Arial">
    <w:charset w:val="00"/>
    <w:family w:val="roman"/>
    <w:pitch w:val="variable"/>
  </w:font>
  <w:font w:name="Aptos Display">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42723255"/>
    </w:sdtPr>
    <w:sdt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17</w:t>
        </w:r>
        <w:r>
          <w:rPr>
            <w:rStyle w:val="Pagenumber"/>
          </w:rPr>
          <w:fldChar w:fldCharType="end"/>
        </w:r>
      </w:p>
    </w:sdtContent>
  </w:sdt>
  <w:p>
    <w:pPr>
      <w:pStyle w:val="Footer"/>
      <w:ind w:right="360" w:hanging="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Vrinda"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878c0"/>
    <w:pPr>
      <w:widowControl/>
      <w:bidi w:val="0"/>
      <w:spacing w:lineRule="auto" w:line="360" w:before="0" w:after="160"/>
      <w:jc w:val="both"/>
    </w:pPr>
    <w:rPr>
      <w:rFonts w:ascii="Arial" w:hAnsi="Arial" w:eastAsia="Aptos" w:cs="Vrinda"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756c75"/>
    <w:pPr>
      <w:keepNext w:val="true"/>
      <w:keepLines/>
      <w:spacing w:before="240" w:after="0"/>
      <w:outlineLvl w:val="0"/>
    </w:pPr>
    <w:rPr>
      <w:rFonts w:eastAsia="" w:cs="Vrinda" w:cstheme="majorBidi" w:eastAsiaTheme="majorEastAsia"/>
      <w:b/>
      <w:sz w:val="32"/>
      <w:szCs w:val="32"/>
    </w:rPr>
  </w:style>
  <w:style w:type="paragraph" w:styleId="Heading2">
    <w:name w:val="Heading 2"/>
    <w:basedOn w:val="Normal"/>
    <w:next w:val="Normal"/>
    <w:link w:val="Heading2Char"/>
    <w:uiPriority w:val="9"/>
    <w:unhideWhenUsed/>
    <w:qFormat/>
    <w:rsid w:val="00756c75"/>
    <w:pPr>
      <w:keepNext w:val="true"/>
      <w:keepLines/>
      <w:spacing w:before="40" w:after="0"/>
      <w:outlineLvl w:val="1"/>
    </w:pPr>
    <w:rPr>
      <w:rFonts w:eastAsia="" w:cs="Vrinda" w:cstheme="majorBidi" w:eastAsiaTheme="majorEastAsia"/>
      <w:b/>
      <w:sz w:val="28"/>
      <w:szCs w:val="26"/>
    </w:rPr>
  </w:style>
  <w:style w:type="paragraph" w:styleId="Heading3">
    <w:name w:val="Heading 3"/>
    <w:basedOn w:val="Normal"/>
    <w:next w:val="Normal"/>
    <w:link w:val="Heading3Char"/>
    <w:uiPriority w:val="9"/>
    <w:unhideWhenUsed/>
    <w:qFormat/>
    <w:rsid w:val="00b554f1"/>
    <w:pPr>
      <w:keepNext w:val="true"/>
      <w:keepLines/>
      <w:spacing w:before="40" w:after="0"/>
      <w:outlineLvl w:val="2"/>
    </w:pPr>
    <w:rPr>
      <w:rFonts w:ascii="Aptos Display" w:hAnsi="Aptos Display" w:eastAsia="" w:cs="Vrinda" w:asciiTheme="majorHAnsi" w:cstheme="majorBidi" w:eastAsiaTheme="majorEastAsia" w:hAnsiTheme="majorHAnsi"/>
      <w:color w:val="0A2F40" w:themeColor="accent1" w:themeShade="7f"/>
      <w:szCs w:val="24"/>
    </w:rPr>
  </w:style>
  <w:style w:type="paragraph" w:styleId="Heading4">
    <w:name w:val="Heading 4"/>
    <w:basedOn w:val="Normal"/>
    <w:next w:val="Normal"/>
    <w:link w:val="Heading4Char"/>
    <w:uiPriority w:val="9"/>
    <w:unhideWhenUsed/>
    <w:qFormat/>
    <w:rsid w:val="00b554f1"/>
    <w:pPr>
      <w:keepNext w:val="true"/>
      <w:keepLines/>
      <w:spacing w:before="40" w:after="0"/>
      <w:outlineLvl w:val="3"/>
    </w:pPr>
    <w:rPr>
      <w:rFonts w:ascii="Aptos Display" w:hAnsi="Aptos Display" w:eastAsia="" w:cs="Vrinda" w:asciiTheme="majorHAnsi" w:cstheme="majorBidi" w:eastAsiaTheme="majorEastAsia" w:hAnsiTheme="majorHAnsi"/>
      <w:i/>
      <w:iCs/>
      <w:color w:val="0F4761" w:themeColor="accent1" w:themeShade="bf"/>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756c75"/>
    <w:rPr>
      <w:rFonts w:ascii="Arial" w:hAnsi="Arial" w:eastAsia="" w:cs="Vrinda" w:cstheme="majorBidi" w:eastAsiaTheme="majorEastAsia"/>
      <w:b/>
      <w:sz w:val="32"/>
      <w:szCs w:val="32"/>
      <w:lang w:val="en-GB"/>
    </w:rPr>
  </w:style>
  <w:style w:type="character" w:styleId="Heading2Char" w:customStyle="1">
    <w:name w:val="Heading 2 Char"/>
    <w:basedOn w:val="DefaultParagraphFont"/>
    <w:link w:val="Heading2"/>
    <w:uiPriority w:val="9"/>
    <w:qFormat/>
    <w:rsid w:val="00756c75"/>
    <w:rPr>
      <w:rFonts w:ascii="Arial" w:hAnsi="Arial" w:eastAsia="" w:cs="Vrinda" w:cstheme="majorBidi" w:eastAsiaTheme="majorEastAsia"/>
      <w:b/>
      <w:sz w:val="28"/>
      <w:szCs w:val="26"/>
      <w:lang w:val="en-GB"/>
    </w:rPr>
  </w:style>
  <w:style w:type="character" w:styleId="HeaderChar" w:customStyle="1">
    <w:name w:val="Header Char"/>
    <w:basedOn w:val="DefaultParagraphFont"/>
    <w:link w:val="Header"/>
    <w:uiPriority w:val="99"/>
    <w:qFormat/>
    <w:rsid w:val="00d15b65"/>
    <w:rPr>
      <w:rFonts w:ascii="Arial" w:hAnsi="Arial"/>
      <w:sz w:val="24"/>
      <w:lang w:val="en-GB"/>
    </w:rPr>
  </w:style>
  <w:style w:type="character" w:styleId="FooterChar" w:customStyle="1">
    <w:name w:val="Footer Char"/>
    <w:basedOn w:val="DefaultParagraphFont"/>
    <w:link w:val="Footer"/>
    <w:uiPriority w:val="99"/>
    <w:qFormat/>
    <w:rsid w:val="00d15b65"/>
    <w:rPr>
      <w:rFonts w:ascii="Arial" w:hAnsi="Arial"/>
      <w:sz w:val="24"/>
      <w:lang w:val="en-GB"/>
    </w:rPr>
  </w:style>
  <w:style w:type="character" w:styleId="Heading3Char" w:customStyle="1">
    <w:name w:val="Heading 3 Char"/>
    <w:basedOn w:val="DefaultParagraphFont"/>
    <w:link w:val="Heading3"/>
    <w:uiPriority w:val="9"/>
    <w:semiHidden/>
    <w:qFormat/>
    <w:rsid w:val="00b554f1"/>
    <w:rPr>
      <w:rFonts w:ascii="Aptos Display" w:hAnsi="Aptos Display" w:eastAsia="" w:cs="Vrinda" w:asciiTheme="majorHAnsi" w:cstheme="majorBidi" w:eastAsiaTheme="majorEastAsia" w:hAnsiTheme="majorHAnsi"/>
      <w:color w:val="0A2F40" w:themeColor="accent1" w:themeShade="7f"/>
      <w:sz w:val="24"/>
      <w:szCs w:val="24"/>
      <w:lang w:val="en-GB"/>
    </w:rPr>
  </w:style>
  <w:style w:type="character" w:styleId="Heading4Char" w:customStyle="1">
    <w:name w:val="Heading 4 Char"/>
    <w:basedOn w:val="DefaultParagraphFont"/>
    <w:link w:val="Heading4"/>
    <w:uiPriority w:val="9"/>
    <w:semiHidden/>
    <w:qFormat/>
    <w:rsid w:val="00b554f1"/>
    <w:rPr>
      <w:rFonts w:ascii="Aptos Display" w:hAnsi="Aptos Display" w:eastAsia="" w:cs="Vrinda" w:asciiTheme="majorHAnsi" w:cstheme="majorBidi" w:eastAsiaTheme="majorEastAsia" w:hAnsiTheme="majorHAnsi"/>
      <w:i/>
      <w:iCs/>
      <w:color w:val="0F4761" w:themeColor="accent1" w:themeShade="bf"/>
      <w:sz w:val="24"/>
      <w:lang w:val="en-GB"/>
    </w:rPr>
  </w:style>
  <w:style w:type="character" w:styleId="InternetLink">
    <w:name w:val="Internet Link"/>
    <w:basedOn w:val="DefaultParagraphFont"/>
    <w:uiPriority w:val="99"/>
    <w:unhideWhenUsed/>
    <w:rsid w:val="00162516"/>
    <w:rPr>
      <w:color w:val="467886" w:themeColor="hyperlink"/>
      <w:u w:val="single"/>
    </w:rPr>
  </w:style>
  <w:style w:type="character" w:styleId="Strong">
    <w:name w:val="Strong"/>
    <w:basedOn w:val="DefaultParagraphFont"/>
    <w:uiPriority w:val="22"/>
    <w:qFormat/>
    <w:rsid w:val="006e41f3"/>
    <w:rPr>
      <w:b/>
      <w:bCs/>
    </w:rPr>
  </w:style>
  <w:style w:type="character" w:styleId="Emphasis">
    <w:name w:val="Emphasis"/>
    <w:basedOn w:val="DefaultParagraphFont"/>
    <w:uiPriority w:val="20"/>
    <w:qFormat/>
    <w:rsid w:val="002f33f8"/>
    <w:rPr>
      <w:i/>
      <w:iCs/>
    </w:rPr>
  </w:style>
  <w:style w:type="character" w:styleId="Overflowhidden" w:customStyle="1">
    <w:name w:val="overflow-hidden"/>
    <w:basedOn w:val="DefaultParagraphFont"/>
    <w:qFormat/>
    <w:rsid w:val="00a96917"/>
    <w:rPr/>
  </w:style>
  <w:style w:type="character" w:styleId="Pagenumber">
    <w:name w:val="page number"/>
    <w:basedOn w:val="DefaultParagraphFont"/>
    <w:uiPriority w:val="99"/>
    <w:semiHidden/>
    <w:unhideWhenUsed/>
    <w:qFormat/>
    <w:rsid w:val="00c36449"/>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eastAsia="Aptos" w:cs="Arial"/>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eastAsia="Times New Roman" w:cs="Vrinda"/>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
    <w:name w:val="Header"/>
    <w:basedOn w:val="Normal"/>
    <w:link w:val="HeaderChar"/>
    <w:uiPriority w:val="99"/>
    <w:unhideWhenUsed/>
    <w:rsid w:val="00d15b65"/>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d15b65"/>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unhideWhenUsed/>
    <w:qFormat/>
    <w:rsid w:val="00162516"/>
    <w:pPr>
      <w:spacing w:lineRule="auto" w:line="259"/>
      <w:jc w:val="left"/>
    </w:pPr>
    <w:rPr>
      <w:rFonts w:ascii="Aptos Display" w:hAnsi="Aptos Display" w:asciiTheme="majorHAnsi" w:hAnsiTheme="majorHAnsi"/>
      <w:b w:val="false"/>
      <w:color w:val="0F4761" w:themeColor="accent1" w:themeShade="bf"/>
      <w:lang w:val="en-US"/>
    </w:rPr>
  </w:style>
  <w:style w:type="paragraph" w:styleId="Contents1">
    <w:name w:val="TOC 1"/>
    <w:basedOn w:val="Normal"/>
    <w:next w:val="Normal"/>
    <w:autoRedefine/>
    <w:uiPriority w:val="39"/>
    <w:unhideWhenUsed/>
    <w:rsid w:val="00162516"/>
    <w:pPr>
      <w:spacing w:before="0" w:after="100"/>
    </w:pPr>
    <w:rPr/>
  </w:style>
  <w:style w:type="paragraph" w:styleId="ListParagraph">
    <w:name w:val="List Paragraph"/>
    <w:basedOn w:val="Normal"/>
    <w:uiPriority w:val="34"/>
    <w:qFormat/>
    <w:rsid w:val="0049506a"/>
    <w:pPr>
      <w:spacing w:before="0" w:after="160"/>
      <w:ind w:left="720" w:hanging="0"/>
      <w:contextualSpacing/>
    </w:pPr>
    <w:rPr/>
  </w:style>
  <w:style w:type="paragraph" w:styleId="Contents2">
    <w:name w:val="TOC 2"/>
    <w:basedOn w:val="Normal"/>
    <w:next w:val="Normal"/>
    <w:autoRedefine/>
    <w:uiPriority w:val="39"/>
    <w:unhideWhenUsed/>
    <w:rsid w:val="00976cc7"/>
    <w:pPr>
      <w:spacing w:before="0" w:after="100"/>
      <w:ind w:left="240" w:hanging="0"/>
    </w:pPr>
    <w:rPr/>
  </w:style>
  <w:style w:type="paragraph" w:styleId="Contents3">
    <w:name w:val="TOC 3"/>
    <w:basedOn w:val="Normal"/>
    <w:next w:val="Normal"/>
    <w:autoRedefine/>
    <w:uiPriority w:val="39"/>
    <w:unhideWhenUsed/>
    <w:rsid w:val="00532f8b"/>
    <w:pPr>
      <w:spacing w:before="0" w:after="100"/>
      <w:ind w:left="48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GridTable1Light">
    <w:name w:val="Grid Table 1 Light"/>
    <w:basedOn w:val="TableNormal"/>
    <w:uiPriority w:val="46"/>
    <w:rsid w:val="00af6a34"/>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 w:type="table" w:styleId="TableGrid">
    <w:name w:val="Table Grid"/>
    <w:basedOn w:val="TableNormal"/>
    <w:uiPriority w:val="39"/>
    <w:rsid w:val="00d46f3e"/>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7Colorful-Accent6">
    <w:name w:val="Grid Table 7 Colorful Accent 6"/>
    <w:basedOn w:val="TableNormal"/>
    <w:uiPriority w:val="52"/>
    <w:rsid w:val="00ee1fb3"/>
    <w:pPr>
      <w:spacing w:after="0" w:line="240" w:lineRule="auto"/>
    </w:pPr>
    <w:rPr>
      <w:color w:val="3A7C22" w:themeColor="accent6" w:themeShade="bf"/>
    </w:rPr>
    <w:tblPr>
      <w:tblStyleRowBandSize w:val="1"/>
      <w:tblStyleColBandSize w:val="1"/>
      <w:tblBorders>
        <w:top w:val="single" w:color="8DD873" w:themeColor="accent6" w:themeTint="99" w:sz="4" w:space="0"/>
        <w:left w:val="single" w:color="8DD873" w:themeColor="accent6" w:themeTint="99" w:sz="4" w:space="0"/>
        <w:bottom w:val="single" w:color="8DD873" w:themeColor="accent6" w:themeTint="99" w:sz="4" w:space="0"/>
        <w:right w:val="single" w:color="8DD873" w:themeColor="accent6" w:themeTint="99" w:sz="4" w:space="0"/>
        <w:insideH w:val="single" w:color="8DD873" w:themeColor="accent6" w:themeTint="99" w:sz="4" w:space="0"/>
        <w:insideV w:val="single" w:color="8DD873"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color="8DD873" w:themeColor="accent6" w:sz="4" w:space="0"/>
        </w:tcBorders>
      </w:tcPr>
    </w:tblStylePr>
    <w:tblStylePr w:type="nwCell">
      <w:tblPr/>
      <w:tcPr>
        <w:tcBorders>
          <w:bottom w:val="single" w:color="8DD873" w:themeColor="accent6" w:sz="4" w:space="0"/>
        </w:tcBorders>
      </w:tcPr>
    </w:tblStylePr>
    <w:tblStylePr w:type="seCell">
      <w:tblPr/>
      <w:tcPr>
        <w:tcBorders>
          <w:top w:val="single" w:color="8DD873" w:themeColor="accent6" w:sz="4" w:space="0"/>
        </w:tcBorders>
      </w:tcPr>
    </w:tblStylePr>
    <w:tblStylePr w:type="swCell">
      <w:tblPr/>
      <w:tcPr>
        <w:tcBorders>
          <w:top w:val="single" w:color="8DD873" w:themeColor="accent6" w:sz="4" w:space="0"/>
        </w:tcBorders>
      </w:tcPr>
    </w:tblStylePr>
  </w:style>
  <w:style w:type="table" w:styleId="GridTable5Dark-Accent6">
    <w:name w:val="Grid Table 5 Dark Accent 6"/>
    <w:basedOn w:val="TableNormal"/>
    <w:uiPriority w:val="50"/>
    <w:rsid w:val="00fa07eb"/>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F2D0"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EA72E"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EA72E"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EA72E"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Accent3">
    <w:name w:val="Grid Table 6 Colorful Accent 3"/>
    <w:basedOn w:val="TableNormal"/>
    <w:uiPriority w:val="51"/>
    <w:rsid w:val="00fa07eb"/>
    <w:pPr>
      <w:spacing w:after="0" w:line="240" w:lineRule="auto"/>
    </w:pPr>
    <w:rPr>
      <w:color w:val="124F1A" w:themeColor="accent3" w:themeShade="bf"/>
    </w:rPr>
    <w:tblPr>
      <w:tblStyleRowBandSize w:val="1"/>
      <w:tblStyleColBandSize w:val="1"/>
      <w:tblBorders>
        <w:top w:val="single" w:color="47D459" w:themeColor="accent3" w:themeTint="99" w:sz="4" w:space="0"/>
        <w:left w:val="single" w:color="47D459" w:themeColor="accent3" w:themeTint="99" w:sz="4" w:space="0"/>
        <w:bottom w:val="single" w:color="47D459" w:themeColor="accent3" w:themeTint="99" w:sz="4" w:space="0"/>
        <w:right w:val="single" w:color="47D459" w:themeColor="accent3" w:themeTint="99" w:sz="4" w:space="0"/>
        <w:insideH w:val="single" w:color="47D459" w:themeColor="accent3" w:themeTint="99" w:sz="4" w:space="0"/>
        <w:insideV w:val="single" w:color="47D459" w:themeColor="accent3" w:themeTint="99" w:sz="4" w:space="0"/>
      </w:tblBorders>
    </w:tblPr>
    <w:tblStylePr w:type="firstRow">
      <w:rPr>
        <w:b/>
        <w:bCs/>
      </w:rPr>
      <w:tblPr/>
      <w:tcPr>
        <w:tcBorders>
          <w:bottom w:val="single" w:color="47D459" w:themeColor="accent3" w:sz="12" w:space="0"/>
        </w:tcBorders>
      </w:tcPr>
    </w:tblStylePr>
    <w:tblStylePr w:type="lastRow">
      <w:rPr>
        <w:b/>
        <w:bCs/>
      </w:rPr>
      <w:tblPr/>
      <w:tcPr>
        <w:tcBorders>
          <w:top w:val="double" w:color="47D459" w:themeColor="accent3" w:sz="4" w:space="0"/>
        </w:tcBorders>
      </w:tcPr>
    </w:tblStylePr>
    <w:tblStylePr w:type="firstCol">
      <w:rPr>
        <w:b/>
        <w:bCs/>
      </w:rPr>
      <w:tblPr/>
    </w:tblStylePr>
    <w:tblStylePr w:type="lastCol">
      <w:rPr>
        <w:b/>
        <w:bCs/>
      </w:rPr>
      <w:tbl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3-Accent6">
    <w:name w:val="List Table 3 Accent 6"/>
    <w:basedOn w:val="TableNormal"/>
    <w:uiPriority w:val="48"/>
    <w:rsid w:val="00a162bc"/>
    <w:pPr>
      <w:spacing w:after="0" w:line="240" w:lineRule="auto"/>
    </w:pPr>
    <w:tblPr>
      <w:tblStyleRowBandSize w:val="1"/>
      <w:tblStyleColBandSize w:val="1"/>
      <w:tblBorders>
        <w:top w:val="single" w:color="4EA72E" w:themeColor="accent6" w:sz="4" w:space="0"/>
        <w:left w:val="single" w:color="4EA72E" w:themeColor="accent6" w:sz="4" w:space="0"/>
        <w:bottom w:val="single" w:color="4EA72E" w:themeColor="accent6" w:sz="4" w:space="0"/>
        <w:right w:val="single" w:color="4EA72E" w:themeColor="accent6" w:sz="4" w:space="0"/>
      </w:tblBorders>
    </w:tblPr>
    <w:tblStylePr w:type="firstRow">
      <w:rPr>
        <w:b/>
        <w:bCs/>
        <w:color w:val="FFFFFF" w:themeColor="background1"/>
      </w:rPr>
      <w:tblPr/>
      <w:tcPr>
        <w:shd w:val="clear" w:color="auto" w:fill="4EA72E" w:themeFill="accent6"/>
      </w:tcPr>
    </w:tblStylePr>
    <w:tblStylePr w:type="lastRow">
      <w:rPr>
        <w:b/>
        <w:bCs/>
      </w:rPr>
      <w:tblPr/>
      <w:tcPr>
        <w:tcBorders>
          <w:top w:val="double" w:color="4EA72E"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EA72E" w:themeColor="accent6" w:sz="4" w:space="0"/>
          <w:right w:val="single" w:color="4EA72E" w:themeColor="accent6" w:sz="4" w:space="0"/>
        </w:tcBorders>
      </w:tcPr>
    </w:tblStylePr>
    <w:tblStylePr w:type="band1Horz">
      <w:tblPr/>
      <w:tcPr>
        <w:tcBorders>
          <w:top w:val="single" w:color="4EA72E" w:themeColor="accent6" w:sz="4" w:space="0"/>
          <w:bottom w:val="single" w:color="4EA72E"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EA72E" w:themeColor="accent6" w:sz="4" w:space="0"/>
          <w:left w:val="nil"/>
        </w:tcBorders>
      </w:tcPr>
    </w:tblStylePr>
    <w:tblStylePr w:type="swCell">
      <w:tblPr/>
      <w:tcPr>
        <w:tcBorders>
          <w:top w:val="double" w:color="4EA72E" w:themeColor="accent6" w:sz="4" w:space="0"/>
          <w:right w:val="nil"/>
        </w:tcBorders>
      </w:tcPr>
    </w:tblStylePr>
  </w:style>
  <w:style w:type="table" w:styleId="ListTable4-Accent6">
    <w:name w:val="List Table 4 Accent 6"/>
    <w:basedOn w:val="TableNormal"/>
    <w:uiPriority w:val="49"/>
    <w:rsid w:val="00a162bc"/>
    <w:pPr>
      <w:spacing w:after="0" w:line="240" w:lineRule="auto"/>
    </w:pPr>
    <w:tblPr>
      <w:tblStyleRowBandSize w:val="1"/>
      <w:tblStyleColBandSize w:val="1"/>
      <w:tblBorders>
        <w:top w:val="single" w:color="8DD873" w:themeColor="accent6" w:themeTint="99" w:sz="4" w:space="0"/>
        <w:left w:val="single" w:color="8DD873" w:themeColor="accent6" w:themeTint="99" w:sz="4" w:space="0"/>
        <w:bottom w:val="single" w:color="8DD873" w:themeColor="accent6" w:themeTint="99" w:sz="4" w:space="0"/>
        <w:right w:val="single" w:color="8DD873" w:themeColor="accent6" w:themeTint="99" w:sz="4" w:space="0"/>
        <w:insideH w:val="single" w:color="8DD873" w:themeColor="accent6" w:themeTint="99" w:sz="4" w:space="0"/>
      </w:tblBorders>
    </w:tblPr>
    <w:tblStylePr w:type="firstRow">
      <w:rPr>
        <w:b/>
        <w:bCs/>
        <w:color w:val="FFFFFF" w:themeColor="background1"/>
      </w:rPr>
      <w:tblPr/>
      <w:tcPr>
        <w:tcBorders>
          <w:top w:val="single" w:color="4EA72E" w:themeColor="accent6" w:sz="4" w:space="0"/>
          <w:left w:val="single" w:color="4EA72E" w:themeColor="accent6" w:sz="4" w:space="0"/>
          <w:bottom w:val="single" w:color="4EA72E" w:themeColor="accent6" w:sz="4" w:space="0"/>
          <w:right w:val="single" w:color="4EA72E" w:themeColor="accent6" w:sz="4" w:space="0"/>
          <w:insideH w:val="nil"/>
        </w:tcBorders>
        <w:shd w:val="clear" w:color="auto" w:fill="4EA72E" w:themeFill="accent6"/>
      </w:tcPr>
    </w:tblStylePr>
    <w:tblStylePr w:type="lastRow">
      <w:rPr>
        <w:b/>
        <w:bCs/>
      </w:rPr>
      <w:tblPr/>
      <w:tcPr>
        <w:tcBorders>
          <w:top w:val="double" w:color="8DD873" w:themeColor="accent6" w:sz="4" w:space="0"/>
        </w:tcBorders>
      </w:tcPr>
    </w:tblStylePr>
    <w:tblStylePr w:type="firstCol">
      <w:rPr>
        <w:b/>
        <w:bCs/>
      </w:rPr>
      <w:tblPr/>
    </w:tblStylePr>
    <w:tblStylePr w:type="lastCol">
      <w:rPr>
        <w:b/>
        <w:bCs/>
      </w:rPr>
      <w:tbl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1DD59-609E-4C9C-A606-E7FCD5593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Trio_Office/6.2.8.2$Windows_x86 LibreOffice_project/</Application>
  <Pages>17</Pages>
  <Words>2669</Words>
  <Characters>16065</Characters>
  <CharactersWithSpaces>18550</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2025-06-12T09:30:00Z</dcterms:created>
  <dc:creator/>
  <dc:description/>
  <dc:language>en-GB</dc:language>
  <cp:lastModifiedBy/>
  <dcterms:modified xsi:type="dcterms:W3CDTF">2025-06-13T23:09:25Z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6fe88566e65544c7f0fe5531b734e5c297fc40176ea2794c49a17e8da8d7ae21</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