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B3CA3A" w14:textId="058163A7" w:rsidR="006C6194" w:rsidRDefault="006C6194">
      <w:pPr>
        <w:spacing w:before="200" w:after="200" w:line="360" w:lineRule="auto"/>
        <w:jc w:val="both"/>
        <w:rPr>
          <w:rFonts w:ascii="Calibri" w:eastAsia="Calibri" w:hAnsi="Calibri" w:cs="Calibri"/>
          <w:b/>
          <w:bCs/>
          <w:sz w:val="24"/>
          <w:szCs w:val="24"/>
        </w:rPr>
      </w:pPr>
    </w:p>
    <w:p w14:paraId="0C61BA7C" w14:textId="6EEDE1B8" w:rsidR="006C6194" w:rsidRDefault="005C3659">
      <w:pPr>
        <w:widowControl w:val="0"/>
        <w:spacing w:before="200" w:after="200" w:line="360" w:lineRule="auto"/>
        <w:ind w:left="130"/>
        <w:jc w:val="center"/>
        <w:rPr>
          <w:rFonts w:ascii="Calibri" w:eastAsia="Calibri" w:hAnsi="Calibri" w:cs="Calibri"/>
          <w:b/>
          <w:bCs/>
          <w:sz w:val="44"/>
          <w:szCs w:val="44"/>
        </w:rPr>
      </w:pPr>
      <w:r>
        <w:rPr>
          <w:rFonts w:ascii="Calibri" w:eastAsia="Calibri" w:hAnsi="Calibri" w:cs="Calibri"/>
          <w:b/>
          <w:bCs/>
          <w:sz w:val="44"/>
          <w:szCs w:val="44"/>
        </w:rPr>
        <w:t xml:space="preserve">MODULE CODE: LCBB6023 </w:t>
      </w:r>
    </w:p>
    <w:p w14:paraId="1C3BEF5B" w14:textId="48F264E6" w:rsidR="006C6194" w:rsidRDefault="00F338FD">
      <w:pPr>
        <w:widowControl w:val="0"/>
        <w:spacing w:before="200" w:after="200" w:line="360" w:lineRule="auto"/>
        <w:ind w:left="128"/>
        <w:jc w:val="center"/>
        <w:rPr>
          <w:rFonts w:ascii="Calibri" w:eastAsia="Calibri" w:hAnsi="Calibri" w:cs="Calibri"/>
          <w:b/>
          <w:bCs/>
          <w:sz w:val="36"/>
          <w:szCs w:val="36"/>
        </w:rPr>
      </w:pPr>
      <w:r>
        <w:rPr>
          <w:rFonts w:ascii="Calibri" w:eastAsia="Calibri" w:hAnsi="Calibri" w:cs="Calibri"/>
          <w:b/>
          <w:bCs/>
          <w:sz w:val="36"/>
          <w:szCs w:val="36"/>
        </w:rPr>
        <w:t>MODULE: INTERNATIONAL BUSINESS COMMUNICATIONS</w:t>
      </w:r>
    </w:p>
    <w:p w14:paraId="425A3FE7" w14:textId="41B6E1DC" w:rsidR="006C6194" w:rsidRDefault="00F338FD">
      <w:pPr>
        <w:spacing w:before="200" w:after="200" w:line="360" w:lineRule="auto"/>
        <w:jc w:val="center"/>
        <w:rPr>
          <w:rFonts w:ascii="Calibri" w:eastAsia="Calibri" w:hAnsi="Calibri" w:cs="Calibri"/>
          <w:b/>
          <w:bCs/>
          <w:sz w:val="36"/>
          <w:szCs w:val="36"/>
        </w:rPr>
      </w:pPr>
      <w:r>
        <w:rPr>
          <w:rFonts w:ascii="Calibri" w:eastAsia="Calibri" w:hAnsi="Calibri" w:cs="Calibri"/>
          <w:b/>
          <w:bCs/>
          <w:sz w:val="36"/>
          <w:szCs w:val="36"/>
        </w:rPr>
        <w:t>ASSIGNMENT TITLE: COMPONENT 2: ESSAY</w:t>
      </w:r>
    </w:p>
    <w:p w14:paraId="1B5247D7" w14:textId="77777777" w:rsidR="006C6194" w:rsidRDefault="006C6194">
      <w:pPr>
        <w:spacing w:before="200" w:after="200" w:line="360" w:lineRule="auto"/>
        <w:jc w:val="center"/>
        <w:rPr>
          <w:rFonts w:ascii="Calibri" w:eastAsia="Calibri" w:hAnsi="Calibri" w:cs="Calibri"/>
          <w:b/>
          <w:bCs/>
          <w:sz w:val="36"/>
          <w:szCs w:val="36"/>
        </w:rPr>
      </w:pPr>
    </w:p>
    <w:p w14:paraId="3E9AC6D7" w14:textId="77777777" w:rsidR="006C6194" w:rsidRDefault="006C6194">
      <w:pPr>
        <w:spacing w:before="200" w:after="200" w:line="360" w:lineRule="auto"/>
        <w:jc w:val="center"/>
        <w:rPr>
          <w:rFonts w:ascii="Calibri" w:eastAsia="Calibri" w:hAnsi="Calibri" w:cs="Calibri"/>
          <w:b/>
          <w:bCs/>
          <w:sz w:val="36"/>
          <w:szCs w:val="36"/>
        </w:rPr>
      </w:pPr>
    </w:p>
    <w:p w14:paraId="52CB07BC" w14:textId="77777777" w:rsidR="006C6194" w:rsidRDefault="006C6194">
      <w:pPr>
        <w:spacing w:before="200" w:after="200" w:line="360" w:lineRule="auto"/>
        <w:jc w:val="center"/>
        <w:rPr>
          <w:rFonts w:ascii="Calibri" w:eastAsia="Calibri" w:hAnsi="Calibri" w:cs="Calibri"/>
          <w:b/>
          <w:bCs/>
          <w:sz w:val="36"/>
          <w:szCs w:val="36"/>
        </w:rPr>
      </w:pPr>
    </w:p>
    <w:p w14:paraId="51F4AB23" w14:textId="77777777" w:rsidR="006C6194" w:rsidRDefault="006C6194">
      <w:pPr>
        <w:spacing w:before="200" w:after="200" w:line="360" w:lineRule="auto"/>
        <w:jc w:val="center"/>
        <w:rPr>
          <w:rFonts w:ascii="Calibri" w:eastAsia="Calibri" w:hAnsi="Calibri" w:cs="Calibri"/>
          <w:b/>
          <w:bCs/>
          <w:sz w:val="36"/>
          <w:szCs w:val="36"/>
        </w:rPr>
      </w:pPr>
    </w:p>
    <w:p w14:paraId="32563083" w14:textId="77777777" w:rsidR="006C6194" w:rsidRDefault="006C6194">
      <w:pPr>
        <w:spacing w:before="200" w:after="200" w:line="360" w:lineRule="auto"/>
        <w:jc w:val="center"/>
        <w:rPr>
          <w:rFonts w:ascii="Calibri" w:eastAsia="Calibri" w:hAnsi="Calibri" w:cs="Calibri"/>
          <w:b/>
          <w:bCs/>
          <w:sz w:val="36"/>
          <w:szCs w:val="36"/>
        </w:rPr>
      </w:pPr>
    </w:p>
    <w:p w14:paraId="2F8FE06A" w14:textId="77777777" w:rsidR="006C6194" w:rsidRDefault="006C6194">
      <w:pPr>
        <w:spacing w:before="200" w:after="200" w:line="360" w:lineRule="auto"/>
        <w:jc w:val="center"/>
        <w:rPr>
          <w:rFonts w:ascii="Calibri" w:eastAsia="Calibri" w:hAnsi="Calibri" w:cs="Calibri"/>
          <w:b/>
          <w:bCs/>
          <w:sz w:val="36"/>
          <w:szCs w:val="36"/>
        </w:rPr>
      </w:pPr>
    </w:p>
    <w:p w14:paraId="3DA11FA5" w14:textId="44C82025" w:rsidR="006C6194" w:rsidRDefault="00000000">
      <w:pPr>
        <w:spacing w:before="200" w:after="200" w:line="360" w:lineRule="auto"/>
        <w:jc w:val="center"/>
        <w:rPr>
          <w:rFonts w:ascii="Calibri" w:eastAsia="Calibri" w:hAnsi="Calibri" w:cs="Calibri"/>
          <w:b/>
          <w:bCs/>
          <w:sz w:val="36"/>
          <w:szCs w:val="36"/>
        </w:rPr>
      </w:pPr>
      <w:r>
        <w:rPr>
          <w:rFonts w:ascii="Calibri" w:eastAsia="Calibri" w:hAnsi="Calibri" w:cs="Calibri"/>
          <w:b/>
          <w:bCs/>
          <w:sz w:val="36"/>
          <w:szCs w:val="36"/>
        </w:rPr>
        <w:t>STUDENT NAME:</w:t>
      </w:r>
      <w:r w:rsidR="00666179">
        <w:rPr>
          <w:rFonts w:ascii="Calibri" w:eastAsia="Calibri" w:hAnsi="Calibri" w:cs="Calibri"/>
          <w:b/>
          <w:bCs/>
          <w:sz w:val="36"/>
          <w:szCs w:val="36"/>
        </w:rPr>
        <w:t xml:space="preserve"> IONUT HRISCA</w:t>
      </w:r>
    </w:p>
    <w:p w14:paraId="6947CE50" w14:textId="48189199" w:rsidR="006C6194" w:rsidRDefault="00000000">
      <w:pPr>
        <w:spacing w:before="200" w:after="200" w:line="360" w:lineRule="auto"/>
        <w:jc w:val="center"/>
        <w:rPr>
          <w:rFonts w:ascii="Calibri" w:eastAsia="Calibri" w:hAnsi="Calibri" w:cs="Calibri"/>
        </w:rPr>
      </w:pPr>
      <w:r>
        <w:rPr>
          <w:rFonts w:ascii="Calibri" w:eastAsia="Calibri" w:hAnsi="Calibri" w:cs="Calibri"/>
          <w:b/>
          <w:bCs/>
          <w:sz w:val="36"/>
          <w:szCs w:val="36"/>
        </w:rPr>
        <w:t>STUDENT ID:</w:t>
      </w:r>
      <w:r w:rsidR="00666179">
        <w:rPr>
          <w:rFonts w:ascii="Calibri" w:eastAsia="Calibri" w:hAnsi="Calibri" w:cs="Calibri"/>
          <w:b/>
          <w:bCs/>
          <w:sz w:val="36"/>
          <w:szCs w:val="36"/>
        </w:rPr>
        <w:t xml:space="preserve"> 2243953</w:t>
      </w:r>
    </w:p>
    <w:p w14:paraId="02C2B6F2" w14:textId="77777777" w:rsidR="006C6194" w:rsidRDefault="006C6194">
      <w:pPr>
        <w:spacing w:before="200" w:after="200" w:line="360" w:lineRule="auto"/>
        <w:jc w:val="center"/>
        <w:rPr>
          <w:rFonts w:ascii="Calibri" w:eastAsia="Calibri" w:hAnsi="Calibri" w:cs="Calibri"/>
          <w:b/>
          <w:bCs/>
          <w:sz w:val="36"/>
          <w:szCs w:val="36"/>
        </w:rPr>
      </w:pPr>
    </w:p>
    <w:p w14:paraId="02F11A44" w14:textId="77777777" w:rsidR="006C6194" w:rsidRDefault="006C6194">
      <w:pPr>
        <w:widowControl w:val="0"/>
        <w:spacing w:line="240" w:lineRule="auto"/>
        <w:ind w:left="130"/>
        <w:rPr>
          <w:b/>
          <w:bCs/>
        </w:rPr>
      </w:pPr>
    </w:p>
    <w:p w14:paraId="76894698" w14:textId="77777777" w:rsidR="006C6194" w:rsidRDefault="00000000">
      <w:pPr>
        <w:spacing w:before="200" w:after="200" w:line="360" w:lineRule="auto"/>
        <w:jc w:val="both"/>
        <w:rPr>
          <w:rFonts w:ascii="Calibri" w:eastAsia="Calibri" w:hAnsi="Calibri" w:cs="Calibri"/>
          <w:b/>
          <w:bCs/>
          <w:sz w:val="24"/>
          <w:szCs w:val="24"/>
        </w:rPr>
      </w:pPr>
      <w:r>
        <w:br w:type="page"/>
      </w:r>
    </w:p>
    <w:sdt>
      <w:sdtPr>
        <w:id w:val="-149394136"/>
        <w:docPartObj>
          <w:docPartGallery w:val="Table of Contents"/>
          <w:docPartUnique/>
        </w:docPartObj>
      </w:sdtPr>
      <w:sdtContent>
        <w:p w14:paraId="0B662649" w14:textId="77777777" w:rsidR="006C6194" w:rsidRDefault="00000000">
          <w:pPr>
            <w:widowControl w:val="0"/>
            <w:tabs>
              <w:tab w:val="right" w:leader="dot" w:pos="9360"/>
            </w:tabs>
            <w:spacing w:before="60" w:after="200" w:line="360" w:lineRule="auto"/>
            <w:jc w:val="center"/>
            <w:rPr>
              <w:rFonts w:ascii="Calibri" w:eastAsia="Calibri" w:hAnsi="Calibri" w:cs="Calibri"/>
              <w:b/>
              <w:bCs/>
              <w:sz w:val="28"/>
              <w:szCs w:val="28"/>
            </w:rPr>
          </w:pPr>
          <w:r>
            <w:fldChar w:fldCharType="begin"/>
          </w:r>
          <w:r>
            <w:instrText xml:space="preserve"> TOC \h \u \z \t "Heading 1,1,Heading 2,2,Heading 3,3,Heading 4,4,Heading 5,5,Heading 6,6,"</w:instrText>
          </w:r>
          <w:r>
            <w:fldChar w:fldCharType="separate"/>
          </w:r>
          <w:r>
            <w:rPr>
              <w:rFonts w:ascii="Calibri" w:eastAsia="Calibri" w:hAnsi="Calibri" w:cs="Calibri"/>
              <w:b/>
              <w:bCs/>
              <w:sz w:val="28"/>
              <w:szCs w:val="28"/>
            </w:rPr>
            <w:t>Table of Contents</w:t>
          </w:r>
        </w:p>
        <w:p w14:paraId="68D76E19" w14:textId="77777777" w:rsidR="006C6194" w:rsidRDefault="006C6194">
          <w:pPr>
            <w:widowControl w:val="0"/>
            <w:tabs>
              <w:tab w:val="right" w:leader="dot" w:pos="9360"/>
            </w:tabs>
            <w:spacing w:before="60" w:after="200" w:line="360" w:lineRule="auto"/>
            <w:jc w:val="both"/>
            <w:rPr>
              <w:rFonts w:ascii="Calibri" w:eastAsia="Calibri" w:hAnsi="Calibri" w:cs="Calibri"/>
              <w:color w:val="000000"/>
              <w:sz w:val="24"/>
              <w:szCs w:val="24"/>
            </w:rPr>
          </w:pPr>
          <w:hyperlink w:anchor="_j2geyj12mxgu">
            <w:r>
              <w:rPr>
                <w:rFonts w:ascii="Calibri" w:eastAsia="Calibri" w:hAnsi="Calibri" w:cs="Calibri"/>
                <w:color w:val="000000"/>
                <w:sz w:val="24"/>
                <w:szCs w:val="24"/>
              </w:rPr>
              <w:t>Introduction</w:t>
            </w:r>
            <w:r>
              <w:rPr>
                <w:rFonts w:ascii="Calibri" w:eastAsia="Calibri" w:hAnsi="Calibri" w:cs="Calibri"/>
                <w:color w:val="000000"/>
                <w:sz w:val="24"/>
                <w:szCs w:val="24"/>
              </w:rPr>
              <w:tab/>
            </w:r>
          </w:hyperlink>
          <w:r w:rsidR="00000000">
            <w:fldChar w:fldCharType="begin"/>
          </w:r>
          <w:r w:rsidR="00000000">
            <w:instrText xml:space="preserve"> PAGEREF _j2geyj12mxgu \h </w:instrText>
          </w:r>
          <w:r w:rsidR="00000000">
            <w:fldChar w:fldCharType="separate"/>
          </w:r>
          <w:r w:rsidR="00000000">
            <w:rPr>
              <w:rFonts w:ascii="Calibri" w:eastAsia="Calibri" w:hAnsi="Calibri" w:cs="Calibri"/>
              <w:sz w:val="24"/>
              <w:szCs w:val="24"/>
            </w:rPr>
            <w:t>1</w:t>
          </w:r>
          <w:r w:rsidR="00000000">
            <w:fldChar w:fldCharType="end"/>
          </w:r>
        </w:p>
        <w:p w14:paraId="2BA79C09" w14:textId="77777777" w:rsidR="006C6194" w:rsidRDefault="006C6194">
          <w:pPr>
            <w:widowControl w:val="0"/>
            <w:tabs>
              <w:tab w:val="right" w:leader="dot" w:pos="9360"/>
            </w:tabs>
            <w:spacing w:before="60" w:after="200" w:line="360" w:lineRule="auto"/>
            <w:jc w:val="both"/>
            <w:rPr>
              <w:rFonts w:ascii="Calibri" w:eastAsia="Calibri" w:hAnsi="Calibri" w:cs="Calibri"/>
              <w:color w:val="000000"/>
              <w:sz w:val="24"/>
              <w:szCs w:val="24"/>
            </w:rPr>
          </w:pPr>
          <w:hyperlink w:anchor="_jtpk8ojr8b0d">
            <w:r>
              <w:rPr>
                <w:rFonts w:ascii="Calibri" w:eastAsia="Calibri" w:hAnsi="Calibri" w:cs="Calibri"/>
                <w:color w:val="000000"/>
                <w:sz w:val="24"/>
                <w:szCs w:val="24"/>
              </w:rPr>
              <w:t>Literature Review</w:t>
            </w:r>
            <w:r>
              <w:rPr>
                <w:rFonts w:ascii="Calibri" w:eastAsia="Calibri" w:hAnsi="Calibri" w:cs="Calibri"/>
                <w:color w:val="000000"/>
                <w:sz w:val="24"/>
                <w:szCs w:val="24"/>
              </w:rPr>
              <w:tab/>
            </w:r>
          </w:hyperlink>
          <w:r w:rsidR="00000000">
            <w:fldChar w:fldCharType="begin"/>
          </w:r>
          <w:r w:rsidR="00000000">
            <w:instrText xml:space="preserve"> PAGEREF _jtpk8ojr8b0d \h </w:instrText>
          </w:r>
          <w:r w:rsidR="00000000">
            <w:fldChar w:fldCharType="separate"/>
          </w:r>
          <w:r w:rsidR="00000000">
            <w:rPr>
              <w:rFonts w:ascii="Calibri" w:eastAsia="Calibri" w:hAnsi="Calibri" w:cs="Calibri"/>
              <w:sz w:val="24"/>
              <w:szCs w:val="24"/>
            </w:rPr>
            <w:t>1</w:t>
          </w:r>
          <w:r w:rsidR="00000000">
            <w:fldChar w:fldCharType="end"/>
          </w:r>
        </w:p>
        <w:p w14:paraId="5819CEC6" w14:textId="77777777" w:rsidR="006C6194" w:rsidRDefault="006C6194">
          <w:pPr>
            <w:widowControl w:val="0"/>
            <w:tabs>
              <w:tab w:val="right" w:leader="dot" w:pos="9360"/>
            </w:tabs>
            <w:spacing w:before="60" w:after="200" w:line="360" w:lineRule="auto"/>
            <w:jc w:val="both"/>
            <w:rPr>
              <w:rFonts w:ascii="Calibri" w:eastAsia="Calibri" w:hAnsi="Calibri" w:cs="Calibri"/>
              <w:color w:val="000000"/>
              <w:sz w:val="24"/>
              <w:szCs w:val="24"/>
            </w:rPr>
          </w:pPr>
          <w:hyperlink w:anchor="_96y3xdrea70g">
            <w:r>
              <w:rPr>
                <w:rFonts w:ascii="Calibri" w:eastAsia="Calibri" w:hAnsi="Calibri" w:cs="Calibri"/>
                <w:color w:val="000000"/>
                <w:sz w:val="24"/>
                <w:szCs w:val="24"/>
              </w:rPr>
              <w:t>Main Analysis</w:t>
            </w:r>
            <w:r>
              <w:rPr>
                <w:rFonts w:ascii="Calibri" w:eastAsia="Calibri" w:hAnsi="Calibri" w:cs="Calibri"/>
                <w:color w:val="000000"/>
                <w:sz w:val="24"/>
                <w:szCs w:val="24"/>
              </w:rPr>
              <w:tab/>
            </w:r>
          </w:hyperlink>
          <w:r w:rsidR="00000000">
            <w:fldChar w:fldCharType="begin"/>
          </w:r>
          <w:r w:rsidR="00000000">
            <w:instrText xml:space="preserve"> PAGEREF _96y3xdrea70g \h </w:instrText>
          </w:r>
          <w:r w:rsidR="00000000">
            <w:fldChar w:fldCharType="separate"/>
          </w:r>
          <w:r w:rsidR="00000000">
            <w:rPr>
              <w:rFonts w:ascii="Calibri" w:eastAsia="Calibri" w:hAnsi="Calibri" w:cs="Calibri"/>
              <w:sz w:val="24"/>
              <w:szCs w:val="24"/>
            </w:rPr>
            <w:t>3</w:t>
          </w:r>
          <w:r w:rsidR="00000000">
            <w:fldChar w:fldCharType="end"/>
          </w:r>
        </w:p>
        <w:p w14:paraId="711E6309" w14:textId="77777777" w:rsidR="006C6194" w:rsidRDefault="006C6194">
          <w:pPr>
            <w:widowControl w:val="0"/>
            <w:tabs>
              <w:tab w:val="right" w:leader="dot" w:pos="9360"/>
            </w:tabs>
            <w:spacing w:before="60" w:after="200" w:line="360" w:lineRule="auto"/>
            <w:jc w:val="both"/>
            <w:rPr>
              <w:rFonts w:ascii="Calibri" w:eastAsia="Calibri" w:hAnsi="Calibri" w:cs="Calibri"/>
              <w:color w:val="000000"/>
              <w:sz w:val="24"/>
              <w:szCs w:val="24"/>
            </w:rPr>
          </w:pPr>
          <w:hyperlink w:anchor="_z7dt8wl8gjhw">
            <w:r>
              <w:rPr>
                <w:rFonts w:ascii="Calibri" w:eastAsia="Calibri" w:hAnsi="Calibri" w:cs="Calibri"/>
                <w:color w:val="000000"/>
                <w:sz w:val="24"/>
                <w:szCs w:val="24"/>
              </w:rPr>
              <w:t>Conclusion</w:t>
            </w:r>
            <w:r>
              <w:rPr>
                <w:rFonts w:ascii="Calibri" w:eastAsia="Calibri" w:hAnsi="Calibri" w:cs="Calibri"/>
                <w:color w:val="000000"/>
                <w:sz w:val="24"/>
                <w:szCs w:val="24"/>
              </w:rPr>
              <w:tab/>
            </w:r>
          </w:hyperlink>
          <w:r w:rsidR="00000000">
            <w:fldChar w:fldCharType="begin"/>
          </w:r>
          <w:r w:rsidR="00000000">
            <w:instrText xml:space="preserve"> PAGEREF _z7dt8wl8gjhw \h </w:instrText>
          </w:r>
          <w:r w:rsidR="00000000">
            <w:fldChar w:fldCharType="separate"/>
          </w:r>
          <w:r w:rsidR="00000000">
            <w:rPr>
              <w:rFonts w:ascii="Calibri" w:eastAsia="Calibri" w:hAnsi="Calibri" w:cs="Calibri"/>
              <w:sz w:val="24"/>
              <w:szCs w:val="24"/>
            </w:rPr>
            <w:t>5</w:t>
          </w:r>
          <w:r w:rsidR="00000000">
            <w:fldChar w:fldCharType="end"/>
          </w:r>
        </w:p>
        <w:p w14:paraId="35CA39B2" w14:textId="77777777" w:rsidR="006C6194" w:rsidRDefault="006C6194">
          <w:pPr>
            <w:widowControl w:val="0"/>
            <w:tabs>
              <w:tab w:val="right" w:leader="dot" w:pos="9360"/>
            </w:tabs>
            <w:spacing w:before="60" w:after="200" w:line="360" w:lineRule="auto"/>
            <w:jc w:val="both"/>
            <w:rPr>
              <w:rFonts w:ascii="Calibri" w:eastAsia="Calibri" w:hAnsi="Calibri" w:cs="Calibri"/>
              <w:color w:val="000000"/>
              <w:sz w:val="24"/>
              <w:szCs w:val="24"/>
            </w:rPr>
          </w:pPr>
          <w:hyperlink w:anchor="_5c0i665wdar8">
            <w:r>
              <w:rPr>
                <w:rFonts w:ascii="Calibri" w:eastAsia="Calibri" w:hAnsi="Calibri" w:cs="Calibri"/>
                <w:color w:val="000000"/>
                <w:sz w:val="24"/>
                <w:szCs w:val="24"/>
              </w:rPr>
              <w:t>References</w:t>
            </w:r>
            <w:r>
              <w:rPr>
                <w:rFonts w:ascii="Calibri" w:eastAsia="Calibri" w:hAnsi="Calibri" w:cs="Calibri"/>
                <w:color w:val="000000"/>
                <w:sz w:val="24"/>
                <w:szCs w:val="24"/>
              </w:rPr>
              <w:tab/>
            </w:r>
          </w:hyperlink>
          <w:r w:rsidR="00000000">
            <w:fldChar w:fldCharType="begin"/>
          </w:r>
          <w:r w:rsidR="00000000">
            <w:instrText xml:space="preserve"> PAGEREF _5c0i665wdar8 \h </w:instrText>
          </w:r>
          <w:r w:rsidR="00000000">
            <w:fldChar w:fldCharType="separate"/>
          </w:r>
          <w:r w:rsidR="00000000">
            <w:rPr>
              <w:rFonts w:ascii="Calibri" w:eastAsia="Calibri" w:hAnsi="Calibri" w:cs="Calibri"/>
              <w:sz w:val="24"/>
              <w:szCs w:val="24"/>
            </w:rPr>
            <w:t>7</w:t>
          </w:r>
          <w:r w:rsidR="00000000">
            <w:fldChar w:fldCharType="end"/>
          </w:r>
          <w:r w:rsidR="00000000">
            <w:fldChar w:fldCharType="end"/>
          </w:r>
        </w:p>
      </w:sdtContent>
    </w:sdt>
    <w:p w14:paraId="2A142B05" w14:textId="77777777" w:rsidR="006C6194" w:rsidRDefault="00000000">
      <w:pPr>
        <w:pStyle w:val="Heading1"/>
      </w:pPr>
      <w:bookmarkStart w:id="0" w:name="_vezjx6kmroe3" w:colFirst="0" w:colLast="0"/>
      <w:bookmarkEnd w:id="0"/>
      <w:r>
        <w:br w:type="page"/>
      </w:r>
    </w:p>
    <w:p w14:paraId="62C331FC" w14:textId="77777777" w:rsidR="006C6194" w:rsidRDefault="00000000">
      <w:pPr>
        <w:pStyle w:val="Heading1"/>
      </w:pPr>
      <w:bookmarkStart w:id="1" w:name="_j2geyj12mxgu" w:colFirst="0" w:colLast="0"/>
      <w:bookmarkEnd w:id="1"/>
      <w:r>
        <w:lastRenderedPageBreak/>
        <w:t>Introduction</w:t>
      </w:r>
    </w:p>
    <w:p w14:paraId="75618236" w14:textId="77777777" w:rsidR="006C6194" w:rsidRDefault="00000000">
      <w:pPr>
        <w:spacing w:before="200" w:after="200" w:line="360" w:lineRule="auto"/>
        <w:jc w:val="both"/>
        <w:rPr>
          <w:rFonts w:ascii="Calibri" w:eastAsia="Calibri" w:hAnsi="Calibri" w:cs="Calibri"/>
          <w:sz w:val="24"/>
          <w:szCs w:val="24"/>
        </w:rPr>
      </w:pPr>
      <w:proofErr w:type="spellStart"/>
      <w:r>
        <w:rPr>
          <w:rFonts w:ascii="Calibri" w:eastAsia="Calibri" w:hAnsi="Calibri" w:cs="Calibri"/>
          <w:sz w:val="24"/>
          <w:szCs w:val="24"/>
        </w:rPr>
        <w:t>Globalisation</w:t>
      </w:r>
      <w:proofErr w:type="spellEnd"/>
      <w:r>
        <w:rPr>
          <w:rFonts w:ascii="Calibri" w:eastAsia="Calibri" w:hAnsi="Calibri" w:cs="Calibri"/>
          <w:sz w:val="24"/>
          <w:szCs w:val="24"/>
        </w:rPr>
        <w:t xml:space="preserve"> of retail forms a multifaceted environment in which commercial success is determined not only by the efficiency of the supply chain or economies of scale, but also by the skillful management of intercultural relations (Hasanah, 2024). Tesco is a major player in the United Kingdom retail industry and offers an apt case study of international market failure due to its failed operations in Japan in the period between 2003 and 2011 (Japan Today, 2012). Although Tesco enjoyed a monopoly in the domestic and other European markets, the company was compelled to leave the Japanese market in eight years and suffered massive financial and reputation losses (‌Wood, 2011). This essay discusses the Japanese withdrawal of Tesco with the argument that the failure was because the corporate communication was not aligned with Japanese culture. It examines consumer insight and persuasion and reveals that high uncertainty avoidance is insensitive and preference of freshness over bulk buying is a weakened value. Applying the intercultural communication theory and the Tesco case, it proves that in the high-context and risk-averse markets, uncoded business models cancel out the strength of operations there completely.</w:t>
      </w:r>
    </w:p>
    <w:p w14:paraId="38CD4083" w14:textId="77777777" w:rsidR="006C6194" w:rsidRDefault="00000000">
      <w:pPr>
        <w:pStyle w:val="Heading1"/>
      </w:pPr>
      <w:bookmarkStart w:id="2" w:name="_jtpk8ojr8b0d" w:colFirst="0" w:colLast="0"/>
      <w:bookmarkEnd w:id="2"/>
      <w:r>
        <w:t>Literature Review</w:t>
      </w:r>
    </w:p>
    <w:p w14:paraId="3530B4D6" w14:textId="77777777" w:rsidR="006C6194" w:rsidRDefault="00000000">
      <w:pPr>
        <w:spacing w:before="240" w:after="240" w:line="360" w:lineRule="auto"/>
        <w:jc w:val="both"/>
        <w:rPr>
          <w:rFonts w:ascii="Calibri" w:eastAsia="Calibri" w:hAnsi="Calibri" w:cs="Calibri"/>
          <w:sz w:val="24"/>
          <w:szCs w:val="24"/>
          <w:highlight w:val="white"/>
        </w:rPr>
      </w:pPr>
      <w:r>
        <w:rPr>
          <w:rFonts w:ascii="Calibri" w:eastAsia="Calibri" w:hAnsi="Calibri" w:cs="Calibri"/>
          <w:sz w:val="24"/>
          <w:szCs w:val="24"/>
          <w:highlight w:val="white"/>
        </w:rPr>
        <w:t xml:space="preserve">There is a prior necessity to develop a theoretical framework based on intercultural communication and international business management in order to critically analyse the cultural friction that Tesco faces. The initial key point in this discussion is the contribution of Geert Hofstede, whose theory of cultural dimensions is used to analyse the differences in the consumer </w:t>
      </w:r>
      <w:proofErr w:type="spellStart"/>
      <w:r>
        <w:rPr>
          <w:rFonts w:ascii="Calibri" w:eastAsia="Calibri" w:hAnsi="Calibri" w:cs="Calibri"/>
          <w:sz w:val="24"/>
          <w:szCs w:val="24"/>
          <w:highlight w:val="white"/>
        </w:rPr>
        <w:t>behaviour</w:t>
      </w:r>
      <w:proofErr w:type="spellEnd"/>
      <w:r>
        <w:rPr>
          <w:rFonts w:ascii="Calibri" w:eastAsia="Calibri" w:hAnsi="Calibri" w:cs="Calibri"/>
          <w:sz w:val="24"/>
          <w:szCs w:val="24"/>
          <w:highlight w:val="white"/>
        </w:rPr>
        <w:t xml:space="preserve"> of nations (Greene, 2024). Specifically, the dimension of Uncertainty Avoidance Index (UAI) has a special place in the Japanese environment. According to Hofstede, Uncertainty Avoidance refers to how members of a particular culture perceive as threatened by ambiguity or the unknown </w:t>
      </w:r>
      <w:proofErr w:type="gramStart"/>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CLEarly</w:t>
      </w:r>
      <w:proofErr w:type="spellEnd"/>
      <w:proofErr w:type="gramEnd"/>
      <w:r>
        <w:rPr>
          <w:rFonts w:ascii="Calibri" w:eastAsia="Calibri" w:hAnsi="Calibri" w:cs="Calibri"/>
          <w:sz w:val="24"/>
          <w:szCs w:val="24"/>
          <w:highlight w:val="white"/>
        </w:rPr>
        <w:t xml:space="preserve"> Cultural, 2025).  The cultures with high UAI like Japan are </w:t>
      </w:r>
      <w:proofErr w:type="spellStart"/>
      <w:r>
        <w:rPr>
          <w:rFonts w:ascii="Calibri" w:eastAsia="Calibri" w:hAnsi="Calibri" w:cs="Calibri"/>
          <w:sz w:val="24"/>
          <w:szCs w:val="24"/>
          <w:highlight w:val="white"/>
        </w:rPr>
        <w:t>characterised</w:t>
      </w:r>
      <w:proofErr w:type="spellEnd"/>
      <w:r>
        <w:rPr>
          <w:rFonts w:ascii="Calibri" w:eastAsia="Calibri" w:hAnsi="Calibri" w:cs="Calibri"/>
          <w:sz w:val="24"/>
          <w:szCs w:val="24"/>
          <w:highlight w:val="white"/>
        </w:rPr>
        <w:t xml:space="preserve"> by a high preference to structured rules, well-developed rituals, and </w:t>
      </w:r>
      <w:proofErr w:type="spellStart"/>
      <w:r>
        <w:rPr>
          <w:rFonts w:ascii="Calibri" w:eastAsia="Calibri" w:hAnsi="Calibri" w:cs="Calibri"/>
          <w:sz w:val="24"/>
          <w:szCs w:val="24"/>
          <w:highlight w:val="white"/>
        </w:rPr>
        <w:t>recognisable</w:t>
      </w:r>
      <w:proofErr w:type="spellEnd"/>
      <w:r>
        <w:rPr>
          <w:rFonts w:ascii="Calibri" w:eastAsia="Calibri" w:hAnsi="Calibri" w:cs="Calibri"/>
          <w:sz w:val="24"/>
          <w:szCs w:val="24"/>
          <w:highlight w:val="white"/>
        </w:rPr>
        <w:t xml:space="preserve"> amounts to reduce risk (Ge, 2024). This is translated into retailing as high dependence on the brand reputation, excellent service quality and product quality assurances. Introduction of an unknown retail model by a foreign party creates uncertainty, which needs to be addressed provided that </w:t>
      </w:r>
      <w:r>
        <w:rPr>
          <w:rFonts w:ascii="Calibri" w:eastAsia="Calibri" w:hAnsi="Calibri" w:cs="Calibri"/>
          <w:sz w:val="24"/>
          <w:szCs w:val="24"/>
          <w:highlight w:val="white"/>
        </w:rPr>
        <w:lastRenderedPageBreak/>
        <w:t>the uncertainty is minimised by means of culturally competent communication and reassurance, otherwise the consumer is bound to decline the offer to preserve psychological comfort.</w:t>
      </w:r>
    </w:p>
    <w:p w14:paraId="28964804" w14:textId="77777777" w:rsidR="006C6194" w:rsidRDefault="00000000">
      <w:pPr>
        <w:spacing w:before="240" w:after="240" w:line="360" w:lineRule="auto"/>
        <w:jc w:val="both"/>
        <w:rPr>
          <w:rFonts w:ascii="Calibri" w:eastAsia="Calibri" w:hAnsi="Calibri" w:cs="Calibri"/>
          <w:sz w:val="24"/>
          <w:szCs w:val="24"/>
          <w:highlight w:val="white"/>
        </w:rPr>
      </w:pPr>
      <w:r>
        <w:rPr>
          <w:rFonts w:ascii="Calibri" w:eastAsia="Calibri" w:hAnsi="Calibri" w:cs="Calibri"/>
          <w:sz w:val="24"/>
          <w:szCs w:val="24"/>
          <w:highlight w:val="white"/>
        </w:rPr>
        <w:t xml:space="preserve">In addition, communication context suggested by Edward T. Hall provides an essential difference between the High-Context and Low-Context cultures (‌Yang, Hou and Arth, 2021). Japan is the ideal example of the High-Context culture, with implicit communication, having a high dependence on non-verbal communication, collective history, and building a relationship over time (Yoshino, 2020). The United Kingdom, conversely, and by extension, the Tesco corporate culture, is more of a Low-Context oriented culture, in which information is clear, straightforward and more or less transactional. Regarding the art of business persuasion, Samovar and Porter believe that intercultural competence stipulates the encoder of a message to encode it in a cultural manner that matches the cultural </w:t>
      </w:r>
      <w:proofErr w:type="spellStart"/>
      <w:r>
        <w:rPr>
          <w:rFonts w:ascii="Calibri" w:eastAsia="Calibri" w:hAnsi="Calibri" w:cs="Calibri"/>
          <w:sz w:val="24"/>
          <w:szCs w:val="24"/>
          <w:highlight w:val="white"/>
        </w:rPr>
        <w:t>philtre</w:t>
      </w:r>
      <w:proofErr w:type="spellEnd"/>
      <w:r>
        <w:rPr>
          <w:rFonts w:ascii="Calibri" w:eastAsia="Calibri" w:hAnsi="Calibri" w:cs="Calibri"/>
          <w:sz w:val="24"/>
          <w:szCs w:val="24"/>
          <w:highlight w:val="white"/>
        </w:rPr>
        <w:t xml:space="preserve"> of the receiver (Kamal Fatehi and Choi, 2025). When a retailer tries to persuade a High-Context consumer by Low-Context means, like trying to show him price efficiency rather than a sense of relationship trust, then the persuasion effort will not succeed. Gimenez goes even further with this by relating this to business communication that says that effective international communication involves not only a linguistic translation, but negotiation of meaning. The meaning of a supermarket varies in the retail industry depending on the location; in the UK, it can be a mecca of convenience and a way to save money, whereas, in Japan, it can be a quality and lifestyle custodian (Wang et al., 2022).</w:t>
      </w:r>
    </w:p>
    <w:p w14:paraId="285585DD" w14:textId="77777777" w:rsidR="006C6194" w:rsidRDefault="00000000">
      <w:pPr>
        <w:spacing w:before="240" w:after="240" w:line="360" w:lineRule="auto"/>
        <w:jc w:val="both"/>
        <w:rPr>
          <w:rFonts w:ascii="Calibri" w:eastAsia="Calibri" w:hAnsi="Calibri" w:cs="Calibri"/>
          <w:sz w:val="24"/>
          <w:szCs w:val="24"/>
        </w:rPr>
      </w:pPr>
      <w:r>
        <w:rPr>
          <w:rFonts w:ascii="Calibri" w:eastAsia="Calibri" w:hAnsi="Calibri" w:cs="Calibri"/>
          <w:sz w:val="24"/>
          <w:szCs w:val="24"/>
          <w:highlight w:val="white"/>
        </w:rPr>
        <w:t>Lastly, there are the theories of consumer insight concerning the so-called Country of Origin Effect and the debate of adaptation-</w:t>
      </w:r>
      <w:proofErr w:type="spellStart"/>
      <w:r>
        <w:rPr>
          <w:rFonts w:ascii="Calibri" w:eastAsia="Calibri" w:hAnsi="Calibri" w:cs="Calibri"/>
          <w:sz w:val="24"/>
          <w:szCs w:val="24"/>
          <w:highlight w:val="white"/>
        </w:rPr>
        <w:t>standardisation</w:t>
      </w:r>
      <w:proofErr w:type="spellEnd"/>
      <w:r>
        <w:rPr>
          <w:rFonts w:ascii="Calibri" w:eastAsia="Calibri" w:hAnsi="Calibri" w:cs="Calibri"/>
          <w:sz w:val="24"/>
          <w:szCs w:val="24"/>
          <w:highlight w:val="white"/>
        </w:rPr>
        <w:t xml:space="preserve"> (</w:t>
      </w:r>
      <w:proofErr w:type="spellStart"/>
      <w:r>
        <w:rPr>
          <w:rFonts w:ascii="Calibri" w:eastAsia="Calibri" w:hAnsi="Calibri" w:cs="Calibri"/>
          <w:sz w:val="24"/>
          <w:szCs w:val="24"/>
          <w:highlight w:val="white"/>
        </w:rPr>
        <w:t>Lingfang</w:t>
      </w:r>
      <w:proofErr w:type="spellEnd"/>
      <w:r>
        <w:rPr>
          <w:rFonts w:ascii="Calibri" w:eastAsia="Calibri" w:hAnsi="Calibri" w:cs="Calibri"/>
          <w:sz w:val="24"/>
          <w:szCs w:val="24"/>
          <w:highlight w:val="white"/>
        </w:rPr>
        <w:t xml:space="preserve"> Fayol-Song, 2014). Although obsolete in the more mature study of the media, the Hypodermic Needle Theory of communication ironically reflects the impeccable error that many Western multinationals make: that a working business message (the magic bullet) can be injected into a foreign market with the same result (Robinson, 2024). Modern literature however stresses the fact that the habits of consumerism are culturally restrained </w:t>
      </w:r>
      <w:proofErr w:type="spellStart"/>
      <w:r>
        <w:rPr>
          <w:rFonts w:ascii="Calibri" w:eastAsia="Calibri" w:hAnsi="Calibri" w:cs="Calibri"/>
          <w:sz w:val="24"/>
          <w:szCs w:val="24"/>
          <w:highlight w:val="white"/>
        </w:rPr>
        <w:t>practises</w:t>
      </w:r>
      <w:proofErr w:type="spellEnd"/>
      <w:r>
        <w:rPr>
          <w:rFonts w:ascii="Calibri" w:eastAsia="Calibri" w:hAnsi="Calibri" w:cs="Calibri"/>
          <w:sz w:val="24"/>
          <w:szCs w:val="24"/>
          <w:highlight w:val="white"/>
        </w:rPr>
        <w:t xml:space="preserve">. De </w:t>
      </w:r>
      <w:proofErr w:type="spellStart"/>
      <w:r>
        <w:rPr>
          <w:rFonts w:ascii="Calibri" w:eastAsia="Calibri" w:hAnsi="Calibri" w:cs="Calibri"/>
          <w:sz w:val="24"/>
          <w:szCs w:val="24"/>
          <w:highlight w:val="white"/>
        </w:rPr>
        <w:t>Mooij</w:t>
      </w:r>
      <w:proofErr w:type="spellEnd"/>
      <w:r>
        <w:rPr>
          <w:rFonts w:ascii="Calibri" w:eastAsia="Calibri" w:hAnsi="Calibri" w:cs="Calibri"/>
          <w:sz w:val="24"/>
          <w:szCs w:val="24"/>
          <w:highlight w:val="white"/>
        </w:rPr>
        <w:t xml:space="preserve"> tries to argue that consumption patterns are the cultural constant. The fact that the daily shopping of the homemaker as a part of acquiring fresh produce is not only a logistical requirement in Japan because of the smaller domestic storage but also a cultural activity due to the importance the Japanese place on </w:t>
      </w:r>
      <w:r>
        <w:rPr>
          <w:rFonts w:ascii="Calibri" w:eastAsia="Calibri" w:hAnsi="Calibri" w:cs="Calibri"/>
          <w:sz w:val="24"/>
          <w:szCs w:val="24"/>
          <w:highlight w:val="white"/>
        </w:rPr>
        <w:lastRenderedPageBreak/>
        <w:t>freshness (</w:t>
      </w:r>
      <w:proofErr w:type="spellStart"/>
      <w:r>
        <w:rPr>
          <w:rFonts w:ascii="Calibri" w:eastAsia="Calibri" w:hAnsi="Calibri" w:cs="Calibri"/>
          <w:sz w:val="24"/>
          <w:szCs w:val="24"/>
          <w:highlight w:val="white"/>
        </w:rPr>
        <w:t>shinsen</w:t>
      </w:r>
      <w:proofErr w:type="spellEnd"/>
      <w:r>
        <w:rPr>
          <w:rFonts w:ascii="Calibri" w:eastAsia="Calibri" w:hAnsi="Calibri" w:cs="Calibri"/>
          <w:sz w:val="24"/>
          <w:szCs w:val="24"/>
          <w:highlight w:val="white"/>
        </w:rPr>
        <w:t>). Thus, persuasion in this is necessitated by validation of these rituals instead of trying to interrupt them with efficiency-based models such as bulk purchasing which may face the danger of being culturally decoded as stale or low-quality.</w:t>
      </w:r>
    </w:p>
    <w:p w14:paraId="73FD42E7" w14:textId="77777777" w:rsidR="006C6194" w:rsidRDefault="00000000">
      <w:pPr>
        <w:pStyle w:val="Heading1"/>
      </w:pPr>
      <w:bookmarkStart w:id="3" w:name="_96y3xdrea70g" w:colFirst="0" w:colLast="0"/>
      <w:bookmarkEnd w:id="3"/>
      <w:r>
        <w:t>Main Analysis</w:t>
      </w:r>
    </w:p>
    <w:p w14:paraId="55FC8D08" w14:textId="77777777" w:rsidR="006C6194" w:rsidRDefault="00000000">
      <w:pPr>
        <w:spacing w:before="240" w:after="240" w:line="360" w:lineRule="auto"/>
        <w:jc w:val="both"/>
        <w:rPr>
          <w:rFonts w:ascii="Calibri" w:eastAsia="Calibri" w:hAnsi="Calibri" w:cs="Calibri"/>
          <w:sz w:val="24"/>
          <w:szCs w:val="24"/>
          <w:highlight w:val="white"/>
        </w:rPr>
      </w:pPr>
      <w:r>
        <w:rPr>
          <w:rFonts w:ascii="Calibri" w:eastAsia="Calibri" w:hAnsi="Calibri" w:cs="Calibri"/>
          <w:sz w:val="24"/>
          <w:szCs w:val="24"/>
          <w:highlight w:val="white"/>
        </w:rPr>
        <w:t>The theoretical concepts of Tesco and its introduction and exit of the Japanese market demonstrate a deep lack of association between the strategic communication of the company and the Japanese cultural reality of the market (‌Son et al., 2018). In Japan, Tesco made its entry in 2003 with the acquisition of C-Two, a local chain of convenience stores which was struggling (‌Tesco Plc, 2025). Since the very beginning, there was confusion in the way the brand identity of Tesco was conveyed. Contrary to its entry to other Asian markets such as South Korea where it collaborated with Samsung to develop Homeplus, and thus borrowed local cultural capital to reduce uncertainty, in Japan, Tesco failed to create an individual and known identity. This is an indication of inability to deal with the Uncertainty Avoidance of Hofstede. Japanese consumers, being so intense to ambiguity, tend to have a preference towards long heritages of brands with good quality. Tesco was a cultural misfit even though it is a giant in Britain (The Independent, 2011). They did not spend much on the brand-building campaigns relying on the High-Context, emotional appeals to trust and quality, so they remained an ambiguous, and thus a dangerous, choice of the conservative Japanese shopper.</w:t>
      </w:r>
    </w:p>
    <w:p w14:paraId="54BB4226" w14:textId="77777777" w:rsidR="006C6194" w:rsidRDefault="00000000">
      <w:pPr>
        <w:spacing w:before="240" w:after="240" w:line="360" w:lineRule="auto"/>
        <w:jc w:val="both"/>
        <w:rPr>
          <w:rFonts w:ascii="Calibri" w:eastAsia="Calibri" w:hAnsi="Calibri" w:cs="Calibri"/>
          <w:sz w:val="24"/>
          <w:szCs w:val="24"/>
          <w:highlight w:val="white"/>
        </w:rPr>
      </w:pPr>
      <w:r>
        <w:rPr>
          <w:rFonts w:ascii="Calibri" w:eastAsia="Calibri" w:hAnsi="Calibri" w:cs="Calibri"/>
          <w:sz w:val="24"/>
          <w:szCs w:val="24"/>
          <w:highlight w:val="white"/>
        </w:rPr>
        <w:t xml:space="preserve">The greatest failure of persuasion, though, was the clash between the essence of the value proposition of convenience and bulk value of Tesco and the habit of the Japanese consumer to the so-called hop model, where consumers drive to the large stores to purchase both non- and perishable products at bulk. This model presupposes the Low-Context and utilitarian perception of food: food to power the week, bought in an effective way. Tesco tried to adapt these aspects of this version to Japan and provided processed foods and pre-cooked meals with the accent on the convenience. This however over-looked the fact that food in Japan was deeply culturally encoded. Japanese housewife, who is usually the key gatekeeper to household consumption, traditionally does shopping every day to maintain the maximum degree of freshness, which is an </w:t>
      </w:r>
      <w:proofErr w:type="spellStart"/>
      <w:r>
        <w:rPr>
          <w:rFonts w:ascii="Calibri" w:eastAsia="Calibri" w:hAnsi="Calibri" w:cs="Calibri"/>
          <w:sz w:val="24"/>
          <w:szCs w:val="24"/>
          <w:highlight w:val="white"/>
        </w:rPr>
        <w:t>organised</w:t>
      </w:r>
      <w:proofErr w:type="spellEnd"/>
      <w:r>
        <w:rPr>
          <w:rFonts w:ascii="Calibri" w:eastAsia="Calibri" w:hAnsi="Calibri" w:cs="Calibri"/>
          <w:sz w:val="24"/>
          <w:szCs w:val="24"/>
          <w:highlight w:val="white"/>
        </w:rPr>
        <w:t xml:space="preserve"> tradition of caring and quality which is rooted in the cultural demands (‌Hanley, 2023). </w:t>
      </w:r>
      <w:r>
        <w:rPr>
          <w:rFonts w:ascii="Calibri" w:eastAsia="Calibri" w:hAnsi="Calibri" w:cs="Calibri"/>
          <w:sz w:val="24"/>
          <w:szCs w:val="24"/>
          <w:highlight w:val="white"/>
        </w:rPr>
        <w:lastRenderedPageBreak/>
        <w:t>Being the promoter of bulk purchasing and prepared convenience, Tesco was unintentionally sending the message of low quality. Food that is not bought on a daily basis is looked on in the High Uncertainty Avoidance culture. Tesco persuasion strategy built on price and efficiency whereas the Japanese consumer was listening to quality and safety. It was not only that the message was rejected, but culturally illegible.</w:t>
      </w:r>
    </w:p>
    <w:p w14:paraId="2EE58844" w14:textId="77777777" w:rsidR="006C6194" w:rsidRDefault="00000000">
      <w:pPr>
        <w:spacing w:before="240" w:after="240" w:line="360" w:lineRule="auto"/>
        <w:jc w:val="both"/>
        <w:rPr>
          <w:rFonts w:ascii="Calibri" w:eastAsia="Calibri" w:hAnsi="Calibri" w:cs="Calibri"/>
          <w:sz w:val="24"/>
          <w:szCs w:val="24"/>
          <w:highlight w:val="white"/>
        </w:rPr>
      </w:pPr>
      <w:r>
        <w:rPr>
          <w:rFonts w:ascii="Calibri" w:eastAsia="Calibri" w:hAnsi="Calibri" w:cs="Calibri"/>
          <w:sz w:val="24"/>
          <w:szCs w:val="24"/>
          <w:highlight w:val="white"/>
        </w:rPr>
        <w:t xml:space="preserve">Besides, the physical and integrated design of the environment and service, important non-verbal channels of communication in High-Context cultures, were not run properly. Japanese retail is defined by </w:t>
      </w:r>
      <w:proofErr w:type="spellStart"/>
      <w:r>
        <w:rPr>
          <w:rFonts w:ascii="Calibri" w:eastAsia="Calibri" w:hAnsi="Calibri" w:cs="Calibri"/>
          <w:sz w:val="24"/>
          <w:szCs w:val="24"/>
          <w:highlight w:val="white"/>
        </w:rPr>
        <w:t>omotenashi</w:t>
      </w:r>
      <w:proofErr w:type="spellEnd"/>
      <w:r>
        <w:rPr>
          <w:rFonts w:ascii="Calibri" w:eastAsia="Calibri" w:hAnsi="Calibri" w:cs="Calibri"/>
          <w:sz w:val="24"/>
          <w:szCs w:val="24"/>
          <w:highlight w:val="white"/>
        </w:rPr>
        <w:t xml:space="preserve"> (wholehearted hospitality) where the store appearance, lighting, and </w:t>
      </w:r>
      <w:proofErr w:type="spellStart"/>
      <w:r>
        <w:rPr>
          <w:rFonts w:ascii="Calibri" w:eastAsia="Calibri" w:hAnsi="Calibri" w:cs="Calibri"/>
          <w:sz w:val="24"/>
          <w:szCs w:val="24"/>
          <w:highlight w:val="white"/>
        </w:rPr>
        <w:t>behaviour</w:t>
      </w:r>
      <w:proofErr w:type="spellEnd"/>
      <w:r>
        <w:rPr>
          <w:rFonts w:ascii="Calibri" w:eastAsia="Calibri" w:hAnsi="Calibri" w:cs="Calibri"/>
          <w:sz w:val="24"/>
          <w:szCs w:val="24"/>
          <w:highlight w:val="white"/>
        </w:rPr>
        <w:t xml:space="preserve"> of the staff is carefully designed to indicate hospitality to the customer (CXG, 2024). According to the reports of that time, the stores of Tesco, including the ones that it purchased, the so-called </w:t>
      </w:r>
      <w:proofErr w:type="spellStart"/>
      <w:r>
        <w:rPr>
          <w:rFonts w:ascii="Calibri" w:eastAsia="Calibri" w:hAnsi="Calibri" w:cs="Calibri"/>
          <w:sz w:val="24"/>
          <w:szCs w:val="24"/>
          <w:highlight w:val="white"/>
        </w:rPr>
        <w:t>Tsurukame</w:t>
      </w:r>
      <w:proofErr w:type="spellEnd"/>
      <w:r>
        <w:rPr>
          <w:rFonts w:ascii="Calibri" w:eastAsia="Calibri" w:hAnsi="Calibri" w:cs="Calibri"/>
          <w:sz w:val="24"/>
          <w:szCs w:val="24"/>
          <w:highlight w:val="white"/>
        </w:rPr>
        <w:t xml:space="preserve"> stores, were seen as generally untidy, overly lit up in the harsh so-called discount fashion, and not as aesthetically polished as Japanese supermarkets usually are. The channel itself was corrupted in the Intercultural Communication terminology. The in-store atmosphere was transmitted to convey the image of cheapness, but not value. Whereas British consumers may be ready to take the utilitarian environment in trade of cheaper prices, Japanese consumers relate the environment with sincerity of the product. When the store is seen to be in poor shape or is simply functional, then the expectation is that the fresh produce will be of the same level. Tesco also missed the subtle information (</w:t>
      </w:r>
      <w:proofErr w:type="spellStart"/>
      <w:r>
        <w:rPr>
          <w:rFonts w:ascii="Calibri" w:eastAsia="Calibri" w:hAnsi="Calibri" w:cs="Calibri"/>
          <w:sz w:val="24"/>
          <w:szCs w:val="24"/>
          <w:highlight w:val="white"/>
        </w:rPr>
        <w:t>kuuki</w:t>
      </w:r>
      <w:proofErr w:type="spellEnd"/>
      <w:r>
        <w:rPr>
          <w:rFonts w:ascii="Calibri" w:eastAsia="Calibri" w:hAnsi="Calibri" w:cs="Calibri"/>
          <w:sz w:val="24"/>
          <w:szCs w:val="24"/>
          <w:highlight w:val="white"/>
        </w:rPr>
        <w:t xml:space="preserve"> wo </w:t>
      </w:r>
      <w:proofErr w:type="spellStart"/>
      <w:r>
        <w:rPr>
          <w:rFonts w:ascii="Calibri" w:eastAsia="Calibri" w:hAnsi="Calibri" w:cs="Calibri"/>
          <w:sz w:val="24"/>
          <w:szCs w:val="24"/>
          <w:highlight w:val="white"/>
        </w:rPr>
        <w:t>yomu</w:t>
      </w:r>
      <w:proofErr w:type="spellEnd"/>
      <w:r>
        <w:rPr>
          <w:rFonts w:ascii="Calibri" w:eastAsia="Calibri" w:hAnsi="Calibri" w:cs="Calibri"/>
          <w:sz w:val="24"/>
          <w:szCs w:val="24"/>
          <w:highlight w:val="white"/>
        </w:rPr>
        <w:t>) of Japanese interaction and did not read the air that their store environment was not welcoming to their target demographic (‌</w:t>
      </w:r>
      <w:proofErr w:type="spellStart"/>
      <w:r>
        <w:rPr>
          <w:rFonts w:ascii="Calibri" w:eastAsia="Calibri" w:hAnsi="Calibri" w:cs="Calibri"/>
          <w:sz w:val="24"/>
          <w:szCs w:val="24"/>
          <w:highlight w:val="white"/>
        </w:rPr>
        <w:t>Goldfingle</w:t>
      </w:r>
      <w:proofErr w:type="spellEnd"/>
      <w:r>
        <w:rPr>
          <w:rFonts w:ascii="Calibri" w:eastAsia="Calibri" w:hAnsi="Calibri" w:cs="Calibri"/>
          <w:sz w:val="24"/>
          <w:szCs w:val="24"/>
          <w:highlight w:val="white"/>
        </w:rPr>
        <w:t>, 2012).</w:t>
      </w:r>
    </w:p>
    <w:p w14:paraId="36A97816" w14:textId="77777777" w:rsidR="006C6194" w:rsidRDefault="00000000">
      <w:pPr>
        <w:spacing w:before="240" w:after="240" w:line="360" w:lineRule="auto"/>
        <w:jc w:val="both"/>
        <w:rPr>
          <w:rFonts w:ascii="Calibri" w:eastAsia="Calibri" w:hAnsi="Calibri" w:cs="Calibri"/>
          <w:sz w:val="24"/>
          <w:szCs w:val="24"/>
          <w:highlight w:val="white"/>
        </w:rPr>
      </w:pPr>
      <w:r>
        <w:rPr>
          <w:rFonts w:ascii="Calibri" w:eastAsia="Calibri" w:hAnsi="Calibri" w:cs="Calibri"/>
          <w:sz w:val="24"/>
          <w:szCs w:val="24"/>
          <w:highlight w:val="white"/>
        </w:rPr>
        <w:t xml:space="preserve">Tesco responded slowly and superficially to strategic challenges, which reflected its inability to combine its </w:t>
      </w:r>
      <w:proofErr w:type="spellStart"/>
      <w:r>
        <w:rPr>
          <w:rFonts w:ascii="Calibri" w:eastAsia="Calibri" w:hAnsi="Calibri" w:cs="Calibri"/>
          <w:sz w:val="24"/>
          <w:szCs w:val="24"/>
          <w:highlight w:val="white"/>
        </w:rPr>
        <w:t>organisational</w:t>
      </w:r>
      <w:proofErr w:type="spellEnd"/>
      <w:r>
        <w:rPr>
          <w:rFonts w:ascii="Calibri" w:eastAsia="Calibri" w:hAnsi="Calibri" w:cs="Calibri"/>
          <w:sz w:val="24"/>
          <w:szCs w:val="24"/>
          <w:highlight w:val="white"/>
        </w:rPr>
        <w:t xml:space="preserve"> structure in the face of cross-cultural interpretation. Although later they tried to launch high-end format, "Tesco Express," to suit urban workers, the supply chain philosophy and product mindset were still based on the efficiency-first British (‌Wang, 2023). They did not critically analyse the market feedback loop. When Business English as a lingua franca (BELF) is used, and communication occurred between Tesco UK headquarters and Japanese management, the culture semantics was lost, although it is quite likely that the communication was conducted in English. The likely interpretation of low sales that was seen by Headquarters </w:t>
      </w:r>
      <w:r>
        <w:rPr>
          <w:rFonts w:ascii="Calibri" w:eastAsia="Calibri" w:hAnsi="Calibri" w:cs="Calibri"/>
          <w:sz w:val="24"/>
          <w:szCs w:val="24"/>
          <w:highlight w:val="white"/>
        </w:rPr>
        <w:lastRenderedPageBreak/>
        <w:t xml:space="preserve">was the pricing or location problem (a Low-Context, data-driven interpretation) when the actual problem was that the culture itself was unwilling to accept the shopping experience (a High-Context, relational problem). Their decision to leave in 2011 was a concession to the fact that they were not able to convince the Japanese consumer to switch to the Tesco way of shopping. They found out too late that culture in international business was not something that can be controlled, but rather the atmosphere within which the business has to breathe (Wood, 2011). They had already tried to make the consumer suit the business, instead of shaping the business to suit the cultural </w:t>
      </w:r>
      <w:proofErr w:type="spellStart"/>
      <w:r>
        <w:rPr>
          <w:rFonts w:ascii="Calibri" w:eastAsia="Calibri" w:hAnsi="Calibri" w:cs="Calibri"/>
          <w:sz w:val="24"/>
          <w:szCs w:val="24"/>
          <w:highlight w:val="white"/>
        </w:rPr>
        <w:t>practises</w:t>
      </w:r>
      <w:proofErr w:type="spellEnd"/>
      <w:r>
        <w:rPr>
          <w:rFonts w:ascii="Calibri" w:eastAsia="Calibri" w:hAnsi="Calibri" w:cs="Calibri"/>
          <w:sz w:val="24"/>
          <w:szCs w:val="24"/>
          <w:highlight w:val="white"/>
        </w:rPr>
        <w:t xml:space="preserve"> of the consumer.</w:t>
      </w:r>
    </w:p>
    <w:p w14:paraId="1E70C69A" w14:textId="77777777" w:rsidR="006C6194" w:rsidRDefault="00000000">
      <w:pPr>
        <w:spacing w:before="240" w:after="240" w:line="360" w:lineRule="auto"/>
        <w:jc w:val="both"/>
        <w:rPr>
          <w:rFonts w:ascii="Calibri" w:eastAsia="Calibri" w:hAnsi="Calibri" w:cs="Calibri"/>
          <w:sz w:val="24"/>
          <w:szCs w:val="24"/>
        </w:rPr>
      </w:pPr>
      <w:r>
        <w:rPr>
          <w:rFonts w:ascii="Calibri" w:eastAsia="Calibri" w:hAnsi="Calibri" w:cs="Calibri"/>
          <w:sz w:val="24"/>
          <w:szCs w:val="24"/>
          <w:highlight w:val="white"/>
        </w:rPr>
        <w:t>The limitations of the "</w:t>
      </w:r>
      <w:proofErr w:type="spellStart"/>
      <w:r>
        <w:rPr>
          <w:rFonts w:ascii="Calibri" w:eastAsia="Calibri" w:hAnsi="Calibri" w:cs="Calibri"/>
          <w:sz w:val="24"/>
          <w:szCs w:val="24"/>
          <w:highlight w:val="white"/>
        </w:rPr>
        <w:t>standardisation</w:t>
      </w:r>
      <w:proofErr w:type="spellEnd"/>
      <w:r>
        <w:rPr>
          <w:rFonts w:ascii="Calibri" w:eastAsia="Calibri" w:hAnsi="Calibri" w:cs="Calibri"/>
          <w:sz w:val="24"/>
          <w:szCs w:val="24"/>
          <w:highlight w:val="white"/>
        </w:rPr>
        <w:t>" approach in global marketing are also highlighted by this failure. Tesco was counting on its global strengths and supply chain economies of scale, which presupposed that the rationality of low prices would have an international appeal. This corresponds to an objectively naive perspective of economics which does not consider cultural rationality (‌Hancox, 2024). In Japan, the decision to pay a more expensive price to have some beautifully packaged and very fresh apple would be a logical decision since it will fulfil the cultural requirements of safety, the norms of giving gifts, and aesthetic enjoyment. Purchasing a bag of six apples of lower price but may turn bad is irrational since it brings in wastage and uncertainties. The value proposition of Tesco was logically economic and culturally illogical. This failure to understand this difference was an intercultural competence failure. Not only did they not sell groceries, but they did not communicate the respect of the local style of life. As a result, Japanese people, and by being silent and non-engaging, exercising their power (which is the characteristic of High-Context refusal), merely turned silent until Tesco could no longer stay.</w:t>
      </w:r>
    </w:p>
    <w:p w14:paraId="677FB6EB" w14:textId="77777777" w:rsidR="006C6194" w:rsidRDefault="00000000">
      <w:pPr>
        <w:pStyle w:val="Heading1"/>
      </w:pPr>
      <w:bookmarkStart w:id="4" w:name="_z7dt8wl8gjhw" w:colFirst="0" w:colLast="0"/>
      <w:bookmarkEnd w:id="4"/>
      <w:r>
        <w:t>Conclusion</w:t>
      </w:r>
    </w:p>
    <w:p w14:paraId="29993F52" w14:textId="77777777" w:rsidR="006C6194" w:rsidRDefault="00000000">
      <w:pPr>
        <w:spacing w:before="200" w:after="200" w:line="360" w:lineRule="auto"/>
        <w:jc w:val="both"/>
        <w:rPr>
          <w:rFonts w:ascii="Calibri" w:eastAsia="Calibri" w:hAnsi="Calibri" w:cs="Calibri"/>
          <w:sz w:val="24"/>
          <w:szCs w:val="24"/>
        </w:rPr>
      </w:pPr>
      <w:r>
        <w:rPr>
          <w:rFonts w:ascii="Calibri" w:eastAsia="Calibri" w:hAnsi="Calibri" w:cs="Calibri"/>
          <w:sz w:val="24"/>
          <w:szCs w:val="24"/>
        </w:rPr>
        <w:t xml:space="preserve">Therefore, the pull out of the Japanese market by Tesco in the year 2011 is one of the most vivid examples of the effects of intercultural incompetence in international business. It was a communication and cultural blindness failure rather than a capital or capability failure. Through the ethnocentric lenses, Tesco did not consider High Uncertainty Avoidance of Japanese customers who regarded the Tesco focus on bulk efficiency and Western-style convenience as one of the threats but not an advantage. The failure by the firm to interchange its persuasion </w:t>
      </w:r>
      <w:r>
        <w:rPr>
          <w:rFonts w:ascii="Calibri" w:eastAsia="Calibri" w:hAnsi="Calibri" w:cs="Calibri"/>
          <w:sz w:val="24"/>
          <w:szCs w:val="24"/>
        </w:rPr>
        <w:lastRenderedPageBreak/>
        <w:t xml:space="preserve">strategies to fit the local rituals of freshness and high context service expectations made its value proposition fruitless. The Tesco experience failed to translate as the company was not in a position to decipher Japanese retail environment cultural semiotics. The implications of this case are far reaching as an international manager. It shows that the entry strategies in the market should be preceded by an in-depth, empathic integration in the host culture communication styles coupled with the consumer habits. Intercultural communication theories, including Hofstede dimensions and Hall context levels, are not abstract concepts developed in academia but useful risk assessment tools. The managers need to go beyond mere replication of brands into the local language and start to translate business models, which should be done in such a way that the essence of offer can be embraced by the </w:t>
      </w:r>
      <w:proofErr w:type="spellStart"/>
      <w:r>
        <w:rPr>
          <w:rFonts w:ascii="Calibri" w:eastAsia="Calibri" w:hAnsi="Calibri" w:cs="Calibri"/>
          <w:sz w:val="24"/>
          <w:szCs w:val="24"/>
        </w:rPr>
        <w:t>internalised</w:t>
      </w:r>
      <w:proofErr w:type="spellEnd"/>
      <w:r>
        <w:rPr>
          <w:rFonts w:ascii="Calibri" w:eastAsia="Calibri" w:hAnsi="Calibri" w:cs="Calibri"/>
          <w:sz w:val="24"/>
          <w:szCs w:val="24"/>
        </w:rPr>
        <w:t xml:space="preserve"> principles of the population. International business persuasion does not entail yelling a message louder, but learning to use the silent language of the local culture. The experience of Tesco demonstrates that this cultural fluency can make even the largest giants be washed away when they are in a foreign country.</w:t>
      </w:r>
    </w:p>
    <w:p w14:paraId="771F007B" w14:textId="77777777" w:rsidR="006C6194" w:rsidRDefault="00000000">
      <w:pPr>
        <w:pStyle w:val="Heading1"/>
      </w:pPr>
      <w:bookmarkStart w:id="5" w:name="_jxynwi9q0fjy" w:colFirst="0" w:colLast="0"/>
      <w:bookmarkEnd w:id="5"/>
      <w:r>
        <w:br w:type="page"/>
      </w:r>
    </w:p>
    <w:p w14:paraId="7B626AC3" w14:textId="77777777" w:rsidR="006C6194" w:rsidRDefault="00000000">
      <w:pPr>
        <w:pStyle w:val="Heading1"/>
      </w:pPr>
      <w:bookmarkStart w:id="6" w:name="_5c0i665wdar8" w:colFirst="0" w:colLast="0"/>
      <w:bookmarkEnd w:id="6"/>
      <w:r>
        <w:lastRenderedPageBreak/>
        <w:t>References</w:t>
      </w:r>
    </w:p>
    <w:p w14:paraId="09A6B341" w14:textId="77777777" w:rsidR="006C6194" w:rsidRDefault="00000000">
      <w:pPr>
        <w:spacing w:before="240" w:after="240" w:line="360" w:lineRule="auto"/>
        <w:jc w:val="both"/>
        <w:rPr>
          <w:rFonts w:ascii="Calibri" w:eastAsia="Calibri" w:hAnsi="Calibri" w:cs="Calibri"/>
          <w:sz w:val="24"/>
          <w:szCs w:val="24"/>
          <w:highlight w:val="white"/>
        </w:rPr>
      </w:pPr>
      <w:r>
        <w:rPr>
          <w:rFonts w:ascii="Calibri" w:eastAsia="Calibri" w:hAnsi="Calibri" w:cs="Calibri"/>
          <w:sz w:val="24"/>
          <w:szCs w:val="24"/>
          <w:highlight w:val="white"/>
        </w:rPr>
        <w:t xml:space="preserve">Clearly Cultural (2025). </w:t>
      </w:r>
      <w:r>
        <w:rPr>
          <w:rFonts w:ascii="Calibri" w:eastAsia="Calibri" w:hAnsi="Calibri" w:cs="Calibri"/>
          <w:i/>
          <w:iCs/>
          <w:sz w:val="24"/>
          <w:szCs w:val="24"/>
          <w:highlight w:val="white"/>
        </w:rPr>
        <w:t>Uncertainty Avoidance</w:t>
      </w:r>
      <w:r>
        <w:rPr>
          <w:rFonts w:ascii="Calibri" w:eastAsia="Calibri" w:hAnsi="Calibri" w:cs="Calibri"/>
          <w:sz w:val="24"/>
          <w:szCs w:val="24"/>
          <w:highlight w:val="white"/>
        </w:rPr>
        <w:t>. [online] Clearlycultural.com. Available at:</w:t>
      </w:r>
      <w:hyperlink r:id="rId6">
        <w:r w:rsidR="006C6194">
          <w:rPr>
            <w:rFonts w:ascii="Calibri" w:eastAsia="Calibri" w:hAnsi="Calibri" w:cs="Calibri"/>
            <w:sz w:val="24"/>
            <w:szCs w:val="24"/>
            <w:highlight w:val="white"/>
          </w:rPr>
          <w:t xml:space="preserve"> https://clearlycultural.com/geert-hofstede-cultural-dimensions/uncertainty-avoidance-index/</w:t>
        </w:r>
      </w:hyperlink>
      <w:r>
        <w:rPr>
          <w:rFonts w:ascii="Calibri" w:eastAsia="Calibri" w:hAnsi="Calibri" w:cs="Calibri"/>
          <w:sz w:val="24"/>
          <w:szCs w:val="24"/>
          <w:highlight w:val="white"/>
        </w:rPr>
        <w:t>. [Accessed 16 Dec. 2025].</w:t>
      </w:r>
    </w:p>
    <w:p w14:paraId="5B377431" w14:textId="77777777" w:rsidR="006C6194" w:rsidRDefault="00000000">
      <w:pPr>
        <w:spacing w:before="240" w:after="240" w:line="360" w:lineRule="auto"/>
        <w:jc w:val="both"/>
        <w:rPr>
          <w:rFonts w:ascii="Calibri" w:eastAsia="Calibri" w:hAnsi="Calibri" w:cs="Calibri"/>
          <w:sz w:val="24"/>
          <w:szCs w:val="24"/>
          <w:highlight w:val="white"/>
        </w:rPr>
      </w:pPr>
      <w:r>
        <w:rPr>
          <w:rFonts w:ascii="Calibri" w:eastAsia="Calibri" w:hAnsi="Calibri" w:cs="Calibri"/>
          <w:sz w:val="24"/>
          <w:szCs w:val="24"/>
          <w:highlight w:val="white"/>
        </w:rPr>
        <w:t xml:space="preserve">CXG (2024). </w:t>
      </w:r>
      <w:proofErr w:type="spellStart"/>
      <w:r>
        <w:rPr>
          <w:rFonts w:ascii="Calibri" w:eastAsia="Calibri" w:hAnsi="Calibri" w:cs="Calibri"/>
          <w:i/>
          <w:iCs/>
          <w:sz w:val="24"/>
          <w:szCs w:val="24"/>
          <w:highlight w:val="white"/>
        </w:rPr>
        <w:t>Omotenashi</w:t>
      </w:r>
      <w:proofErr w:type="spellEnd"/>
      <w:r>
        <w:rPr>
          <w:rFonts w:ascii="Calibri" w:eastAsia="Calibri" w:hAnsi="Calibri" w:cs="Calibri"/>
          <w:i/>
          <w:iCs/>
          <w:sz w:val="24"/>
          <w:szCs w:val="24"/>
          <w:highlight w:val="white"/>
        </w:rPr>
        <w:t xml:space="preserve"> for the Modern Age: Elevating Service in Japan and Taking the Concept Global</w:t>
      </w:r>
      <w:r>
        <w:rPr>
          <w:rFonts w:ascii="Calibri" w:eastAsia="Calibri" w:hAnsi="Calibri" w:cs="Calibri"/>
          <w:sz w:val="24"/>
          <w:szCs w:val="24"/>
          <w:highlight w:val="white"/>
        </w:rPr>
        <w:t>. [online] Available at:</w:t>
      </w:r>
      <w:hyperlink r:id="rId7">
        <w:r w:rsidR="006C6194">
          <w:rPr>
            <w:rFonts w:ascii="Calibri" w:eastAsia="Calibri" w:hAnsi="Calibri" w:cs="Calibri"/>
            <w:sz w:val="24"/>
            <w:szCs w:val="24"/>
            <w:highlight w:val="white"/>
          </w:rPr>
          <w:t xml:space="preserve"> https://www.cxg.com/insight/omotenashi-for-the-modern-age-elevating-service-in-japan-and-taking-the-concept-global/</w:t>
        </w:r>
      </w:hyperlink>
      <w:r>
        <w:rPr>
          <w:rFonts w:ascii="Calibri" w:eastAsia="Calibri" w:hAnsi="Calibri" w:cs="Calibri"/>
          <w:sz w:val="24"/>
          <w:szCs w:val="24"/>
          <w:highlight w:val="white"/>
        </w:rPr>
        <w:t>. [Accessed 16 Dec. 2025].</w:t>
      </w:r>
    </w:p>
    <w:p w14:paraId="797162C0" w14:textId="77777777" w:rsidR="006C6194" w:rsidRDefault="00000000">
      <w:pPr>
        <w:spacing w:before="240" w:after="240" w:line="360" w:lineRule="auto"/>
        <w:jc w:val="both"/>
        <w:rPr>
          <w:rFonts w:ascii="Calibri" w:eastAsia="Calibri" w:hAnsi="Calibri" w:cs="Calibri"/>
          <w:sz w:val="24"/>
          <w:szCs w:val="24"/>
          <w:highlight w:val="white"/>
        </w:rPr>
      </w:pPr>
      <w:r>
        <w:rPr>
          <w:rFonts w:ascii="Calibri" w:eastAsia="Calibri" w:hAnsi="Calibri" w:cs="Calibri"/>
          <w:sz w:val="24"/>
          <w:szCs w:val="24"/>
          <w:highlight w:val="white"/>
        </w:rPr>
        <w:t xml:space="preserve">Fatehi, K. and Choi, J. (2025). </w:t>
      </w:r>
      <w:r>
        <w:rPr>
          <w:rFonts w:ascii="Calibri" w:eastAsia="Calibri" w:hAnsi="Calibri" w:cs="Calibri"/>
          <w:i/>
          <w:iCs/>
          <w:sz w:val="24"/>
          <w:szCs w:val="24"/>
          <w:highlight w:val="white"/>
        </w:rPr>
        <w:t>International Communication and Negotiation</w:t>
      </w:r>
      <w:r>
        <w:rPr>
          <w:rFonts w:ascii="Calibri" w:eastAsia="Calibri" w:hAnsi="Calibri" w:cs="Calibri"/>
          <w:sz w:val="24"/>
          <w:szCs w:val="24"/>
          <w:highlight w:val="white"/>
        </w:rPr>
        <w:t>. Springer Texts in Business and Economics, pp.129–165. doi:10.1007/978-3-031-83295-6_5. [Accessed 16 Dec. 2025].</w:t>
      </w:r>
    </w:p>
    <w:p w14:paraId="0DE64F9F" w14:textId="77777777" w:rsidR="006C6194" w:rsidRDefault="00000000">
      <w:pPr>
        <w:spacing w:before="240" w:after="240" w:line="360" w:lineRule="auto"/>
        <w:jc w:val="both"/>
        <w:rPr>
          <w:rFonts w:ascii="Calibri" w:eastAsia="Calibri" w:hAnsi="Calibri" w:cs="Calibri"/>
          <w:sz w:val="24"/>
          <w:szCs w:val="24"/>
          <w:highlight w:val="white"/>
        </w:rPr>
      </w:pPr>
      <w:r>
        <w:rPr>
          <w:rFonts w:ascii="Calibri" w:eastAsia="Calibri" w:hAnsi="Calibri" w:cs="Calibri"/>
          <w:sz w:val="24"/>
          <w:szCs w:val="24"/>
          <w:highlight w:val="white"/>
        </w:rPr>
        <w:t xml:space="preserve">Fayol-Song, L. (2014). </w:t>
      </w:r>
      <w:r>
        <w:rPr>
          <w:rFonts w:ascii="Calibri" w:eastAsia="Calibri" w:hAnsi="Calibri" w:cs="Calibri"/>
          <w:i/>
          <w:iCs/>
          <w:sz w:val="24"/>
          <w:szCs w:val="24"/>
          <w:highlight w:val="white"/>
        </w:rPr>
        <w:t>Country-of-origin effects on Chinese consumption of branded foreign products</w:t>
      </w:r>
      <w:r>
        <w:rPr>
          <w:rFonts w:ascii="Calibri" w:eastAsia="Calibri" w:hAnsi="Calibri" w:cs="Calibri"/>
          <w:sz w:val="24"/>
          <w:szCs w:val="24"/>
          <w:highlight w:val="white"/>
        </w:rPr>
        <w:t>, pp.227–239. doi:10.1533/9781780634494.2.227. [Accessed 16 Dec. 2025].</w:t>
      </w:r>
    </w:p>
    <w:p w14:paraId="57894194" w14:textId="77777777" w:rsidR="006C6194" w:rsidRDefault="00000000">
      <w:pPr>
        <w:spacing w:before="240" w:after="240" w:line="360" w:lineRule="auto"/>
        <w:jc w:val="both"/>
        <w:rPr>
          <w:rFonts w:ascii="Calibri" w:eastAsia="Calibri" w:hAnsi="Calibri" w:cs="Calibri"/>
          <w:sz w:val="24"/>
          <w:szCs w:val="24"/>
          <w:highlight w:val="white"/>
        </w:rPr>
      </w:pPr>
      <w:r>
        <w:rPr>
          <w:rFonts w:ascii="Calibri" w:eastAsia="Calibri" w:hAnsi="Calibri" w:cs="Calibri"/>
          <w:sz w:val="24"/>
          <w:szCs w:val="24"/>
          <w:highlight w:val="white"/>
        </w:rPr>
        <w:t xml:space="preserve">Ge, J. (2024). The influence of uncertainty avoidance on cultures and business practices. </w:t>
      </w:r>
      <w:r>
        <w:rPr>
          <w:rFonts w:ascii="Calibri" w:eastAsia="Calibri" w:hAnsi="Calibri" w:cs="Calibri"/>
          <w:i/>
          <w:iCs/>
          <w:sz w:val="24"/>
          <w:szCs w:val="24"/>
          <w:highlight w:val="white"/>
        </w:rPr>
        <w:t>Research and Commentary on Humanities and Arts</w:t>
      </w:r>
      <w:r>
        <w:rPr>
          <w:rFonts w:ascii="Calibri" w:eastAsia="Calibri" w:hAnsi="Calibri" w:cs="Calibri"/>
          <w:sz w:val="24"/>
          <w:szCs w:val="24"/>
          <w:highlight w:val="white"/>
        </w:rPr>
        <w:t>, 2(2).</w:t>
      </w:r>
    </w:p>
    <w:p w14:paraId="47A5BB28" w14:textId="77777777" w:rsidR="006C6194" w:rsidRDefault="00000000">
      <w:pPr>
        <w:spacing w:before="240" w:after="240" w:line="360" w:lineRule="auto"/>
        <w:jc w:val="both"/>
        <w:rPr>
          <w:rFonts w:ascii="Calibri" w:eastAsia="Calibri" w:hAnsi="Calibri" w:cs="Calibri"/>
          <w:sz w:val="24"/>
          <w:szCs w:val="24"/>
          <w:highlight w:val="white"/>
        </w:rPr>
      </w:pPr>
      <w:proofErr w:type="spellStart"/>
      <w:r>
        <w:rPr>
          <w:rFonts w:ascii="Calibri" w:eastAsia="Calibri" w:hAnsi="Calibri" w:cs="Calibri"/>
          <w:sz w:val="24"/>
          <w:szCs w:val="24"/>
          <w:highlight w:val="white"/>
        </w:rPr>
        <w:t>Goldfingle</w:t>
      </w:r>
      <w:proofErr w:type="spellEnd"/>
      <w:r>
        <w:rPr>
          <w:rFonts w:ascii="Calibri" w:eastAsia="Calibri" w:hAnsi="Calibri" w:cs="Calibri"/>
          <w:sz w:val="24"/>
          <w:szCs w:val="24"/>
          <w:highlight w:val="white"/>
        </w:rPr>
        <w:t xml:space="preserve">, G. (2012). Tesco reveals plan to exit Japan. </w:t>
      </w:r>
      <w:r>
        <w:rPr>
          <w:rFonts w:ascii="Calibri" w:eastAsia="Calibri" w:hAnsi="Calibri" w:cs="Calibri"/>
          <w:i/>
          <w:iCs/>
          <w:sz w:val="24"/>
          <w:szCs w:val="24"/>
          <w:highlight w:val="white"/>
        </w:rPr>
        <w:t>Retail Week</w:t>
      </w:r>
      <w:r>
        <w:rPr>
          <w:rFonts w:ascii="Calibri" w:eastAsia="Calibri" w:hAnsi="Calibri" w:cs="Calibri"/>
          <w:sz w:val="24"/>
          <w:szCs w:val="24"/>
          <w:highlight w:val="white"/>
        </w:rPr>
        <w:t>. [online] Available at:</w:t>
      </w:r>
      <w:hyperlink r:id="rId8">
        <w:r w:rsidR="006C6194">
          <w:rPr>
            <w:rFonts w:ascii="Calibri" w:eastAsia="Calibri" w:hAnsi="Calibri" w:cs="Calibri"/>
            <w:sz w:val="24"/>
            <w:szCs w:val="24"/>
            <w:highlight w:val="white"/>
          </w:rPr>
          <w:t xml:space="preserve"> https://www.retail-week.com/grocery/tesco-reveals-plan-to-exit-japan/5037686.article</w:t>
        </w:r>
      </w:hyperlink>
      <w:r>
        <w:rPr>
          <w:rFonts w:ascii="Calibri" w:eastAsia="Calibri" w:hAnsi="Calibri" w:cs="Calibri"/>
          <w:sz w:val="24"/>
          <w:szCs w:val="24"/>
          <w:highlight w:val="white"/>
        </w:rPr>
        <w:t xml:space="preserve"> [Accessed 16 Dec. 2025].</w:t>
      </w:r>
    </w:p>
    <w:p w14:paraId="3C09D90E" w14:textId="77777777" w:rsidR="006C6194" w:rsidRDefault="00000000">
      <w:pPr>
        <w:spacing w:before="240" w:after="240" w:line="360" w:lineRule="auto"/>
        <w:jc w:val="both"/>
        <w:rPr>
          <w:rFonts w:ascii="Calibri" w:eastAsia="Calibri" w:hAnsi="Calibri" w:cs="Calibri"/>
          <w:sz w:val="24"/>
          <w:szCs w:val="24"/>
          <w:highlight w:val="white"/>
        </w:rPr>
      </w:pPr>
      <w:r>
        <w:rPr>
          <w:rFonts w:ascii="Calibri" w:eastAsia="Calibri" w:hAnsi="Calibri" w:cs="Calibri"/>
          <w:sz w:val="24"/>
          <w:szCs w:val="24"/>
          <w:highlight w:val="white"/>
        </w:rPr>
        <w:t xml:space="preserve">Greene, J. (2024). Hofstede’s cultural dimensions theory. </w:t>
      </w:r>
      <w:r>
        <w:rPr>
          <w:rFonts w:ascii="Calibri" w:eastAsia="Calibri" w:hAnsi="Calibri" w:cs="Calibri"/>
          <w:i/>
          <w:iCs/>
          <w:sz w:val="24"/>
          <w:szCs w:val="24"/>
          <w:highlight w:val="white"/>
        </w:rPr>
        <w:t>EBSCO</w:t>
      </w:r>
      <w:r>
        <w:rPr>
          <w:rFonts w:ascii="Calibri" w:eastAsia="Calibri" w:hAnsi="Calibri" w:cs="Calibri"/>
          <w:sz w:val="24"/>
          <w:szCs w:val="24"/>
          <w:highlight w:val="white"/>
        </w:rPr>
        <w:t>. [online] Available at:</w:t>
      </w:r>
      <w:hyperlink r:id="rId9">
        <w:r w:rsidR="006C6194">
          <w:rPr>
            <w:rFonts w:ascii="Calibri" w:eastAsia="Calibri" w:hAnsi="Calibri" w:cs="Calibri"/>
            <w:sz w:val="24"/>
            <w:szCs w:val="24"/>
            <w:highlight w:val="white"/>
          </w:rPr>
          <w:t xml:space="preserve"> https://www.ebsco.com/research-starters/business-and-management/hofstedes-cultural-dimensions-theory</w:t>
        </w:r>
      </w:hyperlink>
      <w:r>
        <w:rPr>
          <w:rFonts w:ascii="Calibri" w:eastAsia="Calibri" w:hAnsi="Calibri" w:cs="Calibri"/>
          <w:sz w:val="24"/>
          <w:szCs w:val="24"/>
          <w:highlight w:val="white"/>
        </w:rPr>
        <w:t>. [Accessed 16 Dec. 2025].</w:t>
      </w:r>
    </w:p>
    <w:p w14:paraId="60D8BAA9" w14:textId="77777777" w:rsidR="006C6194" w:rsidRDefault="00000000">
      <w:pPr>
        <w:spacing w:before="240" w:after="240" w:line="360" w:lineRule="auto"/>
        <w:jc w:val="both"/>
        <w:rPr>
          <w:rFonts w:ascii="Calibri" w:eastAsia="Calibri" w:hAnsi="Calibri" w:cs="Calibri"/>
          <w:sz w:val="24"/>
          <w:szCs w:val="24"/>
          <w:highlight w:val="white"/>
        </w:rPr>
      </w:pPr>
      <w:r>
        <w:rPr>
          <w:rFonts w:ascii="Calibri" w:eastAsia="Calibri" w:hAnsi="Calibri" w:cs="Calibri"/>
          <w:sz w:val="24"/>
          <w:szCs w:val="24"/>
          <w:highlight w:val="white"/>
        </w:rPr>
        <w:t xml:space="preserve">Hanley, S.B. (2023). </w:t>
      </w:r>
      <w:r>
        <w:rPr>
          <w:rFonts w:ascii="Calibri" w:eastAsia="Calibri" w:hAnsi="Calibri" w:cs="Calibri"/>
          <w:i/>
          <w:iCs/>
          <w:sz w:val="24"/>
          <w:szCs w:val="24"/>
          <w:highlight w:val="white"/>
        </w:rPr>
        <w:t>Everyday things in premodern Japan: The hidden legacy of material culture</w:t>
      </w:r>
      <w:r>
        <w:rPr>
          <w:rFonts w:ascii="Calibri" w:eastAsia="Calibri" w:hAnsi="Calibri" w:cs="Calibri"/>
          <w:sz w:val="24"/>
          <w:szCs w:val="24"/>
          <w:highlight w:val="white"/>
        </w:rPr>
        <w:t>. University of California Press.</w:t>
      </w:r>
    </w:p>
    <w:p w14:paraId="757DD7A8" w14:textId="77777777" w:rsidR="006C6194" w:rsidRDefault="00000000">
      <w:pPr>
        <w:spacing w:before="240" w:after="240" w:line="360" w:lineRule="auto"/>
        <w:jc w:val="both"/>
        <w:rPr>
          <w:rFonts w:ascii="Calibri" w:eastAsia="Calibri" w:hAnsi="Calibri" w:cs="Calibri"/>
          <w:sz w:val="24"/>
          <w:szCs w:val="24"/>
          <w:highlight w:val="white"/>
        </w:rPr>
      </w:pPr>
      <w:r>
        <w:rPr>
          <w:rFonts w:ascii="Calibri" w:eastAsia="Calibri" w:hAnsi="Calibri" w:cs="Calibri"/>
          <w:sz w:val="24"/>
          <w:szCs w:val="24"/>
          <w:highlight w:val="white"/>
        </w:rPr>
        <w:t xml:space="preserve">Hancox, D. (2024). </w:t>
      </w:r>
      <w:r>
        <w:rPr>
          <w:rFonts w:ascii="Calibri" w:eastAsia="Calibri" w:hAnsi="Calibri" w:cs="Calibri"/>
          <w:i/>
          <w:iCs/>
          <w:sz w:val="24"/>
          <w:szCs w:val="24"/>
          <w:highlight w:val="white"/>
        </w:rPr>
        <w:t>Multitudes: How crowds made the modern world</w:t>
      </w:r>
      <w:r>
        <w:rPr>
          <w:rFonts w:ascii="Calibri" w:eastAsia="Calibri" w:hAnsi="Calibri" w:cs="Calibri"/>
          <w:sz w:val="24"/>
          <w:szCs w:val="24"/>
          <w:highlight w:val="white"/>
        </w:rPr>
        <w:t>. Verso Books.</w:t>
      </w:r>
    </w:p>
    <w:p w14:paraId="77C7484E" w14:textId="77777777" w:rsidR="006C6194" w:rsidRDefault="00000000">
      <w:pPr>
        <w:spacing w:before="240" w:after="240" w:line="360" w:lineRule="auto"/>
        <w:jc w:val="both"/>
        <w:rPr>
          <w:rFonts w:ascii="Calibri" w:eastAsia="Calibri" w:hAnsi="Calibri" w:cs="Calibri"/>
          <w:sz w:val="24"/>
          <w:szCs w:val="24"/>
          <w:highlight w:val="white"/>
        </w:rPr>
      </w:pPr>
      <w:r>
        <w:rPr>
          <w:rFonts w:ascii="Calibri" w:eastAsia="Calibri" w:hAnsi="Calibri" w:cs="Calibri"/>
          <w:sz w:val="24"/>
          <w:szCs w:val="24"/>
          <w:highlight w:val="white"/>
        </w:rPr>
        <w:lastRenderedPageBreak/>
        <w:t xml:space="preserve">Hasanah, L. (2024). Global strategies: Navigating the complexities of international business in a connected world. </w:t>
      </w:r>
      <w:r>
        <w:rPr>
          <w:rFonts w:ascii="Calibri" w:eastAsia="Calibri" w:hAnsi="Calibri" w:cs="Calibri"/>
          <w:i/>
          <w:iCs/>
          <w:sz w:val="24"/>
          <w:szCs w:val="24"/>
          <w:highlight w:val="white"/>
        </w:rPr>
        <w:t>Advances in Business &amp; Industrial Marketing Research</w:t>
      </w:r>
      <w:r>
        <w:rPr>
          <w:rFonts w:ascii="Calibri" w:eastAsia="Calibri" w:hAnsi="Calibri" w:cs="Calibri"/>
          <w:sz w:val="24"/>
          <w:szCs w:val="24"/>
          <w:highlight w:val="white"/>
        </w:rPr>
        <w:t>, 2(1), pp.36–47.</w:t>
      </w:r>
    </w:p>
    <w:p w14:paraId="332DD757" w14:textId="77777777" w:rsidR="006C6194" w:rsidRDefault="00000000">
      <w:pPr>
        <w:spacing w:before="240" w:after="240" w:line="360" w:lineRule="auto"/>
        <w:jc w:val="both"/>
        <w:rPr>
          <w:rFonts w:ascii="Calibri" w:eastAsia="Calibri" w:hAnsi="Calibri" w:cs="Calibri"/>
          <w:sz w:val="24"/>
          <w:szCs w:val="24"/>
          <w:highlight w:val="white"/>
        </w:rPr>
      </w:pPr>
      <w:r>
        <w:rPr>
          <w:rFonts w:ascii="Calibri" w:eastAsia="Calibri" w:hAnsi="Calibri" w:cs="Calibri"/>
          <w:sz w:val="24"/>
          <w:szCs w:val="24"/>
          <w:highlight w:val="white"/>
        </w:rPr>
        <w:t>The Independent (2011). David McNeill: No shame in Tesco’s failing to crack Japan. [online] Available at:</w:t>
      </w:r>
      <w:hyperlink r:id="rId10">
        <w:r w:rsidR="006C6194">
          <w:rPr>
            <w:rFonts w:ascii="Calibri" w:eastAsia="Calibri" w:hAnsi="Calibri" w:cs="Calibri"/>
            <w:sz w:val="24"/>
            <w:szCs w:val="24"/>
            <w:highlight w:val="white"/>
          </w:rPr>
          <w:t xml:space="preserve"> https://www.independent.co.uk/voices/commentators/david-mcneill-no-shame-in-tesco-s-failing-to-crack-japan-2347666.html</w:t>
        </w:r>
      </w:hyperlink>
      <w:r>
        <w:rPr>
          <w:rFonts w:ascii="Calibri" w:eastAsia="Calibri" w:hAnsi="Calibri" w:cs="Calibri"/>
          <w:sz w:val="24"/>
          <w:szCs w:val="24"/>
          <w:highlight w:val="white"/>
        </w:rPr>
        <w:t>. [Accessed 16 Dec. 2025].</w:t>
      </w:r>
    </w:p>
    <w:p w14:paraId="00AAF9F4" w14:textId="77777777" w:rsidR="006C6194" w:rsidRDefault="00000000">
      <w:pPr>
        <w:spacing w:before="240" w:after="240" w:line="360" w:lineRule="auto"/>
        <w:jc w:val="both"/>
        <w:rPr>
          <w:rFonts w:ascii="Calibri" w:eastAsia="Calibri" w:hAnsi="Calibri" w:cs="Calibri"/>
          <w:sz w:val="24"/>
          <w:szCs w:val="24"/>
          <w:highlight w:val="white"/>
        </w:rPr>
      </w:pPr>
      <w:r>
        <w:rPr>
          <w:rFonts w:ascii="Calibri" w:eastAsia="Calibri" w:hAnsi="Calibri" w:cs="Calibri"/>
          <w:sz w:val="24"/>
          <w:szCs w:val="24"/>
          <w:highlight w:val="white"/>
        </w:rPr>
        <w:t>Japan Today (2012). Why did Britain’s Tesco, the world’s No.3 retailer, fail in its 9-year attempt to crack the Japanese market? [online] Available at:</w:t>
      </w:r>
      <w:hyperlink r:id="rId11">
        <w:r w:rsidR="006C6194">
          <w:rPr>
            <w:rFonts w:ascii="Calibri" w:eastAsia="Calibri" w:hAnsi="Calibri" w:cs="Calibri"/>
            <w:sz w:val="24"/>
            <w:szCs w:val="24"/>
            <w:highlight w:val="white"/>
          </w:rPr>
          <w:t xml:space="preserve"> https://japantoday.com/category/have-your-say/why-did-britains-tesco-the-worlds-no-3-retailer-fail-in-its-9-year-attempt-to-crack-the-japanese-market</w:t>
        </w:r>
      </w:hyperlink>
      <w:r>
        <w:rPr>
          <w:rFonts w:ascii="Calibri" w:eastAsia="Calibri" w:hAnsi="Calibri" w:cs="Calibri"/>
          <w:sz w:val="24"/>
          <w:szCs w:val="24"/>
          <w:highlight w:val="white"/>
        </w:rPr>
        <w:t>. [Accessed 16 Dec. 2025].</w:t>
      </w:r>
    </w:p>
    <w:p w14:paraId="3A43B4D9" w14:textId="77777777" w:rsidR="006C6194" w:rsidRDefault="00000000">
      <w:pPr>
        <w:spacing w:before="240" w:after="240" w:line="360" w:lineRule="auto"/>
        <w:jc w:val="both"/>
        <w:rPr>
          <w:rFonts w:ascii="Calibri" w:eastAsia="Calibri" w:hAnsi="Calibri" w:cs="Calibri"/>
          <w:sz w:val="24"/>
          <w:szCs w:val="24"/>
          <w:highlight w:val="white"/>
        </w:rPr>
      </w:pPr>
      <w:r>
        <w:rPr>
          <w:rFonts w:ascii="Calibri" w:eastAsia="Calibri" w:hAnsi="Calibri" w:cs="Calibri"/>
          <w:sz w:val="24"/>
          <w:szCs w:val="24"/>
          <w:highlight w:val="white"/>
        </w:rPr>
        <w:t xml:space="preserve">Reuters (2011). Tesco to quit Japan after eight-year struggle. </w:t>
      </w:r>
      <w:r>
        <w:rPr>
          <w:rFonts w:ascii="Calibri" w:eastAsia="Calibri" w:hAnsi="Calibri" w:cs="Calibri"/>
          <w:i/>
          <w:iCs/>
          <w:sz w:val="24"/>
          <w:szCs w:val="24"/>
          <w:highlight w:val="white"/>
        </w:rPr>
        <w:t>Reuters</w:t>
      </w:r>
      <w:r>
        <w:rPr>
          <w:rFonts w:ascii="Calibri" w:eastAsia="Calibri" w:hAnsi="Calibri" w:cs="Calibri"/>
          <w:sz w:val="24"/>
          <w:szCs w:val="24"/>
          <w:highlight w:val="white"/>
        </w:rPr>
        <w:t>, 31 Aug. [online] Available at:</w:t>
      </w:r>
      <w:hyperlink r:id="rId12">
        <w:r w:rsidR="006C6194">
          <w:rPr>
            <w:rFonts w:ascii="Calibri" w:eastAsia="Calibri" w:hAnsi="Calibri" w:cs="Calibri"/>
            <w:sz w:val="24"/>
            <w:szCs w:val="24"/>
            <w:highlight w:val="white"/>
          </w:rPr>
          <w:t xml:space="preserve"> https://www.reuters.com/article/business/tesco-to-quit-japan-after-eight-year-struggle-idUSL5E7JV0PH/</w:t>
        </w:r>
      </w:hyperlink>
      <w:r>
        <w:rPr>
          <w:rFonts w:ascii="Calibri" w:eastAsia="Calibri" w:hAnsi="Calibri" w:cs="Calibri"/>
          <w:sz w:val="24"/>
          <w:szCs w:val="24"/>
          <w:highlight w:val="white"/>
        </w:rPr>
        <w:t>. [Accessed 16 Dec. 2025].</w:t>
      </w:r>
    </w:p>
    <w:p w14:paraId="527DACF1" w14:textId="77777777" w:rsidR="006C6194" w:rsidRDefault="00000000">
      <w:pPr>
        <w:spacing w:before="240" w:after="240" w:line="360" w:lineRule="auto"/>
        <w:jc w:val="both"/>
        <w:rPr>
          <w:rFonts w:ascii="Calibri" w:eastAsia="Calibri" w:hAnsi="Calibri" w:cs="Calibri"/>
          <w:sz w:val="24"/>
          <w:szCs w:val="24"/>
          <w:highlight w:val="white"/>
        </w:rPr>
      </w:pPr>
      <w:r>
        <w:rPr>
          <w:rFonts w:ascii="Calibri" w:eastAsia="Calibri" w:hAnsi="Calibri" w:cs="Calibri"/>
          <w:sz w:val="24"/>
          <w:szCs w:val="24"/>
          <w:highlight w:val="white"/>
        </w:rPr>
        <w:t xml:space="preserve">Robinson, M.J. (2024). Hypodermic Needle Theory (Magic Bullet Theory). </w:t>
      </w:r>
      <w:r>
        <w:rPr>
          <w:rFonts w:ascii="Calibri" w:eastAsia="Calibri" w:hAnsi="Calibri" w:cs="Calibri"/>
          <w:i/>
          <w:iCs/>
          <w:sz w:val="24"/>
          <w:szCs w:val="24"/>
          <w:highlight w:val="white"/>
        </w:rPr>
        <w:t>EBSCO</w:t>
      </w:r>
      <w:r>
        <w:rPr>
          <w:rFonts w:ascii="Calibri" w:eastAsia="Calibri" w:hAnsi="Calibri" w:cs="Calibri"/>
          <w:sz w:val="24"/>
          <w:szCs w:val="24"/>
          <w:highlight w:val="white"/>
        </w:rPr>
        <w:t>. [online] Available at:</w:t>
      </w:r>
      <w:hyperlink r:id="rId13">
        <w:r w:rsidR="006C6194">
          <w:rPr>
            <w:rFonts w:ascii="Calibri" w:eastAsia="Calibri" w:hAnsi="Calibri" w:cs="Calibri"/>
            <w:sz w:val="24"/>
            <w:szCs w:val="24"/>
            <w:highlight w:val="white"/>
          </w:rPr>
          <w:t xml:space="preserve"> https://www.ebsco.com/research-starters/social-sciences-and-humanities/hypodermic-needle-theory-magic-bullet-theory</w:t>
        </w:r>
      </w:hyperlink>
      <w:r>
        <w:rPr>
          <w:rFonts w:ascii="Calibri" w:eastAsia="Calibri" w:hAnsi="Calibri" w:cs="Calibri"/>
          <w:sz w:val="24"/>
          <w:szCs w:val="24"/>
          <w:highlight w:val="white"/>
        </w:rPr>
        <w:t>. [Accessed 16 Dec. 2025].</w:t>
      </w:r>
    </w:p>
    <w:p w14:paraId="3A608320" w14:textId="77777777" w:rsidR="006C6194" w:rsidRDefault="00000000">
      <w:pPr>
        <w:spacing w:before="240" w:after="240" w:line="360" w:lineRule="auto"/>
        <w:jc w:val="both"/>
        <w:rPr>
          <w:rFonts w:ascii="Calibri" w:eastAsia="Calibri" w:hAnsi="Calibri" w:cs="Calibri"/>
          <w:sz w:val="24"/>
          <w:szCs w:val="24"/>
          <w:highlight w:val="white"/>
        </w:rPr>
      </w:pPr>
      <w:r>
        <w:rPr>
          <w:rFonts w:ascii="Calibri" w:eastAsia="Calibri" w:hAnsi="Calibri" w:cs="Calibri"/>
          <w:sz w:val="24"/>
          <w:szCs w:val="24"/>
          <w:highlight w:val="white"/>
        </w:rPr>
        <w:t xml:space="preserve">Son, J., Baek, J., Park, H. and Kim, C. (2018). The localized merchandising for international retailers: A study of Tesco’s failure in Japan. </w:t>
      </w:r>
      <w:r>
        <w:rPr>
          <w:rFonts w:ascii="Calibri" w:eastAsia="Calibri" w:hAnsi="Calibri" w:cs="Calibri"/>
          <w:i/>
          <w:iCs/>
          <w:sz w:val="24"/>
          <w:szCs w:val="24"/>
          <w:highlight w:val="white"/>
        </w:rPr>
        <w:t xml:space="preserve">The </w:t>
      </w:r>
      <w:proofErr w:type="spellStart"/>
      <w:r>
        <w:rPr>
          <w:rFonts w:ascii="Calibri" w:eastAsia="Calibri" w:hAnsi="Calibri" w:cs="Calibri"/>
          <w:i/>
          <w:iCs/>
          <w:sz w:val="24"/>
          <w:szCs w:val="24"/>
          <w:highlight w:val="white"/>
        </w:rPr>
        <w:t>Ritsumeikan</w:t>
      </w:r>
      <w:proofErr w:type="spellEnd"/>
      <w:r>
        <w:rPr>
          <w:rFonts w:ascii="Calibri" w:eastAsia="Calibri" w:hAnsi="Calibri" w:cs="Calibri"/>
          <w:i/>
          <w:iCs/>
          <w:sz w:val="24"/>
          <w:szCs w:val="24"/>
          <w:highlight w:val="white"/>
        </w:rPr>
        <w:t xml:space="preserve"> Business Review</w:t>
      </w:r>
      <w:r>
        <w:rPr>
          <w:rFonts w:ascii="Calibri" w:eastAsia="Calibri" w:hAnsi="Calibri" w:cs="Calibri"/>
          <w:sz w:val="24"/>
          <w:szCs w:val="24"/>
          <w:highlight w:val="white"/>
        </w:rPr>
        <w:t>, 56(5), pp.259–278. doi:10.34382/00001284. [Accessed 16 Dec. 2025].</w:t>
      </w:r>
    </w:p>
    <w:p w14:paraId="239339D8" w14:textId="77777777" w:rsidR="006C6194" w:rsidRDefault="00000000">
      <w:pPr>
        <w:spacing w:before="240" w:after="240" w:line="360" w:lineRule="auto"/>
        <w:jc w:val="both"/>
        <w:rPr>
          <w:rFonts w:ascii="Calibri" w:eastAsia="Calibri" w:hAnsi="Calibri" w:cs="Calibri"/>
          <w:sz w:val="24"/>
          <w:szCs w:val="24"/>
          <w:highlight w:val="white"/>
        </w:rPr>
      </w:pPr>
      <w:r>
        <w:rPr>
          <w:rFonts w:ascii="Calibri" w:eastAsia="Calibri" w:hAnsi="Calibri" w:cs="Calibri"/>
          <w:sz w:val="24"/>
          <w:szCs w:val="24"/>
          <w:highlight w:val="white"/>
        </w:rPr>
        <w:t>Tesco Plc (2025). Tesco to sell Japan business. [online] Available at:</w:t>
      </w:r>
      <w:hyperlink r:id="rId14">
        <w:r w:rsidR="006C6194">
          <w:rPr>
            <w:rFonts w:ascii="Calibri" w:eastAsia="Calibri" w:hAnsi="Calibri" w:cs="Calibri"/>
            <w:sz w:val="24"/>
            <w:szCs w:val="24"/>
            <w:highlight w:val="white"/>
          </w:rPr>
          <w:t xml:space="preserve"> https://www.tescoplc.com/tesco-to-sell-japan-business/</w:t>
        </w:r>
      </w:hyperlink>
      <w:r>
        <w:rPr>
          <w:rFonts w:ascii="Calibri" w:eastAsia="Calibri" w:hAnsi="Calibri" w:cs="Calibri"/>
          <w:sz w:val="24"/>
          <w:szCs w:val="24"/>
          <w:highlight w:val="white"/>
        </w:rPr>
        <w:t>. [Accessed 16 Dec. 2025].</w:t>
      </w:r>
    </w:p>
    <w:p w14:paraId="621ED76D" w14:textId="77777777" w:rsidR="006C6194" w:rsidRDefault="00000000">
      <w:pPr>
        <w:spacing w:before="240" w:after="240" w:line="360" w:lineRule="auto"/>
        <w:jc w:val="both"/>
        <w:rPr>
          <w:rFonts w:ascii="Calibri" w:eastAsia="Calibri" w:hAnsi="Calibri" w:cs="Calibri"/>
          <w:sz w:val="24"/>
          <w:szCs w:val="24"/>
          <w:highlight w:val="white"/>
        </w:rPr>
      </w:pPr>
      <w:r>
        <w:rPr>
          <w:rFonts w:ascii="Calibri" w:eastAsia="Calibri" w:hAnsi="Calibri" w:cs="Calibri"/>
          <w:sz w:val="24"/>
          <w:szCs w:val="24"/>
          <w:highlight w:val="white"/>
        </w:rPr>
        <w:t xml:space="preserve">Wang, B. (2023). Tesco in China market expansion failure analysis study. </w:t>
      </w:r>
      <w:r>
        <w:rPr>
          <w:rFonts w:ascii="Calibri" w:eastAsia="Calibri" w:hAnsi="Calibri" w:cs="Calibri"/>
          <w:i/>
          <w:iCs/>
          <w:sz w:val="24"/>
          <w:szCs w:val="24"/>
          <w:highlight w:val="white"/>
        </w:rPr>
        <w:t>BCP Business &amp; Management</w:t>
      </w:r>
      <w:r>
        <w:rPr>
          <w:rFonts w:ascii="Calibri" w:eastAsia="Calibri" w:hAnsi="Calibri" w:cs="Calibri"/>
          <w:sz w:val="24"/>
          <w:szCs w:val="24"/>
          <w:highlight w:val="white"/>
        </w:rPr>
        <w:t>, 38, pp.1038–1042. doi:10.54691/</w:t>
      </w:r>
      <w:proofErr w:type="gramStart"/>
      <w:r>
        <w:rPr>
          <w:rFonts w:ascii="Calibri" w:eastAsia="Calibri" w:hAnsi="Calibri" w:cs="Calibri"/>
          <w:sz w:val="24"/>
          <w:szCs w:val="24"/>
          <w:highlight w:val="white"/>
        </w:rPr>
        <w:t>bcpbm.v</w:t>
      </w:r>
      <w:proofErr w:type="gramEnd"/>
      <w:r>
        <w:rPr>
          <w:rFonts w:ascii="Calibri" w:eastAsia="Calibri" w:hAnsi="Calibri" w:cs="Calibri"/>
          <w:sz w:val="24"/>
          <w:szCs w:val="24"/>
          <w:highlight w:val="white"/>
        </w:rPr>
        <w:t>38i.3823. [Accessed 16 Dec. 2025].</w:t>
      </w:r>
    </w:p>
    <w:p w14:paraId="543B6722" w14:textId="77777777" w:rsidR="006C6194" w:rsidRDefault="00000000">
      <w:pPr>
        <w:spacing w:before="240" w:after="240" w:line="360" w:lineRule="auto"/>
        <w:jc w:val="both"/>
        <w:rPr>
          <w:rFonts w:ascii="Calibri" w:eastAsia="Calibri" w:hAnsi="Calibri" w:cs="Calibri"/>
          <w:sz w:val="24"/>
          <w:szCs w:val="24"/>
          <w:highlight w:val="white"/>
        </w:rPr>
      </w:pPr>
      <w:r>
        <w:rPr>
          <w:rFonts w:ascii="Calibri" w:eastAsia="Calibri" w:hAnsi="Calibri" w:cs="Calibri"/>
          <w:sz w:val="24"/>
          <w:szCs w:val="24"/>
          <w:highlight w:val="white"/>
        </w:rPr>
        <w:t xml:space="preserve">Wang, J., Shahzad, F., Ahmad, Z., Abdullah, M. and Hassan, N.M. (2022). Trust and consumers’ purchase intention in a social commerce platform: A meta-analytic approach. </w:t>
      </w:r>
      <w:r>
        <w:rPr>
          <w:rFonts w:ascii="Calibri" w:eastAsia="Calibri" w:hAnsi="Calibri" w:cs="Calibri"/>
          <w:i/>
          <w:iCs/>
          <w:sz w:val="24"/>
          <w:szCs w:val="24"/>
          <w:highlight w:val="white"/>
        </w:rPr>
        <w:t>SAGE Open</w:t>
      </w:r>
      <w:r>
        <w:rPr>
          <w:rFonts w:ascii="Calibri" w:eastAsia="Calibri" w:hAnsi="Calibri" w:cs="Calibri"/>
          <w:sz w:val="24"/>
          <w:szCs w:val="24"/>
          <w:highlight w:val="white"/>
        </w:rPr>
        <w:t xml:space="preserve">, 12(2), </w:t>
      </w:r>
      <w:r>
        <w:rPr>
          <w:rFonts w:ascii="Calibri" w:eastAsia="Calibri" w:hAnsi="Calibri" w:cs="Calibri"/>
          <w:sz w:val="24"/>
          <w:szCs w:val="24"/>
          <w:highlight w:val="white"/>
        </w:rPr>
        <w:lastRenderedPageBreak/>
        <w:t>p.215824402210912. [online] Available at:</w:t>
      </w:r>
      <w:hyperlink r:id="rId15">
        <w:r w:rsidR="006C6194">
          <w:rPr>
            <w:rFonts w:ascii="Calibri" w:eastAsia="Calibri" w:hAnsi="Calibri" w:cs="Calibri"/>
            <w:sz w:val="24"/>
            <w:szCs w:val="24"/>
            <w:highlight w:val="white"/>
          </w:rPr>
          <w:t xml:space="preserve"> https://www.researchgate.net/publication/359310359</w:t>
        </w:r>
      </w:hyperlink>
      <w:r>
        <w:rPr>
          <w:rFonts w:ascii="Calibri" w:eastAsia="Calibri" w:hAnsi="Calibri" w:cs="Calibri"/>
          <w:sz w:val="24"/>
          <w:szCs w:val="24"/>
          <w:highlight w:val="white"/>
        </w:rPr>
        <w:t>. [Accessed 16 Dec. 2025].</w:t>
      </w:r>
    </w:p>
    <w:p w14:paraId="05F06AD5" w14:textId="77777777" w:rsidR="006C6194" w:rsidRDefault="00000000">
      <w:pPr>
        <w:spacing w:before="240" w:after="240" w:line="360" w:lineRule="auto"/>
        <w:jc w:val="both"/>
        <w:rPr>
          <w:rFonts w:ascii="Calibri" w:eastAsia="Calibri" w:hAnsi="Calibri" w:cs="Calibri"/>
          <w:sz w:val="24"/>
          <w:szCs w:val="24"/>
          <w:highlight w:val="white"/>
        </w:rPr>
      </w:pPr>
      <w:r>
        <w:rPr>
          <w:rFonts w:ascii="Calibri" w:eastAsia="Calibri" w:hAnsi="Calibri" w:cs="Calibri"/>
          <w:sz w:val="24"/>
          <w:szCs w:val="24"/>
          <w:highlight w:val="white"/>
        </w:rPr>
        <w:t xml:space="preserve">Wood, Z. (2011). Tesco admits defeat and pulls out of Japan. </w:t>
      </w:r>
      <w:r>
        <w:rPr>
          <w:rFonts w:ascii="Calibri" w:eastAsia="Calibri" w:hAnsi="Calibri" w:cs="Calibri"/>
          <w:i/>
          <w:iCs/>
          <w:sz w:val="24"/>
          <w:szCs w:val="24"/>
          <w:highlight w:val="white"/>
        </w:rPr>
        <w:t>The Guardian</w:t>
      </w:r>
      <w:r>
        <w:rPr>
          <w:rFonts w:ascii="Calibri" w:eastAsia="Calibri" w:hAnsi="Calibri" w:cs="Calibri"/>
          <w:sz w:val="24"/>
          <w:szCs w:val="24"/>
          <w:highlight w:val="white"/>
        </w:rPr>
        <w:t>. [online] Available at:</w:t>
      </w:r>
      <w:hyperlink r:id="rId16">
        <w:r w:rsidR="006C6194">
          <w:rPr>
            <w:rFonts w:ascii="Calibri" w:eastAsia="Calibri" w:hAnsi="Calibri" w:cs="Calibri"/>
            <w:sz w:val="24"/>
            <w:szCs w:val="24"/>
            <w:highlight w:val="white"/>
          </w:rPr>
          <w:t xml:space="preserve"> https://www.theguardian.com/business/2011/aug/31/tesco-japan-pull-out-philip-clarke</w:t>
        </w:r>
      </w:hyperlink>
      <w:r>
        <w:rPr>
          <w:rFonts w:ascii="Calibri" w:eastAsia="Calibri" w:hAnsi="Calibri" w:cs="Calibri"/>
          <w:sz w:val="24"/>
          <w:szCs w:val="24"/>
          <w:highlight w:val="white"/>
        </w:rPr>
        <w:t>. [Accessed 16 Dec. 2025].</w:t>
      </w:r>
    </w:p>
    <w:p w14:paraId="733F1AEF" w14:textId="77777777" w:rsidR="006C6194" w:rsidRDefault="00000000">
      <w:pPr>
        <w:spacing w:before="240" w:after="240" w:line="360" w:lineRule="auto"/>
        <w:jc w:val="both"/>
        <w:rPr>
          <w:rFonts w:ascii="Calibri" w:eastAsia="Calibri" w:hAnsi="Calibri" w:cs="Calibri"/>
          <w:sz w:val="24"/>
          <w:szCs w:val="24"/>
          <w:highlight w:val="white"/>
        </w:rPr>
      </w:pPr>
      <w:r>
        <w:rPr>
          <w:rFonts w:ascii="Calibri" w:eastAsia="Calibri" w:hAnsi="Calibri" w:cs="Calibri"/>
          <w:sz w:val="24"/>
          <w:szCs w:val="24"/>
          <w:highlight w:val="white"/>
        </w:rPr>
        <w:t xml:space="preserve">Wood, Z. (2011). Tesco sales hit by poor results at non-food division. </w:t>
      </w:r>
      <w:r>
        <w:rPr>
          <w:rFonts w:ascii="Calibri" w:eastAsia="Calibri" w:hAnsi="Calibri" w:cs="Calibri"/>
          <w:i/>
          <w:iCs/>
          <w:sz w:val="24"/>
          <w:szCs w:val="24"/>
          <w:highlight w:val="white"/>
        </w:rPr>
        <w:t>The Guardian</w:t>
      </w:r>
      <w:r>
        <w:rPr>
          <w:rFonts w:ascii="Calibri" w:eastAsia="Calibri" w:hAnsi="Calibri" w:cs="Calibri"/>
          <w:sz w:val="24"/>
          <w:szCs w:val="24"/>
          <w:highlight w:val="white"/>
        </w:rPr>
        <w:t>. [online] Available at:</w:t>
      </w:r>
      <w:hyperlink r:id="rId17">
        <w:r w:rsidR="006C6194">
          <w:rPr>
            <w:rFonts w:ascii="Calibri" w:eastAsia="Calibri" w:hAnsi="Calibri" w:cs="Calibri"/>
            <w:sz w:val="24"/>
            <w:szCs w:val="24"/>
            <w:highlight w:val="white"/>
          </w:rPr>
          <w:t xml:space="preserve"> https://www.theguardian.com/business/2011/jun/14/tesco-sales-non-food</w:t>
        </w:r>
      </w:hyperlink>
      <w:r>
        <w:rPr>
          <w:rFonts w:ascii="Calibri" w:eastAsia="Calibri" w:hAnsi="Calibri" w:cs="Calibri"/>
          <w:sz w:val="24"/>
          <w:szCs w:val="24"/>
          <w:highlight w:val="white"/>
        </w:rPr>
        <w:t>. [Accessed 16 Dec. 2025].</w:t>
      </w:r>
    </w:p>
    <w:p w14:paraId="56F92D72" w14:textId="77777777" w:rsidR="006C6194" w:rsidRDefault="00000000">
      <w:pPr>
        <w:spacing w:before="240" w:after="240" w:line="360" w:lineRule="auto"/>
        <w:jc w:val="both"/>
        <w:rPr>
          <w:rFonts w:ascii="Calibri" w:eastAsia="Calibri" w:hAnsi="Calibri" w:cs="Calibri"/>
          <w:sz w:val="24"/>
          <w:szCs w:val="24"/>
          <w:highlight w:val="white"/>
        </w:rPr>
      </w:pPr>
      <w:r>
        <w:rPr>
          <w:rFonts w:ascii="Calibri" w:eastAsia="Calibri" w:hAnsi="Calibri" w:cs="Calibri"/>
          <w:sz w:val="24"/>
          <w:szCs w:val="24"/>
          <w:highlight w:val="white"/>
        </w:rPr>
        <w:t xml:space="preserve">Yang, X., Hou, J. and Arth, Z.W. (2021). Communicating in a proper way: How people from high-/low-context culture choose their media for communication. </w:t>
      </w:r>
      <w:r>
        <w:rPr>
          <w:rFonts w:ascii="Calibri" w:eastAsia="Calibri" w:hAnsi="Calibri" w:cs="Calibri"/>
          <w:i/>
          <w:iCs/>
          <w:sz w:val="24"/>
          <w:szCs w:val="24"/>
          <w:highlight w:val="white"/>
        </w:rPr>
        <w:t>International Communication Gazette</w:t>
      </w:r>
      <w:r>
        <w:rPr>
          <w:rFonts w:ascii="Calibri" w:eastAsia="Calibri" w:hAnsi="Calibri" w:cs="Calibri"/>
          <w:sz w:val="24"/>
          <w:szCs w:val="24"/>
          <w:highlight w:val="white"/>
        </w:rPr>
        <w:t>, 83(3), pp.238–259.</w:t>
      </w:r>
    </w:p>
    <w:p w14:paraId="30515A89" w14:textId="77777777" w:rsidR="006C6194" w:rsidRDefault="00000000">
      <w:pPr>
        <w:spacing w:before="240" w:after="240" w:line="360" w:lineRule="auto"/>
        <w:jc w:val="both"/>
        <w:rPr>
          <w:rFonts w:ascii="Calibri" w:eastAsia="Calibri" w:hAnsi="Calibri" w:cs="Calibri"/>
          <w:sz w:val="24"/>
          <w:szCs w:val="24"/>
          <w:highlight w:val="white"/>
        </w:rPr>
      </w:pPr>
      <w:r>
        <w:rPr>
          <w:rFonts w:ascii="Calibri" w:eastAsia="Calibri" w:hAnsi="Calibri" w:cs="Calibri"/>
          <w:sz w:val="24"/>
          <w:szCs w:val="24"/>
          <w:highlight w:val="white"/>
        </w:rPr>
        <w:t xml:space="preserve">Yoshino, K. (2020). How to live happily ever after in Japan’s high-context culture. </w:t>
      </w:r>
      <w:r>
        <w:rPr>
          <w:rFonts w:ascii="Calibri" w:eastAsia="Calibri" w:hAnsi="Calibri" w:cs="Calibri"/>
          <w:i/>
          <w:iCs/>
          <w:sz w:val="24"/>
          <w:szCs w:val="24"/>
          <w:highlight w:val="white"/>
        </w:rPr>
        <w:t>GLOBIS Insights</w:t>
      </w:r>
      <w:r>
        <w:rPr>
          <w:rFonts w:ascii="Calibri" w:eastAsia="Calibri" w:hAnsi="Calibri" w:cs="Calibri"/>
          <w:sz w:val="24"/>
          <w:szCs w:val="24"/>
          <w:highlight w:val="white"/>
        </w:rPr>
        <w:t>. [online] Available at:</w:t>
      </w:r>
      <w:hyperlink r:id="rId18">
        <w:r w:rsidR="006C6194">
          <w:rPr>
            <w:rFonts w:ascii="Calibri" w:eastAsia="Calibri" w:hAnsi="Calibri" w:cs="Calibri"/>
            <w:sz w:val="24"/>
            <w:szCs w:val="24"/>
            <w:highlight w:val="white"/>
          </w:rPr>
          <w:t xml:space="preserve"> https://globisinsights.com/career-skills/communication/high-context-culture-japan/</w:t>
        </w:r>
      </w:hyperlink>
      <w:r>
        <w:rPr>
          <w:rFonts w:ascii="Calibri" w:eastAsia="Calibri" w:hAnsi="Calibri" w:cs="Calibri"/>
          <w:sz w:val="24"/>
          <w:szCs w:val="24"/>
          <w:highlight w:val="white"/>
        </w:rPr>
        <w:t>. [Accessed 16 Dec. 2025].</w:t>
      </w:r>
    </w:p>
    <w:p w14:paraId="3C0B17BB" w14:textId="77777777" w:rsidR="006C6194" w:rsidRDefault="006C6194">
      <w:pPr>
        <w:spacing w:before="200" w:after="200" w:line="360" w:lineRule="auto"/>
        <w:jc w:val="both"/>
        <w:rPr>
          <w:rFonts w:ascii="Calibri" w:eastAsia="Calibri" w:hAnsi="Calibri" w:cs="Calibri"/>
          <w:sz w:val="24"/>
          <w:szCs w:val="24"/>
        </w:rPr>
      </w:pPr>
    </w:p>
    <w:sectPr w:rsidR="006C6194">
      <w:headerReference w:type="default" r:id="rId19"/>
      <w:footerReference w:type="default" r:id="rId20"/>
      <w:footerReference w:type="first" r:id="rId21"/>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E2A28" w14:textId="77777777" w:rsidR="003424B4" w:rsidRDefault="003424B4">
      <w:pPr>
        <w:spacing w:line="240" w:lineRule="auto"/>
      </w:pPr>
      <w:r>
        <w:separator/>
      </w:r>
    </w:p>
  </w:endnote>
  <w:endnote w:type="continuationSeparator" w:id="0">
    <w:p w14:paraId="7B2E3382" w14:textId="77777777" w:rsidR="003424B4" w:rsidRDefault="003424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C48A82E-2209-44AB-870E-18165D37B09A}"/>
    <w:embedBold r:id="rId2" w:fontKey="{59DEAC6E-0578-4AB1-ADEF-E2DD532F7592}"/>
    <w:embedItalic r:id="rId3" w:fontKey="{319D534B-B9DF-4B34-8A98-5CEEA36B8166}"/>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D8EA0A90-70FF-4A98-91DA-551E60582AE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87220" w14:textId="77777777" w:rsidR="006C6194" w:rsidRDefault="00000000">
    <w:pPr>
      <w:jc w:val="right"/>
      <w:rPr>
        <w:rFonts w:ascii="Calibri" w:eastAsia="Calibri" w:hAnsi="Calibri" w:cs="Calibri"/>
        <w:sz w:val="24"/>
        <w:szCs w:val="24"/>
      </w:rPr>
    </w:pPr>
    <w:r>
      <w:rPr>
        <w:rFonts w:ascii="Calibri" w:eastAsia="Calibri" w:hAnsi="Calibri" w:cs="Calibri"/>
        <w:sz w:val="24"/>
        <w:szCs w:val="24"/>
      </w:rPr>
      <w:fldChar w:fldCharType="begin"/>
    </w:r>
    <w:r>
      <w:rPr>
        <w:rFonts w:ascii="Calibri" w:eastAsia="Calibri" w:hAnsi="Calibri" w:cs="Calibri"/>
        <w:sz w:val="24"/>
        <w:szCs w:val="24"/>
      </w:rPr>
      <w:instrText>PAGE</w:instrText>
    </w:r>
    <w:r>
      <w:rPr>
        <w:rFonts w:ascii="Calibri" w:eastAsia="Calibri" w:hAnsi="Calibri" w:cs="Calibri"/>
        <w:sz w:val="24"/>
        <w:szCs w:val="24"/>
      </w:rPr>
      <w:fldChar w:fldCharType="separate"/>
    </w:r>
    <w:r w:rsidR="005C3659">
      <w:rPr>
        <w:rFonts w:ascii="Calibri" w:eastAsia="Calibri" w:hAnsi="Calibri" w:cs="Calibri"/>
        <w:noProof/>
        <w:sz w:val="24"/>
        <w:szCs w:val="24"/>
      </w:rPr>
      <w:t>1</w:t>
    </w:r>
    <w:r>
      <w:rPr>
        <w:rFonts w:ascii="Calibri" w:eastAsia="Calibri" w:hAnsi="Calibri" w:cs="Calibri"/>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7B332" w14:textId="77777777" w:rsidR="006C6194" w:rsidRDefault="006C619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E15BC5" w14:textId="77777777" w:rsidR="003424B4" w:rsidRDefault="003424B4">
      <w:pPr>
        <w:spacing w:line="240" w:lineRule="auto"/>
      </w:pPr>
      <w:r>
        <w:separator/>
      </w:r>
    </w:p>
  </w:footnote>
  <w:footnote w:type="continuationSeparator" w:id="0">
    <w:p w14:paraId="41DC84E2" w14:textId="77777777" w:rsidR="003424B4" w:rsidRDefault="003424B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F363C" w14:textId="77777777" w:rsidR="006C6194" w:rsidRDefault="006C619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6194"/>
    <w:rsid w:val="003424B4"/>
    <w:rsid w:val="005B4A42"/>
    <w:rsid w:val="005C3659"/>
    <w:rsid w:val="00666179"/>
    <w:rsid w:val="006C6194"/>
    <w:rsid w:val="00862650"/>
    <w:rsid w:val="009C35EC"/>
    <w:rsid w:val="00F338F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4E29F"/>
  <w15:docId w15:val="{F4B9DF16-EA96-467D-BFBE-8A0EBB709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after="200" w:line="360" w:lineRule="auto"/>
      <w:jc w:val="both"/>
      <w:outlineLvl w:val="0"/>
    </w:pPr>
    <w:rPr>
      <w:rFonts w:ascii="Calibri" w:eastAsia="Calibri" w:hAnsi="Calibri" w:cs="Calibri"/>
      <w:b/>
      <w:bCs/>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retail-week.com/grocery/tesco-reveals-plan-to-exit-japan/5037686.article" TargetMode="External"/><Relationship Id="rId13" Type="http://schemas.openxmlformats.org/officeDocument/2006/relationships/hyperlink" Target="https://www.ebsco.com/research-starters/social-sciences-and-humanities/hypodermic-needle-theory-magic-bullet-theory" TargetMode="External"/><Relationship Id="rId18" Type="http://schemas.openxmlformats.org/officeDocument/2006/relationships/hyperlink" Target="https://globisinsights.com/career-skills/communication/high-context-culture-japan/" TargetMode="External"/><Relationship Id="rId3" Type="http://schemas.openxmlformats.org/officeDocument/2006/relationships/webSettings" Target="webSettings.xml"/><Relationship Id="rId21" Type="http://schemas.openxmlformats.org/officeDocument/2006/relationships/footer" Target="footer2.xml"/><Relationship Id="rId7" Type="http://schemas.openxmlformats.org/officeDocument/2006/relationships/hyperlink" Target="https://www.cxg.com/insight/omotenashi-for-the-modern-age-elevating-service-in-japan-and-taking-the-concept-global/" TargetMode="External"/><Relationship Id="rId12" Type="http://schemas.openxmlformats.org/officeDocument/2006/relationships/hyperlink" Target="https://www.reuters.com/article/business/tesco-to-quit-japan-after-eight-year-struggle-idUSL5E7JV0PH/" TargetMode="External"/><Relationship Id="rId17" Type="http://schemas.openxmlformats.org/officeDocument/2006/relationships/hyperlink" Target="https://www.theguardian.com/business/2011/jun/14/tesco-sales-non-food" TargetMode="External"/><Relationship Id="rId2" Type="http://schemas.openxmlformats.org/officeDocument/2006/relationships/settings" Target="settings.xml"/><Relationship Id="rId16" Type="http://schemas.openxmlformats.org/officeDocument/2006/relationships/hyperlink" Target="https://www.theguardian.com/business/2011/aug/31/tesco-japan-pull-out-philip-clarke"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clearlycultural.com/geert-hofstede-cultural-dimensions/uncertainty-avoidance-index/" TargetMode="External"/><Relationship Id="rId11" Type="http://schemas.openxmlformats.org/officeDocument/2006/relationships/hyperlink" Target="https://japantoday.com/category/have-your-say/why-did-britains-tesco-the-worlds-no-3-retailer-fail-in-its-9-year-attempt-to-crack-the-japanese-market" TargetMode="External"/><Relationship Id="rId5" Type="http://schemas.openxmlformats.org/officeDocument/2006/relationships/endnotes" Target="endnotes.xml"/><Relationship Id="rId15" Type="http://schemas.openxmlformats.org/officeDocument/2006/relationships/hyperlink" Target="https://www.researchgate.net/publication/359310359" TargetMode="External"/><Relationship Id="rId23" Type="http://schemas.openxmlformats.org/officeDocument/2006/relationships/theme" Target="theme/theme1.xml"/><Relationship Id="rId10" Type="http://schemas.openxmlformats.org/officeDocument/2006/relationships/hyperlink" Target="https://www.independent.co.uk/voices/commentators/david-mcneill-no-shame-in-tesco-s-failing-to-crack-japan-2347666.html"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ebsco.com/research-starters/business-and-management/hofstedes-cultural-dimensions-theory" TargetMode="External"/><Relationship Id="rId14" Type="http://schemas.openxmlformats.org/officeDocument/2006/relationships/hyperlink" Target="https://www.tescoplc.com/tesco-to-sell-japan-business/"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3056</Words>
  <Characters>17424</Characters>
  <Application>Microsoft Office Word</Application>
  <DocSecurity>0</DocSecurity>
  <Lines>145</Lines>
  <Paragraphs>40</Paragraphs>
  <ScaleCrop>false</ScaleCrop>
  <Company/>
  <LinksUpToDate>false</LinksUpToDate>
  <CharactersWithSpaces>20440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Ionut Hrisca</cp:lastModifiedBy>
  <cp:revision>2</cp:revision>
  <dcterms:created xsi:type="dcterms:W3CDTF">2025-12-17T05:25:00Z</dcterms:created>
  <dcterms:modified xsi:type="dcterms:W3CDTF">2025-12-17T09:03:00Z</dcterms:modified>
</cp:coreProperties>
</file>