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76D0D" w:rsidRPr="00AA2457" w:rsidRDefault="00776D0D" w:rsidP="00776D0D">
      <w:pPr>
        <w:rPr>
          <w:rFonts w:ascii="Times New Roman" w:eastAsia="PMingLiU" w:hAnsi="Times New Roman"/>
          <w:lang w:val="en-US"/>
        </w:rPr>
      </w:pPr>
      <w:r>
        <w:rPr>
          <w:sz w:val="32"/>
          <w:szCs w:val="32"/>
        </w:rPr>
        <w:t>A Summary on the secondary materials relating to the Cult of the Virgin Mary</w:t>
      </w:r>
    </w:p>
    <w:p w:rsidR="00776D0D" w:rsidRPr="00F8066D" w:rsidRDefault="00776D0D" w:rsidP="00374FEE">
      <w:pPr>
        <w:spacing w:line="480" w:lineRule="auto"/>
        <w:rPr>
          <w:rFonts w:ascii="Times New Roman" w:eastAsia="PMingLiU" w:hAnsi="Times New Roman"/>
          <w:lang w:val="en-US"/>
        </w:rPr>
      </w:pPr>
    </w:p>
    <w:p w:rsidR="00776D0D" w:rsidRDefault="00776D0D" w:rsidP="00374FEE">
      <w:pPr>
        <w:spacing w:line="480" w:lineRule="auto"/>
      </w:pPr>
      <w:r>
        <w:t xml:space="preserve">Kerry McCarthy’s 2013 book </w:t>
      </w:r>
      <w:r w:rsidRPr="00EC4CDA">
        <w:rPr>
          <w:i/>
        </w:rPr>
        <w:t>Byrd</w:t>
      </w:r>
      <w:r>
        <w:t xml:space="preserve"> is a detailed and in depth study of the life and works of the English Renaissance composer William Byrd. In the first half of the book McCarthy considers Byrd’s early life and career together with his aristocratic patrons and his religious background. McCarthy then continues to consider his works both sacred and secular. The thirteenth chapter of the book is dedicated to a study and analysis of the </w:t>
      </w:r>
      <w:r w:rsidRPr="002D2184">
        <w:rPr>
          <w:i/>
        </w:rPr>
        <w:t>Gradualia</w:t>
      </w:r>
      <w:r>
        <w:t xml:space="preserve">. McCarthy offers a description of this collection of music explaining its intended use and the religious celebrations it </w:t>
      </w:r>
      <w:r w:rsidRPr="005075C9">
        <w:t>was</w:t>
      </w:r>
      <w:r>
        <w:t xml:space="preserve"> planned for. McCarthy gives a brief historical and politics context for the production of the </w:t>
      </w:r>
      <w:r w:rsidRPr="005075C9">
        <w:rPr>
          <w:i/>
        </w:rPr>
        <w:t>Gradualia</w:t>
      </w:r>
      <w:r>
        <w:t xml:space="preserve"> before continuing with an in depth study of the musical pieces themselves and the construction of the collection as a whole. McCarthy also places the </w:t>
      </w:r>
      <w:r w:rsidRPr="00B307A3">
        <w:rPr>
          <w:i/>
        </w:rPr>
        <w:t>Gradualia</w:t>
      </w:r>
      <w:r>
        <w:t xml:space="preserve"> within the context of Byrd’s own musical history. McCarthy details how Byrd linked his pieces back to earlier music, often of his own composition, in order to highlight the Marian elements of the works. Thus McCarthy’s knowledge informs the reader’s own understanding of the relevance and the poignancy of the music. In addition McCarthy explains the flexible structure of the music of the Gradualia and how this collection was used in private recusant Roman Catholic devotion. For example McCarthy not only can give musical insight into how well the construction of the music matches the words of the mass but also highlights practicalities such as pointing out that given the fact that Christmas was especially treasured by English recusants McCarthy comments that it seems surprising that the Christmas Gradualia is scored for only four singers. She suggests that this is possibly simply a question of practicality of travelling in mid-winter on the unpaved road of the early seventeenth century. McCarthy combines her knowledge of musical traditions with her knowledge of the popular ways of celebrating important masses and holidays. McCarthy writes with a knowledgeable and informed style but in such a way that she is able to make this subject accessible to a reader with limited knowledge of the musicology of the period. In particular with reference to her knowledge of English recusant methods of meditation and reflection. McCarthy also reverses an earlier view of Byrd and his later works which would have seen this time as a sad and limited working of “arbitrary Latin fragments”. Far from this McCarthy shows how the music itself reveals how much Byrd likely enjoyed writing this music. “He was following in the tradition of those English Renaissance artists (Nichols Hilliard is the first to come to mind) who made exquisite miniatures; paintings, embroideries, poems, and musical works.” It is refreshing how McCarthy places this intricate music in a wider creative context. </w:t>
      </w:r>
    </w:p>
    <w:p w:rsidR="00776D0D" w:rsidRDefault="00776D0D" w:rsidP="00374FEE">
      <w:pPr>
        <w:spacing w:line="480" w:lineRule="auto"/>
      </w:pPr>
      <w:r>
        <w:lastRenderedPageBreak/>
        <w:t xml:space="preserve">Jerry Parlby’s essay ‘The Origins of Marian Art: The Evolution of Marian Imagery in the Western Church until AD 431’ in the book ‘Mary: the Complete Resource’ provides a valuable background to the history of Marian devotion in the early Christian church. Parlby’s wider knowledge of the pre Christian female sacred images brings an interesting element to the study of Christian Marian imagery. The reader quickly can see some parallels with earlier religious iconography. One particularly interesting example is the eastern mother of the Gods Cybele. Cybele is a chaste virgin goddess whose son was sacrificed and reborn in the spring and was seen as a symbol of renewal. Her statues were adorned with roses by the Romans because these were an ancient symbol that represented resurrection. The Romans also considered the rose garden as a sacred world or as hidden dimension related to the goddess. It is impossible not to see parallels with the later Marian iconography with the rose and the enclosed garden, </w:t>
      </w:r>
      <w:r w:rsidRPr="00717752">
        <w:rPr>
          <w:i/>
        </w:rPr>
        <w:t>hortus conclusus</w:t>
      </w:r>
      <w:r>
        <w:t xml:space="preserve">. It is interesting that Parlby considers early research into the frescos of the catacombs of Rome and how they were interpreted throughout the centuries and how those interpretations have informed our understanding. How since the time of the renaissance they have been revaluated. What was particularly interesting was the fact that the rediscovery of the catacombs and the art that they contained came at the time when the Roman Catholic Church found this useful as ammunition to use within the counterreformation, “…uncovering the catacombs must have seemed a sign from Heaven for the Church.” Parlby concludes with a reminder of the power of images and describes how the visual representation of Mary as Mother of God and the church evolved rather than “…a regal and powerful empress figure…into the epitome of a modest and obedient virgin bride – a woman under the control of men.” Parlby then leaves the reader with the image of the stage set for the next five hundred years of Marian art. </w:t>
      </w:r>
    </w:p>
    <w:p w:rsidR="00113CB0" w:rsidRDefault="00113CB0" w:rsidP="00776D0D">
      <w:pPr>
        <w:rPr>
          <w:sz w:val="32"/>
          <w:szCs w:val="32"/>
        </w:rPr>
      </w:pPr>
    </w:p>
    <w:p w:rsidR="00113CB0" w:rsidRDefault="00113CB0" w:rsidP="00776D0D">
      <w:pPr>
        <w:rPr>
          <w:sz w:val="32"/>
          <w:szCs w:val="32"/>
        </w:rPr>
      </w:pPr>
    </w:p>
    <w:p w:rsidR="00113CB0" w:rsidRDefault="00113CB0" w:rsidP="00776D0D">
      <w:pPr>
        <w:rPr>
          <w:sz w:val="32"/>
          <w:szCs w:val="32"/>
        </w:rPr>
      </w:pPr>
    </w:p>
    <w:p w:rsidR="00113CB0" w:rsidRDefault="00113CB0" w:rsidP="00776D0D">
      <w:pPr>
        <w:rPr>
          <w:sz w:val="32"/>
          <w:szCs w:val="32"/>
        </w:rPr>
      </w:pPr>
    </w:p>
    <w:p w:rsidR="00113CB0" w:rsidRDefault="00113CB0" w:rsidP="00776D0D">
      <w:pPr>
        <w:rPr>
          <w:sz w:val="32"/>
          <w:szCs w:val="32"/>
        </w:rPr>
      </w:pPr>
    </w:p>
    <w:p w:rsidR="00113CB0" w:rsidRDefault="00113CB0" w:rsidP="00776D0D">
      <w:pPr>
        <w:rPr>
          <w:sz w:val="32"/>
          <w:szCs w:val="32"/>
        </w:rPr>
      </w:pPr>
    </w:p>
    <w:p w:rsidR="00113CB0" w:rsidRDefault="00113CB0" w:rsidP="00776D0D">
      <w:pPr>
        <w:rPr>
          <w:sz w:val="32"/>
          <w:szCs w:val="32"/>
        </w:rPr>
      </w:pPr>
    </w:p>
    <w:p w:rsidR="00113CB0" w:rsidRDefault="00113CB0" w:rsidP="00776D0D">
      <w:pPr>
        <w:rPr>
          <w:sz w:val="32"/>
          <w:szCs w:val="32"/>
        </w:rPr>
      </w:pPr>
    </w:p>
    <w:p w:rsidR="00113CB0" w:rsidRDefault="00113CB0" w:rsidP="00776D0D">
      <w:pPr>
        <w:rPr>
          <w:sz w:val="32"/>
          <w:szCs w:val="32"/>
        </w:rPr>
      </w:pPr>
    </w:p>
    <w:p w:rsidR="00776D0D" w:rsidRPr="001A5EC3" w:rsidRDefault="00776D0D" w:rsidP="00776D0D">
      <w:pPr>
        <w:rPr>
          <w:rFonts w:ascii="Times New Roman" w:eastAsia="PMingLiU" w:hAnsi="Times New Roman"/>
          <w:lang w:val="en-US"/>
        </w:rPr>
      </w:pPr>
      <w:r w:rsidRPr="008E4821">
        <w:rPr>
          <w:sz w:val="32"/>
          <w:szCs w:val="32"/>
        </w:rPr>
        <w:lastRenderedPageBreak/>
        <w:t>A Commentary on the Mérode Altarpiece</w:t>
      </w:r>
      <w:r>
        <w:rPr>
          <w:sz w:val="32"/>
          <w:szCs w:val="32"/>
        </w:rPr>
        <w:t xml:space="preserve"> and its Marian Iconography</w:t>
      </w:r>
    </w:p>
    <w:p w:rsidR="00776D0D" w:rsidRDefault="00776D0D" w:rsidP="00776D0D">
      <w:r>
        <w:rPr>
          <w:noProof/>
          <w:lang w:eastAsia="en-GB"/>
        </w:rPr>
        <w:drawing>
          <wp:inline distT="0" distB="0" distL="0" distR="0" wp14:anchorId="5ED16BB6" wp14:editId="231E0EC5">
            <wp:extent cx="6645910" cy="3368040"/>
            <wp:effectExtent l="0" t="0" r="254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merode altarpiece triptych.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6645910" cy="3368040"/>
                    </a:xfrm>
                    <a:prstGeom prst="rect">
                      <a:avLst/>
                    </a:prstGeom>
                  </pic:spPr>
                </pic:pic>
              </a:graphicData>
            </a:graphic>
          </wp:inline>
        </w:drawing>
      </w:r>
    </w:p>
    <w:p w:rsidR="00776D0D" w:rsidRDefault="00776D0D" w:rsidP="00113CB0">
      <w:pPr>
        <w:spacing w:line="480" w:lineRule="auto"/>
      </w:pPr>
      <w:r>
        <w:t>The Mérode Altarpiece is a painted triptych of the Annunciation which is frequently attributed to the workshop of Robert Campin in Tournai and is dated to sometime between 1427 and 1432.</w:t>
      </w:r>
      <w:r>
        <w:rPr>
          <w:rStyle w:val="FootnoteReference"/>
        </w:rPr>
        <w:footnoteReference w:id="1"/>
      </w:r>
      <w:r>
        <w:t xml:space="preserve"> It consists of a large central panel flanked by two smaller hinged panels, depicting Saint Joseph’s workshop on the right and a garden on the left. </w:t>
      </w:r>
    </w:p>
    <w:p w:rsidR="00776D0D" w:rsidRPr="005B18BE" w:rsidRDefault="00776D0D" w:rsidP="00113CB0">
      <w:pPr>
        <w:spacing w:line="480" w:lineRule="auto"/>
      </w:pPr>
      <w:r>
        <w:t>The central panel portrays the Annunciation very probably at the precise moment the Virgin Mary conceives. The room depicted in this panel is an intensely private and secluded space yet still recognisable as a contemporary Flemish domestic interior.</w:t>
      </w:r>
      <w:r>
        <w:rPr>
          <w:rStyle w:val="FootnoteReference"/>
        </w:rPr>
        <w:footnoteReference w:id="2"/>
      </w:r>
      <w:r>
        <w:t xml:space="preserve"> The window shutters and screens are closed apart from the higher panes so that all that is seen from the interior are the clouds and sky and thus the privacy of earlier Annunciation artworks is maintained. However this is the first known depiction of the Annunciation set in a contemporary living space rather than Mary’s bedchamber, the more common </w:t>
      </w:r>
      <w:r>
        <w:rPr>
          <w:i/>
        </w:rPr>
        <w:t>thalamus virginis</w:t>
      </w:r>
      <w:r>
        <w:t>.</w:t>
      </w:r>
      <w:r>
        <w:rPr>
          <w:rStyle w:val="FootnoteReference"/>
        </w:rPr>
        <w:footnoteReference w:id="3"/>
      </w:r>
      <w:r>
        <w:t xml:space="preserve"> </w:t>
      </w:r>
    </w:p>
    <w:p w:rsidR="00776D0D" w:rsidRDefault="00776D0D" w:rsidP="00113CB0">
      <w:pPr>
        <w:spacing w:line="480" w:lineRule="auto"/>
      </w:pPr>
      <w:r>
        <w:t xml:space="preserve">The Angel Gabriel faces the Virgin and is in the process of kneeling and bending towards her creating the impression that he is trying to catch her attention. Mary is seated on the footrest of a wooden bench dressed in a loosely fitting red robe and reading from a book. She is demurely looking at this book and appears to be so absorbed as to be unaware of Gabriel’s presence. Perhaps she is reading the Old Testament prophecies of the Messiah’s birth. </w:t>
      </w:r>
    </w:p>
    <w:p w:rsidR="00776D0D" w:rsidRDefault="00776D0D" w:rsidP="00113CB0">
      <w:pPr>
        <w:spacing w:line="480" w:lineRule="auto"/>
      </w:pPr>
      <w:r>
        <w:lastRenderedPageBreak/>
        <w:t>Almost all the items and furniture within the room can be considered as carrying a relevant religious connotation.</w:t>
      </w:r>
      <w:r>
        <w:rPr>
          <w:rStyle w:val="FootnoteReference"/>
        </w:rPr>
        <w:footnoteReference w:id="4"/>
      </w:r>
      <w:r>
        <w:rPr>
          <w:rStyle w:val="FootnoteReference"/>
        </w:rPr>
        <w:footnoteReference w:id="5"/>
      </w:r>
      <w:r>
        <w:t xml:space="preserve"> The book Mary holds is probably the Old Testament, wrapped in a white cloth cover. On the table to her right are another book and a scroll. These are suggestive of the Old and New Testaments. The table, having sixteen sides, can also be seen as referring symbolically to the sixteen Old Testament prophets. The bench, decorated with lions and dogs, against which Mary leans is very interesting. The dog is a common symbol of fidelity and the lions recall the decoration of the Throne of Solomon. The Throne of Solomon is an Old Testament prototype of the Virgin common in Medieval Europe.</w:t>
      </w:r>
      <w:r>
        <w:rPr>
          <w:rStyle w:val="FootnoteReference"/>
        </w:rPr>
        <w:footnoteReference w:id="6"/>
      </w:r>
      <w:r>
        <w:rPr>
          <w:rStyle w:val="FootnoteReference"/>
        </w:rPr>
        <w:footnoteReference w:id="7"/>
      </w:r>
      <w:r>
        <w:t xml:space="preserve"> At the same time the bench also evokes the Throne of Heaven. Mary leaning against the bench highlights not only her humility but also the fact that the seat is unoccupied.</w:t>
      </w:r>
      <w:r>
        <w:rPr>
          <w:rStyle w:val="FootnoteReference"/>
        </w:rPr>
        <w:footnoteReference w:id="8"/>
      </w:r>
      <w:r>
        <w:t xml:space="preserve"> The cushion on an empty bench is a common type in Flemish art of this time used to indicate that someone will shortly occupy the seat.</w:t>
      </w:r>
      <w:r>
        <w:rPr>
          <w:rStyle w:val="FootnoteReference"/>
        </w:rPr>
        <w:footnoteReference w:id="9"/>
      </w:r>
      <w:r>
        <w:t xml:space="preserve"> This sense of readiness is easily understood as representing the preparing of the world for The Messiah and also of the Throne of Heaven to which Christ will ascend. The bench is in front of the fireplace, reserved for the master of the house and honoured guests.</w:t>
      </w:r>
      <w:r>
        <w:rPr>
          <w:rStyle w:val="FootnoteReference"/>
        </w:rPr>
        <w:footnoteReference w:id="10"/>
      </w:r>
      <w:r>
        <w:t xml:space="preserve"> Again this evokes the preparation for Christ as Lord. The bench also has a reversible back. This is not out of place as this is a common type of bench in late medieval Europe but again, like so much in the Mérode Altarpiece, serves a dual function.</w:t>
      </w:r>
      <w:r>
        <w:rPr>
          <w:rStyle w:val="FootnoteReference"/>
        </w:rPr>
        <w:footnoteReference w:id="11"/>
      </w:r>
      <w:r>
        <w:t xml:space="preserve"> Whilst the practical reason for a reversible back is so that one could change from facing one way to facing the other this could be imagery of the two thrones in Heaven. Mary sits enthroned at the right hand of Christ.</w:t>
      </w:r>
      <w:r>
        <w:rPr>
          <w:rStyle w:val="FootnoteReference"/>
        </w:rPr>
        <w:footnoteReference w:id="12"/>
      </w:r>
      <w:r>
        <w:t xml:space="preserve"> </w:t>
      </w:r>
    </w:p>
    <w:p w:rsidR="00776D0D" w:rsidRPr="00E217B9" w:rsidRDefault="00776D0D" w:rsidP="00113CB0">
      <w:pPr>
        <w:spacing w:line="480" w:lineRule="auto"/>
      </w:pPr>
      <w:r>
        <w:t>On the table is another symbol associated with Mary and her purity.</w:t>
      </w:r>
      <w:r>
        <w:rPr>
          <w:rStyle w:val="FootnoteReference"/>
        </w:rPr>
        <w:footnoteReference w:id="13"/>
      </w:r>
      <w:r>
        <w:t xml:space="preserve"> The vase of three lilies likely represent the Holy Trinity, with the bud representing Christ who in this very moment is being conceived. These lilies stand in a white vase decorated with navy foliage, with three vines curling in the design, again evocative of the Trinity and also of the Tree of Jesse.</w:t>
      </w:r>
      <w:r>
        <w:rPr>
          <w:rStyle w:val="FootnoteReference"/>
        </w:rPr>
        <w:footnoteReference w:id="14"/>
      </w:r>
      <w:r>
        <w:t xml:space="preserve"> It is interesting to note that the vase is decorated with Hebrew letters. The use of the colours white and navy is noteworthy. In Judaism white is a symbol of God’s benevolence and navy a symbol of divinity. </w:t>
      </w:r>
      <w:r>
        <w:lastRenderedPageBreak/>
        <w:t xml:space="preserve">These colours are also commonly the colours of a </w:t>
      </w:r>
      <w:r>
        <w:rPr>
          <w:i/>
        </w:rPr>
        <w:t>tallit</w:t>
      </w:r>
      <w:r>
        <w:t xml:space="preserve"> one of which hangs on the wall behind the table.</w:t>
      </w:r>
      <w:r>
        <w:rPr>
          <w:rStyle w:val="FootnoteReference"/>
        </w:rPr>
        <w:footnoteReference w:id="15"/>
      </w:r>
      <w:r w:rsidRPr="0062555F">
        <w:rPr>
          <w:rStyle w:val="FootnoteReference"/>
        </w:rPr>
        <w:t xml:space="preserve"> </w:t>
      </w:r>
      <w:r>
        <w:rPr>
          <w:rStyle w:val="FootnoteReference"/>
        </w:rPr>
        <w:footnoteReference w:id="16"/>
      </w:r>
      <w:r>
        <w:rPr>
          <w:rStyle w:val="FootnoteReference"/>
        </w:rPr>
        <w:footnoteReference w:id="17"/>
      </w:r>
      <w:r>
        <w:t xml:space="preserve"> It is interesting that the </w:t>
      </w:r>
      <w:r>
        <w:rPr>
          <w:i/>
        </w:rPr>
        <w:t>tallit</w:t>
      </w:r>
      <w:r>
        <w:t xml:space="preserve"> and the vase are included in this room, making it is almost instantly recognisable as the in</w:t>
      </w:r>
      <w:r w:rsidRPr="00E217B9">
        <w:t>terior of a</w:t>
      </w:r>
      <w:r>
        <w:t>n Ashkenazi</w:t>
      </w:r>
      <w:r w:rsidRPr="00E217B9">
        <w:t xml:space="preserve"> Jewis</w:t>
      </w:r>
      <w:r>
        <w:t>h home</w:t>
      </w:r>
      <w:r w:rsidRPr="00E217B9">
        <w:t xml:space="preserve">. </w:t>
      </w:r>
      <w:r>
        <w:t xml:space="preserve">Thus evoking the idea of the Old Covenant moving into the New Covenant, the Old Law into the New Law. </w:t>
      </w:r>
    </w:p>
    <w:p w:rsidR="00776D0D" w:rsidRDefault="00776D0D" w:rsidP="00113CB0">
      <w:pPr>
        <w:spacing w:line="480" w:lineRule="auto"/>
      </w:pPr>
      <w:r w:rsidRPr="00E217B9">
        <w:t xml:space="preserve">At the very centre of the middle panel, and at the centre of the entire work, is a single candle which has just been extinguished. The extinction of the flame draws the viewer to the very heart of </w:t>
      </w:r>
      <w:r>
        <w:t>the Annunciation</w:t>
      </w:r>
      <w:r w:rsidRPr="00E217B9">
        <w:t xml:space="preserve">. The gust of air that accompanies the Christ Child entering through the window has blown the candle out and in this very second the Annunciation </w:t>
      </w:r>
      <w:r>
        <w:t>occurs. T</w:t>
      </w:r>
      <w:r w:rsidRPr="007C395D">
        <w:t xml:space="preserve">he flame representing the divinity of God is </w:t>
      </w:r>
      <w:r>
        <w:t>extinguished</w:t>
      </w:r>
      <w:r w:rsidRPr="007C395D">
        <w:t xml:space="preserve"> as God is made flesh.</w:t>
      </w:r>
      <w:r w:rsidRPr="007C395D">
        <w:rPr>
          <w:rStyle w:val="FootnoteReference"/>
        </w:rPr>
        <w:footnoteReference w:id="18"/>
      </w:r>
      <w:r>
        <w:t xml:space="preserve"> </w:t>
      </w:r>
      <w:r w:rsidRPr="007C395D">
        <w:t xml:space="preserve">The candle </w:t>
      </w:r>
      <w:r>
        <w:t>evokes Isaiah 42:3</w:t>
      </w:r>
      <w:r w:rsidRPr="007C395D">
        <w:t xml:space="preserve"> </w:t>
      </w:r>
      <w:r>
        <w:t>and links to Gabriel’s words to Mary at the Annunciation which are a paraphrasing of Isaiah’s.</w:t>
      </w:r>
      <w:r w:rsidRPr="00393955">
        <w:rPr>
          <w:rStyle w:val="FootnoteReference"/>
        </w:rPr>
        <w:t xml:space="preserve"> </w:t>
      </w:r>
      <w:r>
        <w:rPr>
          <w:rStyle w:val="FootnoteReference"/>
        </w:rPr>
        <w:footnoteReference w:id="19"/>
      </w:r>
      <w:r>
        <w:rPr>
          <w:rStyle w:val="FootnoteReference"/>
        </w:rPr>
        <w:footnoteReference w:id="20"/>
      </w:r>
      <w:r>
        <w:t xml:space="preserve"> </w:t>
      </w:r>
    </w:p>
    <w:p w:rsidR="00776D0D" w:rsidRDefault="00776D0D" w:rsidP="00113CB0">
      <w:pPr>
        <w:spacing w:line="480" w:lineRule="auto"/>
      </w:pPr>
      <w:r>
        <w:t>Charles Ilsley Minott argues that the bearded figure in the garden in the left panel is Isaiah.</w:t>
      </w:r>
      <w:r>
        <w:rPr>
          <w:rStyle w:val="FootnoteReference"/>
        </w:rPr>
        <w:footnoteReference w:id="21"/>
      </w:r>
      <w:r>
        <w:t xml:space="preserve"> Minott points out the badge he wears is bordered by twelve pearls which Minott believes are representative of the gates of the Heavenly Jerusalem mentioned in Revelation 21:21.</w:t>
      </w:r>
      <w:r>
        <w:rPr>
          <w:rStyle w:val="FootnoteReference"/>
        </w:rPr>
        <w:footnoteReference w:id="22"/>
      </w:r>
      <w:r>
        <w:t xml:space="preserve"> So if this figure is Isaiah it is interesting that his hand is placed on the gate to the garden. The common medieval Marian symbolism of the rose is reflected in the rosebush in the garden.</w:t>
      </w:r>
      <w:r>
        <w:rPr>
          <w:rStyle w:val="FootnoteReference"/>
        </w:rPr>
        <w:footnoteReference w:id="23"/>
      </w:r>
      <w:r>
        <w:t xml:space="preserve"> The rosebush is also deep red, the colour of martyrdom and of Christ’s death, another image foretelling the crucifixion.</w:t>
      </w:r>
      <w:r>
        <w:rPr>
          <w:rStyle w:val="FootnoteReference"/>
        </w:rPr>
        <w:footnoteReference w:id="24"/>
      </w:r>
      <w:r>
        <w:t xml:space="preserve"> </w:t>
      </w:r>
    </w:p>
    <w:p w:rsidR="00776D0D" w:rsidRDefault="00776D0D" w:rsidP="00113CB0">
      <w:pPr>
        <w:spacing w:line="480" w:lineRule="auto"/>
      </w:pPr>
      <w:r>
        <w:t>The door leading from the garden to the living room at the centre of the altarpiece is open and recently unlocked from the inside. This could reference Ezekiel 44:2</w:t>
      </w:r>
      <w:r w:rsidRPr="00F32F72">
        <w:t xml:space="preserve"> a passage that in Christian theology is understood to be a reference </w:t>
      </w:r>
      <w:r>
        <w:t>to</w:t>
      </w:r>
      <w:r w:rsidRPr="00F32F72">
        <w:t xml:space="preserve"> the Virgin Mary and Christ’s conception</w:t>
      </w:r>
      <w:r>
        <w:t>.</w:t>
      </w:r>
      <w:r>
        <w:rPr>
          <w:rStyle w:val="FootnoteReference"/>
        </w:rPr>
        <w:footnoteReference w:id="25"/>
      </w:r>
      <w:r>
        <w:t xml:space="preserve"> </w:t>
      </w:r>
    </w:p>
    <w:p w:rsidR="00776D0D" w:rsidRDefault="00776D0D" w:rsidP="00113CB0">
      <w:pPr>
        <w:spacing w:line="480" w:lineRule="auto"/>
      </w:pPr>
      <w:r>
        <w:lastRenderedPageBreak/>
        <w:t xml:space="preserve">The Mérode Altarpiece has much Marian Annunciation imagery which draws on the viewer’s knowledge of the Old and New Testaments. It thereby depicts the Annunciation as the pivotal moment when the Old Testament, the Old Covenant, the Old Law, transitions forward into the New Testament, the New Covenant, the New Law. </w:t>
      </w:r>
    </w:p>
    <w:p w:rsidR="00113CB0" w:rsidRDefault="00113CB0" w:rsidP="00113CB0">
      <w:pPr>
        <w:spacing w:line="480" w:lineRule="auto"/>
      </w:pPr>
    </w:p>
    <w:p w:rsidR="00113CB0" w:rsidRDefault="00113CB0" w:rsidP="00113CB0">
      <w:pPr>
        <w:spacing w:line="480" w:lineRule="auto"/>
      </w:pPr>
    </w:p>
    <w:p w:rsidR="00113CB0" w:rsidRDefault="00113CB0" w:rsidP="00776D0D">
      <w:pPr>
        <w:rPr>
          <w:sz w:val="32"/>
          <w:szCs w:val="32"/>
        </w:rPr>
      </w:pPr>
    </w:p>
    <w:p w:rsidR="00113CB0" w:rsidRDefault="00113CB0" w:rsidP="00776D0D">
      <w:pPr>
        <w:rPr>
          <w:sz w:val="32"/>
          <w:szCs w:val="32"/>
        </w:rPr>
      </w:pPr>
    </w:p>
    <w:p w:rsidR="00113CB0" w:rsidRDefault="00113CB0" w:rsidP="00776D0D">
      <w:pPr>
        <w:rPr>
          <w:sz w:val="32"/>
          <w:szCs w:val="32"/>
        </w:rPr>
      </w:pPr>
    </w:p>
    <w:p w:rsidR="00113CB0" w:rsidRDefault="00113CB0" w:rsidP="00776D0D">
      <w:pPr>
        <w:rPr>
          <w:sz w:val="32"/>
          <w:szCs w:val="32"/>
        </w:rPr>
      </w:pPr>
    </w:p>
    <w:p w:rsidR="00113CB0" w:rsidRDefault="00113CB0" w:rsidP="00776D0D">
      <w:pPr>
        <w:rPr>
          <w:sz w:val="32"/>
          <w:szCs w:val="32"/>
        </w:rPr>
      </w:pPr>
    </w:p>
    <w:p w:rsidR="00113CB0" w:rsidRDefault="00113CB0" w:rsidP="00776D0D">
      <w:pPr>
        <w:rPr>
          <w:sz w:val="32"/>
          <w:szCs w:val="32"/>
        </w:rPr>
      </w:pPr>
    </w:p>
    <w:p w:rsidR="00113CB0" w:rsidRDefault="00113CB0" w:rsidP="00776D0D">
      <w:pPr>
        <w:rPr>
          <w:sz w:val="32"/>
          <w:szCs w:val="32"/>
        </w:rPr>
      </w:pPr>
    </w:p>
    <w:p w:rsidR="00113CB0" w:rsidRDefault="00113CB0" w:rsidP="00776D0D">
      <w:pPr>
        <w:rPr>
          <w:sz w:val="32"/>
          <w:szCs w:val="32"/>
        </w:rPr>
      </w:pPr>
    </w:p>
    <w:p w:rsidR="00113CB0" w:rsidRDefault="00113CB0" w:rsidP="00776D0D">
      <w:pPr>
        <w:rPr>
          <w:sz w:val="32"/>
          <w:szCs w:val="32"/>
        </w:rPr>
      </w:pPr>
    </w:p>
    <w:p w:rsidR="00113CB0" w:rsidRDefault="00113CB0" w:rsidP="00776D0D">
      <w:pPr>
        <w:rPr>
          <w:sz w:val="32"/>
          <w:szCs w:val="32"/>
        </w:rPr>
      </w:pPr>
    </w:p>
    <w:p w:rsidR="00113CB0" w:rsidRDefault="00113CB0" w:rsidP="00776D0D">
      <w:pPr>
        <w:rPr>
          <w:sz w:val="32"/>
          <w:szCs w:val="32"/>
        </w:rPr>
      </w:pPr>
    </w:p>
    <w:p w:rsidR="00113CB0" w:rsidRDefault="00113CB0" w:rsidP="00776D0D">
      <w:pPr>
        <w:rPr>
          <w:sz w:val="32"/>
          <w:szCs w:val="32"/>
        </w:rPr>
      </w:pPr>
    </w:p>
    <w:p w:rsidR="00113CB0" w:rsidRDefault="00113CB0" w:rsidP="00776D0D">
      <w:pPr>
        <w:rPr>
          <w:sz w:val="32"/>
          <w:szCs w:val="32"/>
        </w:rPr>
      </w:pPr>
    </w:p>
    <w:p w:rsidR="00113CB0" w:rsidRDefault="00113CB0" w:rsidP="00776D0D">
      <w:pPr>
        <w:rPr>
          <w:sz w:val="32"/>
          <w:szCs w:val="32"/>
        </w:rPr>
      </w:pPr>
    </w:p>
    <w:p w:rsidR="00113CB0" w:rsidRDefault="00113CB0" w:rsidP="00776D0D">
      <w:pPr>
        <w:rPr>
          <w:sz w:val="32"/>
          <w:szCs w:val="32"/>
        </w:rPr>
      </w:pPr>
    </w:p>
    <w:p w:rsidR="00113CB0" w:rsidRDefault="00113CB0" w:rsidP="00776D0D">
      <w:pPr>
        <w:rPr>
          <w:sz w:val="32"/>
          <w:szCs w:val="32"/>
        </w:rPr>
      </w:pPr>
    </w:p>
    <w:p w:rsidR="00113CB0" w:rsidRDefault="00113CB0" w:rsidP="00776D0D">
      <w:pPr>
        <w:rPr>
          <w:sz w:val="32"/>
          <w:szCs w:val="32"/>
        </w:rPr>
      </w:pPr>
    </w:p>
    <w:p w:rsidR="00113CB0" w:rsidRDefault="00113CB0" w:rsidP="00776D0D">
      <w:pPr>
        <w:rPr>
          <w:sz w:val="32"/>
          <w:szCs w:val="32"/>
        </w:rPr>
      </w:pPr>
    </w:p>
    <w:p w:rsidR="00113CB0" w:rsidRDefault="00113CB0" w:rsidP="00776D0D">
      <w:pPr>
        <w:rPr>
          <w:sz w:val="32"/>
          <w:szCs w:val="32"/>
        </w:rPr>
      </w:pPr>
    </w:p>
    <w:p w:rsidR="00113CB0" w:rsidRDefault="00113CB0" w:rsidP="00776D0D">
      <w:pPr>
        <w:rPr>
          <w:sz w:val="32"/>
          <w:szCs w:val="32"/>
        </w:rPr>
      </w:pPr>
    </w:p>
    <w:p w:rsidR="00776D0D" w:rsidRPr="001A5EC3" w:rsidRDefault="00776D0D" w:rsidP="00776D0D">
      <w:pPr>
        <w:rPr>
          <w:rFonts w:ascii="Times New Roman" w:eastAsia="PMingLiU" w:hAnsi="Times New Roman"/>
          <w:lang w:val="en-US"/>
        </w:rPr>
      </w:pPr>
      <w:r>
        <w:rPr>
          <w:sz w:val="32"/>
          <w:szCs w:val="32"/>
        </w:rPr>
        <w:lastRenderedPageBreak/>
        <w:t xml:space="preserve">A Commentary on the setting for the Mass for the Feast of the Assumption of the Blessed Virgin Mary from the </w:t>
      </w:r>
      <w:r w:rsidRPr="005B0B56">
        <w:rPr>
          <w:i/>
          <w:sz w:val="32"/>
          <w:szCs w:val="32"/>
        </w:rPr>
        <w:t>Gradualia</w:t>
      </w:r>
      <w:r>
        <w:rPr>
          <w:sz w:val="32"/>
          <w:szCs w:val="32"/>
        </w:rPr>
        <w:t xml:space="preserve"> of William Byrd</w:t>
      </w:r>
    </w:p>
    <w:p w:rsidR="00776D0D" w:rsidRDefault="00776D0D" w:rsidP="00776D0D"/>
    <w:p w:rsidR="00776D0D" w:rsidRDefault="00776D0D" w:rsidP="00113CB0">
      <w:pPr>
        <w:spacing w:line="480" w:lineRule="auto"/>
      </w:pPr>
      <w:r>
        <w:t xml:space="preserve">The </w:t>
      </w:r>
      <w:r>
        <w:rPr>
          <w:i/>
        </w:rPr>
        <w:t>Gradualia</w:t>
      </w:r>
      <w:r>
        <w:t xml:space="preserve"> is a collection of one hundred and nine English religious polyphonic musical pieces composed by William Byrd and first published in 1605. This is music for all the major </w:t>
      </w:r>
      <w:r w:rsidRPr="00F13BF7">
        <w:t>feasts of the Western Catholic Church calendar, not only those retained in the reformed Anglican liturgy but also those which formed part of the prohibited Roman Rite, including the important feasts associated with the Virgin Mary.</w:t>
      </w:r>
      <w:r w:rsidRPr="00F13BF7">
        <w:rPr>
          <w:rStyle w:val="FootnoteReference"/>
        </w:rPr>
        <w:footnoteReference w:id="26"/>
      </w:r>
      <w:r w:rsidRPr="00F13BF7">
        <w:rPr>
          <w:rStyle w:val="FootnoteReference"/>
        </w:rPr>
        <w:t>,</w:t>
      </w:r>
      <w:r w:rsidRPr="00F13BF7">
        <w:rPr>
          <w:rStyle w:val="FootnoteReference"/>
        </w:rPr>
        <w:footnoteReference w:id="27"/>
      </w:r>
      <w:r w:rsidRPr="00F13BF7">
        <w:t xml:space="preserve"> </w:t>
      </w:r>
      <w:r>
        <w:t xml:space="preserve">William Byrd was an English Roman Catholic composer living and thriving in post Reformation Renaissance England. Byrd had an </w:t>
      </w:r>
      <w:r w:rsidRPr="007B1249">
        <w:t xml:space="preserve">illustrious </w:t>
      </w:r>
      <w:r>
        <w:t>musical career and his patrons included some of England’s most powerful men, for example Henry Howard and Robert Cecil, earl of Salisbury.</w:t>
      </w:r>
      <w:r>
        <w:rPr>
          <w:rStyle w:val="FootnoteReference"/>
        </w:rPr>
        <w:footnoteReference w:id="28"/>
      </w:r>
      <w:r>
        <w:t xml:space="preserve"> He became choirmaster and organist of Lincoln Cathedral in 1563 and Gentleman of the Chapel Royal in </w:t>
      </w:r>
      <w:r w:rsidRPr="0053089A">
        <w:t>1572</w:t>
      </w:r>
      <w:r>
        <w:t>.</w:t>
      </w:r>
      <w:r>
        <w:rPr>
          <w:rStyle w:val="FootnoteReference"/>
        </w:rPr>
        <w:footnoteReference w:id="29"/>
      </w:r>
      <w:r>
        <w:t xml:space="preserve"> </w:t>
      </w:r>
    </w:p>
    <w:p w:rsidR="00776D0D" w:rsidRDefault="00776D0D" w:rsidP="00113CB0">
      <w:pPr>
        <w:spacing w:line="480" w:lineRule="auto"/>
      </w:pPr>
      <w:r>
        <w:t xml:space="preserve">Works as great as the </w:t>
      </w:r>
      <w:r w:rsidRPr="006214F5">
        <w:rPr>
          <w:i/>
        </w:rPr>
        <w:t>Gradualia</w:t>
      </w:r>
      <w:r>
        <w:t xml:space="preserve"> were expensive, luxury undertakings and were usually funded by large and influential contemporary musical establishments. Kerry McCarthy states how surprising it is to see this happening in a “provincial backwater of Jacobean England, where it was strictly illegal to use the music as…intended…”.</w:t>
      </w:r>
      <w:r>
        <w:rPr>
          <w:rStyle w:val="FootnoteReference"/>
        </w:rPr>
        <w:footnoteReference w:id="30"/>
      </w:r>
      <w:r>
        <w:t xml:space="preserve"> This highlights the importance of this tradition and worship to England’s recusant Roman Catholics. That such an expensive work was still composed, although in Byrd’s case funded by private patrons and not large musical establishments, shows the degree to which this form of worship was still a vital part of English Roman Catholic life nearly seventy years after the Reformation. The first volume of the </w:t>
      </w:r>
      <w:r w:rsidRPr="00A23A4F">
        <w:rPr>
          <w:i/>
        </w:rPr>
        <w:t>Gradualia</w:t>
      </w:r>
      <w:r>
        <w:t xml:space="preserve"> is the largest collection of polyphonic music that was printed during the English Renaissance.</w:t>
      </w:r>
      <w:r>
        <w:rPr>
          <w:rStyle w:val="FootnoteReference"/>
        </w:rPr>
        <w:footnoteReference w:id="31"/>
      </w:r>
      <w:r>
        <w:t xml:space="preserve"> The magnitude of the work echoes the magnitude of its importance. </w:t>
      </w:r>
    </w:p>
    <w:p w:rsidR="00776D0D" w:rsidRDefault="00776D0D" w:rsidP="00113CB0">
      <w:pPr>
        <w:spacing w:line="480" w:lineRule="auto"/>
      </w:pPr>
      <w:r>
        <w:t>The Feast of the Assumption of the Blessed Virgin Mary is one of the four major Marian feast days in the Roman Catholic liturgical year and falls on the fifteenth of August. It is a feast that was celebrated from the sixth century onwards and is still a vital part of Marian devotion in the Roman Catholic and Eastern Orthodox churches today. The Feast of the Assumption was one of the first Marian feasts abolished in England by the Protestant reformers.</w:t>
      </w:r>
      <w:r>
        <w:rPr>
          <w:rStyle w:val="FootnoteReference"/>
        </w:rPr>
        <w:footnoteReference w:id="32"/>
      </w:r>
      <w:r>
        <w:t xml:space="preserve"> It was </w:t>
      </w:r>
      <w:r>
        <w:lastRenderedPageBreak/>
        <w:t>one of the most important feasts celebrated in pre Reformation England and again in the 1550s during the reign of Queen Mary.</w:t>
      </w:r>
      <w:r>
        <w:rPr>
          <w:rStyle w:val="FootnoteReference"/>
        </w:rPr>
        <w:footnoteReference w:id="33"/>
      </w:r>
      <w:r>
        <w:t xml:space="preserve"> Thomas Cranmer, the first Anglican Archbishop of Canterbury, had included the invocation of the Virgin Mary in </w:t>
      </w:r>
      <w:r w:rsidRPr="00656C3F">
        <w:t>his ‘</w:t>
      </w:r>
      <w:r w:rsidRPr="008A6568">
        <w:t>Exhortation and Litany’</w:t>
      </w:r>
      <w:r>
        <w:rPr>
          <w:i/>
        </w:rPr>
        <w:t xml:space="preserve"> </w:t>
      </w:r>
      <w:r>
        <w:t xml:space="preserve">from 1544 but all litany relating to the saints, including Mary, was edited out in 1549. </w:t>
      </w:r>
    </w:p>
    <w:p w:rsidR="00776D0D" w:rsidRDefault="00776D0D" w:rsidP="00113CB0">
      <w:pPr>
        <w:spacing w:line="480" w:lineRule="auto"/>
      </w:pPr>
      <w:r>
        <w:t xml:space="preserve">Yet over half a century later, in 1605, Byrd’s </w:t>
      </w:r>
      <w:r w:rsidRPr="008228E4">
        <w:rPr>
          <w:i/>
        </w:rPr>
        <w:t>Gradualia</w:t>
      </w:r>
      <w:r>
        <w:t xml:space="preserve"> is described by the composer himself, in his preface to the collection as being addressed to “Noble and upright men, who find it agreeable at times to sing hymns and spiritual songs to God”, and as being destined for “the Offices of the whole year which are appropriate to the most important feasts of the Blessed Virgin Mary and of All Saints…”</w:t>
      </w:r>
      <w:r>
        <w:rPr>
          <w:rStyle w:val="FootnoteReference"/>
        </w:rPr>
        <w:footnoteReference w:id="34"/>
      </w:r>
      <w:r>
        <w:t xml:space="preserve"> Presented as songs and hymns this music is designed in plain sight for </w:t>
      </w:r>
      <w:r w:rsidRPr="009B57FD">
        <w:t xml:space="preserve">secret devotion. Although </w:t>
      </w:r>
      <w:r>
        <w:t>published with the permission of the Anglican Bishop of London it was clearly not intended for authorised liturgical use.</w:t>
      </w:r>
      <w:r>
        <w:rPr>
          <w:rStyle w:val="FootnoteReference"/>
        </w:rPr>
        <w:footnoteReference w:id="35"/>
      </w:r>
      <w:r>
        <w:t xml:space="preserve"> In the words of Kerry McCarthy, “Anyone who wanted to make practical use of this music had to be well trained in the intricacies of the Roman Rite…”</w:t>
      </w:r>
      <w:r>
        <w:rPr>
          <w:rStyle w:val="FootnoteReference"/>
        </w:rPr>
        <w:footnoteReference w:id="36"/>
      </w:r>
      <w:r>
        <w:t xml:space="preserve"> Byrd mentions the Virgin Mary three times in his preface.</w:t>
      </w:r>
      <w:r>
        <w:rPr>
          <w:rStyle w:val="FootnoteReference"/>
        </w:rPr>
        <w:footnoteReference w:id="37"/>
      </w:r>
      <w:r>
        <w:t xml:space="preserve"> This indicates her intrinsic and essential role within Roman Catholic understanding of the Christian faith.</w:t>
      </w:r>
      <w:r w:rsidRPr="00745D92">
        <w:rPr>
          <w:rStyle w:val="FootnoteReference"/>
        </w:rPr>
        <w:t xml:space="preserve"> </w:t>
      </w:r>
      <w:r>
        <w:rPr>
          <w:rStyle w:val="FootnoteReference"/>
        </w:rPr>
        <w:footnoteReference w:id="38"/>
      </w:r>
      <w:r>
        <w:t xml:space="preserve"> It was impossible for recusant Roman Catholics in post Reformation Renaissance England to conceive of a liturgy and litany that did not accord Mary the role and reverence of which, in their eyes and in their traditions, she was deserving. </w:t>
      </w:r>
    </w:p>
    <w:p w:rsidR="00776D0D" w:rsidRPr="008378B6" w:rsidRDefault="00776D0D" w:rsidP="00113CB0">
      <w:pPr>
        <w:spacing w:line="480" w:lineRule="auto"/>
      </w:pPr>
      <w:r>
        <w:t xml:space="preserve">The Marian sets in the </w:t>
      </w:r>
      <w:r w:rsidRPr="00F7688D">
        <w:rPr>
          <w:i/>
        </w:rPr>
        <w:t>Gradualia</w:t>
      </w:r>
      <w:r>
        <w:t xml:space="preserve"> are treated differently from the rest of the collection. They are more unified in that they </w:t>
      </w:r>
      <w:r w:rsidRPr="008378B6">
        <w:t>do not contain the transferrable pieces typical of the other feasts.</w:t>
      </w:r>
      <w:r w:rsidRPr="008378B6">
        <w:rPr>
          <w:rStyle w:val="FootnoteReference"/>
        </w:rPr>
        <w:footnoteReference w:id="39"/>
      </w:r>
      <w:r w:rsidRPr="008378B6">
        <w:t xml:space="preserve"> Their musical treatment is distinctive. Byrd’s choice of vocal ranges and mode in the Marian </w:t>
      </w:r>
      <w:r w:rsidRPr="000032F3">
        <w:t xml:space="preserve">Propers </w:t>
      </w:r>
      <w:r w:rsidRPr="008378B6">
        <w:t>uses an English model from earlier in the sixteenth century, during Queen Mary’s reign, and thus musically evokes a period when the Virgin Mary was again central to English Christian worship.</w:t>
      </w:r>
      <w:r w:rsidRPr="008378B6">
        <w:rPr>
          <w:rStyle w:val="FootnoteReference"/>
        </w:rPr>
        <w:footnoteReference w:id="40"/>
      </w:r>
      <w:r w:rsidRPr="008378B6">
        <w:t xml:space="preserve"> This would surely has resonated with those English recusant Catholics who remembered that time. The use of five different voice parts, each with a distinct range, is unique within the </w:t>
      </w:r>
      <w:r w:rsidRPr="008378B6">
        <w:rPr>
          <w:i/>
        </w:rPr>
        <w:t>Gradualia</w:t>
      </w:r>
      <w:r w:rsidRPr="008378B6">
        <w:t xml:space="preserve"> to the Marian masses. According to McCarthy the “fivefold layout establishes a conscious link to the English Catholic past…”</w:t>
      </w:r>
      <w:r w:rsidRPr="008378B6">
        <w:rPr>
          <w:rStyle w:val="FootnoteReference"/>
        </w:rPr>
        <w:footnoteReference w:id="41"/>
      </w:r>
      <w:r w:rsidRPr="008378B6">
        <w:t xml:space="preserve"> This short lived period of hope in the 1550s was not repeated in 1603 when King James I converted from </w:t>
      </w:r>
      <w:r w:rsidRPr="008378B6">
        <w:lastRenderedPageBreak/>
        <w:t xml:space="preserve">Roman Catholicism to Anglicanism in order to succeed to the English throne. This must have seemed a tragedy and a betrayal to England’s Roman Catholics. </w:t>
      </w:r>
    </w:p>
    <w:p w:rsidR="00776D0D" w:rsidRPr="008378B6" w:rsidRDefault="00776D0D" w:rsidP="00113CB0">
      <w:pPr>
        <w:spacing w:line="480" w:lineRule="auto"/>
      </w:pPr>
      <w:r w:rsidRPr="008378B6">
        <w:t xml:space="preserve">The settings for the Mass of the Assumption of Mary begin with the text </w:t>
      </w:r>
      <w:r w:rsidRPr="008378B6">
        <w:rPr>
          <w:i/>
        </w:rPr>
        <w:t>Gaudeamus omnes in Domino</w:t>
      </w:r>
      <w:r w:rsidRPr="008378B6">
        <w:t xml:space="preserve">, meaning ‘let us all rejoice in the Lord’. The music matches the mood of the text. This is a more joyful musical setting than the subsequent </w:t>
      </w:r>
      <w:r w:rsidRPr="008378B6">
        <w:rPr>
          <w:i/>
        </w:rPr>
        <w:t xml:space="preserve">Propter veritatem </w:t>
      </w:r>
      <w:r w:rsidRPr="008378B6">
        <w:t xml:space="preserve">and </w:t>
      </w:r>
      <w:r w:rsidRPr="008378B6">
        <w:rPr>
          <w:i/>
        </w:rPr>
        <w:t>Optimam partem elegit</w:t>
      </w:r>
      <w:r w:rsidRPr="008378B6">
        <w:t xml:space="preserve">. </w:t>
      </w:r>
      <w:r w:rsidRPr="008378B6">
        <w:rPr>
          <w:i/>
        </w:rPr>
        <w:t>Propter veritatem</w:t>
      </w:r>
      <w:r w:rsidRPr="008378B6">
        <w:t xml:space="preserve"> follows </w:t>
      </w:r>
      <w:r w:rsidRPr="008378B6">
        <w:rPr>
          <w:i/>
        </w:rPr>
        <w:t>Gaudeamus omnes in Domino</w:t>
      </w:r>
      <w:r w:rsidRPr="008378B6">
        <w:t xml:space="preserve">. The text resonates with the Roman Catholic struggle in England at the turn of the seventeenth century and the music is designed to heighten it. Three voices begin this piece and perhaps individually represent the words of the text; truth, gentleness and justice. The special emphasis placed on the word </w:t>
      </w:r>
      <w:r w:rsidRPr="008378B6">
        <w:rPr>
          <w:i/>
        </w:rPr>
        <w:t>justiciam</w:t>
      </w:r>
      <w:r w:rsidRPr="008378B6">
        <w:t xml:space="preserve"> may highlight the injustice felt by recusant Roman Catholics at the time. The steadily rising minims ascending in single intervals for the text </w:t>
      </w:r>
      <w:r w:rsidRPr="008378B6">
        <w:rPr>
          <w:i/>
        </w:rPr>
        <w:t>Assumpta est Maria</w:t>
      </w:r>
      <w:r w:rsidRPr="008378B6">
        <w:t xml:space="preserve"> recall the pattern seen in </w:t>
      </w:r>
      <w:r w:rsidRPr="008378B6">
        <w:rPr>
          <w:i/>
        </w:rPr>
        <w:t>Gaudeamus omnes in Domino</w:t>
      </w:r>
      <w:r w:rsidRPr="008378B6">
        <w:t xml:space="preserve"> and reflect the ascension of Mary within the text. </w:t>
      </w:r>
    </w:p>
    <w:p w:rsidR="00776D0D" w:rsidRPr="008378B6" w:rsidRDefault="00776D0D" w:rsidP="00113CB0">
      <w:pPr>
        <w:spacing w:line="480" w:lineRule="auto"/>
      </w:pPr>
      <w:r w:rsidRPr="008378B6">
        <w:t xml:space="preserve">The final setting is </w:t>
      </w:r>
      <w:r w:rsidRPr="008378B6">
        <w:rPr>
          <w:i/>
        </w:rPr>
        <w:t>Optimam partem elegit</w:t>
      </w:r>
      <w:r w:rsidRPr="008378B6">
        <w:t xml:space="preserve"> the music creates a sense of religious nostalgia, longing and mourning. There is a sense of absence; an absence of a physicality of Mary due to her heavenly assumption, and the absence of the Roman Catholic Church in England. Byrd’s typographical use of the text and music would have resonated with his community. Yet the promise of heaven remains. The spiritual outlasts the physical. Mary as </w:t>
      </w:r>
      <w:r w:rsidRPr="008378B6">
        <w:rPr>
          <w:i/>
        </w:rPr>
        <w:t>Ecclesia</w:t>
      </w:r>
      <w:r w:rsidRPr="008378B6">
        <w:t xml:space="preserve"> cannot be taken from them. Byrd’s music seems to emphasise this. The contra tenor, the central voice part, has two sustained </w:t>
      </w:r>
      <w:r w:rsidRPr="000032F3">
        <w:t xml:space="preserve">breves </w:t>
      </w:r>
      <w:r w:rsidRPr="008378B6">
        <w:t>which act musically as foundation stones highlighting the centrality of Mary to Byrd’s faith. This is a grand statement of faith expressed musically. The music reaches an emotional height at the word</w:t>
      </w:r>
      <w:r w:rsidRPr="008378B6">
        <w:rPr>
          <w:i/>
        </w:rPr>
        <w:t xml:space="preserve"> elegit</w:t>
      </w:r>
      <w:r w:rsidRPr="008378B6">
        <w:t xml:space="preserve"> which is the Latin word for ‘chose’ and this is a direct quote from the Gospel of Luke 10:42, “Mary has chosen for herself the best part, which will not be taken from her for all time”. Mary chose the best part and the recusant Roman Catholics choose her and therefore their Roman Catholicism. This is highlighted musically by the repeated </w:t>
      </w:r>
      <w:r w:rsidRPr="008378B6">
        <w:rPr>
          <w:i/>
        </w:rPr>
        <w:t>aeternum</w:t>
      </w:r>
      <w:r w:rsidRPr="008378B6">
        <w:t xml:space="preserve"> at the end of the piece.</w:t>
      </w:r>
    </w:p>
    <w:p w:rsidR="00882EC8" w:rsidRDefault="00776D0D" w:rsidP="00113CB0">
      <w:pPr>
        <w:spacing w:line="480" w:lineRule="auto"/>
      </w:pPr>
      <w:r w:rsidRPr="008378B6">
        <w:t xml:space="preserve">The </w:t>
      </w:r>
      <w:r w:rsidRPr="008378B6">
        <w:rPr>
          <w:i/>
        </w:rPr>
        <w:t>Gradualia</w:t>
      </w:r>
      <w:r w:rsidRPr="008378B6">
        <w:t xml:space="preserve"> is an important composition because it is the last work of its kind. Byrd was the last composer familiar with this tradition. </w:t>
      </w:r>
      <w:r w:rsidRPr="00375B21">
        <w:t>Nevertheless by composing such a work Byrd ensured that future generations would not lose their connection to this Marian tradition.</w:t>
      </w:r>
      <w:r w:rsidRPr="00375B21">
        <w:rPr>
          <w:rStyle w:val="FootnoteReference"/>
        </w:rPr>
        <w:footnoteReference w:id="42"/>
      </w:r>
    </w:p>
    <w:p w:rsidR="00776D0D" w:rsidRDefault="00776D0D" w:rsidP="00776D0D"/>
    <w:p w:rsidR="00113CB0" w:rsidRDefault="00113CB0" w:rsidP="00776D0D"/>
    <w:p w:rsidR="00776D0D" w:rsidRPr="00B9522B" w:rsidRDefault="00776D0D" w:rsidP="00776D0D">
      <w:pPr>
        <w:rPr>
          <w:rFonts w:ascii="Times New Roman" w:eastAsia="PMingLiU" w:hAnsi="Times New Roman"/>
          <w:lang w:val="en-US"/>
        </w:rPr>
      </w:pPr>
      <w:r>
        <w:rPr>
          <w:sz w:val="32"/>
          <w:szCs w:val="32"/>
        </w:rPr>
        <w:lastRenderedPageBreak/>
        <w:t>To What Extent</w:t>
      </w:r>
      <w:r w:rsidRPr="00B9522B">
        <w:rPr>
          <w:sz w:val="32"/>
          <w:szCs w:val="32"/>
        </w:rPr>
        <w:t xml:space="preserve"> did Marian Iconography </w:t>
      </w:r>
      <w:r>
        <w:rPr>
          <w:sz w:val="32"/>
          <w:szCs w:val="32"/>
        </w:rPr>
        <w:t>and Symbolism Enhance and Inform</w:t>
      </w:r>
      <w:r w:rsidRPr="00B9522B">
        <w:rPr>
          <w:sz w:val="32"/>
          <w:szCs w:val="32"/>
        </w:rPr>
        <w:t xml:space="preserve"> the Medieval Understanding of Christian Faith?</w:t>
      </w:r>
    </w:p>
    <w:p w:rsidR="00776D0D" w:rsidRPr="00B9522B" w:rsidRDefault="00776D0D" w:rsidP="00776D0D"/>
    <w:p w:rsidR="00776D0D" w:rsidRPr="00B9522B" w:rsidRDefault="00776D0D" w:rsidP="00113CB0">
      <w:pPr>
        <w:spacing w:line="480" w:lineRule="auto"/>
      </w:pPr>
      <w:r w:rsidRPr="00B9522B">
        <w:t xml:space="preserve">In the medieval period Marian devotion was central to Christian worship, both in the Western Roman Catholic Church and in the Eastern Orthodox Church. </w:t>
      </w:r>
    </w:p>
    <w:p w:rsidR="00776D0D" w:rsidRPr="00B9522B" w:rsidRDefault="00776D0D" w:rsidP="00113CB0">
      <w:pPr>
        <w:spacing w:line="480" w:lineRule="auto"/>
        <w:ind w:left="720"/>
      </w:pPr>
      <w:r w:rsidRPr="00B9522B">
        <w:rPr>
          <w:i/>
        </w:rPr>
        <w:t xml:space="preserve">“Throughout the central and later Middle Ages the veneration of Mary dominates </w:t>
      </w:r>
      <w:r w:rsidRPr="00B9522B">
        <w:rPr>
          <w:i/>
        </w:rPr>
        <w:br/>
        <w:t>religious culture.”</w:t>
      </w:r>
      <w:r w:rsidRPr="00B9522B">
        <w:rPr>
          <w:rStyle w:val="FootnoteReference"/>
        </w:rPr>
        <w:footnoteReference w:id="43"/>
      </w:r>
      <w:r w:rsidRPr="00B9522B">
        <w:t xml:space="preserve"> </w:t>
      </w:r>
    </w:p>
    <w:p w:rsidR="00776D0D" w:rsidRPr="00B9522B" w:rsidRDefault="00776D0D" w:rsidP="00113CB0">
      <w:pPr>
        <w:spacing w:line="480" w:lineRule="auto"/>
      </w:pPr>
      <w:r w:rsidRPr="00B9522B">
        <w:t xml:space="preserve">Interest in and devotion to Mary had increased from the time of the Early Christian church through to the time of the Council of Ephesus in 431, at which Mary was declared to be the </w:t>
      </w:r>
      <w:r w:rsidRPr="00B9522B">
        <w:rPr>
          <w:i/>
        </w:rPr>
        <w:t>theotokos</w:t>
      </w:r>
      <w:r w:rsidRPr="00B9522B">
        <w:t>, the ‘bearer of God’. Marian veneration then continued until it reached a new height in the twelfth century influenced by the writings of Bernard of Clairvaux, 1090-1153. This is the period when Mary began to assume an even greater role in the doctrine and devotion of the Western Church.</w:t>
      </w:r>
      <w:r w:rsidRPr="00B9522B">
        <w:rPr>
          <w:rStyle w:val="FootnoteReference"/>
        </w:rPr>
        <w:footnoteReference w:id="44"/>
      </w:r>
      <w:r w:rsidRPr="00B9522B">
        <w:t xml:space="preserve"> This developing interest in Mary is reflected in the iconography relating to her. The High and Late Middle Ages saw an abundance of iconography and visual representations of Mary in the various roles which were attributed to her. The extant evidence of medieval Marian iconography, in stained glass, statues, carvings, manuscripts, paintings, and reliquaries, gives an insight into and an understanding of how the medieval Christian understood and experienced their faith and how Marian devotion enhanced and informed it.</w:t>
      </w:r>
      <w:r w:rsidRPr="00B9522B">
        <w:rPr>
          <w:rStyle w:val="FootnoteReference"/>
        </w:rPr>
        <w:footnoteReference w:id="45"/>
      </w:r>
      <w:r w:rsidRPr="00B9522B">
        <w:t xml:space="preserve"> </w:t>
      </w:r>
    </w:p>
    <w:p w:rsidR="00776D0D" w:rsidRPr="00B9522B" w:rsidRDefault="00776D0D" w:rsidP="00113CB0">
      <w:pPr>
        <w:spacing w:line="480" w:lineRule="auto"/>
      </w:pPr>
      <w:r w:rsidRPr="00B9522B">
        <w:t xml:space="preserve">Devotion to and interest in Mary has always been present in Christian theology, based not only on New Testament texts but also on the apocryphal texts, in particular the </w:t>
      </w:r>
      <w:r w:rsidRPr="00B9522B">
        <w:rPr>
          <w:i/>
        </w:rPr>
        <w:t>Protevangelium</w:t>
      </w:r>
      <w:r w:rsidRPr="00B9522B">
        <w:t xml:space="preserve"> of James in which Mary is the central figure.</w:t>
      </w:r>
      <w:r w:rsidRPr="00B9522B">
        <w:rPr>
          <w:rStyle w:val="FootnoteReference"/>
        </w:rPr>
        <w:footnoteReference w:id="46"/>
      </w:r>
      <w:r w:rsidRPr="00B9522B">
        <w:t xml:space="preserve"> The Gospel of Saint Luke is the gospel most often associated with Mary. The oldest examples of Marian iconography are believed to be wall frescos in the catacombs beneath Rome. In the late fourth century Bishop Ambrose of Milan, who described Mary as the model of the church, the model of virginity, and the Christian example, commissioned a reliquary of relics of the apostles depicting Mary in an adoration scene.</w:t>
      </w:r>
      <w:r w:rsidRPr="00B9522B">
        <w:rPr>
          <w:rStyle w:val="FootnoteReference"/>
        </w:rPr>
        <w:footnoteReference w:id="47"/>
      </w:r>
      <w:r w:rsidRPr="00B9522B">
        <w:t xml:space="preserve"> Paintings and carvings of Mary continue throughout the early history of the church and into the Early Middle Ages. Contemporary with the Council of Ephesus, in 431, the church of Santa Maria Maggiore was founded in Rome, and consecrated as a </w:t>
      </w:r>
      <w:r w:rsidRPr="00B9522B">
        <w:lastRenderedPageBreak/>
        <w:t xml:space="preserve">basilica in 434. This provided an important site of Marian pilgrimage thereby reversing the effect of the lack of </w:t>
      </w:r>
      <w:r>
        <w:t xml:space="preserve">major </w:t>
      </w:r>
      <w:r w:rsidRPr="00B9522B">
        <w:t>Marian shrines which had meant that the cult of Mary took root later than the cults around other female saints.</w:t>
      </w:r>
      <w:r w:rsidRPr="00B9522B">
        <w:rPr>
          <w:rStyle w:val="FootnoteReference"/>
        </w:rPr>
        <w:footnoteReference w:id="48"/>
      </w:r>
      <w:r w:rsidRPr="00B9522B">
        <w:t xml:space="preserve"> </w:t>
      </w:r>
    </w:p>
    <w:p w:rsidR="00776D0D" w:rsidRPr="00B9522B" w:rsidRDefault="00776D0D" w:rsidP="00113CB0">
      <w:pPr>
        <w:spacing w:line="480" w:lineRule="auto"/>
      </w:pPr>
      <w:r w:rsidRPr="00B9522B">
        <w:t>According to the French art historian Emile Male “The Middle Ages considered art to be a form of instruction.”</w:t>
      </w:r>
      <w:r w:rsidRPr="00B9522B">
        <w:rPr>
          <w:rStyle w:val="FootnoteReference"/>
        </w:rPr>
        <w:t xml:space="preserve"> </w:t>
      </w:r>
      <w:r w:rsidRPr="00B9522B">
        <w:rPr>
          <w:rStyle w:val="FootnoteReference"/>
        </w:rPr>
        <w:footnoteReference w:id="49"/>
      </w:r>
      <w:r w:rsidRPr="00B9522B">
        <w:t xml:space="preserve"> All artists would learn the types and iconography for the religious topic they were depicting.  To depict a saint incorrectly is almost tantamount to heresy.</w:t>
      </w:r>
      <w:r w:rsidRPr="00B9522B">
        <w:rPr>
          <w:rStyle w:val="FootnoteReference"/>
        </w:rPr>
        <w:footnoteReference w:id="50"/>
      </w:r>
      <w:r w:rsidRPr="00B9522B">
        <w:t xml:space="preserve"> This requirement to depict religious images correctly reveals the great importance of visual arts as a form of education in the medieval mind. Male then goes on to say that the ordinary uneducated populace of the time “…learned through their eyes almost all that they knew of their faith.”</w:t>
      </w:r>
      <w:r w:rsidRPr="00B9522B">
        <w:rPr>
          <w:rStyle w:val="FootnoteReference"/>
        </w:rPr>
        <w:footnoteReference w:id="51"/>
      </w:r>
      <w:r w:rsidRPr="00B9522B">
        <w:t xml:space="preserve"> In this largely illiterate world most people would have relied upon visual representations of the bible stories and Christian tradition to inform and sustain their understanding of and development of their Christian faith. The medieval observer would have known how to read the iconography that they witnessed. This was a time of symbolism, of allegory, of resonances. Maunder makes reference to this in his essay ‘Mary in the New Testament and Apocrypha’ “The modern tendency to elevate historical fact above allegory and legend was largely unknown before the Enlightenment...”</w:t>
      </w:r>
      <w:r w:rsidRPr="00B9522B">
        <w:rPr>
          <w:rStyle w:val="FootnoteReference"/>
        </w:rPr>
        <w:footnoteReference w:id="52"/>
      </w:r>
      <w:r w:rsidRPr="00B9522B">
        <w:t xml:space="preserve"> Male reminds his reader that the earliest printers in the fifteenth century referred to the cathedral as a poor mans’ bible.</w:t>
      </w:r>
      <w:r w:rsidRPr="00B9522B">
        <w:rPr>
          <w:rStyle w:val="FootnoteReference"/>
        </w:rPr>
        <w:footnoteReference w:id="53"/>
      </w:r>
      <w:r w:rsidRPr="00B9522B">
        <w:t xml:space="preserve"> To understand the importance of Marian iconography to the devotion in the Middle Ages requires an understanding of the relationship between visual arts and thinking.</w:t>
      </w:r>
      <w:r w:rsidRPr="00B9522B">
        <w:rPr>
          <w:rStyle w:val="FootnoteReference"/>
        </w:rPr>
        <w:footnoteReference w:id="54"/>
      </w:r>
      <w:r w:rsidRPr="00B9522B">
        <w:t xml:space="preserve"> </w:t>
      </w:r>
    </w:p>
    <w:p w:rsidR="00776D0D" w:rsidRPr="00B9522B" w:rsidRDefault="00776D0D" w:rsidP="00113CB0">
      <w:pPr>
        <w:spacing w:line="480" w:lineRule="auto"/>
      </w:pPr>
      <w:r w:rsidRPr="00B9522B">
        <w:t>Over the centuries Mary was given titles by the church authorities which became official and authorised and therefore part of the Church’s doctrine and teaching. Marian iconography helped to maintain these beliefs and the understanding of these doctrines. The medieval Christian saw Mary in her many different roles; as the mother of God, the Queen of Heaven, the realisation of Old Testament prophecy, the Intercessor and Mother of mankind, a personification of the church itself, as well as being the perpetual virgin, the Bride of Christ, the Second Eve, and the Throne of Wisdom. Following the influence of Bernard of Clairvaux the cult of the Virgin Mary was at its height</w:t>
      </w:r>
      <w:r>
        <w:t xml:space="preserve"> in the eleventh and twelfth centuries</w:t>
      </w:r>
      <w:r w:rsidRPr="00B9522B">
        <w:t xml:space="preserve">. The cult of the Virgin was, and still is, the largest cult in Christendom. “It would be hard to overstate the extent of Mary’s power and majesty in the culture of Western Europe in the eleventh and </w:t>
      </w:r>
      <w:r w:rsidRPr="00B9522B">
        <w:lastRenderedPageBreak/>
        <w:t>twelfth centuries. There has been no time in the history of western Christianity when she has been accorded a higher status than she was during this period.”</w:t>
      </w:r>
      <w:r w:rsidRPr="00B9522B">
        <w:rPr>
          <w:rStyle w:val="FootnoteReference"/>
        </w:rPr>
        <w:footnoteReference w:id="55"/>
      </w:r>
    </w:p>
    <w:p w:rsidR="00776D0D" w:rsidRDefault="00776D0D" w:rsidP="00113CB0">
      <w:pPr>
        <w:spacing w:line="480" w:lineRule="auto"/>
      </w:pPr>
      <w:r w:rsidRPr="00B9522B">
        <w:t>The most obvious Marian iconography relates to the doctrine of the Incarnation and hence the iconography of the Annunciation. The image of the Virgin holding the Infant Christ is still recognisable today and according to Boss the earliest recorded free standing statue of the Virgin Mary</w:t>
      </w:r>
      <w:r>
        <w:t xml:space="preserve">, dating to 946, </w:t>
      </w:r>
      <w:r w:rsidRPr="00B9522B">
        <w:t>was replaced with a statue of the Madonna and Child following the destruction of the cathedral by Norman invaders.</w:t>
      </w:r>
      <w:r w:rsidRPr="00B9522B">
        <w:rPr>
          <w:rStyle w:val="FootnoteReference"/>
        </w:rPr>
        <w:footnoteReference w:id="56"/>
      </w:r>
      <w:r w:rsidRPr="00B9522B">
        <w:t xml:space="preserve"> The Madonna and Child b</w:t>
      </w:r>
      <w:r>
        <w:t>ecame a popular subject in the G</w:t>
      </w:r>
      <w:r w:rsidRPr="00B9522B">
        <w:t>othic period. A frequent depiction of the Madonna and Child is of the Virgin seated and holding Christ on her knee as if on a throne. The Virgin is enthroned and at the same time Christ is enthroned on her lap and as a result Mary herself is considered to be a throne. This is a typological understanding of a link to the Throne of Solomon in the Old Testament. This in turn supports an understanding of Mary as Wisdom. “In the Hebrew Scriptures, Wisdom as a personal figure…directs men and women to lead good lives and thus is associated with specifically moral action…If human beings attend to the teachings of Wisdom, then our lives will be…properly ordered in accordance with God’s intention…Wisdom is often personified as a female figure.”</w:t>
      </w:r>
      <w:r w:rsidRPr="00B9522B">
        <w:rPr>
          <w:rStyle w:val="FootnoteReference"/>
        </w:rPr>
        <w:footnoteReference w:id="57"/>
      </w:r>
      <w:r w:rsidRPr="00B9522B">
        <w:t xml:space="preserve"> Medieval Christians understood this imagery as typological. Solomon was an Old Testament prototype of Christ and his throne was a prototype of the Virgin Mary. Marian iconography showing Mary seated and hol</w:t>
      </w:r>
      <w:r>
        <w:t>d</w:t>
      </w:r>
      <w:r w:rsidRPr="00B9522B">
        <w:t>ing the Christ child on her lap not o</w:t>
      </w:r>
      <w:r>
        <w:t>nly illustrates Mary as the Mother</w:t>
      </w:r>
      <w:r w:rsidRPr="00B9522B">
        <w:t xml:space="preserve"> of Christ and therefore </w:t>
      </w:r>
      <w:r>
        <w:t>t</w:t>
      </w:r>
      <w:r w:rsidRPr="00B9522B">
        <w:t>he Mother of God but also calls to mind the Throne of Solomon</w:t>
      </w:r>
      <w:r>
        <w:t xml:space="preserve">. This </w:t>
      </w:r>
      <w:r w:rsidRPr="00B9522B">
        <w:t>therefore the king himself and as a result</w:t>
      </w:r>
      <w:r>
        <w:t>,</w:t>
      </w:r>
      <w:r w:rsidRPr="00B9522B">
        <w:t xml:space="preserve"> </w:t>
      </w:r>
      <w:r>
        <w:t>b</w:t>
      </w:r>
      <w:r w:rsidRPr="00B9522B">
        <w:t xml:space="preserve">iblical wisdom and </w:t>
      </w:r>
      <w:r>
        <w:t>it is this b</w:t>
      </w:r>
      <w:r w:rsidRPr="00B9522B">
        <w:t xml:space="preserve">iblical wisdom </w:t>
      </w:r>
      <w:r>
        <w:t>guides</w:t>
      </w:r>
      <w:r w:rsidRPr="00B9522B">
        <w:t xml:space="preserve"> the Christian to lead an ordered life which will be pleasing to God. Not only was Mary seen as a seat of wisdom through the imagery relating to Solomon’s throne but through the symmetry between Christ and Mary she is also identified with the wisdom of God</w:t>
      </w:r>
      <w:r>
        <w:t>. He</w:t>
      </w:r>
      <w:r w:rsidRPr="00B9522B">
        <w:t xml:space="preserve">re Mary becomes </w:t>
      </w:r>
      <w:r w:rsidRPr="00B9522B">
        <w:rPr>
          <w:i/>
        </w:rPr>
        <w:t>Maria</w:t>
      </w:r>
      <w:r w:rsidRPr="00B9522B">
        <w:t xml:space="preserve"> </w:t>
      </w:r>
      <w:r w:rsidRPr="00B9522B">
        <w:rPr>
          <w:i/>
        </w:rPr>
        <w:t>sapientia</w:t>
      </w:r>
      <w:r w:rsidRPr="00B9522B">
        <w:t>.</w:t>
      </w:r>
      <w:r w:rsidRPr="00B9522B">
        <w:rPr>
          <w:rStyle w:val="FootnoteReference"/>
        </w:rPr>
        <w:footnoteReference w:id="58"/>
      </w:r>
      <w:r w:rsidRPr="00B9522B">
        <w:t xml:space="preserve"> </w:t>
      </w:r>
    </w:p>
    <w:p w:rsidR="00776D0D" w:rsidRPr="00B9522B" w:rsidRDefault="00776D0D" w:rsidP="00113CB0">
      <w:pPr>
        <w:spacing w:line="480" w:lineRule="auto"/>
      </w:pPr>
      <w:r w:rsidRPr="00B9522B">
        <w:t xml:space="preserve">Typological iconography where Old Testament figures are seen as corresponding to figures from New Testament was a popular way of explaining how the Old Testament is revealed through the New Testament. A popular medieval example of this were representations of </w:t>
      </w:r>
      <w:r>
        <w:t>S</w:t>
      </w:r>
      <w:r w:rsidRPr="00B9522B">
        <w:rPr>
          <w:i/>
        </w:rPr>
        <w:t>ynagoga</w:t>
      </w:r>
      <w:r w:rsidRPr="00B9522B">
        <w:t>, the Old Law, and of</w:t>
      </w:r>
      <w:r>
        <w:rPr>
          <w:i/>
        </w:rPr>
        <w:t xml:space="preserve"> Ec</w:t>
      </w:r>
      <w:r w:rsidRPr="00B9522B">
        <w:rPr>
          <w:i/>
        </w:rPr>
        <w:t>clesia</w:t>
      </w:r>
      <w:r w:rsidRPr="00B9522B">
        <w:t xml:space="preserve">, the New Law. Because Mary was already considered a symbol and embodiment of the Church this arguably became a subconscious extension of Marian typology. </w:t>
      </w:r>
    </w:p>
    <w:p w:rsidR="00776D0D" w:rsidRDefault="00776D0D" w:rsidP="00113CB0">
      <w:pPr>
        <w:spacing w:line="480" w:lineRule="auto"/>
      </w:pPr>
      <w:r w:rsidRPr="00B9522B">
        <w:lastRenderedPageBreak/>
        <w:t>Marian iconography was enhanced by symbols which were specifically related to the particular characteristics attributed to the Virgin Mary. These were frequently, though not exclusively, flowers or plants. Thus Mary’s purity was represented by white lilies which would also recall the doctrine of her perpetual virginity. Lilies appear in all Annunciation iconography of the medieval period. An interesting use of the image of the lily is in t</w:t>
      </w:r>
      <w:r>
        <w:t>he Lily C</w:t>
      </w:r>
      <w:r w:rsidRPr="00B9522B">
        <w:t>rucifix found only in English Marian devotion, and nearly always</w:t>
      </w:r>
      <w:r>
        <w:t xml:space="preserve"> uniquely</w:t>
      </w:r>
      <w:r w:rsidRPr="00B9522B">
        <w:t xml:space="preserve"> in representations of the Annunciation.</w:t>
      </w:r>
      <w:r w:rsidRPr="00B9522B">
        <w:rPr>
          <w:rStyle w:val="FootnoteReference"/>
        </w:rPr>
        <w:footnoteReference w:id="59"/>
      </w:r>
      <w:r w:rsidRPr="00B9522B">
        <w:t xml:space="preserve"> The lily crucifix image can be seen in extant stained glass for example in Saint Helen’s Church, Abingdon, the Church of Saint Michael in the Northgate, Oxford, and at Long Melford in Suffolk.</w:t>
      </w:r>
      <w:r w:rsidRPr="00B9522B">
        <w:rPr>
          <w:rStyle w:val="FootnoteReference"/>
        </w:rPr>
        <w:footnoteReference w:id="60"/>
      </w:r>
      <w:r w:rsidRPr="00B9522B">
        <w:t xml:space="preserve"> </w:t>
      </w:r>
      <w:r>
        <w:t>This again reminded</w:t>
      </w:r>
      <w:r w:rsidRPr="00B9522B">
        <w:t xml:space="preserve"> the medieval Christian that Mary, through</w:t>
      </w:r>
      <w:r>
        <w:t xml:space="preserve"> her</w:t>
      </w:r>
      <w:r w:rsidRPr="00B9522B">
        <w:t xml:space="preserve"> choosing to accept her role as Christ’s mother, is integral to the salvation of mankind.</w:t>
      </w:r>
      <w:r w:rsidRPr="00B9522B">
        <w:rPr>
          <w:rStyle w:val="FootnoteReference"/>
        </w:rPr>
        <w:footnoteReference w:id="61"/>
      </w:r>
      <w:r w:rsidRPr="00B9522B">
        <w:t xml:space="preserve"> </w:t>
      </w:r>
    </w:p>
    <w:p w:rsidR="00776D0D" w:rsidRDefault="00776D0D" w:rsidP="00113CB0">
      <w:pPr>
        <w:spacing w:line="480" w:lineRule="auto"/>
      </w:pPr>
      <w:r w:rsidRPr="00B9522B">
        <w:t xml:space="preserve">The rose also figures as a symbol used within Marian iconography. It represents resurrection and recalls the Crown of Thorns placed upon Christ’s head in the story of the Crucifixion. Again this alludes to Mary’s active pivotal role in mans’ salvation. Perhaps it is therefore not surprising that depictions of the Annunciation frequently feature a rosebush within a walled garden. This walled garden, the </w:t>
      </w:r>
      <w:r w:rsidRPr="00B9522B">
        <w:rPr>
          <w:i/>
        </w:rPr>
        <w:t>Hortus Conclusus</w:t>
      </w:r>
      <w:r w:rsidRPr="00B9522B">
        <w:t xml:space="preserve">, is in itself Marian iconography in its allusion to Mary’s womb and her bearing of the Christ child </w:t>
      </w:r>
      <w:r>
        <w:t xml:space="preserve">whilst </w:t>
      </w:r>
      <w:r w:rsidRPr="00B9522B">
        <w:t>remaining a virgin in perpetuity. Mary herself is the enclosed garden. Another plant frequently associated with Mary and often seen decorating the borders of illuminated manuscripts is the pomegranate. The pomegranate is an Old Testament symbol of fertility. Likewise the use of the strawberry plant with its decorative tendrils, as seen in the Hours of Mary of Burgundy, is also a Marian symbol.</w:t>
      </w:r>
      <w:r w:rsidRPr="00B9522B">
        <w:rPr>
          <w:rStyle w:val="FootnoteReference"/>
        </w:rPr>
        <w:footnoteReference w:id="62"/>
      </w:r>
      <w:r w:rsidRPr="00B9522B">
        <w:t xml:space="preserve"> It is interesting to note that the </w:t>
      </w:r>
      <w:r w:rsidRPr="00B9522B">
        <w:rPr>
          <w:i/>
        </w:rPr>
        <w:t>Officium parvum beate Marie Virginis</w:t>
      </w:r>
      <w:r w:rsidRPr="00B9522B">
        <w:t xml:space="preserve"> became the basic text of Books of Hours in the course of the thirteenth century.</w:t>
      </w:r>
      <w:r w:rsidRPr="00B9522B">
        <w:rPr>
          <w:rStyle w:val="FootnoteReference"/>
        </w:rPr>
        <w:footnoteReference w:id="63"/>
      </w:r>
      <w:r w:rsidRPr="00B9522B">
        <w:t xml:space="preserve"> In his book ‘Books of Hours and Their Owners’ John Harthan refers to the fact</w:t>
      </w:r>
      <w:r>
        <w:t xml:space="preserve"> that</w:t>
      </w:r>
      <w:r w:rsidRPr="00B9522B">
        <w:t>, “With no martyrdom or miracles associated with her during her lifetime she became through the mystery of the Incarnation the central figure in an unprecedented devotion in which many of the deepest emotions of men and women were involved.”</w:t>
      </w:r>
      <w:r w:rsidRPr="00B9522B">
        <w:rPr>
          <w:rStyle w:val="FootnoteReference"/>
        </w:rPr>
        <w:footnoteReference w:id="64"/>
      </w:r>
      <w:r w:rsidRPr="00B9522B">
        <w:t xml:space="preserve">  This is evidenced by Marian iconography in buildings such as cathedrals, chapels, </w:t>
      </w:r>
      <w:r>
        <w:t xml:space="preserve">and </w:t>
      </w:r>
      <w:r w:rsidRPr="00B9522B">
        <w:t xml:space="preserve">shrines. It was through their Books of Hours and their personal devotions that lay people, all be it extremely wealthy lay people, identified “…themselves with </w:t>
      </w:r>
      <w:r w:rsidRPr="00B9522B">
        <w:rPr>
          <w:i/>
        </w:rPr>
        <w:t>Dei genitrix</w:t>
      </w:r>
      <w:r w:rsidRPr="00B9522B">
        <w:t>, the Mother of God.”</w:t>
      </w:r>
      <w:r w:rsidRPr="00B9522B">
        <w:rPr>
          <w:rStyle w:val="FootnoteReference"/>
        </w:rPr>
        <w:footnoteReference w:id="65"/>
      </w:r>
      <w:r w:rsidRPr="00B9522B">
        <w:t xml:space="preserve"> </w:t>
      </w:r>
    </w:p>
    <w:p w:rsidR="00776D0D" w:rsidRPr="00A65223" w:rsidRDefault="00776D0D" w:rsidP="00113CB0">
      <w:pPr>
        <w:spacing w:line="480" w:lineRule="auto"/>
      </w:pPr>
      <w:r w:rsidRPr="004D2684">
        <w:lastRenderedPageBreak/>
        <w:t xml:space="preserve">It is clear therefore that in the Middle Ages </w:t>
      </w:r>
      <w:r>
        <w:t>Marian iconography wa</w:t>
      </w:r>
      <w:r w:rsidRPr="004D2684">
        <w:t>s central to an understanding of C</w:t>
      </w:r>
      <w:r>
        <w:t>hristian f</w:t>
      </w:r>
      <w:r w:rsidRPr="004D2684">
        <w:t xml:space="preserve">aith. </w:t>
      </w:r>
      <w:r>
        <w:t>Its use of powerful</w:t>
      </w:r>
      <w:r w:rsidRPr="004D2684">
        <w:t xml:space="preserve"> symbols </w:t>
      </w:r>
      <w:r>
        <w:t xml:space="preserve">to resonate with the faithful observer recalled the doctrines, beliefs, and teachings of the medieval Church. Given the central role of the Virgin Mary and Marian devotion in Western Christianity it becomes clear why the loss of Mary due to her removal by the Protestant Reformation was so catastrophic to Roman </w:t>
      </w:r>
      <w:r w:rsidRPr="00A65223">
        <w:t>Catholics. In the words of Eve de Visscher</w:t>
      </w:r>
      <w:r>
        <w:t>,</w:t>
      </w:r>
      <w:r w:rsidRPr="00A65223">
        <w:t xml:space="preserve"> “Throughout the Middle Ages Mary appears as a central figure in devotional theory and practice.”</w:t>
      </w:r>
      <w:r w:rsidRPr="00A65223">
        <w:rPr>
          <w:rStyle w:val="FootnoteReference"/>
        </w:rPr>
        <w:footnoteReference w:id="66"/>
      </w:r>
      <w:r w:rsidRPr="00A65223">
        <w:t xml:space="preserve"> </w:t>
      </w:r>
    </w:p>
    <w:p w:rsidR="00113CB0" w:rsidRDefault="00113CB0" w:rsidP="00776D0D">
      <w:pPr>
        <w:tabs>
          <w:tab w:val="center" w:pos="4513"/>
        </w:tabs>
        <w:spacing w:line="360" w:lineRule="auto"/>
        <w:rPr>
          <w:sz w:val="32"/>
          <w:szCs w:val="32"/>
        </w:rPr>
      </w:pPr>
    </w:p>
    <w:p w:rsidR="00113CB0" w:rsidRDefault="00113CB0" w:rsidP="00776D0D">
      <w:pPr>
        <w:tabs>
          <w:tab w:val="center" w:pos="4513"/>
        </w:tabs>
        <w:spacing w:line="360" w:lineRule="auto"/>
        <w:rPr>
          <w:sz w:val="32"/>
          <w:szCs w:val="32"/>
        </w:rPr>
      </w:pPr>
    </w:p>
    <w:p w:rsidR="00113CB0" w:rsidRDefault="00113CB0" w:rsidP="00776D0D">
      <w:pPr>
        <w:tabs>
          <w:tab w:val="center" w:pos="4513"/>
        </w:tabs>
        <w:spacing w:line="360" w:lineRule="auto"/>
        <w:rPr>
          <w:sz w:val="32"/>
          <w:szCs w:val="32"/>
        </w:rPr>
      </w:pPr>
    </w:p>
    <w:p w:rsidR="00113CB0" w:rsidRDefault="00113CB0" w:rsidP="00776D0D">
      <w:pPr>
        <w:tabs>
          <w:tab w:val="center" w:pos="4513"/>
        </w:tabs>
        <w:spacing w:line="360" w:lineRule="auto"/>
        <w:rPr>
          <w:sz w:val="32"/>
          <w:szCs w:val="32"/>
        </w:rPr>
      </w:pPr>
    </w:p>
    <w:p w:rsidR="00F2193D" w:rsidRDefault="00F2193D" w:rsidP="00776D0D">
      <w:pPr>
        <w:tabs>
          <w:tab w:val="center" w:pos="4513"/>
        </w:tabs>
        <w:spacing w:line="360" w:lineRule="auto"/>
        <w:rPr>
          <w:sz w:val="32"/>
          <w:szCs w:val="32"/>
        </w:rPr>
      </w:pPr>
    </w:p>
    <w:p w:rsidR="00F2193D" w:rsidRDefault="00F2193D" w:rsidP="00776D0D">
      <w:pPr>
        <w:tabs>
          <w:tab w:val="center" w:pos="4513"/>
        </w:tabs>
        <w:spacing w:line="360" w:lineRule="auto"/>
        <w:rPr>
          <w:sz w:val="32"/>
          <w:szCs w:val="32"/>
        </w:rPr>
      </w:pPr>
    </w:p>
    <w:p w:rsidR="00F2193D" w:rsidRDefault="00F2193D" w:rsidP="00776D0D">
      <w:pPr>
        <w:tabs>
          <w:tab w:val="center" w:pos="4513"/>
        </w:tabs>
        <w:spacing w:line="360" w:lineRule="auto"/>
        <w:rPr>
          <w:sz w:val="32"/>
          <w:szCs w:val="32"/>
        </w:rPr>
      </w:pPr>
    </w:p>
    <w:p w:rsidR="00F2193D" w:rsidRDefault="00F2193D" w:rsidP="00776D0D">
      <w:pPr>
        <w:tabs>
          <w:tab w:val="center" w:pos="4513"/>
        </w:tabs>
        <w:spacing w:line="360" w:lineRule="auto"/>
        <w:rPr>
          <w:sz w:val="32"/>
          <w:szCs w:val="32"/>
        </w:rPr>
      </w:pPr>
    </w:p>
    <w:p w:rsidR="00F2193D" w:rsidRDefault="00F2193D" w:rsidP="00776D0D">
      <w:pPr>
        <w:tabs>
          <w:tab w:val="center" w:pos="4513"/>
        </w:tabs>
        <w:spacing w:line="360" w:lineRule="auto"/>
        <w:rPr>
          <w:sz w:val="32"/>
          <w:szCs w:val="32"/>
        </w:rPr>
      </w:pPr>
    </w:p>
    <w:p w:rsidR="00F2193D" w:rsidRDefault="00F2193D" w:rsidP="00776D0D">
      <w:pPr>
        <w:tabs>
          <w:tab w:val="center" w:pos="4513"/>
        </w:tabs>
        <w:spacing w:line="360" w:lineRule="auto"/>
        <w:rPr>
          <w:sz w:val="32"/>
          <w:szCs w:val="32"/>
        </w:rPr>
      </w:pPr>
    </w:p>
    <w:p w:rsidR="00F2193D" w:rsidRDefault="00F2193D" w:rsidP="00776D0D">
      <w:pPr>
        <w:tabs>
          <w:tab w:val="center" w:pos="4513"/>
        </w:tabs>
        <w:spacing w:line="360" w:lineRule="auto"/>
        <w:rPr>
          <w:sz w:val="32"/>
          <w:szCs w:val="32"/>
        </w:rPr>
      </w:pPr>
    </w:p>
    <w:p w:rsidR="00F2193D" w:rsidRDefault="00F2193D" w:rsidP="00776D0D">
      <w:pPr>
        <w:tabs>
          <w:tab w:val="center" w:pos="4513"/>
        </w:tabs>
        <w:spacing w:line="360" w:lineRule="auto"/>
        <w:rPr>
          <w:sz w:val="32"/>
          <w:szCs w:val="32"/>
        </w:rPr>
      </w:pPr>
    </w:p>
    <w:p w:rsidR="00F2193D" w:rsidRDefault="00F2193D" w:rsidP="00776D0D">
      <w:pPr>
        <w:tabs>
          <w:tab w:val="center" w:pos="4513"/>
        </w:tabs>
        <w:spacing w:line="360" w:lineRule="auto"/>
        <w:rPr>
          <w:sz w:val="32"/>
          <w:szCs w:val="32"/>
        </w:rPr>
      </w:pPr>
    </w:p>
    <w:p w:rsidR="00F2193D" w:rsidRDefault="00F2193D" w:rsidP="00776D0D">
      <w:pPr>
        <w:tabs>
          <w:tab w:val="center" w:pos="4513"/>
        </w:tabs>
        <w:spacing w:line="360" w:lineRule="auto"/>
        <w:rPr>
          <w:sz w:val="32"/>
          <w:szCs w:val="32"/>
        </w:rPr>
      </w:pPr>
    </w:p>
    <w:p w:rsidR="00F2193D" w:rsidRDefault="00F2193D" w:rsidP="00776D0D">
      <w:pPr>
        <w:tabs>
          <w:tab w:val="center" w:pos="4513"/>
        </w:tabs>
        <w:spacing w:line="360" w:lineRule="auto"/>
        <w:rPr>
          <w:sz w:val="32"/>
          <w:szCs w:val="32"/>
        </w:rPr>
      </w:pPr>
    </w:p>
    <w:p w:rsidR="00776D0D" w:rsidRPr="009108B4" w:rsidRDefault="00776D0D" w:rsidP="00776D0D">
      <w:pPr>
        <w:tabs>
          <w:tab w:val="center" w:pos="4513"/>
        </w:tabs>
        <w:spacing w:line="360" w:lineRule="auto"/>
        <w:rPr>
          <w:sz w:val="32"/>
          <w:szCs w:val="32"/>
        </w:rPr>
      </w:pPr>
      <w:r w:rsidRPr="009108B4">
        <w:rPr>
          <w:sz w:val="32"/>
          <w:szCs w:val="32"/>
        </w:rPr>
        <w:lastRenderedPageBreak/>
        <w:t>Bibliography</w:t>
      </w:r>
      <w:r>
        <w:rPr>
          <w:sz w:val="32"/>
          <w:szCs w:val="32"/>
        </w:rPr>
        <w:tab/>
      </w:r>
    </w:p>
    <w:p w:rsidR="00776D0D" w:rsidRPr="006C792A" w:rsidRDefault="00776D0D" w:rsidP="00776D0D">
      <w:pPr>
        <w:spacing w:line="360" w:lineRule="auto"/>
      </w:pPr>
    </w:p>
    <w:p w:rsidR="00776D0D" w:rsidRDefault="00776D0D" w:rsidP="00776D0D">
      <w:pPr>
        <w:spacing w:line="360" w:lineRule="auto"/>
        <w:rPr>
          <w:rFonts w:cs="Arial"/>
          <w:shd w:val="clear" w:color="auto" w:fill="FFFFFF"/>
        </w:rPr>
      </w:pPr>
      <w:r>
        <w:rPr>
          <w:rFonts w:cs="Arial"/>
          <w:shd w:val="clear" w:color="auto" w:fill="FFFFFF"/>
        </w:rPr>
        <w:t xml:space="preserve">Ashe, Geoffrey, </w:t>
      </w:r>
      <w:r>
        <w:rPr>
          <w:rFonts w:cs="Arial"/>
          <w:i/>
          <w:shd w:val="clear" w:color="auto" w:fill="FFFFFF"/>
        </w:rPr>
        <w:t xml:space="preserve">The Virgin </w:t>
      </w:r>
      <w:r>
        <w:rPr>
          <w:rFonts w:cs="Arial"/>
          <w:shd w:val="clear" w:color="auto" w:fill="FFFFFF"/>
        </w:rPr>
        <w:t xml:space="preserve">(Routledge &amp; Kegan Paul Ltd: London, 1976). </w:t>
      </w:r>
    </w:p>
    <w:p w:rsidR="00776D0D" w:rsidRPr="00B9711F" w:rsidRDefault="00776D0D" w:rsidP="00776D0D">
      <w:pPr>
        <w:spacing w:line="360" w:lineRule="auto"/>
        <w:rPr>
          <w:rFonts w:cs="Arial"/>
          <w:shd w:val="clear" w:color="auto" w:fill="FFFFFF"/>
        </w:rPr>
      </w:pPr>
      <w:r>
        <w:rPr>
          <w:rFonts w:cs="Arial"/>
          <w:shd w:val="clear" w:color="auto" w:fill="FFFFFF"/>
        </w:rPr>
        <w:t xml:space="preserve">Boss, Sarah Jane, </w:t>
      </w:r>
      <w:r>
        <w:rPr>
          <w:rFonts w:cs="Arial"/>
          <w:i/>
          <w:shd w:val="clear" w:color="auto" w:fill="FFFFFF"/>
        </w:rPr>
        <w:t>Empress and Handmaid: On Nature and Gender in the Cult of the Virgin Mary</w:t>
      </w:r>
      <w:r>
        <w:rPr>
          <w:rFonts w:cs="Arial"/>
          <w:shd w:val="clear" w:color="auto" w:fill="FFFFFF"/>
        </w:rPr>
        <w:t xml:space="preserve"> (Cassel: London 2000). </w:t>
      </w:r>
    </w:p>
    <w:p w:rsidR="00776D0D" w:rsidRDefault="00776D0D" w:rsidP="00776D0D">
      <w:pPr>
        <w:spacing w:line="360" w:lineRule="auto"/>
        <w:rPr>
          <w:rFonts w:cs="Arial"/>
          <w:shd w:val="clear" w:color="auto" w:fill="FFFFFF"/>
        </w:rPr>
      </w:pPr>
      <w:r>
        <w:rPr>
          <w:rFonts w:cs="Arial"/>
          <w:shd w:val="clear" w:color="auto" w:fill="FFFFFF"/>
        </w:rPr>
        <w:t xml:space="preserve">Boss, Sarah Jane, </w:t>
      </w:r>
      <w:r>
        <w:rPr>
          <w:rFonts w:cs="Arial"/>
          <w:i/>
          <w:shd w:val="clear" w:color="auto" w:fill="FFFFFF"/>
        </w:rPr>
        <w:t>Mary</w:t>
      </w:r>
      <w:r>
        <w:rPr>
          <w:rFonts w:cs="Arial"/>
          <w:shd w:val="clear" w:color="auto" w:fill="FFFFFF"/>
        </w:rPr>
        <w:t xml:space="preserve"> (Continuum: London, 2003). </w:t>
      </w:r>
    </w:p>
    <w:p w:rsidR="00776D0D" w:rsidRPr="001B1518" w:rsidRDefault="00776D0D" w:rsidP="00776D0D">
      <w:pPr>
        <w:spacing w:line="360" w:lineRule="auto"/>
        <w:rPr>
          <w:rFonts w:cs="Arial"/>
          <w:shd w:val="clear" w:color="auto" w:fill="FFFFFF"/>
        </w:rPr>
      </w:pPr>
      <w:r>
        <w:rPr>
          <w:rFonts w:cs="Arial"/>
          <w:shd w:val="clear" w:color="auto" w:fill="FFFFFF"/>
        </w:rPr>
        <w:t xml:space="preserve">Boss, Sarah Jane, ed., </w:t>
      </w:r>
      <w:r>
        <w:rPr>
          <w:rFonts w:cs="Arial"/>
          <w:i/>
          <w:shd w:val="clear" w:color="auto" w:fill="FFFFFF"/>
        </w:rPr>
        <w:t>Mary: The Complete Resource</w:t>
      </w:r>
      <w:r>
        <w:rPr>
          <w:rFonts w:cs="Arial"/>
          <w:shd w:val="clear" w:color="auto" w:fill="FFFFFF"/>
        </w:rPr>
        <w:t xml:space="preserve"> (Continuum: London, 2007).</w:t>
      </w:r>
    </w:p>
    <w:p w:rsidR="00776D0D" w:rsidRDefault="00776D0D" w:rsidP="00776D0D">
      <w:pPr>
        <w:spacing w:line="360" w:lineRule="auto"/>
        <w:rPr>
          <w:rFonts w:cs="Arial"/>
          <w:shd w:val="clear" w:color="auto" w:fill="FFFFFF"/>
        </w:rPr>
      </w:pPr>
      <w:r w:rsidRPr="006C792A">
        <w:rPr>
          <w:rFonts w:cs="Arial"/>
          <w:shd w:val="clear" w:color="auto" w:fill="FFFFFF"/>
        </w:rPr>
        <w:t xml:space="preserve">Bauman, Guy., </w:t>
      </w:r>
      <w:r w:rsidRPr="006C792A">
        <w:rPr>
          <w:rFonts w:cs="Arial"/>
          <w:i/>
          <w:shd w:val="clear" w:color="auto" w:fill="FFFFFF"/>
        </w:rPr>
        <w:t>Early Flemish Portraits 1425-1525</w:t>
      </w:r>
      <w:r w:rsidRPr="006C792A">
        <w:rPr>
          <w:rFonts w:cs="Arial"/>
          <w:shd w:val="clear" w:color="auto" w:fill="FFFFFF"/>
        </w:rPr>
        <w:t xml:space="preserve"> (The Metropolitan Museum of Art: New York, 1986).</w:t>
      </w:r>
    </w:p>
    <w:p w:rsidR="00776D0D" w:rsidRPr="00E80000" w:rsidRDefault="00776D0D" w:rsidP="00776D0D">
      <w:pPr>
        <w:spacing w:line="360" w:lineRule="auto"/>
        <w:rPr>
          <w:rFonts w:cs="Arial"/>
          <w:shd w:val="clear" w:color="auto" w:fill="FFFFFF"/>
        </w:rPr>
      </w:pPr>
      <w:r>
        <w:rPr>
          <w:rFonts w:cs="Arial"/>
          <w:shd w:val="clear" w:color="auto" w:fill="FFFFFF"/>
        </w:rPr>
        <w:t xml:space="preserve">Buby, Bertrand, </w:t>
      </w:r>
      <w:r>
        <w:rPr>
          <w:rFonts w:cs="Arial"/>
          <w:i/>
          <w:shd w:val="clear" w:color="auto" w:fill="FFFFFF"/>
        </w:rPr>
        <w:t xml:space="preserve">Mary of Galilee: Volume I: Mary in the New Testament </w:t>
      </w:r>
      <w:r>
        <w:rPr>
          <w:rFonts w:cs="Arial"/>
          <w:shd w:val="clear" w:color="auto" w:fill="FFFFFF"/>
        </w:rPr>
        <w:t xml:space="preserve">(Alba House: New York, 1994). </w:t>
      </w:r>
    </w:p>
    <w:p w:rsidR="00776D0D" w:rsidRDefault="00776D0D" w:rsidP="00776D0D">
      <w:pPr>
        <w:spacing w:line="360" w:lineRule="auto"/>
        <w:rPr>
          <w:rFonts w:cs="Arial"/>
          <w:shd w:val="clear" w:color="auto" w:fill="FFFFFF"/>
        </w:rPr>
      </w:pPr>
      <w:r>
        <w:rPr>
          <w:rFonts w:cs="Arial"/>
          <w:shd w:val="clear" w:color="auto" w:fill="FFFFFF"/>
        </w:rPr>
        <w:t xml:space="preserve">Burton, Sean, “Sacred and Political Duality: An Analysis of Selected Motets from William Byrd’s “Gradualia” </w:t>
      </w:r>
      <w:r>
        <w:rPr>
          <w:rFonts w:cs="Arial"/>
          <w:i/>
          <w:shd w:val="clear" w:color="auto" w:fill="FFFFFF"/>
        </w:rPr>
        <w:t xml:space="preserve">Choral Journal, </w:t>
      </w:r>
      <w:r>
        <w:rPr>
          <w:rFonts w:cs="Arial"/>
          <w:shd w:val="clear" w:color="auto" w:fill="FFFFFF"/>
        </w:rPr>
        <w:t xml:space="preserve">vol. 47, no. 6, 2006, pp. 6-20. </w:t>
      </w:r>
    </w:p>
    <w:p w:rsidR="00776D0D" w:rsidRPr="00980F5C" w:rsidRDefault="00776D0D" w:rsidP="00776D0D">
      <w:pPr>
        <w:spacing w:line="360" w:lineRule="auto"/>
        <w:rPr>
          <w:rFonts w:cs="Arial"/>
          <w:shd w:val="clear" w:color="auto" w:fill="FFFFFF"/>
        </w:rPr>
      </w:pPr>
      <w:r>
        <w:rPr>
          <w:rFonts w:cs="Arial"/>
          <w:shd w:val="clear" w:color="auto" w:fill="FFFFFF"/>
        </w:rPr>
        <w:t xml:space="preserve">Cresswell, Julia, </w:t>
      </w:r>
      <w:r>
        <w:rPr>
          <w:rFonts w:cs="Arial"/>
          <w:i/>
          <w:shd w:val="clear" w:color="auto" w:fill="FFFFFF"/>
        </w:rPr>
        <w:t>The Watkins Dictionary of Angels</w:t>
      </w:r>
      <w:r>
        <w:rPr>
          <w:rFonts w:cs="Arial"/>
          <w:shd w:val="clear" w:color="auto" w:fill="FFFFFF"/>
        </w:rPr>
        <w:t xml:space="preserve"> (Watkins Publishing: London, 2006). </w:t>
      </w:r>
    </w:p>
    <w:p w:rsidR="00776D0D" w:rsidRDefault="00776D0D" w:rsidP="00776D0D">
      <w:pPr>
        <w:spacing w:line="360" w:lineRule="auto"/>
        <w:rPr>
          <w:rFonts w:cs="Arial"/>
          <w:i/>
          <w:iCs/>
          <w:shd w:val="clear" w:color="auto" w:fill="FFFFFF"/>
        </w:rPr>
      </w:pPr>
      <w:r w:rsidRPr="006C792A">
        <w:rPr>
          <w:rFonts w:cs="Arial"/>
          <w:shd w:val="clear" w:color="auto" w:fill="FFFFFF"/>
        </w:rPr>
        <w:t>De Coo, Jozef. “A Medieval Look at the Merode Annunciation.” </w:t>
      </w:r>
      <w:r w:rsidRPr="006C792A">
        <w:rPr>
          <w:rFonts w:cs="Arial"/>
          <w:i/>
          <w:iCs/>
          <w:shd w:val="clear" w:color="auto" w:fill="FFFFFF"/>
        </w:rPr>
        <w:t>Zeitschrift Für Kunstgeschichte</w:t>
      </w:r>
      <w:r w:rsidRPr="006C792A">
        <w:rPr>
          <w:rFonts w:cs="Arial"/>
          <w:shd w:val="clear" w:color="auto" w:fill="FFFFFF"/>
        </w:rPr>
        <w:t>, vol. 44, no. 2, 1981, pp. 114–132. </w:t>
      </w:r>
    </w:p>
    <w:p w:rsidR="00776D0D" w:rsidRPr="002576C2" w:rsidRDefault="00776D0D" w:rsidP="00776D0D">
      <w:pPr>
        <w:spacing w:line="360" w:lineRule="auto"/>
        <w:rPr>
          <w:rFonts w:cs="Arial"/>
          <w:i/>
          <w:iCs/>
          <w:shd w:val="clear" w:color="auto" w:fill="FFFFFF"/>
        </w:rPr>
      </w:pPr>
      <w:r w:rsidRPr="006C792A">
        <w:rPr>
          <w:rFonts w:cs="Arial"/>
          <w:shd w:val="clear" w:color="auto" w:fill="FFFFFF"/>
        </w:rPr>
        <w:t>Duchesne-Guillemin, Jacques., “On the Cityscape of the Mérode Altarpiece.” </w:t>
      </w:r>
      <w:r w:rsidRPr="006C792A">
        <w:rPr>
          <w:rFonts w:cs="Arial"/>
          <w:i/>
          <w:iCs/>
          <w:shd w:val="clear" w:color="auto" w:fill="FFFFFF"/>
        </w:rPr>
        <w:t>Metropolitan Museum Journal</w:t>
      </w:r>
      <w:r w:rsidRPr="006C792A">
        <w:rPr>
          <w:rFonts w:cs="Arial"/>
          <w:shd w:val="clear" w:color="auto" w:fill="FFFFFF"/>
        </w:rPr>
        <w:t>, vol. 11, 1976, pp. 129–131. </w:t>
      </w:r>
    </w:p>
    <w:p w:rsidR="00776D0D" w:rsidRPr="006C792A" w:rsidRDefault="00776D0D" w:rsidP="00776D0D">
      <w:pPr>
        <w:spacing w:line="360" w:lineRule="auto"/>
        <w:rPr>
          <w:rFonts w:cs="Arial"/>
          <w:i/>
          <w:iCs/>
          <w:shd w:val="clear" w:color="auto" w:fill="FFFFFF"/>
        </w:rPr>
      </w:pPr>
      <w:r w:rsidRPr="006C792A">
        <w:rPr>
          <w:rFonts w:cs="Arial"/>
          <w:shd w:val="clear" w:color="auto" w:fill="FFFFFF"/>
        </w:rPr>
        <w:t>Eisler, Colin, and Schapiro</w:t>
      </w:r>
      <w:r>
        <w:rPr>
          <w:rFonts w:cs="Arial"/>
          <w:shd w:val="clear" w:color="auto" w:fill="FFFFFF"/>
        </w:rPr>
        <w:t>,</w:t>
      </w:r>
      <w:r w:rsidRPr="00D47ACF">
        <w:rPr>
          <w:rFonts w:cs="Arial"/>
          <w:shd w:val="clear" w:color="auto" w:fill="FFFFFF"/>
        </w:rPr>
        <w:t xml:space="preserve"> </w:t>
      </w:r>
      <w:r w:rsidRPr="006C792A">
        <w:rPr>
          <w:rFonts w:cs="Arial"/>
          <w:shd w:val="clear" w:color="auto" w:fill="FFFFFF"/>
        </w:rPr>
        <w:t>Meyer</w:t>
      </w:r>
      <w:r>
        <w:rPr>
          <w:rFonts w:cs="Arial"/>
          <w:shd w:val="clear" w:color="auto" w:fill="FFFFFF"/>
        </w:rPr>
        <w:t>,</w:t>
      </w:r>
      <w:r w:rsidRPr="006C792A">
        <w:rPr>
          <w:rFonts w:cs="Arial"/>
          <w:shd w:val="clear" w:color="auto" w:fill="FFFFFF"/>
        </w:rPr>
        <w:t xml:space="preserve"> “The Mérode Mousetrap.” </w:t>
      </w:r>
      <w:r w:rsidRPr="006C792A">
        <w:rPr>
          <w:rFonts w:cs="Arial"/>
          <w:i/>
          <w:iCs/>
          <w:shd w:val="clear" w:color="auto" w:fill="FFFFFF"/>
        </w:rPr>
        <w:t>The Burlington Magazine</w:t>
      </w:r>
      <w:r w:rsidRPr="006C792A">
        <w:rPr>
          <w:rFonts w:cs="Arial"/>
          <w:shd w:val="clear" w:color="auto" w:fill="FFFFFF"/>
        </w:rPr>
        <w:t>, vol. 108, no. 761, 1966, pp. 430–428.</w:t>
      </w:r>
    </w:p>
    <w:p w:rsidR="00776D0D" w:rsidRPr="006C792A" w:rsidRDefault="00776D0D" w:rsidP="00776D0D">
      <w:pPr>
        <w:spacing w:line="360" w:lineRule="auto"/>
        <w:rPr>
          <w:rFonts w:cs="Arial"/>
          <w:shd w:val="clear" w:color="auto" w:fill="FFFFFF"/>
        </w:rPr>
      </w:pPr>
      <w:r w:rsidRPr="006C792A">
        <w:t xml:space="preserve">Freeman, Margaret B., </w:t>
      </w:r>
      <w:r w:rsidRPr="006C792A">
        <w:rPr>
          <w:rFonts w:cs="Arial"/>
          <w:shd w:val="clear" w:color="auto" w:fill="FFFFFF"/>
        </w:rPr>
        <w:t>“The Iconography of the Merode Altarpiece.” </w:t>
      </w:r>
      <w:r w:rsidRPr="006C792A">
        <w:rPr>
          <w:rFonts w:cs="Arial"/>
          <w:i/>
          <w:iCs/>
          <w:shd w:val="clear" w:color="auto" w:fill="FFFFFF"/>
        </w:rPr>
        <w:t>The Metropolitan Museum of Art Bulletin</w:t>
      </w:r>
      <w:r w:rsidRPr="006C792A">
        <w:rPr>
          <w:rFonts w:cs="Arial"/>
          <w:shd w:val="clear" w:color="auto" w:fill="FFFFFF"/>
        </w:rPr>
        <w:t>, vol. 16, no. 4, 1957, pp. 130–139. </w:t>
      </w:r>
    </w:p>
    <w:p w:rsidR="00776D0D" w:rsidRDefault="00776D0D" w:rsidP="00776D0D">
      <w:pPr>
        <w:spacing w:line="360" w:lineRule="auto"/>
        <w:rPr>
          <w:rFonts w:cs="Arial"/>
          <w:shd w:val="clear" w:color="auto" w:fill="FFFFFF"/>
        </w:rPr>
      </w:pPr>
      <w:r>
        <w:rPr>
          <w:rFonts w:cs="Arial"/>
          <w:shd w:val="clear" w:color="auto" w:fill="FFFFFF"/>
        </w:rPr>
        <w:t>Hahn, Cynthia</w:t>
      </w:r>
      <w:r w:rsidRPr="006C792A">
        <w:rPr>
          <w:rFonts w:cs="Arial"/>
          <w:shd w:val="clear" w:color="auto" w:fill="FFFFFF"/>
        </w:rPr>
        <w:t>, “'Joseph Will Perfect, Mary Enlighten and Jesus Save Thee': The Holy Family as Marriage Model in the Mérode Triptych.” </w:t>
      </w:r>
      <w:r w:rsidRPr="006C792A">
        <w:rPr>
          <w:rFonts w:cs="Arial"/>
          <w:i/>
          <w:iCs/>
          <w:shd w:val="clear" w:color="auto" w:fill="FFFFFF"/>
        </w:rPr>
        <w:t>The Art Bulletin</w:t>
      </w:r>
      <w:r w:rsidRPr="006C792A">
        <w:rPr>
          <w:rFonts w:cs="Arial"/>
          <w:shd w:val="clear" w:color="auto" w:fill="FFFFFF"/>
        </w:rPr>
        <w:t>, vol. 68, no. 1, 1986, pp. 54–66. </w:t>
      </w:r>
    </w:p>
    <w:p w:rsidR="00776D0D" w:rsidRPr="00BD6C49" w:rsidRDefault="00776D0D" w:rsidP="00776D0D">
      <w:pPr>
        <w:spacing w:line="360" w:lineRule="auto"/>
        <w:rPr>
          <w:rFonts w:cs="Arial"/>
          <w:shd w:val="clear" w:color="auto" w:fill="FFFFFF"/>
        </w:rPr>
      </w:pPr>
      <w:r>
        <w:rPr>
          <w:rFonts w:cs="Arial"/>
          <w:shd w:val="clear" w:color="auto" w:fill="FFFFFF"/>
        </w:rPr>
        <w:t xml:space="preserve">Harthan, John, </w:t>
      </w:r>
      <w:r>
        <w:rPr>
          <w:rFonts w:cs="Arial"/>
          <w:i/>
          <w:shd w:val="clear" w:color="auto" w:fill="FFFFFF"/>
        </w:rPr>
        <w:t xml:space="preserve">Books of Hours and Their Owners </w:t>
      </w:r>
      <w:r>
        <w:rPr>
          <w:rFonts w:cs="Arial"/>
          <w:shd w:val="clear" w:color="auto" w:fill="FFFFFF"/>
        </w:rPr>
        <w:t xml:space="preserve">(Thames and Hudson: London, 1977). </w:t>
      </w:r>
    </w:p>
    <w:p w:rsidR="00776D0D" w:rsidRPr="004C2E94" w:rsidRDefault="00776D0D" w:rsidP="00776D0D">
      <w:pPr>
        <w:spacing w:line="360" w:lineRule="auto"/>
        <w:rPr>
          <w:rFonts w:cs="Arial"/>
          <w:shd w:val="clear" w:color="auto" w:fill="FFFFFF"/>
        </w:rPr>
      </w:pPr>
      <w:r>
        <w:rPr>
          <w:rFonts w:cs="Arial"/>
          <w:shd w:val="clear" w:color="auto" w:fill="FFFFFF"/>
        </w:rPr>
        <w:t>Jackman, James, L. “Liturgical Aspects of Byrd’s “</w:t>
      </w:r>
      <w:r>
        <w:rPr>
          <w:rFonts w:cs="Arial"/>
          <w:i/>
          <w:shd w:val="clear" w:color="auto" w:fill="FFFFFF"/>
        </w:rPr>
        <w:t>Gradualia</w:t>
      </w:r>
      <w:r>
        <w:rPr>
          <w:rFonts w:cs="Arial"/>
          <w:shd w:val="clear" w:color="auto" w:fill="FFFFFF"/>
        </w:rPr>
        <w:t xml:space="preserve">”.” </w:t>
      </w:r>
      <w:r>
        <w:rPr>
          <w:rFonts w:cs="Arial"/>
          <w:i/>
          <w:shd w:val="clear" w:color="auto" w:fill="FFFFFF"/>
        </w:rPr>
        <w:t>The Musical Quarterly,</w:t>
      </w:r>
      <w:r>
        <w:rPr>
          <w:rFonts w:cs="Arial"/>
          <w:shd w:val="clear" w:color="auto" w:fill="FFFFFF"/>
        </w:rPr>
        <w:t xml:space="preserve"> vol. 49, no. 1, 1963, pp. 17-37. </w:t>
      </w:r>
    </w:p>
    <w:p w:rsidR="00776D0D" w:rsidRDefault="00776D0D" w:rsidP="00776D0D">
      <w:pPr>
        <w:spacing w:line="360" w:lineRule="auto"/>
        <w:rPr>
          <w:rFonts w:cs="Arial"/>
          <w:shd w:val="clear" w:color="auto" w:fill="FFFFFF"/>
        </w:rPr>
      </w:pPr>
      <w:r>
        <w:rPr>
          <w:rFonts w:cs="Arial"/>
          <w:shd w:val="clear" w:color="auto" w:fill="FFFFFF"/>
        </w:rPr>
        <w:t>Jacob, John</w:t>
      </w:r>
      <w:r w:rsidRPr="006C792A">
        <w:rPr>
          <w:rFonts w:cs="Arial"/>
          <w:shd w:val="clear" w:color="auto" w:fill="FFFFFF"/>
        </w:rPr>
        <w:t>, “The Mérode Mousetrap.” </w:t>
      </w:r>
      <w:r w:rsidRPr="006C792A">
        <w:rPr>
          <w:rFonts w:cs="Arial"/>
          <w:i/>
          <w:iCs/>
          <w:shd w:val="clear" w:color="auto" w:fill="FFFFFF"/>
        </w:rPr>
        <w:t>The Burlington Magazine</w:t>
      </w:r>
      <w:r w:rsidRPr="006C792A">
        <w:rPr>
          <w:rFonts w:cs="Arial"/>
          <w:shd w:val="clear" w:color="auto" w:fill="FFFFFF"/>
        </w:rPr>
        <w:t>, vol. 108, no. 760, 1966, pp. 373–374. </w:t>
      </w:r>
    </w:p>
    <w:p w:rsidR="00776D0D" w:rsidRPr="007044D4" w:rsidRDefault="00776D0D" w:rsidP="00776D0D">
      <w:pPr>
        <w:spacing w:line="360" w:lineRule="auto"/>
        <w:rPr>
          <w:rFonts w:cs="Arial"/>
          <w:shd w:val="clear" w:color="auto" w:fill="FFFFFF"/>
        </w:rPr>
      </w:pPr>
      <w:r>
        <w:rPr>
          <w:rFonts w:cs="Arial"/>
          <w:shd w:val="clear" w:color="auto" w:fill="FFFFFF"/>
        </w:rPr>
        <w:t xml:space="preserve">Male, Emile, </w:t>
      </w:r>
      <w:r>
        <w:rPr>
          <w:rFonts w:cs="Arial"/>
          <w:i/>
          <w:shd w:val="clear" w:color="auto" w:fill="FFFFFF"/>
        </w:rPr>
        <w:t xml:space="preserve">L’Art Religieux du XIIIe Siècle en France </w:t>
      </w:r>
      <w:r>
        <w:rPr>
          <w:rFonts w:cs="Arial"/>
          <w:shd w:val="clear" w:color="auto" w:fill="FFFFFF"/>
        </w:rPr>
        <w:t xml:space="preserve">(Librairie Armand Colin: Paris, 1948). </w:t>
      </w:r>
    </w:p>
    <w:p w:rsidR="00776D0D" w:rsidRPr="00E33548" w:rsidRDefault="00776D0D" w:rsidP="00776D0D">
      <w:pPr>
        <w:spacing w:line="360" w:lineRule="auto"/>
        <w:rPr>
          <w:rFonts w:cs="Arial"/>
          <w:shd w:val="clear" w:color="auto" w:fill="FFFFFF"/>
        </w:rPr>
      </w:pPr>
      <w:r>
        <w:rPr>
          <w:rFonts w:cs="Arial"/>
          <w:shd w:val="clear" w:color="auto" w:fill="FFFFFF"/>
        </w:rPr>
        <w:t xml:space="preserve">McCarthy, Kerry, </w:t>
      </w:r>
      <w:r>
        <w:rPr>
          <w:rFonts w:cs="Arial"/>
          <w:i/>
          <w:shd w:val="clear" w:color="auto" w:fill="FFFFFF"/>
        </w:rPr>
        <w:t xml:space="preserve">Byrd </w:t>
      </w:r>
      <w:r>
        <w:rPr>
          <w:rFonts w:cs="Arial"/>
          <w:shd w:val="clear" w:color="auto" w:fill="FFFFFF"/>
        </w:rPr>
        <w:t xml:space="preserve">(Oxford University Press: Oxford, 2013). </w:t>
      </w:r>
    </w:p>
    <w:p w:rsidR="00776D0D" w:rsidRPr="00DA39CB" w:rsidRDefault="00776D0D" w:rsidP="00776D0D">
      <w:pPr>
        <w:spacing w:line="360" w:lineRule="auto"/>
        <w:rPr>
          <w:rFonts w:cs="Arial"/>
          <w:shd w:val="clear" w:color="auto" w:fill="FFFFFF"/>
        </w:rPr>
      </w:pPr>
      <w:r>
        <w:rPr>
          <w:rFonts w:cs="Arial"/>
          <w:shd w:val="clear" w:color="auto" w:fill="FFFFFF"/>
        </w:rPr>
        <w:t xml:space="preserve">McCarthy, Kerry, </w:t>
      </w:r>
      <w:r>
        <w:rPr>
          <w:rFonts w:cs="Arial"/>
          <w:i/>
          <w:shd w:val="clear" w:color="auto" w:fill="FFFFFF"/>
        </w:rPr>
        <w:t>Liturgy and Contemplation in Byrd’s Gradualia</w:t>
      </w:r>
      <w:r>
        <w:rPr>
          <w:rFonts w:cs="Arial"/>
          <w:shd w:val="clear" w:color="auto" w:fill="FFFFFF"/>
        </w:rPr>
        <w:t xml:space="preserve"> (Routledge: New York, 2007). </w:t>
      </w:r>
    </w:p>
    <w:p w:rsidR="00776D0D" w:rsidRDefault="00776D0D" w:rsidP="00776D0D">
      <w:pPr>
        <w:spacing w:line="360" w:lineRule="auto"/>
        <w:rPr>
          <w:rFonts w:cs="Arial"/>
          <w:shd w:val="clear" w:color="auto" w:fill="FFFFFF"/>
        </w:rPr>
      </w:pPr>
      <w:r>
        <w:rPr>
          <w:rFonts w:cs="Arial"/>
          <w:shd w:val="clear" w:color="auto" w:fill="FFFFFF"/>
        </w:rPr>
        <w:lastRenderedPageBreak/>
        <w:t xml:space="preserve">McCarthy, Kerry, “Music for All Seasons: The Byrd “Gradualia” Revisited” </w:t>
      </w:r>
      <w:r>
        <w:rPr>
          <w:rFonts w:cs="Arial"/>
          <w:i/>
          <w:shd w:val="clear" w:color="auto" w:fill="FFFFFF"/>
        </w:rPr>
        <w:t>Sacred Music</w:t>
      </w:r>
      <w:r>
        <w:rPr>
          <w:rFonts w:cs="Arial"/>
          <w:shd w:val="clear" w:color="auto" w:fill="FFFFFF"/>
        </w:rPr>
        <w:t xml:space="preserve">, vol. 129, no. 1, 2002, pp. 5-12. </w:t>
      </w:r>
    </w:p>
    <w:p w:rsidR="00776D0D" w:rsidRPr="003E2329" w:rsidRDefault="00776D0D" w:rsidP="00776D0D">
      <w:pPr>
        <w:spacing w:line="360" w:lineRule="auto"/>
        <w:rPr>
          <w:rFonts w:cs="Arial"/>
          <w:shd w:val="clear" w:color="auto" w:fill="FFFFFF"/>
        </w:rPr>
      </w:pPr>
      <w:r>
        <w:rPr>
          <w:rFonts w:cs="Arial"/>
          <w:shd w:val="clear" w:color="auto" w:fill="FFFFFF"/>
        </w:rPr>
        <w:t xml:space="preserve">McCarthy, Kerry, “’Notes as a Garland’: The Chronology and Narrative of Byrd’s ‘Gradualia’” </w:t>
      </w:r>
      <w:r>
        <w:rPr>
          <w:rFonts w:cs="Arial"/>
          <w:i/>
          <w:shd w:val="clear" w:color="auto" w:fill="FFFFFF"/>
        </w:rPr>
        <w:t>Early Music History,</w:t>
      </w:r>
      <w:r>
        <w:rPr>
          <w:rFonts w:cs="Arial"/>
          <w:shd w:val="clear" w:color="auto" w:fill="FFFFFF"/>
        </w:rPr>
        <w:t xml:space="preserve"> vol. 23, 2004, pp. 49-84. </w:t>
      </w:r>
    </w:p>
    <w:p w:rsidR="00776D0D" w:rsidRDefault="00776D0D" w:rsidP="00776D0D">
      <w:pPr>
        <w:spacing w:line="360" w:lineRule="auto"/>
        <w:rPr>
          <w:rFonts w:cs="Arial"/>
          <w:shd w:val="clear" w:color="auto" w:fill="FFFFFF"/>
        </w:rPr>
      </w:pPr>
      <w:r w:rsidRPr="006C792A">
        <w:rPr>
          <w:rFonts w:cs="Arial"/>
          <w:shd w:val="clear" w:color="auto" w:fill="FFFFFF"/>
        </w:rPr>
        <w:t>Minott, Charles Ilsley., “The Theme of the Mérode Altarpiece.” </w:t>
      </w:r>
      <w:r w:rsidRPr="006C792A">
        <w:rPr>
          <w:rFonts w:cs="Arial"/>
          <w:i/>
          <w:iCs/>
          <w:shd w:val="clear" w:color="auto" w:fill="FFFFFF"/>
        </w:rPr>
        <w:t>The Art Bulletin</w:t>
      </w:r>
      <w:r w:rsidRPr="006C792A">
        <w:rPr>
          <w:rFonts w:cs="Arial"/>
          <w:shd w:val="clear" w:color="auto" w:fill="FFFFFF"/>
        </w:rPr>
        <w:t>, vol. 51, no. 3, 1969, pp. 267–271. </w:t>
      </w:r>
    </w:p>
    <w:p w:rsidR="00776D0D" w:rsidRPr="00484DE4" w:rsidRDefault="00776D0D" w:rsidP="00776D0D">
      <w:pPr>
        <w:spacing w:line="360" w:lineRule="auto"/>
        <w:rPr>
          <w:rFonts w:cs="Arial"/>
          <w:shd w:val="clear" w:color="auto" w:fill="FFFFFF"/>
        </w:rPr>
      </w:pPr>
      <w:r>
        <w:rPr>
          <w:rFonts w:cs="Arial"/>
          <w:shd w:val="clear" w:color="auto" w:fill="FFFFFF"/>
        </w:rPr>
        <w:t xml:space="preserve">Mornin, Edward and Mornin, Lorna, </w:t>
      </w:r>
      <w:r>
        <w:rPr>
          <w:rFonts w:cs="Arial"/>
          <w:i/>
          <w:shd w:val="clear" w:color="auto" w:fill="FFFFFF"/>
        </w:rPr>
        <w:t>Saints: A Visual Guide</w:t>
      </w:r>
      <w:r>
        <w:rPr>
          <w:rFonts w:cs="Arial"/>
          <w:shd w:val="clear" w:color="auto" w:fill="FFFFFF"/>
        </w:rPr>
        <w:t xml:space="preserve"> (Frances Lincoln Ltd.: London, 2006).</w:t>
      </w:r>
    </w:p>
    <w:p w:rsidR="00776D0D" w:rsidRPr="006C792A" w:rsidRDefault="00776D0D" w:rsidP="00776D0D">
      <w:pPr>
        <w:spacing w:line="360" w:lineRule="auto"/>
        <w:rPr>
          <w:rFonts w:cs="Arial"/>
          <w:shd w:val="clear" w:color="auto" w:fill="FFFFFF"/>
        </w:rPr>
      </w:pPr>
      <w:r w:rsidRPr="006C792A">
        <w:rPr>
          <w:rFonts w:cs="Arial"/>
          <w:shd w:val="clear" w:color="auto" w:fill="FFFFFF"/>
        </w:rPr>
        <w:t>Nickel, Helmut. “The Mousetraps of the Mérode Altar-Piece Again.” </w:t>
      </w:r>
      <w:r w:rsidRPr="006C792A">
        <w:rPr>
          <w:rFonts w:cs="Arial"/>
          <w:i/>
          <w:iCs/>
          <w:shd w:val="clear" w:color="auto" w:fill="FFFFFF"/>
        </w:rPr>
        <w:t>The Burlington Magazine</w:t>
      </w:r>
      <w:r w:rsidRPr="006C792A">
        <w:rPr>
          <w:rFonts w:cs="Arial"/>
          <w:shd w:val="clear" w:color="auto" w:fill="FFFFFF"/>
        </w:rPr>
        <w:t>, vol. 108, no. 764, 1966, pp. 577–580. </w:t>
      </w:r>
    </w:p>
    <w:p w:rsidR="00776D0D" w:rsidRPr="006C792A" w:rsidRDefault="00776D0D" w:rsidP="00776D0D">
      <w:pPr>
        <w:spacing w:line="360" w:lineRule="auto"/>
        <w:rPr>
          <w:rFonts w:cs="Arial"/>
          <w:shd w:val="clear" w:color="auto" w:fill="FFFFFF"/>
        </w:rPr>
      </w:pPr>
      <w:r w:rsidRPr="006C792A">
        <w:rPr>
          <w:rFonts w:cs="Arial"/>
          <w:shd w:val="clear" w:color="auto" w:fill="FFFFFF"/>
        </w:rPr>
        <w:t>Rousseau, Theodore., “The Merode Altarpiece.” </w:t>
      </w:r>
      <w:r w:rsidRPr="006C792A">
        <w:rPr>
          <w:rFonts w:cs="Arial"/>
          <w:i/>
          <w:iCs/>
          <w:shd w:val="clear" w:color="auto" w:fill="FFFFFF"/>
        </w:rPr>
        <w:t>The Metropolitan Museum of Art Bulletin</w:t>
      </w:r>
      <w:r w:rsidRPr="006C792A">
        <w:rPr>
          <w:rFonts w:cs="Arial"/>
          <w:shd w:val="clear" w:color="auto" w:fill="FFFFFF"/>
        </w:rPr>
        <w:t>, vol. 16, no. 4, 1957, pp. 117–129.</w:t>
      </w:r>
    </w:p>
    <w:p w:rsidR="00776D0D" w:rsidRDefault="00776D0D" w:rsidP="00776D0D">
      <w:pPr>
        <w:spacing w:line="360" w:lineRule="auto"/>
        <w:rPr>
          <w:rFonts w:cs="Arial"/>
          <w:shd w:val="clear" w:color="auto" w:fill="FFFFFF"/>
        </w:rPr>
      </w:pPr>
      <w:r w:rsidRPr="006C792A">
        <w:rPr>
          <w:rFonts w:cs="Arial"/>
          <w:shd w:val="clear" w:color="auto" w:fill="FFFFFF"/>
        </w:rPr>
        <w:t>Schapiro, Meyer., “A Note on the Mérode Altarpiece.” </w:t>
      </w:r>
      <w:r w:rsidRPr="006C792A">
        <w:rPr>
          <w:rFonts w:cs="Arial"/>
          <w:i/>
          <w:iCs/>
          <w:shd w:val="clear" w:color="auto" w:fill="FFFFFF"/>
        </w:rPr>
        <w:t>The Art Bulletin</w:t>
      </w:r>
      <w:r w:rsidRPr="006C792A">
        <w:rPr>
          <w:rFonts w:cs="Arial"/>
          <w:shd w:val="clear" w:color="auto" w:fill="FFFFFF"/>
        </w:rPr>
        <w:t>, vol. 41, no. 4, 1959, pp. 327–328.</w:t>
      </w:r>
    </w:p>
    <w:p w:rsidR="00776D0D" w:rsidRPr="00624B94" w:rsidRDefault="00776D0D" w:rsidP="00776D0D">
      <w:pPr>
        <w:spacing w:line="360" w:lineRule="auto"/>
      </w:pPr>
      <w:r>
        <w:rPr>
          <w:rFonts w:cs="Arial"/>
          <w:shd w:val="clear" w:color="auto" w:fill="FFFFFF"/>
        </w:rPr>
        <w:t xml:space="preserve">Smalley, Beryl, </w:t>
      </w:r>
      <w:r>
        <w:rPr>
          <w:rFonts w:cs="Arial"/>
          <w:i/>
          <w:shd w:val="clear" w:color="auto" w:fill="FFFFFF"/>
        </w:rPr>
        <w:t xml:space="preserve">The Study of the Bible in the Middle Ages </w:t>
      </w:r>
      <w:r>
        <w:rPr>
          <w:rFonts w:cs="Arial"/>
          <w:shd w:val="clear" w:color="auto" w:fill="FFFFFF"/>
        </w:rPr>
        <w:t xml:space="preserve">(Basil Blackwell Publisher Limited: Oxford, 1984). </w:t>
      </w:r>
    </w:p>
    <w:p w:rsidR="00776D0D" w:rsidRPr="006C792A" w:rsidRDefault="00776D0D" w:rsidP="00776D0D">
      <w:pPr>
        <w:spacing w:line="360" w:lineRule="auto"/>
      </w:pPr>
      <w:r w:rsidRPr="006C792A">
        <w:t xml:space="preserve">Stein, Wendy A., </w:t>
      </w:r>
      <w:r w:rsidRPr="006C792A">
        <w:rPr>
          <w:i/>
        </w:rPr>
        <w:t>How To Read Medieval Art</w:t>
      </w:r>
      <w:r w:rsidRPr="006C792A">
        <w:t xml:space="preserve"> (The Metropolitan Museum of Art: New York, 2016). </w:t>
      </w:r>
    </w:p>
    <w:p w:rsidR="00776D0D" w:rsidRPr="00B21972" w:rsidRDefault="00776D0D" w:rsidP="00776D0D">
      <w:pPr>
        <w:spacing w:line="360" w:lineRule="auto"/>
        <w:rPr>
          <w:rFonts w:cs="Arial"/>
          <w:shd w:val="clear" w:color="auto" w:fill="FFFFFF"/>
        </w:rPr>
      </w:pPr>
      <w:r>
        <w:rPr>
          <w:rFonts w:cs="Arial"/>
          <w:shd w:val="clear" w:color="auto" w:fill="FFFFFF"/>
        </w:rPr>
        <w:t xml:space="preserve">Taylor, Richard, </w:t>
      </w:r>
      <w:r>
        <w:rPr>
          <w:rFonts w:cs="Arial"/>
          <w:i/>
          <w:shd w:val="clear" w:color="auto" w:fill="FFFFFF"/>
        </w:rPr>
        <w:t>How To Read a Church: A Guide to Images, Symbols and Meanings in Churches and Cathedrals</w:t>
      </w:r>
      <w:r>
        <w:rPr>
          <w:rFonts w:cs="Arial"/>
          <w:shd w:val="clear" w:color="auto" w:fill="FFFFFF"/>
        </w:rPr>
        <w:t xml:space="preserve"> (Rider: London, 2003). </w:t>
      </w:r>
    </w:p>
    <w:p w:rsidR="00776D0D" w:rsidRPr="00AC7668" w:rsidRDefault="00776D0D" w:rsidP="00776D0D">
      <w:pPr>
        <w:spacing w:line="360" w:lineRule="auto"/>
        <w:rPr>
          <w:rFonts w:cs="Arial"/>
          <w:shd w:val="clear" w:color="auto" w:fill="FFFFFF"/>
        </w:rPr>
      </w:pPr>
      <w:r>
        <w:rPr>
          <w:rFonts w:cs="Arial"/>
          <w:shd w:val="clear" w:color="auto" w:fill="FFFFFF"/>
        </w:rPr>
        <w:t xml:space="preserve">Turbert, Richard, and Brett, Philip, “Byrd’s “Gradualia”” </w:t>
      </w:r>
      <w:r>
        <w:rPr>
          <w:rFonts w:cs="Arial"/>
          <w:i/>
          <w:shd w:val="clear" w:color="auto" w:fill="FFFFFF"/>
        </w:rPr>
        <w:t xml:space="preserve">Early Music, </w:t>
      </w:r>
      <w:r>
        <w:rPr>
          <w:rFonts w:cs="Arial"/>
          <w:shd w:val="clear" w:color="auto" w:fill="FFFFFF"/>
        </w:rPr>
        <w:t xml:space="preserve">vol. 21, no. 1, 1993, p. 173. </w:t>
      </w:r>
    </w:p>
    <w:p w:rsidR="00776D0D" w:rsidRPr="00831715" w:rsidRDefault="00776D0D" w:rsidP="00776D0D">
      <w:pPr>
        <w:spacing w:line="360" w:lineRule="auto"/>
        <w:rPr>
          <w:rFonts w:cs="Arial"/>
          <w:shd w:val="clear" w:color="auto" w:fill="FFFFFF"/>
        </w:rPr>
      </w:pPr>
      <w:r>
        <w:rPr>
          <w:rFonts w:cs="Arial"/>
          <w:shd w:val="clear" w:color="auto" w:fill="FFFFFF"/>
        </w:rPr>
        <w:t xml:space="preserve">Turner, Gavin, and the William Byrd Choir, </w:t>
      </w:r>
      <w:r>
        <w:rPr>
          <w:rFonts w:cs="Arial"/>
          <w:i/>
          <w:shd w:val="clear" w:color="auto" w:fill="FFFFFF"/>
        </w:rPr>
        <w:t>William Byrd: Gradualia: The Marian Masses.</w:t>
      </w:r>
      <w:r>
        <w:rPr>
          <w:rFonts w:cs="Arial"/>
          <w:shd w:val="clear" w:color="auto" w:fill="FFFFFF"/>
        </w:rPr>
        <w:t xml:space="preserve"> CD, Hyperion CDA66451 (1990). </w:t>
      </w:r>
    </w:p>
    <w:p w:rsidR="00776D0D" w:rsidRDefault="00776D0D" w:rsidP="00776D0D">
      <w:pPr>
        <w:spacing w:line="360" w:lineRule="auto"/>
        <w:rPr>
          <w:rFonts w:cs="Arial"/>
          <w:shd w:val="clear" w:color="auto" w:fill="FFFFFF"/>
        </w:rPr>
      </w:pPr>
      <w:r w:rsidRPr="006C792A">
        <w:rPr>
          <w:rFonts w:cs="Arial"/>
          <w:shd w:val="clear" w:color="auto" w:fill="FFFFFF"/>
        </w:rPr>
        <w:t>Zupnick, Irving L. “The Mystery of the Mérode Mousetrap.” </w:t>
      </w:r>
      <w:r w:rsidRPr="006C792A">
        <w:rPr>
          <w:rFonts w:cs="Arial"/>
          <w:i/>
          <w:iCs/>
          <w:shd w:val="clear" w:color="auto" w:fill="FFFFFF"/>
        </w:rPr>
        <w:t>The Burlington Magazine</w:t>
      </w:r>
      <w:r w:rsidRPr="006C792A">
        <w:rPr>
          <w:rFonts w:cs="Arial"/>
          <w:shd w:val="clear" w:color="auto" w:fill="FFFFFF"/>
        </w:rPr>
        <w:t>, vol. 108, no. 756, 1966, pp. 126–133.</w:t>
      </w:r>
    </w:p>
    <w:p w:rsidR="00776D0D" w:rsidRPr="006C792A" w:rsidRDefault="00776D0D" w:rsidP="00776D0D">
      <w:pPr>
        <w:spacing w:line="360" w:lineRule="auto"/>
      </w:pPr>
      <w:r>
        <w:t xml:space="preserve">The Virgin Mary in Britain: Theology, Art and Myth, S. J. Boss, </w:t>
      </w:r>
      <w:r>
        <w:rPr>
          <w:i/>
        </w:rPr>
        <w:t xml:space="preserve">From Glastonbury to Walsingham: Medieval Marian Devotion </w:t>
      </w:r>
      <w:r>
        <w:t>(University of Oxford Department for Continuing Education, 11 February 2017) (Oxford: Rewley House, 2017).</w:t>
      </w:r>
    </w:p>
    <w:p w:rsidR="00776D0D" w:rsidRDefault="00776D0D" w:rsidP="00776D0D"/>
    <w:p w:rsidR="00776D0D" w:rsidRDefault="00776D0D" w:rsidP="00776D0D"/>
    <w:sectPr w:rsidR="00776D0D" w:rsidSect="00374FEE">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7004" w:rsidRDefault="00177004" w:rsidP="00776D0D">
      <w:pPr>
        <w:spacing w:after="0" w:line="240" w:lineRule="auto"/>
      </w:pPr>
      <w:r>
        <w:separator/>
      </w:r>
    </w:p>
  </w:endnote>
  <w:endnote w:type="continuationSeparator" w:id="0">
    <w:p w:rsidR="00177004" w:rsidRDefault="00177004" w:rsidP="00776D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7004" w:rsidRDefault="00177004" w:rsidP="00776D0D">
      <w:pPr>
        <w:spacing w:after="0" w:line="240" w:lineRule="auto"/>
      </w:pPr>
      <w:r>
        <w:separator/>
      </w:r>
    </w:p>
  </w:footnote>
  <w:footnote w:type="continuationSeparator" w:id="0">
    <w:p w:rsidR="00177004" w:rsidRDefault="00177004" w:rsidP="00776D0D">
      <w:pPr>
        <w:spacing w:after="0" w:line="240" w:lineRule="auto"/>
      </w:pPr>
      <w:r>
        <w:continuationSeparator/>
      </w:r>
    </w:p>
  </w:footnote>
  <w:footnote w:id="1">
    <w:p w:rsidR="00776D0D" w:rsidRPr="00767DE2" w:rsidRDefault="00776D0D" w:rsidP="00776D0D">
      <w:pPr>
        <w:pStyle w:val="FootnoteText"/>
      </w:pPr>
      <w:r>
        <w:rPr>
          <w:rStyle w:val="FootnoteReference"/>
        </w:rPr>
        <w:footnoteRef/>
      </w:r>
      <w:r>
        <w:t xml:space="preserve"> W. A. Stein, </w:t>
      </w:r>
      <w:r>
        <w:rPr>
          <w:i/>
        </w:rPr>
        <w:t>How To Read Medieval Art</w:t>
      </w:r>
      <w:r>
        <w:t xml:space="preserve"> (2016), p. 106</w:t>
      </w:r>
    </w:p>
  </w:footnote>
  <w:footnote w:id="2">
    <w:p w:rsidR="00776D0D" w:rsidRDefault="00776D0D" w:rsidP="00776D0D">
      <w:pPr>
        <w:pStyle w:val="FootnoteText"/>
      </w:pPr>
      <w:r>
        <w:rPr>
          <w:rStyle w:val="FootnoteReference"/>
        </w:rPr>
        <w:footnoteRef/>
      </w:r>
      <w:r>
        <w:t xml:space="preserve"> </w:t>
      </w:r>
      <w:r w:rsidR="00E337A5">
        <w:rPr>
          <w:i/>
        </w:rPr>
        <w:t>Ibid.</w:t>
      </w:r>
      <w:r>
        <w:t xml:space="preserve"> p. 109</w:t>
      </w:r>
    </w:p>
  </w:footnote>
  <w:footnote w:id="3">
    <w:p w:rsidR="00776D0D" w:rsidRDefault="00776D0D" w:rsidP="00776D0D">
      <w:pPr>
        <w:pStyle w:val="FootnoteText"/>
      </w:pPr>
      <w:r>
        <w:rPr>
          <w:rStyle w:val="FootnoteReference"/>
        </w:rPr>
        <w:footnoteRef/>
      </w:r>
      <w:r>
        <w:t xml:space="preserve"> M. B. Freeman, </w:t>
      </w:r>
      <w:r>
        <w:rPr>
          <w:i/>
        </w:rPr>
        <w:t>The Iconography of the Merode Altarpiece</w:t>
      </w:r>
      <w:r>
        <w:t xml:space="preserve"> (1976), p. 130</w:t>
      </w:r>
    </w:p>
  </w:footnote>
  <w:footnote w:id="4">
    <w:p w:rsidR="00776D0D" w:rsidRDefault="00776D0D" w:rsidP="00776D0D">
      <w:pPr>
        <w:pStyle w:val="FootnoteText"/>
      </w:pPr>
      <w:r>
        <w:rPr>
          <w:rStyle w:val="FootnoteReference"/>
        </w:rPr>
        <w:footnoteRef/>
      </w:r>
      <w:r>
        <w:t xml:space="preserve"> M. Schapiro, </w:t>
      </w:r>
      <w:r>
        <w:rPr>
          <w:i/>
        </w:rPr>
        <w:t xml:space="preserve">A Note of the Mérode </w:t>
      </w:r>
      <w:r w:rsidRPr="009104CA">
        <w:t>Altarpiece</w:t>
      </w:r>
      <w:r>
        <w:t xml:space="preserve"> (1959), </w:t>
      </w:r>
      <w:r w:rsidRPr="009104CA">
        <w:t>p</w:t>
      </w:r>
      <w:r>
        <w:t>. 328</w:t>
      </w:r>
    </w:p>
  </w:footnote>
  <w:footnote w:id="5">
    <w:p w:rsidR="00776D0D" w:rsidRDefault="00776D0D" w:rsidP="00776D0D">
      <w:pPr>
        <w:pStyle w:val="FootnoteText"/>
      </w:pPr>
      <w:r>
        <w:rPr>
          <w:rStyle w:val="FootnoteReference"/>
        </w:rPr>
        <w:footnoteRef/>
      </w:r>
      <w:r>
        <w:t xml:space="preserve"> W. A. Stein, </w:t>
      </w:r>
      <w:r>
        <w:rPr>
          <w:i/>
        </w:rPr>
        <w:t>How To Read Medieval Art</w:t>
      </w:r>
      <w:r>
        <w:t xml:space="preserve"> (2016), p. 109</w:t>
      </w:r>
    </w:p>
  </w:footnote>
  <w:footnote w:id="6">
    <w:p w:rsidR="00776D0D" w:rsidRDefault="00776D0D" w:rsidP="00776D0D">
      <w:pPr>
        <w:pStyle w:val="FootnoteText"/>
      </w:pPr>
      <w:r>
        <w:rPr>
          <w:rStyle w:val="FootnoteReference"/>
        </w:rPr>
        <w:footnoteRef/>
      </w:r>
      <w:r>
        <w:t xml:space="preserve"> </w:t>
      </w:r>
      <w:r w:rsidR="00A94FF5" w:rsidRPr="001866D1">
        <w:rPr>
          <w:i/>
        </w:rPr>
        <w:t>Ibid.</w:t>
      </w:r>
      <w:r w:rsidR="00A94FF5">
        <w:rPr>
          <w:i/>
        </w:rPr>
        <w:t xml:space="preserve"> </w:t>
      </w:r>
      <w:r>
        <w:t>p. 109</w:t>
      </w:r>
    </w:p>
  </w:footnote>
  <w:footnote w:id="7">
    <w:p w:rsidR="00776D0D" w:rsidRDefault="00776D0D" w:rsidP="00776D0D">
      <w:pPr>
        <w:pStyle w:val="FootnoteText"/>
      </w:pPr>
      <w:r>
        <w:rPr>
          <w:rStyle w:val="FootnoteReference"/>
        </w:rPr>
        <w:footnoteRef/>
      </w:r>
      <w:r>
        <w:t xml:space="preserve"> M. B. Freeman, </w:t>
      </w:r>
      <w:r>
        <w:rPr>
          <w:i/>
        </w:rPr>
        <w:t>The Iconography of the Merode Altarpiece</w:t>
      </w:r>
      <w:r>
        <w:t xml:space="preserve"> (1976), p. 131</w:t>
      </w:r>
    </w:p>
  </w:footnote>
  <w:footnote w:id="8">
    <w:p w:rsidR="00776D0D" w:rsidRPr="00510DB7" w:rsidRDefault="00776D0D" w:rsidP="00776D0D">
      <w:pPr>
        <w:pStyle w:val="FootnoteText"/>
      </w:pPr>
      <w:r>
        <w:rPr>
          <w:rStyle w:val="FootnoteReference"/>
        </w:rPr>
        <w:footnoteRef/>
      </w:r>
      <w:r>
        <w:t xml:space="preserve"> J. De Coo, </w:t>
      </w:r>
      <w:r w:rsidRPr="00510DB7">
        <w:rPr>
          <w:rFonts w:cs="Arial"/>
          <w:i/>
          <w:shd w:val="clear" w:color="auto" w:fill="FFFFFF"/>
        </w:rPr>
        <w:t>A Medieval Look at the Merode Annunciation</w:t>
      </w:r>
      <w:r>
        <w:rPr>
          <w:rFonts w:cs="Arial"/>
          <w:shd w:val="clear" w:color="auto" w:fill="FFFFFF"/>
        </w:rPr>
        <w:t xml:space="preserve"> (1981), p. 114</w:t>
      </w:r>
    </w:p>
  </w:footnote>
  <w:footnote w:id="9">
    <w:p w:rsidR="00776D0D" w:rsidRDefault="00776D0D" w:rsidP="00776D0D">
      <w:pPr>
        <w:pStyle w:val="FootnoteText"/>
      </w:pPr>
      <w:r>
        <w:rPr>
          <w:rStyle w:val="FootnoteReference"/>
        </w:rPr>
        <w:footnoteRef/>
      </w:r>
      <w:r>
        <w:t xml:space="preserve"> </w:t>
      </w:r>
      <w:r w:rsidR="001866D1" w:rsidRPr="001866D1">
        <w:rPr>
          <w:i/>
        </w:rPr>
        <w:t>Ibid.</w:t>
      </w:r>
      <w:r>
        <w:rPr>
          <w:rFonts w:cs="Arial"/>
          <w:shd w:val="clear" w:color="auto" w:fill="FFFFFF"/>
        </w:rPr>
        <w:t xml:space="preserve"> p. 115</w:t>
      </w:r>
    </w:p>
  </w:footnote>
  <w:footnote w:id="10">
    <w:p w:rsidR="00776D0D" w:rsidRDefault="00776D0D" w:rsidP="00776D0D">
      <w:pPr>
        <w:pStyle w:val="FootnoteText"/>
      </w:pPr>
      <w:r>
        <w:rPr>
          <w:rStyle w:val="FootnoteReference"/>
        </w:rPr>
        <w:footnoteRef/>
      </w:r>
      <w:r>
        <w:t xml:space="preserve"> </w:t>
      </w:r>
      <w:r w:rsidRPr="00E62933">
        <w:rPr>
          <w:i/>
        </w:rPr>
        <w:t>Ibid.</w:t>
      </w:r>
    </w:p>
  </w:footnote>
  <w:footnote w:id="11">
    <w:p w:rsidR="00776D0D" w:rsidRDefault="00776D0D" w:rsidP="00776D0D">
      <w:pPr>
        <w:pStyle w:val="FootnoteText"/>
      </w:pPr>
      <w:r>
        <w:rPr>
          <w:rStyle w:val="FootnoteReference"/>
        </w:rPr>
        <w:footnoteRef/>
      </w:r>
      <w:r>
        <w:t xml:space="preserve"> J. De Coo, </w:t>
      </w:r>
      <w:r w:rsidRPr="00510DB7">
        <w:rPr>
          <w:rFonts w:cs="Arial"/>
          <w:i/>
          <w:shd w:val="clear" w:color="auto" w:fill="FFFFFF"/>
        </w:rPr>
        <w:t>A Medieval Look at the Merode Annunciation</w:t>
      </w:r>
      <w:r>
        <w:rPr>
          <w:rFonts w:cs="Arial"/>
          <w:shd w:val="clear" w:color="auto" w:fill="FFFFFF"/>
        </w:rPr>
        <w:t xml:space="preserve"> (1981), pp. 116-117</w:t>
      </w:r>
    </w:p>
  </w:footnote>
  <w:footnote w:id="12">
    <w:p w:rsidR="00776D0D" w:rsidRDefault="00776D0D" w:rsidP="00776D0D">
      <w:pPr>
        <w:pStyle w:val="FootnoteText"/>
      </w:pPr>
      <w:r>
        <w:rPr>
          <w:rStyle w:val="FootnoteReference"/>
        </w:rPr>
        <w:footnoteRef/>
      </w:r>
      <w:r>
        <w:t xml:space="preserve"> </w:t>
      </w:r>
      <w:r w:rsidRPr="00E62933">
        <w:rPr>
          <w:i/>
        </w:rPr>
        <w:t>Ibid.</w:t>
      </w:r>
    </w:p>
  </w:footnote>
  <w:footnote w:id="13">
    <w:p w:rsidR="00776D0D" w:rsidRDefault="00776D0D" w:rsidP="00776D0D">
      <w:pPr>
        <w:pStyle w:val="FootnoteText"/>
      </w:pPr>
      <w:r>
        <w:rPr>
          <w:rStyle w:val="FootnoteReference"/>
        </w:rPr>
        <w:footnoteRef/>
      </w:r>
      <w:r>
        <w:t xml:space="preserve"> C. Hahn, </w:t>
      </w:r>
      <w:r w:rsidRPr="00C85951">
        <w:rPr>
          <w:rFonts w:cs="Arial"/>
          <w:i/>
          <w:shd w:val="clear" w:color="auto" w:fill="FFFFFF"/>
        </w:rPr>
        <w:t>‘Joseph Will Perfect, Mary Enlighten and Jesus Save Thee': The Holy Family as Marriage Model in the Mérode Triptych</w:t>
      </w:r>
      <w:r>
        <w:rPr>
          <w:rFonts w:cs="Arial"/>
          <w:shd w:val="clear" w:color="auto" w:fill="FFFFFF"/>
        </w:rPr>
        <w:t xml:space="preserve"> (1986), p. 62</w:t>
      </w:r>
    </w:p>
  </w:footnote>
  <w:footnote w:id="14">
    <w:p w:rsidR="00776D0D" w:rsidRDefault="00776D0D" w:rsidP="00776D0D">
      <w:pPr>
        <w:pStyle w:val="FootnoteText"/>
      </w:pPr>
      <w:r>
        <w:rPr>
          <w:rStyle w:val="FootnoteReference"/>
        </w:rPr>
        <w:footnoteRef/>
      </w:r>
      <w:r>
        <w:t xml:space="preserve"> The Tree of Jesse is often associated with a vine.</w:t>
      </w:r>
    </w:p>
  </w:footnote>
  <w:footnote w:id="15">
    <w:p w:rsidR="00776D0D" w:rsidRPr="007D50DA" w:rsidRDefault="00776D0D" w:rsidP="00776D0D">
      <w:pPr>
        <w:pStyle w:val="FootnoteText"/>
      </w:pPr>
      <w:r>
        <w:rPr>
          <w:rStyle w:val="FootnoteReference"/>
        </w:rPr>
        <w:footnoteRef/>
      </w:r>
      <w:r>
        <w:t xml:space="preserve"> A </w:t>
      </w:r>
      <w:r>
        <w:rPr>
          <w:i/>
        </w:rPr>
        <w:t>tallit</w:t>
      </w:r>
      <w:r>
        <w:t xml:space="preserve"> is a prayer shawl.</w:t>
      </w:r>
    </w:p>
  </w:footnote>
  <w:footnote w:id="16">
    <w:p w:rsidR="00776D0D" w:rsidRDefault="00776D0D" w:rsidP="00776D0D">
      <w:pPr>
        <w:pStyle w:val="FootnoteText"/>
      </w:pPr>
      <w:r>
        <w:rPr>
          <w:rStyle w:val="FootnoteReference"/>
        </w:rPr>
        <w:footnoteRef/>
      </w:r>
      <w:r>
        <w:t xml:space="preserve"> This shawl is often identified as a towel hanging in the room but with no obvious symbolism attached it is a little odd that such an object would exist in a room where almost every small detail is religiously symbolic. </w:t>
      </w:r>
      <w:r>
        <w:br/>
        <w:t xml:space="preserve">M. Schapiro, </w:t>
      </w:r>
      <w:r>
        <w:rPr>
          <w:i/>
        </w:rPr>
        <w:t xml:space="preserve">A Note of the Mérode </w:t>
      </w:r>
      <w:r w:rsidRPr="009104CA">
        <w:t>Altarpiece</w:t>
      </w:r>
      <w:r>
        <w:t xml:space="preserve"> (1959), </w:t>
      </w:r>
      <w:r w:rsidRPr="009104CA">
        <w:t>p</w:t>
      </w:r>
      <w:r>
        <w:t>. 328</w:t>
      </w:r>
    </w:p>
  </w:footnote>
  <w:footnote w:id="17">
    <w:p w:rsidR="00776D0D" w:rsidRDefault="00776D0D" w:rsidP="00776D0D">
      <w:pPr>
        <w:pStyle w:val="FootnoteText"/>
      </w:pPr>
      <w:r>
        <w:rPr>
          <w:rStyle w:val="FootnoteReference"/>
        </w:rPr>
        <w:footnoteRef/>
      </w:r>
      <w:r>
        <w:t xml:space="preserve"> Its close proximity to the basin hanging in the alcove gives weight to this interpretation, being suggestive of washing and purification rituals.</w:t>
      </w:r>
      <w:r>
        <w:br/>
        <w:t xml:space="preserve">C. Hahn, </w:t>
      </w:r>
      <w:r w:rsidRPr="00C85951">
        <w:rPr>
          <w:rFonts w:cs="Arial"/>
          <w:i/>
          <w:shd w:val="clear" w:color="auto" w:fill="FFFFFF"/>
        </w:rPr>
        <w:t>‘Joseph Will Perfect, Mary Enlighten and Jesus Save Thee': The Holy Family as Marriage Model in the Mérode Triptych</w:t>
      </w:r>
      <w:r>
        <w:rPr>
          <w:rFonts w:cs="Arial"/>
          <w:shd w:val="clear" w:color="auto" w:fill="FFFFFF"/>
        </w:rPr>
        <w:t xml:space="preserve"> (1986), p. 63</w:t>
      </w:r>
    </w:p>
  </w:footnote>
  <w:footnote w:id="18">
    <w:p w:rsidR="00776D0D" w:rsidRDefault="00776D0D" w:rsidP="00776D0D">
      <w:pPr>
        <w:pStyle w:val="FootnoteText"/>
      </w:pPr>
      <w:r>
        <w:rPr>
          <w:rStyle w:val="FootnoteReference"/>
        </w:rPr>
        <w:footnoteRef/>
      </w:r>
      <w:r>
        <w:t xml:space="preserve"> M. B. Freeman, </w:t>
      </w:r>
      <w:r>
        <w:rPr>
          <w:i/>
        </w:rPr>
        <w:t>The Iconography of the Merode Altarpiece</w:t>
      </w:r>
      <w:r>
        <w:t xml:space="preserve"> (1976), p. 134</w:t>
      </w:r>
    </w:p>
  </w:footnote>
  <w:footnote w:id="19">
    <w:p w:rsidR="00776D0D" w:rsidRDefault="00776D0D" w:rsidP="00776D0D">
      <w:pPr>
        <w:pStyle w:val="FootnoteText"/>
      </w:pPr>
      <w:r>
        <w:rPr>
          <w:rStyle w:val="FootnoteReference"/>
        </w:rPr>
        <w:footnoteRef/>
      </w:r>
      <w:r>
        <w:t xml:space="preserve"> </w:t>
      </w:r>
      <w:r w:rsidRPr="007C395D">
        <w:t>“A</w:t>
      </w:r>
      <w:r w:rsidRPr="007C395D">
        <w:rPr>
          <w:color w:val="000000"/>
          <w:shd w:val="clear" w:color="auto" w:fill="FFFFFF"/>
        </w:rPr>
        <w:t> bruised reed shall He not break, and the smoking flax shall He not quench; He shall bring forth judgment unto truth.</w:t>
      </w:r>
      <w:r>
        <w:t>”</w:t>
      </w:r>
      <w:r>
        <w:br/>
        <w:t>C. I. Minott,</w:t>
      </w:r>
      <w:r w:rsidRPr="007D3AC7">
        <w:rPr>
          <w:i/>
        </w:rPr>
        <w:t xml:space="preserve"> </w:t>
      </w:r>
      <w:r w:rsidRPr="007D3AC7">
        <w:rPr>
          <w:rFonts w:cs="Arial"/>
          <w:i/>
          <w:shd w:val="clear" w:color="auto" w:fill="FFFFFF"/>
        </w:rPr>
        <w:t>The Theme of the Mérode Altarpiece</w:t>
      </w:r>
      <w:r>
        <w:rPr>
          <w:rFonts w:cs="Arial"/>
          <w:shd w:val="clear" w:color="auto" w:fill="FFFFFF"/>
        </w:rPr>
        <w:t xml:space="preserve"> (1969), p. 270</w:t>
      </w:r>
    </w:p>
  </w:footnote>
  <w:footnote w:id="20">
    <w:p w:rsidR="00776D0D" w:rsidRDefault="00776D0D" w:rsidP="00776D0D">
      <w:pPr>
        <w:pStyle w:val="FootnoteText"/>
      </w:pPr>
      <w:r>
        <w:rPr>
          <w:rStyle w:val="FootnoteReference"/>
        </w:rPr>
        <w:footnoteRef/>
      </w:r>
      <w:r w:rsidRPr="00E62933">
        <w:t xml:space="preserve"> </w:t>
      </w:r>
      <w:r w:rsidRPr="00E62933">
        <w:rPr>
          <w:i/>
        </w:rPr>
        <w:t>Ibid.</w:t>
      </w:r>
    </w:p>
  </w:footnote>
  <w:footnote w:id="21">
    <w:p w:rsidR="00776D0D" w:rsidRDefault="00776D0D" w:rsidP="00776D0D">
      <w:pPr>
        <w:pStyle w:val="FootnoteText"/>
      </w:pPr>
      <w:r>
        <w:rPr>
          <w:rStyle w:val="FootnoteReference"/>
        </w:rPr>
        <w:footnoteRef/>
      </w:r>
      <w:r>
        <w:t xml:space="preserve"> C. I. Minott,</w:t>
      </w:r>
      <w:r w:rsidRPr="007D3AC7">
        <w:rPr>
          <w:i/>
        </w:rPr>
        <w:t xml:space="preserve"> </w:t>
      </w:r>
      <w:r w:rsidRPr="007D3AC7">
        <w:rPr>
          <w:rFonts w:cs="Arial"/>
          <w:i/>
          <w:shd w:val="clear" w:color="auto" w:fill="FFFFFF"/>
        </w:rPr>
        <w:t>The Theme of the Mérode Altarpiece</w:t>
      </w:r>
      <w:r>
        <w:rPr>
          <w:rFonts w:cs="Arial"/>
          <w:shd w:val="clear" w:color="auto" w:fill="FFFFFF"/>
        </w:rPr>
        <w:t xml:space="preserve"> (1969), p. 271</w:t>
      </w:r>
    </w:p>
  </w:footnote>
  <w:footnote w:id="22">
    <w:p w:rsidR="00776D0D" w:rsidRDefault="00776D0D" w:rsidP="00776D0D">
      <w:pPr>
        <w:pStyle w:val="FootnoteText"/>
      </w:pPr>
      <w:r>
        <w:rPr>
          <w:rStyle w:val="FootnoteReference"/>
        </w:rPr>
        <w:footnoteRef/>
      </w:r>
      <w:r>
        <w:t xml:space="preserve"> </w:t>
      </w:r>
      <w:r w:rsidR="008D133E" w:rsidRPr="001866D1">
        <w:rPr>
          <w:i/>
        </w:rPr>
        <w:t>Ibid.</w:t>
      </w:r>
      <w:r w:rsidR="007553A7">
        <w:rPr>
          <w:i/>
        </w:rPr>
        <w:t xml:space="preserve"> </w:t>
      </w:r>
      <w:r>
        <w:rPr>
          <w:rFonts w:cs="Arial"/>
          <w:shd w:val="clear" w:color="auto" w:fill="FFFFFF"/>
        </w:rPr>
        <w:t>p. 271</w:t>
      </w:r>
    </w:p>
  </w:footnote>
  <w:footnote w:id="23">
    <w:p w:rsidR="00776D0D" w:rsidRDefault="00776D0D" w:rsidP="00776D0D">
      <w:pPr>
        <w:pStyle w:val="FootnoteText"/>
      </w:pPr>
      <w:r>
        <w:rPr>
          <w:rStyle w:val="FootnoteReference"/>
        </w:rPr>
        <w:footnoteRef/>
      </w:r>
      <w:r>
        <w:t xml:space="preserve"> M. B. Freeman, </w:t>
      </w:r>
      <w:r>
        <w:rPr>
          <w:i/>
        </w:rPr>
        <w:t>The Iconography of the Merode Altarpiece</w:t>
      </w:r>
      <w:r>
        <w:t xml:space="preserve"> (1976), p. 136</w:t>
      </w:r>
    </w:p>
  </w:footnote>
  <w:footnote w:id="24">
    <w:p w:rsidR="00776D0D" w:rsidRDefault="00776D0D" w:rsidP="00776D0D">
      <w:pPr>
        <w:pStyle w:val="FootnoteText"/>
      </w:pPr>
      <w:r>
        <w:rPr>
          <w:rStyle w:val="FootnoteReference"/>
        </w:rPr>
        <w:footnoteRef/>
      </w:r>
      <w:r>
        <w:t xml:space="preserve"> </w:t>
      </w:r>
      <w:r w:rsidR="006229AF" w:rsidRPr="001866D1">
        <w:rPr>
          <w:i/>
        </w:rPr>
        <w:t>Ibid.</w:t>
      </w:r>
      <w:r w:rsidR="00637A9C">
        <w:rPr>
          <w:i/>
        </w:rPr>
        <w:t xml:space="preserve"> </w:t>
      </w:r>
      <w:r>
        <w:t>p. 135</w:t>
      </w:r>
    </w:p>
  </w:footnote>
  <w:footnote w:id="25">
    <w:p w:rsidR="00776D0D" w:rsidRDefault="00776D0D" w:rsidP="00776D0D">
      <w:pPr>
        <w:pStyle w:val="FootnoteText"/>
      </w:pPr>
      <w:r>
        <w:rPr>
          <w:rStyle w:val="FootnoteReference"/>
        </w:rPr>
        <w:footnoteRef/>
      </w:r>
      <w:r>
        <w:t xml:space="preserve"> </w:t>
      </w:r>
      <w:r w:rsidRPr="00F32F72">
        <w:t>“</w:t>
      </w:r>
      <w:r w:rsidRPr="00F32F72">
        <w:rPr>
          <w:color w:val="000000"/>
          <w:shd w:val="clear" w:color="auto" w:fill="FFFFFF"/>
        </w:rPr>
        <w:t>Then said the</w:t>
      </w:r>
      <w:r>
        <w:rPr>
          <w:color w:val="000000"/>
          <w:shd w:val="clear" w:color="auto" w:fill="FFFFFF"/>
        </w:rPr>
        <w:t xml:space="preserve"> Lord</w:t>
      </w:r>
      <w:r w:rsidRPr="00F32F72">
        <w:rPr>
          <w:color w:val="000000"/>
          <w:shd w:val="clear" w:color="auto" w:fill="FFFFFF"/>
        </w:rPr>
        <w:t> unto me, “This gate shall be shut. It shall not be opened and no man shall enter in by it, because the</w:t>
      </w:r>
      <w:r>
        <w:rPr>
          <w:color w:val="000000"/>
          <w:shd w:val="clear" w:color="auto" w:fill="FFFFFF"/>
        </w:rPr>
        <w:t xml:space="preserve"> Lord</w:t>
      </w:r>
      <w:r w:rsidRPr="00F32F72">
        <w:rPr>
          <w:color w:val="000000"/>
          <w:shd w:val="clear" w:color="auto" w:fill="FFFFFF"/>
        </w:rPr>
        <w:t>, the God of Israel, hath entered in by it; therefore it shall be shut</w:t>
      </w:r>
      <w:r w:rsidRPr="00F32F72">
        <w:t>.”</w:t>
      </w:r>
      <w:r>
        <w:br/>
      </w:r>
      <w:r w:rsidRPr="00317B44">
        <w:rPr>
          <w:i/>
        </w:rPr>
        <w:t>Ibid.</w:t>
      </w:r>
    </w:p>
  </w:footnote>
  <w:footnote w:id="26">
    <w:p w:rsidR="00776D0D" w:rsidRDefault="00776D0D" w:rsidP="00776D0D">
      <w:pPr>
        <w:pStyle w:val="FootnoteText"/>
      </w:pPr>
      <w:r>
        <w:rPr>
          <w:rStyle w:val="FootnoteReference"/>
        </w:rPr>
        <w:footnoteRef/>
      </w:r>
      <w:r>
        <w:t xml:space="preserve"> K. McCarthy, </w:t>
      </w:r>
      <w:r w:rsidRPr="008A3718">
        <w:rPr>
          <w:i/>
        </w:rPr>
        <w:t>Byrd</w:t>
      </w:r>
      <w:r>
        <w:t xml:space="preserve"> (2013), p. 178.</w:t>
      </w:r>
    </w:p>
  </w:footnote>
  <w:footnote w:id="27">
    <w:p w:rsidR="00776D0D" w:rsidRPr="00BE740A" w:rsidRDefault="00776D0D" w:rsidP="00776D0D">
      <w:pPr>
        <w:pStyle w:val="FootnoteText"/>
      </w:pPr>
      <w:r>
        <w:rPr>
          <w:rStyle w:val="FootnoteReference"/>
        </w:rPr>
        <w:footnoteRef/>
      </w:r>
      <w:r>
        <w:t xml:space="preserve"> P. Brett, </w:t>
      </w:r>
      <w:r>
        <w:rPr>
          <w:rFonts w:cs="Arial"/>
          <w:i/>
          <w:shd w:val="clear" w:color="auto" w:fill="FFFFFF"/>
        </w:rPr>
        <w:t>William Byrd: Gradualia: The Marian Masses</w:t>
      </w:r>
      <w:r>
        <w:rPr>
          <w:rFonts w:cs="Arial"/>
          <w:shd w:val="clear" w:color="auto" w:fill="FFFFFF"/>
        </w:rPr>
        <w:t xml:space="preserve"> [CD] (1990), </w:t>
      </w:r>
      <w:r w:rsidRPr="0016588C">
        <w:rPr>
          <w:rFonts w:cs="Arial"/>
          <w:shd w:val="clear" w:color="auto" w:fill="FFFFFF"/>
        </w:rPr>
        <w:t xml:space="preserve">pp. 2-6. </w:t>
      </w:r>
    </w:p>
  </w:footnote>
  <w:footnote w:id="28">
    <w:p w:rsidR="00776D0D" w:rsidRDefault="00776D0D" w:rsidP="00776D0D">
      <w:pPr>
        <w:pStyle w:val="FootnoteText"/>
      </w:pPr>
      <w:r>
        <w:rPr>
          <w:rStyle w:val="FootnoteReference"/>
        </w:rPr>
        <w:footnoteRef/>
      </w:r>
      <w:r>
        <w:t xml:space="preserve"> K. McCarthy, </w:t>
      </w:r>
      <w:r w:rsidRPr="008A3718">
        <w:rPr>
          <w:i/>
        </w:rPr>
        <w:t>Byrd</w:t>
      </w:r>
      <w:r>
        <w:t xml:space="preserve"> (2013), p. viii.</w:t>
      </w:r>
    </w:p>
  </w:footnote>
  <w:footnote w:id="29">
    <w:p w:rsidR="00776D0D" w:rsidRDefault="00776D0D" w:rsidP="00776D0D">
      <w:pPr>
        <w:pStyle w:val="FootnoteText"/>
      </w:pPr>
      <w:r>
        <w:rPr>
          <w:rStyle w:val="FootnoteReference"/>
        </w:rPr>
        <w:footnoteRef/>
      </w:r>
      <w:r>
        <w:t xml:space="preserve"> </w:t>
      </w:r>
      <w:r w:rsidR="00B37571" w:rsidRPr="001866D1">
        <w:rPr>
          <w:i/>
        </w:rPr>
        <w:t>Ibid.</w:t>
      </w:r>
      <w:r w:rsidR="00B37571">
        <w:rPr>
          <w:i/>
        </w:rPr>
        <w:t xml:space="preserve"> </w:t>
      </w:r>
      <w:r>
        <w:t>pp. 239-241.</w:t>
      </w:r>
    </w:p>
  </w:footnote>
  <w:footnote w:id="30">
    <w:p w:rsidR="00776D0D" w:rsidRDefault="00776D0D" w:rsidP="00776D0D">
      <w:pPr>
        <w:pStyle w:val="FootnoteText"/>
      </w:pPr>
      <w:r>
        <w:rPr>
          <w:rStyle w:val="FootnoteReference"/>
        </w:rPr>
        <w:footnoteRef/>
      </w:r>
      <w:r>
        <w:t xml:space="preserve"> </w:t>
      </w:r>
      <w:r w:rsidR="00B37571" w:rsidRPr="001866D1">
        <w:rPr>
          <w:i/>
        </w:rPr>
        <w:t>Ibid.</w:t>
      </w:r>
      <w:r>
        <w:t xml:space="preserve"> p. 179.</w:t>
      </w:r>
    </w:p>
  </w:footnote>
  <w:footnote w:id="31">
    <w:p w:rsidR="00776D0D" w:rsidRDefault="00776D0D" w:rsidP="00776D0D">
      <w:pPr>
        <w:pStyle w:val="FootnoteText"/>
      </w:pPr>
      <w:r>
        <w:rPr>
          <w:rStyle w:val="FootnoteReference"/>
        </w:rPr>
        <w:footnoteRef/>
      </w:r>
      <w:r>
        <w:t xml:space="preserve"> </w:t>
      </w:r>
      <w:r w:rsidR="00B37571" w:rsidRPr="001866D1">
        <w:rPr>
          <w:i/>
        </w:rPr>
        <w:t>Ibid.</w:t>
      </w:r>
      <w:r>
        <w:t xml:space="preserve"> p. 180.</w:t>
      </w:r>
    </w:p>
  </w:footnote>
  <w:footnote w:id="32">
    <w:p w:rsidR="00776D0D" w:rsidRDefault="00776D0D" w:rsidP="00776D0D">
      <w:pPr>
        <w:pStyle w:val="FootnoteText"/>
      </w:pPr>
      <w:r>
        <w:rPr>
          <w:rStyle w:val="FootnoteReference"/>
        </w:rPr>
        <w:footnoteRef/>
      </w:r>
      <w:r>
        <w:t xml:space="preserve"> </w:t>
      </w:r>
      <w:r>
        <w:rPr>
          <w:rFonts w:cs="Arial"/>
          <w:shd w:val="clear" w:color="auto" w:fill="FFFFFF"/>
        </w:rPr>
        <w:t xml:space="preserve">K, McCarthy, </w:t>
      </w:r>
      <w:r w:rsidRPr="00DE04D2">
        <w:rPr>
          <w:rFonts w:cs="Arial"/>
          <w:i/>
          <w:shd w:val="clear" w:color="auto" w:fill="FFFFFF"/>
        </w:rPr>
        <w:t>‘Notes as a Garland’: The Chronology and Narrative of Byrd’s ‘Gradualia’</w:t>
      </w:r>
      <w:r>
        <w:rPr>
          <w:rFonts w:cs="Arial"/>
          <w:shd w:val="clear" w:color="auto" w:fill="FFFFFF"/>
        </w:rPr>
        <w:t xml:space="preserve"> (2004), </w:t>
      </w:r>
      <w:r>
        <w:t>p. 81.</w:t>
      </w:r>
    </w:p>
  </w:footnote>
  <w:footnote w:id="33">
    <w:p w:rsidR="00776D0D" w:rsidRDefault="00776D0D" w:rsidP="00776D0D">
      <w:pPr>
        <w:pStyle w:val="FootnoteText"/>
      </w:pPr>
      <w:r>
        <w:rPr>
          <w:rStyle w:val="FootnoteReference"/>
        </w:rPr>
        <w:footnoteRef/>
      </w:r>
      <w:r>
        <w:t xml:space="preserve"> </w:t>
      </w:r>
      <w:r>
        <w:rPr>
          <w:rFonts w:cs="Arial"/>
          <w:shd w:val="clear" w:color="auto" w:fill="FFFFFF"/>
        </w:rPr>
        <w:t xml:space="preserve">K, McCarthy, </w:t>
      </w:r>
      <w:r w:rsidRPr="00DE04D2">
        <w:rPr>
          <w:rFonts w:cs="Arial"/>
          <w:i/>
          <w:shd w:val="clear" w:color="auto" w:fill="FFFFFF"/>
        </w:rPr>
        <w:t>‘Notes as a Garland’: The Chronology and Narrative of Byrd’s ‘Gradualia’</w:t>
      </w:r>
      <w:r>
        <w:rPr>
          <w:rFonts w:cs="Arial"/>
          <w:shd w:val="clear" w:color="auto" w:fill="FFFFFF"/>
        </w:rPr>
        <w:t xml:space="preserve"> (2004), </w:t>
      </w:r>
      <w:r>
        <w:t>p. 81.</w:t>
      </w:r>
    </w:p>
  </w:footnote>
  <w:footnote w:id="34">
    <w:p w:rsidR="00776D0D" w:rsidRPr="003270C1" w:rsidRDefault="00776D0D" w:rsidP="00776D0D">
      <w:pPr>
        <w:pStyle w:val="FootnoteText"/>
      </w:pPr>
      <w:r>
        <w:rPr>
          <w:rStyle w:val="FootnoteReference"/>
        </w:rPr>
        <w:footnoteRef/>
      </w:r>
      <w:r>
        <w:t xml:space="preserve"> K. McCarthy, </w:t>
      </w:r>
      <w:r>
        <w:rPr>
          <w:i/>
        </w:rPr>
        <w:t>Liturgy and Contemplation in Byrd’s Gradualia</w:t>
      </w:r>
      <w:r>
        <w:t xml:space="preserve"> (2007), p. 12. The term “Office” in this context means mass. </w:t>
      </w:r>
    </w:p>
  </w:footnote>
  <w:footnote w:id="35">
    <w:p w:rsidR="00776D0D" w:rsidRDefault="00776D0D" w:rsidP="00776D0D">
      <w:pPr>
        <w:pStyle w:val="FootnoteText"/>
      </w:pPr>
      <w:r>
        <w:rPr>
          <w:rStyle w:val="FootnoteReference"/>
        </w:rPr>
        <w:footnoteRef/>
      </w:r>
      <w:r>
        <w:t xml:space="preserve"> K. McCarthy, </w:t>
      </w:r>
      <w:r w:rsidRPr="008A3718">
        <w:rPr>
          <w:i/>
        </w:rPr>
        <w:t>Byrd</w:t>
      </w:r>
      <w:r>
        <w:t xml:space="preserve"> (2013), p. 179.</w:t>
      </w:r>
    </w:p>
  </w:footnote>
  <w:footnote w:id="36">
    <w:p w:rsidR="00776D0D" w:rsidRDefault="00776D0D" w:rsidP="00776D0D">
      <w:pPr>
        <w:pStyle w:val="FootnoteText"/>
      </w:pPr>
      <w:r>
        <w:rPr>
          <w:rStyle w:val="FootnoteReference"/>
        </w:rPr>
        <w:footnoteRef/>
      </w:r>
      <w:r>
        <w:t xml:space="preserve"> </w:t>
      </w:r>
      <w:r w:rsidR="00383134" w:rsidRPr="001866D1">
        <w:rPr>
          <w:i/>
        </w:rPr>
        <w:t>Ibid.</w:t>
      </w:r>
      <w:r>
        <w:t xml:space="preserve"> p. 182.</w:t>
      </w:r>
    </w:p>
  </w:footnote>
  <w:footnote w:id="37">
    <w:p w:rsidR="00776D0D" w:rsidRPr="004C6543" w:rsidRDefault="00776D0D" w:rsidP="00776D0D">
      <w:pPr>
        <w:pStyle w:val="FootnoteText"/>
        <w:rPr>
          <w:i/>
        </w:rPr>
      </w:pPr>
      <w:r>
        <w:rPr>
          <w:rStyle w:val="FootnoteReference"/>
        </w:rPr>
        <w:footnoteRef/>
      </w:r>
      <w:r>
        <w:t xml:space="preserve"> J. L. Jackman, </w:t>
      </w:r>
      <w:r w:rsidRPr="0010085C">
        <w:rPr>
          <w:rFonts w:cs="Arial"/>
          <w:i/>
          <w:shd w:val="clear" w:color="auto" w:fill="FFFFFF"/>
        </w:rPr>
        <w:t>Liturgical Aspects of Byrd’s</w:t>
      </w:r>
      <w:r>
        <w:rPr>
          <w:rFonts w:cs="Arial"/>
          <w:shd w:val="clear" w:color="auto" w:fill="FFFFFF"/>
        </w:rPr>
        <w:t xml:space="preserve"> “</w:t>
      </w:r>
      <w:r>
        <w:rPr>
          <w:rFonts w:cs="Arial"/>
          <w:i/>
          <w:shd w:val="clear" w:color="auto" w:fill="FFFFFF"/>
        </w:rPr>
        <w:t xml:space="preserve">Gradualia” </w:t>
      </w:r>
      <w:r>
        <w:rPr>
          <w:rFonts w:cs="Arial"/>
          <w:shd w:val="clear" w:color="auto" w:fill="FFFFFF"/>
        </w:rPr>
        <w:t>(1963), p. 17.</w:t>
      </w:r>
    </w:p>
  </w:footnote>
  <w:footnote w:id="38">
    <w:p w:rsidR="00776D0D" w:rsidRDefault="00776D0D" w:rsidP="00776D0D">
      <w:pPr>
        <w:pStyle w:val="FootnoteText"/>
      </w:pPr>
      <w:r>
        <w:rPr>
          <w:rStyle w:val="FootnoteReference"/>
        </w:rPr>
        <w:footnoteRef/>
      </w:r>
      <w:r>
        <w:t xml:space="preserve"> K. McCarthy, </w:t>
      </w:r>
      <w:r>
        <w:rPr>
          <w:i/>
        </w:rPr>
        <w:t>Liturgy and Contemplation in Byrd’s Gradualia</w:t>
      </w:r>
      <w:r>
        <w:t xml:space="preserve"> (2007), p. 12.</w:t>
      </w:r>
    </w:p>
  </w:footnote>
  <w:footnote w:id="39">
    <w:p w:rsidR="00776D0D" w:rsidRDefault="00776D0D" w:rsidP="00776D0D">
      <w:pPr>
        <w:pStyle w:val="FootnoteText"/>
      </w:pPr>
      <w:r>
        <w:rPr>
          <w:rStyle w:val="FootnoteReference"/>
        </w:rPr>
        <w:footnoteRef/>
      </w:r>
      <w:r>
        <w:t xml:space="preserve"> K. McCarthy, </w:t>
      </w:r>
      <w:r w:rsidRPr="008A3718">
        <w:rPr>
          <w:i/>
        </w:rPr>
        <w:t>Byrd</w:t>
      </w:r>
      <w:r>
        <w:t xml:space="preserve"> (2013), pp. 181-182. </w:t>
      </w:r>
    </w:p>
  </w:footnote>
  <w:footnote w:id="40">
    <w:p w:rsidR="00776D0D" w:rsidRDefault="00776D0D" w:rsidP="00776D0D">
      <w:pPr>
        <w:pStyle w:val="FootnoteText"/>
      </w:pPr>
      <w:r>
        <w:rPr>
          <w:rStyle w:val="FootnoteReference"/>
        </w:rPr>
        <w:footnoteRef/>
      </w:r>
      <w:r>
        <w:t xml:space="preserve"> </w:t>
      </w:r>
      <w:r w:rsidR="003A1DB4" w:rsidRPr="001866D1">
        <w:rPr>
          <w:i/>
        </w:rPr>
        <w:t>Ibid.</w:t>
      </w:r>
      <w:r>
        <w:t xml:space="preserve"> p. </w:t>
      </w:r>
      <w:r w:rsidRPr="00454009">
        <w:t>12.</w:t>
      </w:r>
    </w:p>
  </w:footnote>
  <w:footnote w:id="41">
    <w:p w:rsidR="00776D0D" w:rsidRDefault="00776D0D" w:rsidP="00776D0D">
      <w:pPr>
        <w:pStyle w:val="FootnoteText"/>
      </w:pPr>
      <w:r>
        <w:rPr>
          <w:rStyle w:val="FootnoteReference"/>
        </w:rPr>
        <w:footnoteRef/>
      </w:r>
      <w:r>
        <w:t xml:space="preserve"> </w:t>
      </w:r>
      <w:r>
        <w:rPr>
          <w:rFonts w:cs="Arial"/>
          <w:shd w:val="clear" w:color="auto" w:fill="FFFFFF"/>
        </w:rPr>
        <w:t xml:space="preserve">K. McCarthy, </w:t>
      </w:r>
      <w:r w:rsidRPr="00DE04D2">
        <w:rPr>
          <w:rFonts w:cs="Arial"/>
          <w:i/>
          <w:shd w:val="clear" w:color="auto" w:fill="FFFFFF"/>
        </w:rPr>
        <w:t>‘Notes as a Garland’: The Chronology and Narrative of Byrd’s ‘Gradualia’</w:t>
      </w:r>
      <w:r>
        <w:rPr>
          <w:rFonts w:cs="Arial"/>
          <w:shd w:val="clear" w:color="auto" w:fill="FFFFFF"/>
        </w:rPr>
        <w:t xml:space="preserve"> (2004), </w:t>
      </w:r>
      <w:r>
        <w:t xml:space="preserve">p. 78. </w:t>
      </w:r>
    </w:p>
  </w:footnote>
  <w:footnote w:id="42">
    <w:p w:rsidR="00776D0D" w:rsidRDefault="00776D0D" w:rsidP="00776D0D">
      <w:pPr>
        <w:pStyle w:val="FootnoteText"/>
      </w:pPr>
      <w:r>
        <w:rPr>
          <w:rStyle w:val="FootnoteReference"/>
        </w:rPr>
        <w:footnoteRef/>
      </w:r>
      <w:r>
        <w:t xml:space="preserve"> K. McCarthy, </w:t>
      </w:r>
      <w:r w:rsidRPr="008A3718">
        <w:rPr>
          <w:i/>
        </w:rPr>
        <w:t>Byrd</w:t>
      </w:r>
      <w:r>
        <w:t xml:space="preserve"> (2013), p. 224.</w:t>
      </w:r>
    </w:p>
  </w:footnote>
  <w:footnote w:id="43">
    <w:p w:rsidR="00776D0D" w:rsidRPr="00495F33" w:rsidRDefault="00776D0D" w:rsidP="00776D0D">
      <w:pPr>
        <w:pStyle w:val="FootnoteText"/>
      </w:pPr>
      <w:r>
        <w:rPr>
          <w:rStyle w:val="FootnoteReference"/>
        </w:rPr>
        <w:footnoteRef/>
      </w:r>
      <w:r>
        <w:t xml:space="preserve"> E. de Visscher in S. J. Boss, </w:t>
      </w:r>
      <w:r>
        <w:rPr>
          <w:i/>
        </w:rPr>
        <w:t>Mary: The Complete Resource</w:t>
      </w:r>
      <w:r>
        <w:t xml:space="preserve"> (2007), p. 199. </w:t>
      </w:r>
    </w:p>
  </w:footnote>
  <w:footnote w:id="44">
    <w:p w:rsidR="00776D0D" w:rsidRDefault="00776D0D" w:rsidP="00776D0D">
      <w:pPr>
        <w:pStyle w:val="FootnoteText"/>
      </w:pPr>
      <w:r>
        <w:rPr>
          <w:rStyle w:val="FootnoteReference"/>
        </w:rPr>
        <w:footnoteRef/>
      </w:r>
      <w:r>
        <w:t xml:space="preserve"> S. J. Boss</w:t>
      </w:r>
      <w:r w:rsidRPr="00922B8E">
        <w:t xml:space="preserve"> </w:t>
      </w:r>
      <w:r>
        <w:t xml:space="preserve">in S. J. Boss, </w:t>
      </w:r>
      <w:r>
        <w:rPr>
          <w:i/>
        </w:rPr>
        <w:t>Mary: The Complete Resource</w:t>
      </w:r>
      <w:r>
        <w:t xml:space="preserve"> (2007), p. 158-159. </w:t>
      </w:r>
    </w:p>
  </w:footnote>
  <w:footnote w:id="45">
    <w:p w:rsidR="00776D0D" w:rsidRPr="00E102BA" w:rsidRDefault="00776D0D" w:rsidP="00776D0D">
      <w:pPr>
        <w:pStyle w:val="FootnoteText"/>
      </w:pPr>
      <w:r>
        <w:rPr>
          <w:rStyle w:val="FootnoteReference"/>
        </w:rPr>
        <w:footnoteRef/>
      </w:r>
      <w:r>
        <w:t xml:space="preserve"> S. J. Boss</w:t>
      </w:r>
      <w:r w:rsidRPr="00E2474C">
        <w:t xml:space="preserve"> </w:t>
      </w:r>
      <w:r>
        <w:t xml:space="preserve">in S. J. Boss, </w:t>
      </w:r>
      <w:r>
        <w:rPr>
          <w:i/>
        </w:rPr>
        <w:t>Mary: The Complete Resource</w:t>
      </w:r>
      <w:r>
        <w:t xml:space="preserve"> (2007), p. 1. </w:t>
      </w:r>
    </w:p>
  </w:footnote>
  <w:footnote w:id="46">
    <w:p w:rsidR="00776D0D" w:rsidRPr="00003AA8" w:rsidRDefault="00776D0D" w:rsidP="00776D0D">
      <w:pPr>
        <w:pStyle w:val="FootnoteText"/>
      </w:pPr>
      <w:r>
        <w:rPr>
          <w:rStyle w:val="FootnoteReference"/>
        </w:rPr>
        <w:footnoteRef/>
      </w:r>
      <w:r>
        <w:t xml:space="preserve"> C. Maunder</w:t>
      </w:r>
      <w:r w:rsidRPr="00437B66">
        <w:t xml:space="preserve"> </w:t>
      </w:r>
      <w:r>
        <w:t xml:space="preserve">in S. J. Boss, </w:t>
      </w:r>
      <w:r>
        <w:rPr>
          <w:i/>
        </w:rPr>
        <w:t>Mary: The Complete Resource</w:t>
      </w:r>
      <w:r>
        <w:t xml:space="preserve"> (2007), p. 44.</w:t>
      </w:r>
    </w:p>
  </w:footnote>
  <w:footnote w:id="47">
    <w:p w:rsidR="00776D0D" w:rsidRPr="006A1BE7" w:rsidRDefault="00776D0D" w:rsidP="00776D0D">
      <w:pPr>
        <w:pStyle w:val="FootnoteText"/>
      </w:pPr>
      <w:r>
        <w:rPr>
          <w:rStyle w:val="FootnoteReference"/>
        </w:rPr>
        <w:footnoteRef/>
      </w:r>
      <w:r>
        <w:t xml:space="preserve"> G. Parlby</w:t>
      </w:r>
      <w:r w:rsidRPr="00437B66">
        <w:t xml:space="preserve"> </w:t>
      </w:r>
      <w:r>
        <w:t xml:space="preserve">in S. J. Boss, </w:t>
      </w:r>
      <w:r>
        <w:rPr>
          <w:i/>
        </w:rPr>
        <w:t>Mary: The Complete Resource</w:t>
      </w:r>
      <w:r>
        <w:t xml:space="preserve"> (2007), pp. 122-123. </w:t>
      </w:r>
    </w:p>
  </w:footnote>
  <w:footnote w:id="48">
    <w:p w:rsidR="00776D0D" w:rsidRPr="00DE6DF5" w:rsidRDefault="00776D0D" w:rsidP="00776D0D">
      <w:pPr>
        <w:pStyle w:val="FootnoteText"/>
      </w:pPr>
      <w:r>
        <w:rPr>
          <w:rStyle w:val="FootnoteReference"/>
        </w:rPr>
        <w:footnoteRef/>
      </w:r>
      <w:r>
        <w:t xml:space="preserve"> G. Parlby in S. J. Boss, </w:t>
      </w:r>
      <w:r>
        <w:rPr>
          <w:i/>
        </w:rPr>
        <w:t>Mary: The Complete Resource</w:t>
      </w:r>
      <w:r>
        <w:t xml:space="preserve"> (2007), </w:t>
      </w:r>
      <w:r w:rsidRPr="00DE6DF5">
        <w:t>p. 122.</w:t>
      </w:r>
    </w:p>
  </w:footnote>
  <w:footnote w:id="49">
    <w:p w:rsidR="00776D0D" w:rsidRPr="00AF3906" w:rsidRDefault="00776D0D" w:rsidP="00776D0D">
      <w:pPr>
        <w:pStyle w:val="FootnoteText"/>
      </w:pPr>
      <w:r w:rsidRPr="00DE6DF5">
        <w:rPr>
          <w:rStyle w:val="FootnoteReference"/>
        </w:rPr>
        <w:footnoteRef/>
      </w:r>
      <w:r w:rsidRPr="00DE6DF5">
        <w:t xml:space="preserve"> E. Male,</w:t>
      </w:r>
      <w:r w:rsidRPr="00DE6DF5">
        <w:rPr>
          <w:lang w:val="fr-FR"/>
        </w:rPr>
        <w:t xml:space="preserve"> L’Art</w:t>
      </w:r>
      <w:r w:rsidRPr="00DE6DF5">
        <w:t xml:space="preserve"> </w:t>
      </w:r>
      <w:r w:rsidRPr="00DE6DF5">
        <w:rPr>
          <w:i/>
        </w:rPr>
        <w:t>Religieux du</w:t>
      </w:r>
      <w:r w:rsidRPr="00DE6DF5">
        <w:rPr>
          <w:i/>
          <w:lang w:val="fr-FR"/>
        </w:rPr>
        <w:t xml:space="preserve"> XIIIe</w:t>
      </w:r>
      <w:r w:rsidRPr="00DE6DF5">
        <w:rPr>
          <w:i/>
        </w:rPr>
        <w:t xml:space="preserve"> Siècle en France</w:t>
      </w:r>
      <w:r w:rsidRPr="00DE6DF5">
        <w:t xml:space="preserve"> (1948</w:t>
      </w:r>
      <w:r>
        <w:t xml:space="preserve">), p. 11. </w:t>
      </w:r>
    </w:p>
  </w:footnote>
  <w:footnote w:id="50">
    <w:p w:rsidR="00776D0D" w:rsidRDefault="00776D0D" w:rsidP="00776D0D">
      <w:pPr>
        <w:pStyle w:val="FootnoteText"/>
      </w:pPr>
      <w:r>
        <w:rPr>
          <w:rStyle w:val="FootnoteReference"/>
        </w:rPr>
        <w:footnoteRef/>
      </w:r>
      <w:r>
        <w:t xml:space="preserve"> </w:t>
      </w:r>
      <w:r w:rsidR="0051732B" w:rsidRPr="001866D1">
        <w:rPr>
          <w:i/>
        </w:rPr>
        <w:t>Ibid.</w:t>
      </w:r>
      <w:r w:rsidR="0051732B">
        <w:rPr>
          <w:i/>
        </w:rPr>
        <w:t xml:space="preserve"> </w:t>
      </w:r>
      <w:r>
        <w:t xml:space="preserve">p. 30. </w:t>
      </w:r>
    </w:p>
  </w:footnote>
  <w:footnote w:id="51">
    <w:p w:rsidR="00776D0D" w:rsidRPr="00AF3906" w:rsidRDefault="00776D0D" w:rsidP="00776D0D">
      <w:pPr>
        <w:pStyle w:val="FootnoteText"/>
      </w:pPr>
      <w:r>
        <w:rPr>
          <w:rStyle w:val="FootnoteReference"/>
        </w:rPr>
        <w:footnoteRef/>
      </w:r>
      <w:r>
        <w:t xml:space="preserve"> </w:t>
      </w:r>
      <w:r w:rsidR="00A07CF8" w:rsidRPr="001866D1">
        <w:rPr>
          <w:i/>
        </w:rPr>
        <w:t>Ibid.</w:t>
      </w:r>
      <w:r w:rsidR="00A07CF8">
        <w:rPr>
          <w:i/>
        </w:rPr>
        <w:t xml:space="preserve"> </w:t>
      </w:r>
      <w:r>
        <w:t xml:space="preserve">p. 11. </w:t>
      </w:r>
    </w:p>
  </w:footnote>
  <w:footnote w:id="52">
    <w:p w:rsidR="00776D0D" w:rsidRDefault="00776D0D" w:rsidP="00776D0D">
      <w:pPr>
        <w:pStyle w:val="FootnoteText"/>
      </w:pPr>
      <w:r>
        <w:rPr>
          <w:rStyle w:val="FootnoteReference"/>
        </w:rPr>
        <w:footnoteRef/>
      </w:r>
      <w:r>
        <w:t xml:space="preserve"> C. Maunder in S. J. Boss, </w:t>
      </w:r>
      <w:r>
        <w:rPr>
          <w:i/>
        </w:rPr>
        <w:t>Mary: The Complete Resource</w:t>
      </w:r>
      <w:r>
        <w:t xml:space="preserve"> (2007), p.12. </w:t>
      </w:r>
    </w:p>
  </w:footnote>
  <w:footnote w:id="53">
    <w:p w:rsidR="00776D0D" w:rsidRDefault="00776D0D" w:rsidP="00776D0D">
      <w:pPr>
        <w:pStyle w:val="FootnoteText"/>
      </w:pPr>
      <w:r>
        <w:rPr>
          <w:rStyle w:val="FootnoteReference"/>
        </w:rPr>
        <w:footnoteRef/>
      </w:r>
      <w:r>
        <w:t xml:space="preserve"> E. Male,</w:t>
      </w:r>
      <w:r w:rsidRPr="00280E13">
        <w:rPr>
          <w:lang w:val="fr-FR"/>
        </w:rPr>
        <w:t xml:space="preserve"> L’Art</w:t>
      </w:r>
      <w:r>
        <w:t xml:space="preserve"> </w:t>
      </w:r>
      <w:r>
        <w:rPr>
          <w:i/>
        </w:rPr>
        <w:t>Religieux du</w:t>
      </w:r>
      <w:r w:rsidRPr="00280E13">
        <w:rPr>
          <w:i/>
          <w:lang w:val="fr-FR"/>
        </w:rPr>
        <w:t xml:space="preserve"> XIIIe</w:t>
      </w:r>
      <w:r>
        <w:rPr>
          <w:i/>
        </w:rPr>
        <w:t xml:space="preserve"> Siècle en France</w:t>
      </w:r>
      <w:r>
        <w:t xml:space="preserve"> (1948), p. 11. </w:t>
      </w:r>
    </w:p>
  </w:footnote>
  <w:footnote w:id="54">
    <w:p w:rsidR="00776D0D" w:rsidRDefault="00776D0D" w:rsidP="00776D0D">
      <w:pPr>
        <w:pStyle w:val="FootnoteText"/>
      </w:pPr>
      <w:r>
        <w:rPr>
          <w:rStyle w:val="FootnoteReference"/>
        </w:rPr>
        <w:footnoteRef/>
      </w:r>
      <w:r>
        <w:t xml:space="preserve"> </w:t>
      </w:r>
      <w:r w:rsidR="00C23991" w:rsidRPr="001866D1">
        <w:rPr>
          <w:i/>
        </w:rPr>
        <w:t>Ibid.</w:t>
      </w:r>
      <w:r w:rsidR="00F96A39">
        <w:rPr>
          <w:i/>
        </w:rPr>
        <w:t xml:space="preserve"> </w:t>
      </w:r>
      <w:r>
        <w:t xml:space="preserve">p. 11. </w:t>
      </w:r>
    </w:p>
  </w:footnote>
  <w:footnote w:id="55">
    <w:p w:rsidR="00776D0D" w:rsidRPr="003D2472" w:rsidRDefault="00776D0D" w:rsidP="00776D0D">
      <w:pPr>
        <w:pStyle w:val="FootnoteText"/>
      </w:pPr>
      <w:r>
        <w:rPr>
          <w:rStyle w:val="FootnoteReference"/>
        </w:rPr>
        <w:footnoteRef/>
      </w:r>
      <w:r>
        <w:t xml:space="preserve"> S. J. Boss in S. J. Boss, </w:t>
      </w:r>
      <w:r>
        <w:rPr>
          <w:i/>
        </w:rPr>
        <w:t>Mary: The Complete Resource</w:t>
      </w:r>
      <w:r>
        <w:t xml:space="preserve"> (2007), p. 164. </w:t>
      </w:r>
    </w:p>
  </w:footnote>
  <w:footnote w:id="56">
    <w:p w:rsidR="00776D0D" w:rsidRDefault="00776D0D" w:rsidP="00776D0D">
      <w:pPr>
        <w:pStyle w:val="FootnoteText"/>
      </w:pPr>
      <w:r>
        <w:rPr>
          <w:rStyle w:val="FootnoteReference"/>
        </w:rPr>
        <w:footnoteRef/>
      </w:r>
      <w:r>
        <w:t xml:space="preserve"> </w:t>
      </w:r>
      <w:r w:rsidR="00111E5A" w:rsidRPr="001866D1">
        <w:rPr>
          <w:i/>
        </w:rPr>
        <w:t>Ibid.</w:t>
      </w:r>
      <w:r w:rsidR="00111E5A">
        <w:rPr>
          <w:i/>
        </w:rPr>
        <w:t xml:space="preserve"> </w:t>
      </w:r>
      <w:r>
        <w:t xml:space="preserve">p. 161. </w:t>
      </w:r>
    </w:p>
  </w:footnote>
  <w:footnote w:id="57">
    <w:p w:rsidR="00776D0D" w:rsidRDefault="00776D0D" w:rsidP="00776D0D">
      <w:pPr>
        <w:pStyle w:val="FootnoteText"/>
      </w:pPr>
      <w:r>
        <w:rPr>
          <w:rStyle w:val="FootnoteReference"/>
        </w:rPr>
        <w:footnoteRef/>
      </w:r>
      <w:r>
        <w:t xml:space="preserve"> </w:t>
      </w:r>
      <w:r w:rsidR="00111E5A" w:rsidRPr="001866D1">
        <w:rPr>
          <w:i/>
        </w:rPr>
        <w:t>Ibid.</w:t>
      </w:r>
      <w:r w:rsidR="00111E5A">
        <w:rPr>
          <w:i/>
        </w:rPr>
        <w:t xml:space="preserve"> </w:t>
      </w:r>
      <w:r>
        <w:t xml:space="preserve">p. 167. </w:t>
      </w:r>
    </w:p>
  </w:footnote>
  <w:footnote w:id="58">
    <w:p w:rsidR="00776D0D" w:rsidRDefault="00776D0D" w:rsidP="00776D0D">
      <w:pPr>
        <w:pStyle w:val="FootnoteText"/>
      </w:pPr>
      <w:r>
        <w:rPr>
          <w:rStyle w:val="FootnoteReference"/>
        </w:rPr>
        <w:footnoteRef/>
      </w:r>
      <w:r>
        <w:t xml:space="preserve"> </w:t>
      </w:r>
      <w:r w:rsidR="00111E5A" w:rsidRPr="001866D1">
        <w:rPr>
          <w:i/>
        </w:rPr>
        <w:t>Ibid.</w:t>
      </w:r>
      <w:r w:rsidR="00296CD0">
        <w:rPr>
          <w:i/>
        </w:rPr>
        <w:t xml:space="preserve"> </w:t>
      </w:r>
      <w:r>
        <w:t>p. 169.</w:t>
      </w:r>
    </w:p>
  </w:footnote>
  <w:footnote w:id="59">
    <w:p w:rsidR="00776D0D" w:rsidRPr="00A60252" w:rsidRDefault="00776D0D" w:rsidP="00776D0D">
      <w:pPr>
        <w:pStyle w:val="FootnoteText"/>
      </w:pPr>
      <w:r>
        <w:rPr>
          <w:rStyle w:val="FootnoteReference"/>
        </w:rPr>
        <w:footnoteRef/>
      </w:r>
      <w:r>
        <w:t xml:space="preserve"> S. J. Boss, </w:t>
      </w:r>
      <w:r>
        <w:rPr>
          <w:i/>
        </w:rPr>
        <w:t>Mary</w:t>
      </w:r>
      <w:r>
        <w:t xml:space="preserve"> (2003), pp. 1-2. </w:t>
      </w:r>
    </w:p>
  </w:footnote>
  <w:footnote w:id="60">
    <w:p w:rsidR="00776D0D" w:rsidRDefault="00776D0D" w:rsidP="00776D0D">
      <w:pPr>
        <w:pStyle w:val="FootnoteText"/>
      </w:pPr>
      <w:r>
        <w:rPr>
          <w:rStyle w:val="FootnoteReference"/>
        </w:rPr>
        <w:footnoteRef/>
      </w:r>
      <w:r>
        <w:t xml:space="preserve"> The Virgin Mary in Britain: Theology, Art and Myth, S. J. Boss, </w:t>
      </w:r>
      <w:r>
        <w:rPr>
          <w:i/>
        </w:rPr>
        <w:t xml:space="preserve">From Glastonbury to Walsingham: Medieval Marian Devotion </w:t>
      </w:r>
      <w:r>
        <w:t>(University of Oxford Department for Continuing Education, 11 February 2017) (Oxford: Rewley House, 2017).</w:t>
      </w:r>
    </w:p>
  </w:footnote>
  <w:footnote w:id="61">
    <w:p w:rsidR="00776D0D" w:rsidRPr="00A45769" w:rsidRDefault="00776D0D" w:rsidP="00776D0D">
      <w:pPr>
        <w:pStyle w:val="FootnoteText"/>
      </w:pPr>
      <w:r>
        <w:rPr>
          <w:rStyle w:val="FootnoteReference"/>
        </w:rPr>
        <w:footnoteRef/>
      </w:r>
      <w:r>
        <w:t xml:space="preserve"> The Virgin Mary in Britain: Theology, Art and Myth, S. J. Boss, </w:t>
      </w:r>
      <w:r>
        <w:rPr>
          <w:i/>
        </w:rPr>
        <w:t xml:space="preserve">From Glastonbury to Walsingham: Medieval Marian Devotion </w:t>
      </w:r>
      <w:r>
        <w:t xml:space="preserve">(University of Oxford Department for Continuing Education, 11 February 2017) (Oxford: Rewley House, 2017). </w:t>
      </w:r>
    </w:p>
  </w:footnote>
  <w:footnote w:id="62">
    <w:p w:rsidR="00776D0D" w:rsidRPr="001F7F81" w:rsidRDefault="00776D0D" w:rsidP="00776D0D">
      <w:pPr>
        <w:pStyle w:val="FootnoteText"/>
      </w:pPr>
      <w:r>
        <w:rPr>
          <w:rStyle w:val="FootnoteReference"/>
        </w:rPr>
        <w:footnoteRef/>
      </w:r>
      <w:r>
        <w:t xml:space="preserve"> J. Harthan, </w:t>
      </w:r>
      <w:r>
        <w:rPr>
          <w:i/>
        </w:rPr>
        <w:t xml:space="preserve">Books of Hours and Their Owners </w:t>
      </w:r>
      <w:r>
        <w:t>(1977). p. 111. f</w:t>
      </w:r>
      <w:r w:rsidRPr="00D31198">
        <w:rPr>
          <w:i/>
        </w:rPr>
        <w:t>olio 15.</w:t>
      </w:r>
      <w:r>
        <w:rPr>
          <w:i/>
        </w:rPr>
        <w:t xml:space="preserve"> Flanders, circa 1477.</w:t>
      </w:r>
    </w:p>
  </w:footnote>
  <w:footnote w:id="63">
    <w:p w:rsidR="00776D0D" w:rsidRDefault="00776D0D" w:rsidP="00776D0D">
      <w:pPr>
        <w:pStyle w:val="FootnoteText"/>
      </w:pPr>
      <w:r>
        <w:rPr>
          <w:rStyle w:val="FootnoteReference"/>
        </w:rPr>
        <w:footnoteRef/>
      </w:r>
      <w:r>
        <w:t xml:space="preserve"> </w:t>
      </w:r>
      <w:r w:rsidR="00020FD9" w:rsidRPr="001866D1">
        <w:rPr>
          <w:i/>
        </w:rPr>
        <w:t>Ibid.</w:t>
      </w:r>
      <w:r w:rsidR="00C72A19">
        <w:rPr>
          <w:i/>
        </w:rPr>
        <w:t xml:space="preserve"> </w:t>
      </w:r>
      <w:r>
        <w:t>p. 13.</w:t>
      </w:r>
    </w:p>
  </w:footnote>
  <w:footnote w:id="64">
    <w:p w:rsidR="00776D0D" w:rsidRDefault="00776D0D" w:rsidP="00776D0D">
      <w:pPr>
        <w:pStyle w:val="FootnoteText"/>
      </w:pPr>
      <w:r>
        <w:rPr>
          <w:rStyle w:val="FootnoteReference"/>
        </w:rPr>
        <w:footnoteRef/>
      </w:r>
      <w:r>
        <w:t xml:space="preserve"> </w:t>
      </w:r>
      <w:r w:rsidR="00C72A19" w:rsidRPr="001866D1">
        <w:rPr>
          <w:i/>
        </w:rPr>
        <w:t>Ibid.</w:t>
      </w:r>
      <w:r w:rsidR="00C72A19">
        <w:rPr>
          <w:i/>
        </w:rPr>
        <w:t xml:space="preserve"> </w:t>
      </w:r>
      <w:r>
        <w:t>p. 13.</w:t>
      </w:r>
    </w:p>
  </w:footnote>
  <w:footnote w:id="65">
    <w:p w:rsidR="00776D0D" w:rsidRDefault="00776D0D" w:rsidP="00776D0D">
      <w:pPr>
        <w:pStyle w:val="FootnoteText"/>
      </w:pPr>
      <w:r>
        <w:rPr>
          <w:rStyle w:val="FootnoteReference"/>
        </w:rPr>
        <w:footnoteRef/>
      </w:r>
      <w:r w:rsidR="002761B0">
        <w:t xml:space="preserve"> </w:t>
      </w:r>
      <w:r w:rsidR="002761B0" w:rsidRPr="001866D1">
        <w:rPr>
          <w:i/>
        </w:rPr>
        <w:t>Ibid.</w:t>
      </w:r>
      <w:r w:rsidR="002761B0">
        <w:rPr>
          <w:i/>
        </w:rPr>
        <w:t xml:space="preserve"> </w:t>
      </w:r>
      <w:bookmarkStart w:id="0" w:name="_GoBack"/>
      <w:bookmarkEnd w:id="0"/>
      <w:r>
        <w:t>p. 14.</w:t>
      </w:r>
    </w:p>
  </w:footnote>
  <w:footnote w:id="66">
    <w:p w:rsidR="00776D0D" w:rsidRDefault="00776D0D" w:rsidP="00776D0D">
      <w:pPr>
        <w:pStyle w:val="FootnoteText"/>
      </w:pPr>
      <w:r>
        <w:rPr>
          <w:rStyle w:val="FootnoteReference"/>
        </w:rPr>
        <w:footnoteRef/>
      </w:r>
      <w:r>
        <w:t xml:space="preserve"> E. de Visscher</w:t>
      </w:r>
      <w:r w:rsidRPr="00516907">
        <w:t xml:space="preserve"> </w:t>
      </w:r>
      <w:r>
        <w:t xml:space="preserve">in S. J. Boss, </w:t>
      </w:r>
      <w:r>
        <w:rPr>
          <w:i/>
        </w:rPr>
        <w:t>Mary: The Complete Resource</w:t>
      </w:r>
      <w:r>
        <w:t xml:space="preserve"> (2007), p. 177. </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6D0D"/>
    <w:rsid w:val="00020FD9"/>
    <w:rsid w:val="00111E5A"/>
    <w:rsid w:val="00113CB0"/>
    <w:rsid w:val="00177004"/>
    <w:rsid w:val="001866D1"/>
    <w:rsid w:val="002761B0"/>
    <w:rsid w:val="00296CD0"/>
    <w:rsid w:val="00374FEE"/>
    <w:rsid w:val="00383134"/>
    <w:rsid w:val="003A1DB4"/>
    <w:rsid w:val="0051732B"/>
    <w:rsid w:val="006229AF"/>
    <w:rsid w:val="00637A9C"/>
    <w:rsid w:val="007553A7"/>
    <w:rsid w:val="00776D0D"/>
    <w:rsid w:val="00882EC8"/>
    <w:rsid w:val="008D133E"/>
    <w:rsid w:val="00932611"/>
    <w:rsid w:val="00A07CF8"/>
    <w:rsid w:val="00A94FF5"/>
    <w:rsid w:val="00B37571"/>
    <w:rsid w:val="00C23991"/>
    <w:rsid w:val="00C72A19"/>
    <w:rsid w:val="00E337A5"/>
    <w:rsid w:val="00F2193D"/>
    <w:rsid w:val="00F96A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2B0CC9B-9C31-4AEC-8F9A-F24D84461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76D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76D0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76D0D"/>
    <w:rPr>
      <w:sz w:val="20"/>
      <w:szCs w:val="20"/>
    </w:rPr>
  </w:style>
  <w:style w:type="character" w:styleId="FootnoteReference">
    <w:name w:val="footnote reference"/>
    <w:basedOn w:val="DefaultParagraphFont"/>
    <w:uiPriority w:val="99"/>
    <w:semiHidden/>
    <w:unhideWhenUsed/>
    <w:rsid w:val="00776D0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16</Pages>
  <Words>4871</Words>
  <Characters>27768</Characters>
  <Application>Microsoft Office Word</Application>
  <DocSecurity>0</DocSecurity>
  <Lines>231</Lines>
  <Paragraphs>65</Paragraphs>
  <ScaleCrop>false</ScaleCrop>
  <Company/>
  <LinksUpToDate>false</LinksUpToDate>
  <CharactersWithSpaces>32574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dc:creator>
  <cp:keywords/>
  <dc:description/>
  <cp:lastModifiedBy>Jenny</cp:lastModifiedBy>
  <cp:revision>24</cp:revision>
  <dcterms:created xsi:type="dcterms:W3CDTF">2019-05-05T22:44:00Z</dcterms:created>
  <dcterms:modified xsi:type="dcterms:W3CDTF">2019-05-05T22:53:00Z</dcterms:modified>
</cp:coreProperties>
</file>