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58E54" w14:textId="6DD314E1" w:rsidR="00857255" w:rsidRPr="0015024B" w:rsidRDefault="00857255" w:rsidP="00857255">
      <w:pPr>
        <w:spacing w:before="100" w:beforeAutospacing="1" w:after="100" w:afterAutospacing="1" w:line="360" w:lineRule="auto"/>
        <w:rPr>
          <w:rFonts w:ascii="Arial" w:eastAsia="Times New Roman" w:hAnsi="Arial" w:cs="Arial"/>
          <w:kern w:val="0"/>
          <w:sz w:val="24"/>
          <w:szCs w:val="24"/>
          <w:lang w:eastAsia="en-GB"/>
          <w14:ligatures w14:val="none"/>
        </w:rPr>
      </w:pPr>
      <w:r w:rsidRPr="0015024B">
        <w:rPr>
          <w:rFonts w:ascii="Arial" w:eastAsia="Times New Roman" w:hAnsi="Arial" w:cs="Arial"/>
          <w:kern w:val="0"/>
          <w:sz w:val="24"/>
          <w:szCs w:val="24"/>
          <w:lang w:eastAsia="en-GB"/>
          <w14:ligatures w14:val="none"/>
        </w:rPr>
        <w:t>AI Acknowledge</w:t>
      </w:r>
      <w:r w:rsidR="002A5E78">
        <w:rPr>
          <w:rFonts w:ascii="Arial" w:eastAsia="Times New Roman" w:hAnsi="Arial" w:cs="Arial"/>
          <w:kern w:val="0"/>
          <w:sz w:val="24"/>
          <w:szCs w:val="24"/>
          <w:lang w:eastAsia="en-GB"/>
          <w14:ligatures w14:val="none"/>
        </w:rPr>
        <w:t>ment</w:t>
      </w:r>
    </w:p>
    <w:p w14:paraId="4131E337" w14:textId="77777777" w:rsidR="00857255" w:rsidRPr="0015024B" w:rsidRDefault="00857255" w:rsidP="00857255">
      <w:pPr>
        <w:spacing w:before="100" w:beforeAutospacing="1" w:after="100" w:afterAutospacing="1" w:line="360" w:lineRule="auto"/>
        <w:rPr>
          <w:rFonts w:ascii="Arial" w:eastAsiaTheme="minorEastAsia" w:hAnsi="Arial" w:cs="Arial"/>
          <w:kern w:val="0"/>
          <w:sz w:val="24"/>
          <w:szCs w:val="24"/>
          <w:lang w:eastAsia="en-GB"/>
          <w14:ligatures w14:val="none"/>
        </w:rPr>
      </w:pPr>
      <w:r w:rsidRPr="0015024B">
        <w:rPr>
          <w:rFonts w:ascii="Arial" w:eastAsiaTheme="minorEastAsia" w:hAnsi="Arial" w:cs="Arial"/>
          <w:kern w:val="0"/>
          <w:sz w:val="24"/>
          <w:szCs w:val="24"/>
          <w:lang w:eastAsia="en-GB"/>
          <w14:ligatures w14:val="none"/>
        </w:rPr>
        <w:t>I acknowledge the use of ChatGPT (https://chatgpt.com) during October 2026 to support research and proofreading for my assessment.</w:t>
      </w:r>
    </w:p>
    <w:p w14:paraId="31E67F63" w14:textId="77777777" w:rsidR="00857255" w:rsidRPr="0015024B" w:rsidRDefault="00857255" w:rsidP="00857255">
      <w:pPr>
        <w:spacing w:before="100" w:beforeAutospacing="1" w:after="100" w:afterAutospacing="1" w:line="360" w:lineRule="auto"/>
        <w:rPr>
          <w:rFonts w:ascii="Arial" w:eastAsiaTheme="minorEastAsia" w:hAnsi="Arial" w:cs="Arial"/>
          <w:kern w:val="0"/>
          <w:sz w:val="24"/>
          <w:szCs w:val="24"/>
          <w:lang w:eastAsia="en-GB"/>
          <w14:ligatures w14:val="none"/>
        </w:rPr>
      </w:pPr>
      <w:r w:rsidRPr="0015024B">
        <w:rPr>
          <w:rFonts w:ascii="Arial" w:eastAsiaTheme="minorEastAsia" w:hAnsi="Arial" w:cs="Arial"/>
          <w:kern w:val="0"/>
          <w:sz w:val="24"/>
          <w:szCs w:val="24"/>
          <w:lang w:eastAsia="en-GB"/>
          <w14:ligatures w14:val="none"/>
        </w:rPr>
        <w:t>Prompts used included:</w:t>
      </w:r>
    </w:p>
    <w:p w14:paraId="72B1BA99" w14:textId="77777777" w:rsidR="00857255" w:rsidRPr="0015024B" w:rsidRDefault="00857255" w:rsidP="00857255">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15024B">
        <w:rPr>
          <w:rFonts w:ascii="Arial" w:eastAsia="Times New Roman" w:hAnsi="Arial" w:cs="Arial"/>
          <w:kern w:val="0"/>
          <w:sz w:val="24"/>
          <w:szCs w:val="24"/>
          <w:lang w:eastAsia="en-GB"/>
          <w14:ligatures w14:val="none"/>
        </w:rPr>
        <w:t>Summarise the key findings of this academic article to help me understand the research.</w:t>
      </w:r>
    </w:p>
    <w:p w14:paraId="27508448" w14:textId="77777777" w:rsidR="00857255" w:rsidRPr="0015024B" w:rsidRDefault="00857255" w:rsidP="00857255">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15024B">
        <w:rPr>
          <w:rFonts w:ascii="Arial" w:eastAsia="Times New Roman" w:hAnsi="Arial" w:cs="Arial"/>
          <w:kern w:val="0"/>
          <w:sz w:val="24"/>
          <w:szCs w:val="24"/>
          <w:lang w:eastAsia="en-GB"/>
          <w14:ligatures w14:val="none"/>
        </w:rPr>
        <w:t>Explain what adult mediation means in early years digital learning.</w:t>
      </w:r>
    </w:p>
    <w:p w14:paraId="56EF8C01" w14:textId="77777777" w:rsidR="00857255" w:rsidRPr="0015024B" w:rsidRDefault="00857255" w:rsidP="00857255">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15024B">
        <w:rPr>
          <w:rFonts w:ascii="Arial" w:eastAsia="Times New Roman" w:hAnsi="Arial" w:cs="Arial"/>
          <w:kern w:val="0"/>
          <w:sz w:val="24"/>
          <w:szCs w:val="24"/>
          <w:lang w:eastAsia="en-GB"/>
          <w14:ligatures w14:val="none"/>
        </w:rPr>
        <w:t>Explain the differences between qualitative and quantitative research methods.</w:t>
      </w:r>
    </w:p>
    <w:p w14:paraId="3EDAF800" w14:textId="77777777" w:rsidR="00857255" w:rsidRPr="0015024B" w:rsidRDefault="00857255" w:rsidP="00857255">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15024B">
        <w:rPr>
          <w:rFonts w:ascii="Arial" w:eastAsia="Times New Roman" w:hAnsi="Arial" w:cs="Arial"/>
          <w:kern w:val="0"/>
          <w:sz w:val="24"/>
          <w:szCs w:val="24"/>
          <w:lang w:eastAsia="en-GB"/>
          <w14:ligatures w14:val="none"/>
        </w:rPr>
        <w:t>Explain the differences between structured and unstructured interviews.</w:t>
      </w:r>
    </w:p>
    <w:p w14:paraId="7168F894" w14:textId="77777777" w:rsidR="00857255" w:rsidRPr="0075176D" w:rsidRDefault="00857255" w:rsidP="00857255">
      <w:pPr>
        <w:numPr>
          <w:ilvl w:val="0"/>
          <w:numId w:val="1"/>
        </w:numPr>
        <w:spacing w:before="100" w:beforeAutospacing="1" w:after="100" w:afterAutospacing="1" w:line="360" w:lineRule="auto"/>
        <w:rPr>
          <w:rFonts w:ascii="Arial" w:eastAsia="Times New Roman" w:hAnsi="Arial" w:cs="Arial"/>
          <w:kern w:val="0"/>
          <w:sz w:val="24"/>
          <w:szCs w:val="24"/>
          <w:lang w:eastAsia="en-GB"/>
          <w14:ligatures w14:val="none"/>
        </w:rPr>
      </w:pPr>
      <w:r w:rsidRPr="0015024B">
        <w:rPr>
          <w:rFonts w:ascii="Arial" w:eastAsia="Times New Roman" w:hAnsi="Arial" w:cs="Arial"/>
          <w:kern w:val="0"/>
          <w:sz w:val="24"/>
          <w:szCs w:val="24"/>
          <w:lang w:eastAsia="en-GB"/>
          <w14:ligatures w14:val="none"/>
        </w:rPr>
        <w:t>Check this paragraph for spelling, grammar and punctuation errors.</w:t>
      </w:r>
    </w:p>
    <w:p w14:paraId="63154B23" w14:textId="77777777" w:rsidR="00857255" w:rsidRPr="001512A1" w:rsidRDefault="00857255" w:rsidP="00857255">
      <w:pPr>
        <w:spacing w:before="100" w:beforeAutospacing="1" w:after="100" w:afterAutospacing="1" w:line="360" w:lineRule="auto"/>
        <w:rPr>
          <w:rFonts w:ascii="Arial" w:eastAsiaTheme="minorEastAsia" w:hAnsi="Arial" w:cs="Arial"/>
          <w:kern w:val="0"/>
          <w:sz w:val="24"/>
          <w:szCs w:val="24"/>
          <w:lang w:eastAsia="en-GB"/>
          <w14:ligatures w14:val="none"/>
        </w:rPr>
      </w:pPr>
      <w:r w:rsidRPr="001512A1">
        <w:rPr>
          <w:rFonts w:ascii="Arial" w:eastAsiaTheme="minorEastAsia" w:hAnsi="Arial" w:cs="Arial"/>
          <w:kern w:val="0"/>
          <w:sz w:val="24"/>
          <w:szCs w:val="24"/>
          <w:lang w:eastAsia="en-GB"/>
          <w14:ligatures w14:val="none"/>
        </w:rPr>
        <w:t>I confirm that I have not presented AI-generated text as my own work.</w:t>
      </w:r>
    </w:p>
    <w:p w14:paraId="42F063D8" w14:textId="77777777" w:rsidR="00857255" w:rsidRPr="001512A1" w:rsidRDefault="00857255" w:rsidP="00857255">
      <w:pPr>
        <w:spacing w:before="100" w:beforeAutospacing="1" w:after="100" w:afterAutospacing="1" w:line="360" w:lineRule="auto"/>
        <w:rPr>
          <w:rFonts w:ascii="Arial" w:eastAsiaTheme="minorEastAsia" w:hAnsi="Arial" w:cs="Arial"/>
          <w:kern w:val="0"/>
          <w:sz w:val="24"/>
          <w:szCs w:val="24"/>
          <w:lang w:eastAsia="en-GB"/>
          <w14:ligatures w14:val="none"/>
        </w:rPr>
      </w:pPr>
      <w:r w:rsidRPr="001512A1">
        <w:rPr>
          <w:rFonts w:ascii="Arial" w:eastAsiaTheme="minorEastAsia" w:hAnsi="Arial" w:cs="Arial"/>
          <w:kern w:val="0"/>
          <w:sz w:val="24"/>
          <w:szCs w:val="24"/>
          <w:lang w:eastAsia="en-GB"/>
          <w14:ligatures w14:val="none"/>
        </w:rPr>
        <w:t>I confirm that I have copies of my drafts, notes and other resources used before and after using AI tools, which I may be asked to provide as evidence.</w:t>
      </w:r>
    </w:p>
    <w:p w14:paraId="4F504910" w14:textId="77777777" w:rsidR="005D1CE4" w:rsidRDefault="005D1CE4"/>
    <w:p w14:paraId="77E9626E" w14:textId="77777777" w:rsidR="005846F3" w:rsidRDefault="005846F3"/>
    <w:p w14:paraId="203C0AC5" w14:textId="77777777" w:rsidR="005846F3" w:rsidRDefault="005846F3"/>
    <w:p w14:paraId="572D1D7C" w14:textId="77777777" w:rsidR="005846F3" w:rsidRDefault="005846F3"/>
    <w:p w14:paraId="05D65937" w14:textId="77777777" w:rsidR="005846F3" w:rsidRDefault="005846F3"/>
    <w:p w14:paraId="4A2D406A" w14:textId="77777777" w:rsidR="005846F3" w:rsidRDefault="005846F3"/>
    <w:p w14:paraId="2158D00E" w14:textId="77777777" w:rsidR="005846F3" w:rsidRDefault="005846F3"/>
    <w:p w14:paraId="12CDC9B6" w14:textId="77777777" w:rsidR="005846F3" w:rsidRDefault="005846F3"/>
    <w:p w14:paraId="103D9765" w14:textId="77777777" w:rsidR="005846F3" w:rsidRDefault="005846F3"/>
    <w:p w14:paraId="76662054" w14:textId="77777777" w:rsidR="005846F3" w:rsidRDefault="005846F3"/>
    <w:p w14:paraId="778D705E" w14:textId="77777777" w:rsidR="005846F3" w:rsidRDefault="005846F3"/>
    <w:p w14:paraId="54148F4E" w14:textId="77777777" w:rsidR="005846F3" w:rsidRDefault="005846F3"/>
    <w:p w14:paraId="7AFD0FD6" w14:textId="77777777" w:rsidR="005846F3" w:rsidRDefault="005846F3"/>
    <w:p w14:paraId="3D2E13E0" w14:textId="77777777" w:rsidR="005846F3" w:rsidRDefault="005846F3"/>
    <w:p w14:paraId="12F349C8" w14:textId="77777777" w:rsidR="008E7593" w:rsidRPr="00AC24E7" w:rsidRDefault="008E7593" w:rsidP="008E7593">
      <w:pPr>
        <w:spacing w:line="360" w:lineRule="auto"/>
        <w:rPr>
          <w:rFonts w:ascii="Arial" w:hAnsi="Arial" w:cs="Arial"/>
          <w:sz w:val="24"/>
          <w:szCs w:val="24"/>
        </w:rPr>
      </w:pPr>
      <w:r w:rsidRPr="00AC24E7">
        <w:rPr>
          <w:rFonts w:ascii="Arial" w:hAnsi="Arial" w:cs="Arial"/>
          <w:sz w:val="24"/>
          <w:szCs w:val="24"/>
        </w:rPr>
        <w:lastRenderedPageBreak/>
        <w:t>Adult Support in Children's Digital Learning: Exploring Guidance, Interaction and Independence in Early-years Settings.</w:t>
      </w:r>
    </w:p>
    <w:p w14:paraId="1A624990" w14:textId="77777777" w:rsidR="008E7593" w:rsidRPr="00AC24E7" w:rsidRDefault="008E7593" w:rsidP="008E7593">
      <w:pPr>
        <w:spacing w:line="360" w:lineRule="auto"/>
        <w:rPr>
          <w:rFonts w:ascii="Arial" w:hAnsi="Arial" w:cs="Arial"/>
          <w:sz w:val="24"/>
          <w:szCs w:val="24"/>
        </w:rPr>
      </w:pPr>
      <w:r w:rsidRPr="00AC24E7">
        <w:rPr>
          <w:rFonts w:ascii="Arial" w:hAnsi="Arial" w:cs="Arial"/>
          <w:sz w:val="24"/>
          <w:szCs w:val="24"/>
        </w:rPr>
        <w:t>As digital technology becomes a common part of children's everyday lives, developing the skills to interact with this technology becomes increasingly important. These digital skills can be developed within early years settings through learning opportunities integrated into everyday activities and supported with appropriate adult guidance. This literature review will examine existing research to explore whether there is a positive association between adult co-use of digital technology and children's learning and what effective adult support, guidance and interaction may look like.</w:t>
      </w:r>
    </w:p>
    <w:p w14:paraId="47ACCCDD" w14:textId="0FBE7EB2" w:rsidR="008E7593" w:rsidRPr="00AC24E7" w:rsidRDefault="008E7593" w:rsidP="008E7593">
      <w:pPr>
        <w:spacing w:line="360" w:lineRule="auto"/>
        <w:rPr>
          <w:rFonts w:ascii="Arial" w:hAnsi="Arial" w:cs="Arial"/>
          <w:sz w:val="24"/>
          <w:szCs w:val="24"/>
        </w:rPr>
      </w:pPr>
      <w:r w:rsidRPr="00AC24E7">
        <w:rPr>
          <w:rFonts w:ascii="Arial" w:hAnsi="Arial" w:cs="Arial"/>
          <w:sz w:val="24"/>
          <w:szCs w:val="24"/>
        </w:rPr>
        <w:t>Research suggests that adult co-use has small positive associations with learning. Taylor et al. (2024) reviewed 17 studies involving 1,288 children and found that there was a small positive learning benefit associated with adult co</w:t>
      </w:r>
      <w:r w:rsidR="00FD751C">
        <w:rPr>
          <w:rFonts w:ascii="Arial" w:hAnsi="Arial" w:cs="Arial"/>
          <w:sz w:val="24"/>
          <w:szCs w:val="24"/>
        </w:rPr>
        <w:t>-</w:t>
      </w:r>
      <w:r w:rsidRPr="00AC24E7">
        <w:rPr>
          <w:rFonts w:ascii="Arial" w:hAnsi="Arial" w:cs="Arial"/>
          <w:sz w:val="24"/>
          <w:szCs w:val="24"/>
        </w:rPr>
        <w:t xml:space="preserve">use, this finding is supported by </w:t>
      </w:r>
      <w:proofErr w:type="spellStart"/>
      <w:r w:rsidRPr="00AC24E7">
        <w:rPr>
          <w:rFonts w:ascii="Arial" w:hAnsi="Arial" w:cs="Arial"/>
          <w:sz w:val="24"/>
          <w:szCs w:val="24"/>
        </w:rPr>
        <w:t>Mallawaarachchi</w:t>
      </w:r>
      <w:proofErr w:type="spellEnd"/>
      <w:r w:rsidRPr="00AC24E7">
        <w:rPr>
          <w:rFonts w:ascii="Arial" w:hAnsi="Arial" w:cs="Arial"/>
          <w:sz w:val="24"/>
          <w:szCs w:val="24"/>
        </w:rPr>
        <w:t xml:space="preserve"> et al. (2024) who also discovered a slightly improved learning ability when adult co use was used. Kervin et al. (2026) also found that the way adults support children during interactions had an influence on the child’s choices, control and opportunities. However, much of the evidence came from home or family contexts so it may not be directly transferable to early years settings. This is strengthened by Edwards et al. (2017), as they question the idea that children’s experiences of technology at home should be matched in early-years settings without considering the nature of those environments. Adult support in early-years settings may differ due to adult-to-child ratios, divided practitioner attention, shared resources and the needs of the wider group. </w:t>
      </w:r>
    </w:p>
    <w:p w14:paraId="4B3C12ED" w14:textId="77777777" w:rsidR="008E7593" w:rsidRPr="00AC24E7" w:rsidRDefault="008E7593" w:rsidP="008E7593">
      <w:pPr>
        <w:spacing w:line="360" w:lineRule="auto"/>
        <w:rPr>
          <w:rFonts w:ascii="Arial" w:hAnsi="Arial" w:cs="Arial"/>
          <w:sz w:val="24"/>
          <w:szCs w:val="24"/>
        </w:rPr>
      </w:pPr>
      <w:r w:rsidRPr="00AC24E7">
        <w:rPr>
          <w:rFonts w:ascii="Arial" w:hAnsi="Arial" w:cs="Arial"/>
          <w:sz w:val="24"/>
          <w:szCs w:val="24"/>
        </w:rPr>
        <w:t>Another important consideration is how adults balance guidance with child led exploration. Plowman and Stephen (2013) identify that adult interaction includes both proximal support through direct help during an activity and distal support with indirect help through planning and organising the learning environment, this view is supported by Kervin et al. (2026) who writes that too much adult control can restrict children’s independence and affect the agency of the child.</w:t>
      </w:r>
      <w:r>
        <w:rPr>
          <w:rFonts w:ascii="Arial" w:hAnsi="Arial" w:cs="Arial"/>
          <w:sz w:val="24"/>
          <w:szCs w:val="24"/>
        </w:rPr>
        <w:t xml:space="preserve"> T</w:t>
      </w:r>
      <w:r w:rsidRPr="00AC24E7">
        <w:rPr>
          <w:rFonts w:ascii="Arial" w:hAnsi="Arial" w:cs="Arial"/>
          <w:sz w:val="24"/>
          <w:szCs w:val="24"/>
        </w:rPr>
        <w:t>he Department of Education (DfE, 2026) guidance on screen use says that adult co-engagement and supervision are recommended when children use screens. It encourages adults to interact with children by asking questions and discussing content during screen-</w:t>
      </w:r>
      <w:r w:rsidRPr="00AC24E7">
        <w:rPr>
          <w:rFonts w:ascii="Arial" w:hAnsi="Arial" w:cs="Arial"/>
          <w:sz w:val="24"/>
          <w:szCs w:val="24"/>
        </w:rPr>
        <w:lastRenderedPageBreak/>
        <w:t xml:space="preserve">based activities. However, it doesn’t detail how much guidance should be given when completing an activity. When practitioners provide unnecessary guidance, a child may become less engaged with the activity as they already have the knowledge and skills to perform the task independently. </w:t>
      </w:r>
    </w:p>
    <w:p w14:paraId="5AAEE35D" w14:textId="77777777" w:rsidR="008E7593" w:rsidRPr="00AC24E7" w:rsidRDefault="008E7593" w:rsidP="008E7593">
      <w:pPr>
        <w:spacing w:line="360" w:lineRule="auto"/>
        <w:rPr>
          <w:rFonts w:ascii="Arial" w:hAnsi="Arial" w:cs="Arial"/>
          <w:sz w:val="24"/>
          <w:szCs w:val="24"/>
        </w:rPr>
      </w:pPr>
      <w:r w:rsidRPr="00AC24E7">
        <w:rPr>
          <w:rFonts w:ascii="Arial" w:hAnsi="Arial" w:cs="Arial"/>
          <w:sz w:val="24"/>
          <w:szCs w:val="24"/>
        </w:rPr>
        <w:t xml:space="preserve">Research also suggests how adults support children matter, it is not a simple case of whether adults are involved. Kervin et al. (2026) highlights that adults who take over control can limit children’s choices, independence and involvement, this is also highlighted by </w:t>
      </w:r>
      <w:proofErr w:type="spellStart"/>
      <w:r w:rsidRPr="00AC24E7">
        <w:rPr>
          <w:rFonts w:ascii="Arial" w:hAnsi="Arial" w:cs="Arial"/>
          <w:sz w:val="24"/>
          <w:szCs w:val="24"/>
        </w:rPr>
        <w:t>Bourbour</w:t>
      </w:r>
      <w:proofErr w:type="spellEnd"/>
      <w:r w:rsidRPr="00AC24E7">
        <w:rPr>
          <w:rFonts w:ascii="Arial" w:hAnsi="Arial" w:cs="Arial"/>
          <w:sz w:val="24"/>
          <w:szCs w:val="24"/>
        </w:rPr>
        <w:t xml:space="preserve"> (2023) which tells us that teacher led digital activities can restrict children’s participation, while playful interactive approaches can encourage engagement. However, we need to be mindful that these findings may not apply to every early-year’s setting as </w:t>
      </w:r>
      <w:proofErr w:type="spellStart"/>
      <w:r w:rsidRPr="00AC24E7">
        <w:rPr>
          <w:rFonts w:ascii="Arial" w:hAnsi="Arial" w:cs="Arial"/>
          <w:sz w:val="24"/>
          <w:szCs w:val="24"/>
        </w:rPr>
        <w:t>Bourbour</w:t>
      </w:r>
      <w:proofErr w:type="spellEnd"/>
      <w:r w:rsidRPr="00AC24E7">
        <w:rPr>
          <w:rFonts w:ascii="Arial" w:hAnsi="Arial" w:cs="Arial"/>
          <w:sz w:val="24"/>
          <w:szCs w:val="24"/>
        </w:rPr>
        <w:t xml:space="preserve"> (2023) specifically studied interactive whiteboards. Other settings may use different technology, such as tablets, which may encourage different types of interaction and produce different findings. The Digital Competence Framework recognises that children develop digital technology skills with adult support but again it doesn’t specify a fixed amount of adult guidance Welsh Government, (2022), suggesting that it may vary depending on each child’s ability. Rogoff (1995) also suggests that children learn through shared activities and interactions with others. This highlights the importance of the way adults participate alongside children. Rather than just being present, practitioners can support children as they learn and explore, but they also need to balance providing guidance with allowing children to do things independently. </w:t>
      </w:r>
    </w:p>
    <w:p w14:paraId="02555BC1" w14:textId="77AA2F8A" w:rsidR="008E7593" w:rsidRPr="00AC24E7" w:rsidRDefault="008E7593" w:rsidP="008E7593">
      <w:pPr>
        <w:spacing w:line="360" w:lineRule="auto"/>
        <w:rPr>
          <w:rFonts w:ascii="Arial" w:hAnsi="Arial" w:cs="Arial"/>
          <w:sz w:val="24"/>
          <w:szCs w:val="24"/>
        </w:rPr>
      </w:pPr>
      <w:r w:rsidRPr="00AC24E7">
        <w:rPr>
          <w:rFonts w:ascii="Arial" w:hAnsi="Arial" w:cs="Arial"/>
          <w:sz w:val="24"/>
          <w:szCs w:val="24"/>
        </w:rPr>
        <w:t>Another theme identified within the research is that good general teaching does not automatically transfer into good digital teaching. Howard et al. (2026) points out that while general teaching quality was high, the quality of digital interactions was not always equally high. Likewise, Plowman and Stephen (2013) hold the view that practitioners already used responsive support when children were playing, however they did not consistently use those same approaches when children were using digital technology. Additionally, practitioners who lack confidence in using digital technology may find it harder to provide appropriate guidance to the activity. The Curriculum for Wales Science and Technology guidance also highlights that practitioners need to understand how and when to develop children’s digital skills Welsh Government (2022). Activ</w:t>
      </w:r>
      <w:r w:rsidR="000B1914">
        <w:rPr>
          <w:rFonts w:ascii="Arial" w:hAnsi="Arial" w:cs="Arial"/>
          <w:sz w:val="24"/>
          <w:szCs w:val="24"/>
        </w:rPr>
        <w:t>ities</w:t>
      </w:r>
      <w:r w:rsidRPr="00AC24E7">
        <w:rPr>
          <w:rFonts w:ascii="Arial" w:hAnsi="Arial" w:cs="Arial"/>
          <w:sz w:val="24"/>
          <w:szCs w:val="24"/>
        </w:rPr>
        <w:t xml:space="preserve"> need to build on a child’s existing experience </w:t>
      </w:r>
      <w:r w:rsidRPr="00AC24E7">
        <w:rPr>
          <w:rFonts w:ascii="Arial" w:hAnsi="Arial" w:cs="Arial"/>
          <w:sz w:val="24"/>
          <w:szCs w:val="24"/>
        </w:rPr>
        <w:lastRenderedPageBreak/>
        <w:t>and support further learning. Practitioners also have flexibility when planning digital experiences, allowing them to adjust activities to meet children’s individual needs. This suggests that practitioners need more than basic digital competence. They also require good teaching and interaction skills to assess children’s abilities, plan suitable activities and adjust their support accordingly to encourage children’s engagement with digital technology.</w:t>
      </w:r>
    </w:p>
    <w:p w14:paraId="1FAD9CFC" w14:textId="77777777" w:rsidR="008E7593" w:rsidRPr="00AC24E7" w:rsidRDefault="008E7593" w:rsidP="008E7593">
      <w:pPr>
        <w:spacing w:line="360" w:lineRule="auto"/>
        <w:rPr>
          <w:rFonts w:ascii="Arial" w:hAnsi="Arial" w:cs="Arial"/>
          <w:sz w:val="24"/>
          <w:szCs w:val="24"/>
        </w:rPr>
      </w:pPr>
      <w:r w:rsidRPr="00AC24E7">
        <w:rPr>
          <w:rFonts w:ascii="Arial" w:hAnsi="Arial" w:cs="Arial"/>
          <w:sz w:val="24"/>
          <w:szCs w:val="24"/>
        </w:rPr>
        <w:t>The findings from my research highlight that there is a small positive association with learning from adult co-use when using digital technology, but I need to be mindful that a lot of the data is gathered from family and home context and may not necessarily transfer to early years settings. I also discovered that the amount of guidance and support can have either a positive or negative impact on a child’s learning outcome. The adult’s balance of guidance and control needs to reflect the child’s abilities and needs and support learning and exploration. Another thing my research discovered was that the type of interaction the adult provides may be just as important as the amount of guidance and support provided. The only support a child may need is simple interactions such as asking questions and shared exploration rather than lots of directed guidance. Overall, I found that practitioners need more than basic digital skills. They also need effective communication, planning and observation skills to adjust experiences accordingly based on the individual child’s needs. Given everything I have discovered I feel there is still a need to understand if there is a positive outcome of child-adult co-use and which approaches to adult support seem most beneficial to children while also considering their individual abilities, independence and engagement.</w:t>
      </w:r>
    </w:p>
    <w:p w14:paraId="626C26EB" w14:textId="77777777" w:rsidR="008E7593" w:rsidRDefault="008E7593" w:rsidP="008E7593"/>
    <w:p w14:paraId="6A1DFF21" w14:textId="77777777" w:rsidR="008E7593" w:rsidRDefault="008E7593" w:rsidP="008E7593"/>
    <w:p w14:paraId="1BD17533" w14:textId="77777777" w:rsidR="008E7593" w:rsidRDefault="008E7593" w:rsidP="008E7593"/>
    <w:p w14:paraId="4D89E1B2" w14:textId="77777777" w:rsidR="008E7593" w:rsidRDefault="008E7593" w:rsidP="008E7593"/>
    <w:p w14:paraId="3DA43E09" w14:textId="77777777" w:rsidR="008E7593" w:rsidRDefault="008E7593" w:rsidP="008E7593"/>
    <w:p w14:paraId="60ECA6F9" w14:textId="77777777" w:rsidR="008E7593" w:rsidRDefault="008E7593" w:rsidP="008E7593"/>
    <w:p w14:paraId="71CE9823" w14:textId="77777777" w:rsidR="008E7593" w:rsidRDefault="008E7593" w:rsidP="008E7593"/>
    <w:p w14:paraId="1DAF7652" w14:textId="77777777" w:rsidR="008E7593" w:rsidRDefault="008E7593" w:rsidP="008E7593"/>
    <w:p w14:paraId="6F5AE826" w14:textId="77777777" w:rsidR="008E7593" w:rsidRDefault="008E7593" w:rsidP="008E7593"/>
    <w:p w14:paraId="0D88FB22" w14:textId="77777777" w:rsidR="008E7593" w:rsidRDefault="008E7593" w:rsidP="008E7593"/>
    <w:p w14:paraId="5B170E9B" w14:textId="77777777" w:rsidR="008E7593" w:rsidRDefault="008E7593" w:rsidP="008E7593"/>
    <w:p w14:paraId="1E98468C" w14:textId="77777777" w:rsidR="008E7593" w:rsidRPr="00661694" w:rsidRDefault="008E7593" w:rsidP="008E7593">
      <w:pPr>
        <w:spacing w:line="360" w:lineRule="auto"/>
        <w:rPr>
          <w:rFonts w:ascii="Arial" w:hAnsi="Arial" w:cs="Arial"/>
          <w:sz w:val="24"/>
          <w:szCs w:val="24"/>
        </w:rPr>
      </w:pPr>
      <w:r w:rsidRPr="00661694">
        <w:rPr>
          <w:rFonts w:ascii="Arial" w:hAnsi="Arial" w:cs="Arial"/>
          <w:sz w:val="24"/>
          <w:szCs w:val="24"/>
        </w:rPr>
        <w:t>Reference list</w:t>
      </w:r>
    </w:p>
    <w:p w14:paraId="52D73476" w14:textId="77777777" w:rsidR="008E7593" w:rsidRPr="00661694" w:rsidRDefault="008E7593" w:rsidP="008E7593">
      <w:pPr>
        <w:spacing w:line="360" w:lineRule="auto"/>
        <w:rPr>
          <w:rFonts w:ascii="Arial" w:hAnsi="Arial" w:cs="Arial"/>
          <w:sz w:val="24"/>
          <w:szCs w:val="24"/>
        </w:rPr>
      </w:pPr>
      <w:proofErr w:type="spellStart"/>
      <w:r w:rsidRPr="00661694">
        <w:rPr>
          <w:rFonts w:ascii="Arial" w:hAnsi="Arial" w:cs="Arial"/>
          <w:sz w:val="24"/>
          <w:szCs w:val="24"/>
        </w:rPr>
        <w:t>Bourbour</w:t>
      </w:r>
      <w:proofErr w:type="spellEnd"/>
      <w:r w:rsidRPr="00661694">
        <w:rPr>
          <w:rFonts w:ascii="Arial" w:hAnsi="Arial" w:cs="Arial"/>
          <w:sz w:val="24"/>
          <w:szCs w:val="24"/>
        </w:rPr>
        <w:t>, M. (202</w:t>
      </w:r>
      <w:r>
        <w:rPr>
          <w:rFonts w:ascii="Arial" w:hAnsi="Arial" w:cs="Arial"/>
          <w:sz w:val="24"/>
          <w:szCs w:val="24"/>
        </w:rPr>
        <w:t>3</w:t>
      </w:r>
      <w:r w:rsidRPr="00661694">
        <w:rPr>
          <w:rFonts w:ascii="Arial" w:hAnsi="Arial" w:cs="Arial"/>
          <w:sz w:val="24"/>
          <w:szCs w:val="24"/>
        </w:rPr>
        <w:t>) ‘Using digital technology in early education teaching: Learning from teachers’ teaching practice with interactive whiteboard’</w:t>
      </w:r>
      <w:r w:rsidRPr="00661694">
        <w:rPr>
          <w:rFonts w:ascii="Arial" w:hAnsi="Arial" w:cs="Arial"/>
          <w:i/>
          <w:iCs/>
          <w:sz w:val="24"/>
          <w:szCs w:val="24"/>
        </w:rPr>
        <w:t>, International Journal of Early Years Education</w:t>
      </w:r>
      <w:r w:rsidRPr="00661694">
        <w:rPr>
          <w:rFonts w:ascii="Arial" w:hAnsi="Arial" w:cs="Arial"/>
          <w:sz w:val="24"/>
          <w:szCs w:val="24"/>
        </w:rPr>
        <w:t xml:space="preserve">, 31(1), pp. 269-286. Available at: </w:t>
      </w:r>
      <w:hyperlink r:id="rId7" w:history="1">
        <w:r w:rsidRPr="00661694">
          <w:rPr>
            <w:rStyle w:val="Hyperlink"/>
            <w:rFonts w:ascii="Arial" w:hAnsi="Arial" w:cs="Arial"/>
            <w:sz w:val="24"/>
            <w:szCs w:val="24"/>
          </w:rPr>
          <w:t>https://doi.org/10.1080/09669760.2020.1848523</w:t>
        </w:r>
      </w:hyperlink>
      <w:r w:rsidRPr="00661694">
        <w:rPr>
          <w:rFonts w:ascii="Arial" w:hAnsi="Arial" w:cs="Arial"/>
          <w:sz w:val="24"/>
          <w:szCs w:val="24"/>
        </w:rPr>
        <w:t xml:space="preserve">  </w:t>
      </w:r>
    </w:p>
    <w:p w14:paraId="25047746" w14:textId="77777777" w:rsidR="008E7593" w:rsidRPr="00661694" w:rsidRDefault="008E7593" w:rsidP="008E7593">
      <w:pPr>
        <w:spacing w:line="360" w:lineRule="auto"/>
        <w:rPr>
          <w:rFonts w:ascii="Arial" w:hAnsi="Arial" w:cs="Arial"/>
          <w:sz w:val="24"/>
          <w:szCs w:val="24"/>
        </w:rPr>
      </w:pPr>
      <w:r w:rsidRPr="00661694">
        <w:rPr>
          <w:rFonts w:ascii="Arial" w:hAnsi="Arial" w:cs="Arial"/>
          <w:sz w:val="24"/>
          <w:szCs w:val="24"/>
        </w:rPr>
        <w:t>Department for Education (2026)</w:t>
      </w:r>
      <w:r w:rsidRPr="00661694">
        <w:rPr>
          <w:rFonts w:ascii="Arial" w:hAnsi="Arial" w:cs="Arial"/>
          <w:i/>
          <w:iCs/>
          <w:sz w:val="24"/>
          <w:szCs w:val="24"/>
        </w:rPr>
        <w:t xml:space="preserve"> Screen use</w:t>
      </w:r>
      <w:r w:rsidRPr="00661694">
        <w:rPr>
          <w:rFonts w:ascii="Arial" w:hAnsi="Arial" w:cs="Arial"/>
          <w:sz w:val="24"/>
          <w:szCs w:val="24"/>
        </w:rPr>
        <w:t xml:space="preserve">.  Available at: </w:t>
      </w:r>
      <w:hyperlink r:id="rId8" w:history="1">
        <w:r w:rsidRPr="00661694">
          <w:rPr>
            <w:rStyle w:val="Hyperlink"/>
            <w:rFonts w:ascii="Arial" w:hAnsi="Arial" w:cs="Arial"/>
            <w:sz w:val="24"/>
            <w:szCs w:val="24"/>
          </w:rPr>
          <w:t>https://help-for-early-years-providers.education.gov.uk/health-and-wellbeing/screen-use</w:t>
        </w:r>
      </w:hyperlink>
      <w:r w:rsidRPr="00661694">
        <w:rPr>
          <w:rFonts w:ascii="Arial" w:hAnsi="Arial" w:cs="Arial"/>
          <w:sz w:val="24"/>
          <w:szCs w:val="24"/>
        </w:rPr>
        <w:t xml:space="preserve">  (Accessed: 11 October 2026).</w:t>
      </w:r>
    </w:p>
    <w:p w14:paraId="37607B31" w14:textId="77777777" w:rsidR="008E7593" w:rsidRPr="00661694" w:rsidRDefault="008E7593" w:rsidP="008E7593">
      <w:pPr>
        <w:spacing w:line="360" w:lineRule="auto"/>
        <w:rPr>
          <w:rFonts w:ascii="Arial" w:hAnsi="Arial" w:cs="Arial"/>
          <w:sz w:val="24"/>
          <w:szCs w:val="24"/>
        </w:rPr>
      </w:pPr>
      <w:r w:rsidRPr="00661694">
        <w:rPr>
          <w:rFonts w:ascii="Arial" w:hAnsi="Arial" w:cs="Arial"/>
          <w:sz w:val="24"/>
          <w:szCs w:val="24"/>
        </w:rPr>
        <w:t xml:space="preserve">Edwards, S., Henderson, M., Gronn, D., Scott, A. and </w:t>
      </w:r>
      <w:proofErr w:type="spellStart"/>
      <w:r w:rsidRPr="00661694">
        <w:rPr>
          <w:rFonts w:ascii="Arial" w:hAnsi="Arial" w:cs="Arial"/>
          <w:sz w:val="24"/>
          <w:szCs w:val="24"/>
        </w:rPr>
        <w:t>Mirkhil</w:t>
      </w:r>
      <w:proofErr w:type="spellEnd"/>
      <w:r w:rsidRPr="00661694">
        <w:rPr>
          <w:rFonts w:ascii="Arial" w:hAnsi="Arial" w:cs="Arial"/>
          <w:sz w:val="24"/>
          <w:szCs w:val="24"/>
        </w:rPr>
        <w:t>, M. (2017) ‘Digital disconnect or digital difference? A socio-ecological perspective on young children’s technology use in the home and the early childhood centre’</w:t>
      </w:r>
      <w:r w:rsidRPr="00661694">
        <w:rPr>
          <w:rFonts w:ascii="Arial" w:hAnsi="Arial" w:cs="Arial"/>
          <w:i/>
          <w:iCs/>
          <w:sz w:val="24"/>
          <w:szCs w:val="24"/>
        </w:rPr>
        <w:t>, Technology, Pedagogy and Education</w:t>
      </w:r>
      <w:r w:rsidRPr="00661694">
        <w:rPr>
          <w:rFonts w:ascii="Arial" w:hAnsi="Arial" w:cs="Arial"/>
          <w:sz w:val="24"/>
          <w:szCs w:val="24"/>
        </w:rPr>
        <w:t xml:space="preserve">, 26(1), pp. 1–17. Available at: </w:t>
      </w:r>
      <w:hyperlink r:id="rId9" w:history="1">
        <w:r w:rsidRPr="00661694">
          <w:rPr>
            <w:rStyle w:val="Hyperlink"/>
            <w:rFonts w:ascii="Arial" w:hAnsi="Arial" w:cs="Arial"/>
            <w:sz w:val="24"/>
            <w:szCs w:val="24"/>
          </w:rPr>
          <w:t>https://doi.org/10.1080/1475939x.2016.1152291</w:t>
        </w:r>
      </w:hyperlink>
    </w:p>
    <w:p w14:paraId="0B62DA93" w14:textId="77777777" w:rsidR="008E7593" w:rsidRPr="00661694" w:rsidRDefault="008E7593" w:rsidP="008E7593">
      <w:pPr>
        <w:spacing w:line="360" w:lineRule="auto"/>
        <w:rPr>
          <w:rFonts w:ascii="Arial" w:hAnsi="Arial" w:cs="Arial"/>
          <w:sz w:val="24"/>
          <w:szCs w:val="24"/>
        </w:rPr>
      </w:pPr>
      <w:r w:rsidRPr="00661694">
        <w:rPr>
          <w:rFonts w:ascii="Arial" w:hAnsi="Arial" w:cs="Arial"/>
          <w:sz w:val="24"/>
          <w:szCs w:val="24"/>
        </w:rPr>
        <w:t xml:space="preserve">Howard, S.J., Lewis, K., Day, N., Peach, L. and Kervin, L.K. (2026) ‘A framework for characterising and capturing the quality of digital interactions and experiences in early childhood education’, </w:t>
      </w:r>
      <w:r w:rsidRPr="00661694">
        <w:rPr>
          <w:rFonts w:ascii="Arial" w:hAnsi="Arial" w:cs="Arial"/>
          <w:i/>
          <w:iCs/>
          <w:sz w:val="24"/>
          <w:szCs w:val="24"/>
        </w:rPr>
        <w:t xml:space="preserve">British Journal of Educational Technology, </w:t>
      </w:r>
      <w:r w:rsidRPr="00661694">
        <w:rPr>
          <w:rFonts w:ascii="Arial" w:hAnsi="Arial" w:cs="Arial"/>
          <w:sz w:val="24"/>
          <w:szCs w:val="24"/>
        </w:rPr>
        <w:t xml:space="preserve">57(5), pp. 1299–1319. Available at: </w:t>
      </w:r>
      <w:hyperlink r:id="rId10" w:history="1">
        <w:r w:rsidRPr="00661694">
          <w:rPr>
            <w:rStyle w:val="Hyperlink"/>
            <w:rFonts w:ascii="Arial" w:hAnsi="Arial" w:cs="Arial"/>
            <w:sz w:val="24"/>
            <w:szCs w:val="24"/>
          </w:rPr>
          <w:t>https://doi.org/10.1111/bjet.70063</w:t>
        </w:r>
      </w:hyperlink>
      <w:r w:rsidRPr="00661694">
        <w:rPr>
          <w:rFonts w:ascii="Arial" w:hAnsi="Arial" w:cs="Arial"/>
          <w:sz w:val="24"/>
          <w:szCs w:val="24"/>
        </w:rPr>
        <w:t xml:space="preserve">  </w:t>
      </w:r>
    </w:p>
    <w:p w14:paraId="6A67EFB9" w14:textId="77777777" w:rsidR="008E7593" w:rsidRPr="00661694" w:rsidRDefault="008E7593" w:rsidP="008E7593">
      <w:pPr>
        <w:spacing w:line="360" w:lineRule="auto"/>
        <w:rPr>
          <w:rFonts w:ascii="Arial" w:hAnsi="Arial" w:cs="Arial"/>
          <w:sz w:val="24"/>
          <w:szCs w:val="24"/>
        </w:rPr>
      </w:pPr>
      <w:r w:rsidRPr="00661694">
        <w:rPr>
          <w:rFonts w:ascii="Arial" w:hAnsi="Arial" w:cs="Arial"/>
          <w:sz w:val="24"/>
          <w:szCs w:val="24"/>
        </w:rPr>
        <w:t xml:space="preserve">Kervin, L.K., Lewis, K.L., Day, N. and Howard, S.J. (2026) ‘Adult and child interactions when using digital technologies’, </w:t>
      </w:r>
      <w:r w:rsidRPr="00661694">
        <w:rPr>
          <w:rFonts w:ascii="Arial" w:hAnsi="Arial" w:cs="Arial"/>
          <w:i/>
          <w:iCs/>
          <w:sz w:val="24"/>
          <w:szCs w:val="24"/>
        </w:rPr>
        <w:t>Education Sciences</w:t>
      </w:r>
      <w:r w:rsidRPr="00661694">
        <w:rPr>
          <w:rFonts w:ascii="Arial" w:hAnsi="Arial" w:cs="Arial"/>
          <w:sz w:val="24"/>
          <w:szCs w:val="24"/>
        </w:rPr>
        <w:t xml:space="preserve">, 16(8), p. 1260. Available at: </w:t>
      </w:r>
      <w:hyperlink r:id="rId11" w:history="1">
        <w:r w:rsidRPr="00661694">
          <w:rPr>
            <w:rStyle w:val="Hyperlink"/>
            <w:rFonts w:ascii="Arial" w:hAnsi="Arial" w:cs="Arial"/>
            <w:sz w:val="24"/>
            <w:szCs w:val="24"/>
          </w:rPr>
          <w:t>https://doi.org/10.3390/educsci16081260</w:t>
        </w:r>
      </w:hyperlink>
      <w:r w:rsidRPr="00661694">
        <w:rPr>
          <w:rFonts w:ascii="Arial" w:hAnsi="Arial" w:cs="Arial"/>
          <w:sz w:val="24"/>
          <w:szCs w:val="24"/>
        </w:rPr>
        <w:t xml:space="preserve">  </w:t>
      </w:r>
    </w:p>
    <w:p w14:paraId="3064807F" w14:textId="77777777" w:rsidR="008E7593" w:rsidRPr="00661694" w:rsidRDefault="008E7593" w:rsidP="008E7593">
      <w:pPr>
        <w:spacing w:line="360" w:lineRule="auto"/>
        <w:rPr>
          <w:rFonts w:ascii="Arial" w:hAnsi="Arial" w:cs="Arial"/>
          <w:sz w:val="24"/>
          <w:szCs w:val="24"/>
        </w:rPr>
      </w:pPr>
      <w:proofErr w:type="spellStart"/>
      <w:r w:rsidRPr="00661694">
        <w:rPr>
          <w:rFonts w:ascii="Arial" w:hAnsi="Arial" w:cs="Arial"/>
          <w:sz w:val="24"/>
          <w:szCs w:val="24"/>
        </w:rPr>
        <w:t>Mallawaarachchi</w:t>
      </w:r>
      <w:proofErr w:type="spellEnd"/>
      <w:r w:rsidRPr="00661694">
        <w:rPr>
          <w:rFonts w:ascii="Arial" w:hAnsi="Arial" w:cs="Arial"/>
          <w:sz w:val="24"/>
          <w:szCs w:val="24"/>
        </w:rPr>
        <w:t xml:space="preserve">, S. </w:t>
      </w:r>
      <w:r w:rsidRPr="00661694">
        <w:rPr>
          <w:rFonts w:ascii="Arial" w:hAnsi="Arial" w:cs="Arial"/>
          <w:i/>
          <w:iCs/>
          <w:sz w:val="24"/>
          <w:szCs w:val="24"/>
        </w:rPr>
        <w:t>et al</w:t>
      </w:r>
      <w:r w:rsidRPr="00661694">
        <w:rPr>
          <w:rFonts w:ascii="Arial" w:hAnsi="Arial" w:cs="Arial"/>
          <w:sz w:val="24"/>
          <w:szCs w:val="24"/>
        </w:rPr>
        <w:t>. (2024) ‘Early childhood screen use contexts and cognitive and psychosocial outcomes</w:t>
      </w:r>
      <w:r>
        <w:rPr>
          <w:rFonts w:ascii="Arial" w:hAnsi="Arial" w:cs="Arial"/>
          <w:sz w:val="24"/>
          <w:szCs w:val="24"/>
        </w:rPr>
        <w:t>: a systemic review and meta-analysis</w:t>
      </w:r>
      <w:r w:rsidRPr="00661694">
        <w:rPr>
          <w:rFonts w:ascii="Arial" w:hAnsi="Arial" w:cs="Arial"/>
          <w:sz w:val="24"/>
          <w:szCs w:val="24"/>
        </w:rPr>
        <w:t xml:space="preserve">’, </w:t>
      </w:r>
      <w:r w:rsidRPr="00661694">
        <w:rPr>
          <w:rFonts w:ascii="Arial" w:hAnsi="Arial" w:cs="Arial"/>
          <w:i/>
          <w:iCs/>
          <w:sz w:val="24"/>
          <w:szCs w:val="24"/>
        </w:rPr>
        <w:t xml:space="preserve">JAMA </w:t>
      </w:r>
      <w:proofErr w:type="spellStart"/>
      <w:r w:rsidRPr="00661694">
        <w:rPr>
          <w:rFonts w:ascii="Arial" w:hAnsi="Arial" w:cs="Arial"/>
          <w:i/>
          <w:iCs/>
          <w:sz w:val="24"/>
          <w:szCs w:val="24"/>
        </w:rPr>
        <w:t>Pediatrics</w:t>
      </w:r>
      <w:proofErr w:type="spellEnd"/>
      <w:r w:rsidRPr="00661694">
        <w:rPr>
          <w:rFonts w:ascii="Arial" w:hAnsi="Arial" w:cs="Arial"/>
          <w:sz w:val="24"/>
          <w:szCs w:val="24"/>
        </w:rPr>
        <w:t xml:space="preserve">, 178(10), pp. 1017-1026. Available at: </w:t>
      </w:r>
      <w:hyperlink r:id="rId12" w:history="1">
        <w:r w:rsidRPr="00661694">
          <w:rPr>
            <w:rStyle w:val="Hyperlink"/>
            <w:rFonts w:ascii="Arial" w:hAnsi="Arial" w:cs="Arial"/>
            <w:sz w:val="24"/>
            <w:szCs w:val="24"/>
          </w:rPr>
          <w:t>https://doi.org/10.1001/jamapediatrics.2024.2620</w:t>
        </w:r>
      </w:hyperlink>
      <w:r w:rsidRPr="00661694">
        <w:rPr>
          <w:rFonts w:ascii="Arial" w:hAnsi="Arial" w:cs="Arial"/>
          <w:sz w:val="24"/>
          <w:szCs w:val="24"/>
        </w:rPr>
        <w:t xml:space="preserve"> </w:t>
      </w:r>
    </w:p>
    <w:p w14:paraId="1AA25E62" w14:textId="77777777" w:rsidR="008E7593" w:rsidRPr="00661694" w:rsidRDefault="008E7593" w:rsidP="008E7593">
      <w:pPr>
        <w:spacing w:line="360" w:lineRule="auto"/>
        <w:rPr>
          <w:rFonts w:ascii="Arial" w:hAnsi="Arial" w:cs="Arial"/>
          <w:sz w:val="24"/>
          <w:szCs w:val="24"/>
        </w:rPr>
      </w:pPr>
      <w:r w:rsidRPr="00661694">
        <w:rPr>
          <w:rFonts w:ascii="Arial" w:hAnsi="Arial" w:cs="Arial"/>
          <w:sz w:val="24"/>
          <w:szCs w:val="24"/>
        </w:rPr>
        <w:t>Plowman, L. and Stephen, C. (2013) ‘Guided interaction: Exploring how adults can support children’s learning with technology in preschool settings’</w:t>
      </w:r>
      <w:r w:rsidRPr="00661694">
        <w:rPr>
          <w:rFonts w:ascii="Arial" w:hAnsi="Arial" w:cs="Arial"/>
          <w:i/>
          <w:iCs/>
          <w:sz w:val="24"/>
          <w:szCs w:val="24"/>
        </w:rPr>
        <w:t xml:space="preserve">, Hong Kong Journal </w:t>
      </w:r>
      <w:r w:rsidRPr="00661694">
        <w:rPr>
          <w:rFonts w:ascii="Arial" w:hAnsi="Arial" w:cs="Arial"/>
          <w:i/>
          <w:iCs/>
          <w:sz w:val="24"/>
          <w:szCs w:val="24"/>
        </w:rPr>
        <w:lastRenderedPageBreak/>
        <w:t>of Early Childhood</w:t>
      </w:r>
      <w:r w:rsidRPr="00661694">
        <w:rPr>
          <w:rFonts w:ascii="Arial" w:hAnsi="Arial" w:cs="Arial"/>
          <w:sz w:val="24"/>
          <w:szCs w:val="24"/>
        </w:rPr>
        <w:t xml:space="preserve">, 12(1), pp. 15–22. Available at: </w:t>
      </w:r>
      <w:hyperlink r:id="rId13" w:history="1">
        <w:r w:rsidRPr="00661694">
          <w:rPr>
            <w:rStyle w:val="Hyperlink"/>
            <w:rFonts w:ascii="Arial" w:hAnsi="Arial" w:cs="Arial"/>
            <w:sz w:val="24"/>
            <w:szCs w:val="24"/>
          </w:rPr>
          <w:t>https://www.stir.ac.uk/research/hub/publication/669595</w:t>
        </w:r>
      </w:hyperlink>
      <w:r w:rsidRPr="00661694">
        <w:rPr>
          <w:rFonts w:ascii="Arial" w:hAnsi="Arial" w:cs="Arial"/>
          <w:sz w:val="24"/>
          <w:szCs w:val="24"/>
        </w:rPr>
        <w:t xml:space="preserve">  (Accessed: 8 October 2026).</w:t>
      </w:r>
    </w:p>
    <w:p w14:paraId="620B8BB3" w14:textId="77777777" w:rsidR="008E7593" w:rsidRPr="00661694" w:rsidRDefault="008E7593" w:rsidP="008E7593">
      <w:pPr>
        <w:spacing w:line="360" w:lineRule="auto"/>
        <w:rPr>
          <w:rFonts w:ascii="Arial" w:hAnsi="Arial" w:cs="Arial"/>
          <w:sz w:val="24"/>
          <w:szCs w:val="24"/>
        </w:rPr>
      </w:pPr>
      <w:r w:rsidRPr="00661694">
        <w:rPr>
          <w:rFonts w:ascii="Arial" w:hAnsi="Arial" w:cs="Arial"/>
          <w:sz w:val="24"/>
          <w:szCs w:val="24"/>
        </w:rPr>
        <w:t xml:space="preserve">Rogoff, B. (1995) ‘Observing sociocultural activity on three planes: Participatory appropriation, guided participation, and apprenticeship’, in J. V. </w:t>
      </w:r>
      <w:proofErr w:type="spellStart"/>
      <w:r w:rsidRPr="00661694">
        <w:rPr>
          <w:rFonts w:ascii="Arial" w:hAnsi="Arial" w:cs="Arial"/>
          <w:sz w:val="24"/>
          <w:szCs w:val="24"/>
        </w:rPr>
        <w:t>Wertsch</w:t>
      </w:r>
      <w:proofErr w:type="spellEnd"/>
      <w:r w:rsidRPr="00661694">
        <w:rPr>
          <w:rFonts w:ascii="Arial" w:hAnsi="Arial" w:cs="Arial"/>
          <w:sz w:val="24"/>
          <w:szCs w:val="24"/>
        </w:rPr>
        <w:t xml:space="preserve">, P. del Rio, and A. Alvarez (eds) </w:t>
      </w:r>
      <w:r w:rsidRPr="00661694">
        <w:rPr>
          <w:rFonts w:ascii="Arial" w:hAnsi="Arial" w:cs="Arial"/>
          <w:i/>
          <w:iCs/>
          <w:sz w:val="24"/>
          <w:szCs w:val="24"/>
        </w:rPr>
        <w:t>Sociocultural Studies of Mind</w:t>
      </w:r>
      <w:r w:rsidRPr="00661694">
        <w:rPr>
          <w:rFonts w:ascii="Arial" w:hAnsi="Arial" w:cs="Arial"/>
          <w:sz w:val="24"/>
          <w:szCs w:val="24"/>
        </w:rPr>
        <w:t xml:space="preserve">. Cambridge: Cambridge University Press, pp. 139–164. Available at: </w:t>
      </w:r>
      <w:hyperlink r:id="rId14" w:history="1">
        <w:r w:rsidRPr="00661694">
          <w:rPr>
            <w:rStyle w:val="Hyperlink"/>
            <w:rFonts w:ascii="Arial" w:hAnsi="Arial" w:cs="Arial"/>
            <w:sz w:val="24"/>
            <w:szCs w:val="24"/>
          </w:rPr>
          <w:t>https://doi.org/10.1017/CBO9781139174299.008</w:t>
        </w:r>
      </w:hyperlink>
      <w:r w:rsidRPr="00661694">
        <w:rPr>
          <w:rFonts w:ascii="Arial" w:hAnsi="Arial" w:cs="Arial"/>
          <w:sz w:val="24"/>
          <w:szCs w:val="24"/>
        </w:rPr>
        <w:t xml:space="preserve"> </w:t>
      </w:r>
    </w:p>
    <w:p w14:paraId="6FFB3169" w14:textId="77777777" w:rsidR="008E7593" w:rsidRPr="00661694" w:rsidRDefault="008E7593" w:rsidP="008E7593">
      <w:pPr>
        <w:spacing w:line="360" w:lineRule="auto"/>
        <w:rPr>
          <w:rFonts w:ascii="Arial" w:hAnsi="Arial" w:cs="Arial"/>
          <w:sz w:val="24"/>
          <w:szCs w:val="24"/>
        </w:rPr>
      </w:pPr>
      <w:r w:rsidRPr="00661694">
        <w:rPr>
          <w:rFonts w:ascii="Arial" w:hAnsi="Arial" w:cs="Arial"/>
          <w:sz w:val="24"/>
          <w:szCs w:val="24"/>
        </w:rPr>
        <w:t xml:space="preserve">Taylor, G., Sala, G., Kolak, J., Gerhardstein, P. and Lingwood, J. (2024) ‘Does adult-child co-use during digital media use improve children’s learning aged 0–6 years? A systematic review with meta-analysis’, </w:t>
      </w:r>
      <w:r w:rsidRPr="00661694">
        <w:rPr>
          <w:rFonts w:ascii="Arial" w:hAnsi="Arial" w:cs="Arial"/>
          <w:i/>
          <w:iCs/>
          <w:sz w:val="24"/>
          <w:szCs w:val="24"/>
        </w:rPr>
        <w:t>Educational Research Review</w:t>
      </w:r>
      <w:r w:rsidRPr="00661694">
        <w:rPr>
          <w:rFonts w:ascii="Arial" w:hAnsi="Arial" w:cs="Arial"/>
          <w:sz w:val="24"/>
          <w:szCs w:val="24"/>
        </w:rPr>
        <w:t xml:space="preserve">, 44, article 100614. Available at: </w:t>
      </w:r>
      <w:hyperlink r:id="rId15" w:history="1">
        <w:r w:rsidRPr="00661694">
          <w:rPr>
            <w:rStyle w:val="Hyperlink"/>
            <w:rFonts w:ascii="Arial" w:hAnsi="Arial" w:cs="Arial"/>
            <w:sz w:val="24"/>
            <w:szCs w:val="24"/>
          </w:rPr>
          <w:t>https://doi.org/10.1016/j.edurev.2024.100614</w:t>
        </w:r>
      </w:hyperlink>
      <w:r w:rsidRPr="00661694">
        <w:rPr>
          <w:rFonts w:ascii="Arial" w:hAnsi="Arial" w:cs="Arial"/>
          <w:sz w:val="24"/>
          <w:szCs w:val="24"/>
        </w:rPr>
        <w:t xml:space="preserve"> </w:t>
      </w:r>
    </w:p>
    <w:p w14:paraId="12A36BC1" w14:textId="77777777" w:rsidR="008E7593" w:rsidRPr="00661694" w:rsidRDefault="008E7593" w:rsidP="008E7593">
      <w:pPr>
        <w:spacing w:line="360" w:lineRule="auto"/>
        <w:rPr>
          <w:rFonts w:ascii="Arial" w:hAnsi="Arial" w:cs="Arial"/>
          <w:sz w:val="24"/>
          <w:szCs w:val="24"/>
        </w:rPr>
      </w:pPr>
      <w:r w:rsidRPr="00661694">
        <w:rPr>
          <w:rFonts w:ascii="Arial" w:hAnsi="Arial" w:cs="Arial"/>
          <w:sz w:val="24"/>
          <w:szCs w:val="24"/>
        </w:rPr>
        <w:t xml:space="preserve">Welsh Government (2022) </w:t>
      </w:r>
      <w:r w:rsidRPr="00661694">
        <w:rPr>
          <w:rFonts w:ascii="Arial" w:hAnsi="Arial" w:cs="Arial"/>
          <w:i/>
          <w:iCs/>
          <w:sz w:val="24"/>
          <w:szCs w:val="24"/>
        </w:rPr>
        <w:t>Digital competence framework (DCF)</w:t>
      </w:r>
      <w:r w:rsidRPr="00661694">
        <w:rPr>
          <w:rFonts w:ascii="Arial" w:hAnsi="Arial" w:cs="Arial"/>
          <w:sz w:val="24"/>
          <w:szCs w:val="24"/>
        </w:rPr>
        <w:t xml:space="preserve">. Available at: </w:t>
      </w:r>
      <w:hyperlink r:id="rId16" w:history="1">
        <w:r w:rsidRPr="00661694">
          <w:rPr>
            <w:rStyle w:val="Hyperlink"/>
            <w:rFonts w:ascii="Arial" w:hAnsi="Arial" w:cs="Arial"/>
            <w:sz w:val="24"/>
            <w:szCs w:val="24"/>
          </w:rPr>
          <w:t>https://hwb.gov.wales/curriculum-for-wales/cross-curricular-skills-frameworks/digital-competence-framework-dcf/</w:t>
        </w:r>
      </w:hyperlink>
      <w:r w:rsidRPr="00661694">
        <w:rPr>
          <w:rFonts w:ascii="Arial" w:hAnsi="Arial" w:cs="Arial"/>
          <w:sz w:val="24"/>
          <w:szCs w:val="24"/>
        </w:rPr>
        <w:t xml:space="preserve">  (Accessed: 8 October 2026).</w:t>
      </w:r>
    </w:p>
    <w:p w14:paraId="22698017" w14:textId="77777777" w:rsidR="008E7593" w:rsidRPr="00661694" w:rsidRDefault="008E7593" w:rsidP="008E7593">
      <w:pPr>
        <w:spacing w:line="360" w:lineRule="auto"/>
        <w:rPr>
          <w:rFonts w:ascii="Arial" w:hAnsi="Arial" w:cs="Arial"/>
          <w:sz w:val="24"/>
          <w:szCs w:val="24"/>
        </w:rPr>
      </w:pPr>
      <w:r w:rsidRPr="00661694">
        <w:rPr>
          <w:rFonts w:ascii="Arial" w:hAnsi="Arial" w:cs="Arial"/>
          <w:sz w:val="24"/>
          <w:szCs w:val="24"/>
        </w:rPr>
        <w:t>Welsh Government (2022)</w:t>
      </w:r>
      <w:r w:rsidRPr="00661694">
        <w:rPr>
          <w:rFonts w:ascii="Arial" w:hAnsi="Arial" w:cs="Arial"/>
          <w:i/>
          <w:iCs/>
          <w:sz w:val="24"/>
          <w:szCs w:val="24"/>
        </w:rPr>
        <w:t xml:space="preserve"> Science and technology: Designing your curriculum - HWB</w:t>
      </w:r>
      <w:r w:rsidRPr="00661694">
        <w:rPr>
          <w:rFonts w:ascii="Arial" w:hAnsi="Arial" w:cs="Arial"/>
          <w:sz w:val="24"/>
          <w:szCs w:val="24"/>
        </w:rPr>
        <w:t xml:space="preserve"> (no date) </w:t>
      </w:r>
      <w:proofErr w:type="spellStart"/>
      <w:r w:rsidRPr="00661694">
        <w:rPr>
          <w:rFonts w:ascii="Arial" w:hAnsi="Arial" w:cs="Arial"/>
          <w:i/>
          <w:iCs/>
          <w:sz w:val="24"/>
          <w:szCs w:val="24"/>
        </w:rPr>
        <w:t>hwb.gov.wales</w:t>
      </w:r>
      <w:proofErr w:type="spellEnd"/>
      <w:r w:rsidRPr="00661694">
        <w:rPr>
          <w:rFonts w:ascii="Arial" w:hAnsi="Arial" w:cs="Arial"/>
          <w:sz w:val="24"/>
          <w:szCs w:val="24"/>
        </w:rPr>
        <w:t xml:space="preserve">. Available at: </w:t>
      </w:r>
      <w:hyperlink r:id="rId17" w:history="1">
        <w:r w:rsidRPr="00661694">
          <w:rPr>
            <w:rStyle w:val="Hyperlink"/>
            <w:rFonts w:ascii="Arial" w:hAnsi="Arial" w:cs="Arial"/>
            <w:sz w:val="24"/>
            <w:szCs w:val="24"/>
          </w:rPr>
          <w:t>https://hwb.gov.wales/curriculum-for-wales/science-and-technology/designing-your-curriculum/</w:t>
        </w:r>
      </w:hyperlink>
      <w:r w:rsidRPr="00661694">
        <w:rPr>
          <w:rFonts w:ascii="Arial" w:hAnsi="Arial" w:cs="Arial"/>
          <w:sz w:val="24"/>
          <w:szCs w:val="24"/>
        </w:rPr>
        <w:t xml:space="preserve">  (Accessed: 8 October 2026). </w:t>
      </w:r>
    </w:p>
    <w:p w14:paraId="19B17206" w14:textId="77777777" w:rsidR="005846F3" w:rsidRDefault="005846F3"/>
    <w:p w14:paraId="5DB37D84" w14:textId="77777777" w:rsidR="008E7593" w:rsidRDefault="008E7593"/>
    <w:p w14:paraId="29C53585" w14:textId="77777777" w:rsidR="008E7593" w:rsidRDefault="008E7593"/>
    <w:p w14:paraId="3DF18B43" w14:textId="77777777" w:rsidR="008E7593" w:rsidRDefault="008E7593"/>
    <w:p w14:paraId="02E0B4A1" w14:textId="77777777" w:rsidR="008E7593" w:rsidRDefault="008E7593"/>
    <w:p w14:paraId="62414FE3" w14:textId="77777777" w:rsidR="008E7593" w:rsidRDefault="008E7593"/>
    <w:p w14:paraId="3E95CB10" w14:textId="77777777" w:rsidR="008E7593" w:rsidRDefault="008E7593"/>
    <w:p w14:paraId="62572068" w14:textId="77777777" w:rsidR="008E7593" w:rsidRDefault="008E7593"/>
    <w:p w14:paraId="1A0BA99F" w14:textId="77777777" w:rsidR="008E7593" w:rsidRDefault="008E7593"/>
    <w:p w14:paraId="09E72B1C" w14:textId="77777777" w:rsidR="008E7593" w:rsidRDefault="008E7593"/>
    <w:p w14:paraId="7AD6CB55" w14:textId="77777777" w:rsidR="008E7593" w:rsidRDefault="008E7593"/>
    <w:p w14:paraId="402D0CB0" w14:textId="77777777" w:rsidR="008E7593" w:rsidRDefault="008E7593"/>
    <w:p w14:paraId="0066A76E"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lastRenderedPageBreak/>
        <w:t>Qualitative research explores people’s behaviours, experiences and interactions. It helps researchers understand how and why things occur. Hammersley (2013, cited in Cohen, Manion and Morrison, 2018) describes qualitative research as a form of social inquiry that is data-driven and flexible, using unstructured data to highlight the role of subjectivity in the research process. This approach allows researchers to study naturally occurring situations in greater detail, focusing on people’s experiences and behaviours rather than just statistics. Similarly, Lim (2024) highlights how qualitative research gives a unique view to explore context and experience.</w:t>
      </w:r>
    </w:p>
    <w:p w14:paraId="7D31DD5B"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This is especially important to my research as I want to investigate how practitioners’ interactions, guidance and support influence children’s experiences when using digital technologies. Qualitative research will help me see whether and how the practitioner’s encouragement influences the child’s confidence, if the guidance helps the child overcome the difficulty they are facing, if the interaction hinders the child’s exploration or independence. It will also help me to understand how the practitioner offers guidance, whether through questions or by giving instructions.</w:t>
      </w:r>
    </w:p>
    <w:p w14:paraId="7D05E750"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Qualitative research will provide a deeper understanding of these interactions and their influence on children’s experiences, rather than simply measuring how often practitioners offer support.</w:t>
      </w:r>
    </w:p>
    <w:p w14:paraId="6687EF02"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Naturalistic observations involve observing behaviour in everyday settings without interference. Bradley (2021, pp. 26–27) explains that this allows the researcher to record people’s behaviours in everyday environments as they naturally occur. It limits interference and control over what is happening during the observation. A familiar environment allows participants to behave more naturally, which may make the findings more relevant to everyday settings.</w:t>
      </w:r>
    </w:p>
    <w:p w14:paraId="07E8FED0"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This is supported by Lambert (2019), who explains that observations involve examining educator–learner interactions, highlighting the teaching strategies used and the resources available.</w:t>
      </w:r>
    </w:p>
    <w:p w14:paraId="1084384C"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lastRenderedPageBreak/>
        <w:t>I believe that observations are the best approach for my research because they allow participants to feel more comfortable in their everyday setting and routine. They allow me to observe the use of digital technologies without unnecessarily disrupting the participants. I want to understand the way practitioners offer guidance and support rather than just knowing they offered support. I want to see how these interactions impact the participants rather than relying on practitioners explaining their actions afterwards.</w:t>
      </w:r>
    </w:p>
    <w:p w14:paraId="3B708112"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I also believe naturalistic observations are an age-appropriate method for young children, as they allow children to continue with familiar activities without needing to answer questions or explain their experiences verbally. This allows me to observe their responses to practitioners’ guidance and support in a way that is suitable for their age and development.</w:t>
      </w:r>
    </w:p>
    <w:p w14:paraId="661451A0"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For my research, I want to take written notes and make video recordings of the observations as they occur. I would select four practitioners in their early years setting as they carry out a digital activity. I will observe each practitioner twice for a duration of 20–30 minutes. The use of video will allow me to review the interactions afterwards and use them to support my semi-structured interviews. I will be paying close attention to how practitioners offer guidance and support and how children respond.</w:t>
      </w:r>
    </w:p>
    <w:p w14:paraId="348C48E8"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One limitation of naturalistic observations is the Hawthorne effect. Oswald, Sherratt and Smith (2014) explain that people may change their normal behaviour when they know they are being watched or studied. This could influence my research because practitioners may offer more guidance and support than they usually would. To reduce this, I would try to make practitioners feel comfortable and relaxed so they can carry on with their normal routines.</w:t>
      </w:r>
    </w:p>
    <w:p w14:paraId="04D5C7B3"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I chose observations rather than questionnaires because questionnaires would rely on practitioners describing how they support children. By observing them directly, I can see how they offer guidance and how children respond during the activity, rather than relying only on what practitioners say they do.</w:t>
      </w:r>
    </w:p>
    <w:p w14:paraId="185AC238"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lastRenderedPageBreak/>
        <w:t>Semi-structured interviews are prepared with topics and questions but allow flexibility to change the wording or ask follow-up questions as the interview progresses (</w:t>
      </w:r>
      <w:proofErr w:type="spellStart"/>
      <w:r w:rsidRPr="005228E9">
        <w:rPr>
          <w:rFonts w:ascii="Arial" w:eastAsia="Yu Mincho" w:hAnsi="Arial" w:cs="Arial"/>
          <w:kern w:val="0"/>
          <w:sz w:val="24"/>
          <w:szCs w:val="24"/>
          <w:lang w:eastAsia="en-GB"/>
          <w14:ligatures w14:val="none"/>
        </w:rPr>
        <w:t>DeJonckheere</w:t>
      </w:r>
      <w:proofErr w:type="spellEnd"/>
      <w:r w:rsidRPr="005228E9">
        <w:rPr>
          <w:rFonts w:ascii="Arial" w:eastAsia="Yu Mincho" w:hAnsi="Arial" w:cs="Arial"/>
          <w:kern w:val="0"/>
          <w:sz w:val="24"/>
          <w:szCs w:val="24"/>
          <w:lang w:eastAsia="en-GB"/>
          <w14:ligatures w14:val="none"/>
        </w:rPr>
        <w:t xml:space="preserve"> and Vaughn, 2019).</w:t>
      </w:r>
    </w:p>
    <w:p w14:paraId="6CD9ADEA"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Having a prepared interview guide helps to give structure to the process without making it too rigid. Kallio et al. (2016) highlight how an interview guide can provide structure but add that it doesn’t need to be strictly followed. They also discuss the importance of considering what information needs to be collected.</w:t>
      </w:r>
    </w:p>
    <w:p w14:paraId="75F1E676"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For my research, I would prepare open-ended questions about how practitioners guide and support children using digital technology but allow for flexibility to explore their answers further.</w:t>
      </w:r>
    </w:p>
    <w:p w14:paraId="5C2331D4"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Video-stimulated recall is the process of showing participants recordings of their own behaviour. This may help them remember what happened and reflect on why it happened.</w:t>
      </w:r>
    </w:p>
    <w:p w14:paraId="4D3B80AF"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Paskins et al. (2017) explain that video recordings can help participants explore their beliefs, feelings and thoughts surrounding previous interactions.</w:t>
      </w:r>
    </w:p>
    <w:p w14:paraId="7EC49E46"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I would also pair my semi-structured interviews with video-stimulated recall, showing selected clips from my observation recordings. This will give practitioners a chance to reflect on the interactions and guidance they offered. It will also give me the opportunity to gain a deeper understanding of the practitioners’ experiences and interactions.</w:t>
      </w:r>
    </w:p>
    <w:p w14:paraId="57F8E86D"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A limitation of semi-structured interviews is that participants may struggle to remember why they performed a particular action or offered certain guidance.</w:t>
      </w:r>
    </w:p>
    <w:p w14:paraId="02F98753"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Paskins et al. (2017) highlight how participants can have difficulty recalling previous events accurately, meaning important details may be forgotten.</w:t>
      </w:r>
    </w:p>
    <w:p w14:paraId="39C939F1"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Even with the assistance of video recordings, practitioners may not remember everything they were thinking at the time.</w:t>
      </w:r>
    </w:p>
    <w:p w14:paraId="77C0B4A2"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lastRenderedPageBreak/>
        <w:t>I chose semi-structured interviews rather than structured interviews because they allow more flexibility to explore the reasons behind practitioners’ actions and gain a deeper understanding of why they offer particular guidance and support. Structured interviews follow a more rigid format, which may limit the opportunity to explore answers further and could mean missing important information relevant to my research.</w:t>
      </w:r>
    </w:p>
    <w:p w14:paraId="36DE92C7"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Purposive sampling involves deliberately selecting participants who are best suited to the research. These participants will have particular knowledge or experience that is relevant to the research being undertaken. Campbell et al. (2020) explain that purposive sampling matches participants to the aims and objectives of the research, helping to improve the trustworthiness of the findings.</w:t>
      </w:r>
    </w:p>
    <w:p w14:paraId="13B1B3BD"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For my research, I would select four early-years practitioners who are currently working in an early-years setting and regularly support children using digital technology. Their knowledge and experiences would be directly relevant to my research question.</w:t>
      </w:r>
    </w:p>
    <w:p w14:paraId="23490C2A"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I chose purposive sampling because I am looking for a specific group of participants who have experience in providing guidance and support to children using digital technology. This experience is important because I want to observe how they offer support during digital activities. Purposive sampling allows me to select participants with relevant knowledge and experience, whereas voluntary sampling could result in participants who do not have the experience needed for my research.</w:t>
      </w:r>
    </w:p>
    <w:p w14:paraId="44646B11"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One limitation of purposive sampling in my research is the small sample size. As I am only selecting four practitioners, this may limit the amount and variety of information I collect. A larger sample could provide a wider range of experiences and perspectives, whereas a smaller sample may affect the depth and breadth of my findings.</w:t>
      </w:r>
    </w:p>
    <w:p w14:paraId="5B6C53C6"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Thematic analysis involves examining qualitative data to identify patterns and common themes that run through it.</w:t>
      </w:r>
    </w:p>
    <w:p w14:paraId="65D6C2A5"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lastRenderedPageBreak/>
        <w:t>Naeem et al. (2023) explain that thematic analysis involves identifying and reporting patterns found within the data. They describe the steps involved in this process, including becoming familiar with the data, identifying keywords, coding and developing themes.</w:t>
      </w:r>
    </w:p>
    <w:p w14:paraId="7AF62D79"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For my research, I would review my observation notes, video recordings and interviews to identify common patterns or themes in how practitioners offer guidance and support and how they interact with children during digital activities.</w:t>
      </w:r>
    </w:p>
    <w:p w14:paraId="513B6C9F"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Triangulation is the process of comparing and combining different sources of evidence to gain a better understanding of the research topic.</w:t>
      </w:r>
    </w:p>
    <w:p w14:paraId="6FC2FEBA"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Roberts-Holmes (2018, p. 84) supports this by explaining that triangulation allows researchers to compare evidence from different methods, which in turn helps to strengthen the validity of their findings.</w:t>
      </w:r>
    </w:p>
    <w:p w14:paraId="26B32626"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For my research, I would compare what practitioners say during interviews with what I observed during the digital activities. This would help me understand whether the guidance and support they provided matches the explanations they gave during their interviews.</w:t>
      </w:r>
    </w:p>
    <w:p w14:paraId="41CB4DF5"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The Halo effect is a type of bias that can occur without the researcher being aware of it. It happens when an impression of someone influences how we judge their behaviours or qualities.</w:t>
      </w:r>
    </w:p>
    <w:p w14:paraId="2F7A74CA"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Gabrieli et al. (2021) explain that the Halo effect occurs when an impression formed about one characteristic of a person influences how we judge their other characteristics. This can lead to judgements being influenced by our own impressions rather than what we actually observe.</w:t>
      </w:r>
    </w:p>
    <w:p w14:paraId="07DF397C"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This could affect my research as I may judge a practitioner’s actions based on my personal opinion of them rather than what I actually observe. To reduce this bias, I would need to be aware of my own views and focus on the evidence collected through my observations and recordings rather than any preconceived opinions.</w:t>
      </w:r>
    </w:p>
    <w:p w14:paraId="19AD0432"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lastRenderedPageBreak/>
        <w:t>I chose thematic analysis because I want to identify common patterns in how practitioners offer guidance and support during digital activities. This will help me gain a deeper understanding of how these interactions influence children’s experiences, rather than simply counting how often support is provided.</w:t>
      </w:r>
    </w:p>
    <w:p w14:paraId="1D86A3D8"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p>
    <w:p w14:paraId="5148595A"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p>
    <w:p w14:paraId="5F98C143"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p>
    <w:p w14:paraId="023B12F1" w14:textId="77777777" w:rsidR="005228E9" w:rsidRPr="005228E9" w:rsidRDefault="005228E9" w:rsidP="005228E9">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52FE317B" w14:textId="77777777" w:rsidR="003537F4" w:rsidRDefault="003537F4" w:rsidP="005228E9">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7C710D0A" w14:textId="77777777" w:rsidR="003537F4" w:rsidRDefault="003537F4" w:rsidP="005228E9">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73094E1C" w14:textId="77777777" w:rsidR="003537F4" w:rsidRDefault="003537F4" w:rsidP="005228E9">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5E96D49F" w14:textId="77777777" w:rsidR="003537F4" w:rsidRDefault="003537F4" w:rsidP="005228E9">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55FC3BF" w14:textId="77777777" w:rsidR="003537F4" w:rsidRDefault="003537F4" w:rsidP="005228E9">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372A0AED" w14:textId="77777777" w:rsidR="003537F4" w:rsidRDefault="003537F4" w:rsidP="005228E9">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796486D0" w14:textId="77777777" w:rsidR="003537F4" w:rsidRDefault="003537F4" w:rsidP="005228E9">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084AF333" w14:textId="77777777" w:rsidR="003537F4" w:rsidRDefault="003537F4" w:rsidP="005228E9">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1C0E578C" w14:textId="77777777" w:rsidR="003537F4" w:rsidRDefault="003537F4" w:rsidP="005228E9">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7D289417" w14:textId="77777777" w:rsidR="003537F4" w:rsidRDefault="003537F4" w:rsidP="005228E9">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080DD35B" w14:textId="77777777" w:rsidR="003537F4" w:rsidRDefault="003537F4" w:rsidP="005228E9">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4EA87E81" w14:textId="77777777" w:rsidR="003537F4" w:rsidRDefault="003537F4" w:rsidP="005228E9">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67B53B46" w14:textId="77777777" w:rsidR="003537F4" w:rsidRDefault="003537F4" w:rsidP="005228E9">
      <w:pPr>
        <w:spacing w:before="100" w:beforeAutospacing="1" w:after="100" w:afterAutospacing="1" w:line="360" w:lineRule="auto"/>
        <w:rPr>
          <w:rFonts w:ascii="Arial" w:eastAsia="Times New Roman" w:hAnsi="Arial" w:cs="Arial"/>
          <w:b/>
          <w:bCs/>
          <w:kern w:val="0"/>
          <w:sz w:val="24"/>
          <w:szCs w:val="24"/>
          <w:lang w:eastAsia="en-GB"/>
          <w14:ligatures w14:val="none"/>
        </w:rPr>
      </w:pPr>
    </w:p>
    <w:p w14:paraId="2F5254BC" w14:textId="310A002B" w:rsidR="005228E9" w:rsidRPr="003537F4" w:rsidRDefault="005228E9" w:rsidP="005228E9">
      <w:pPr>
        <w:spacing w:before="100" w:beforeAutospacing="1" w:after="100" w:afterAutospacing="1" w:line="360" w:lineRule="auto"/>
        <w:rPr>
          <w:rFonts w:ascii="Arial" w:eastAsia="Times New Roman" w:hAnsi="Arial" w:cs="Arial"/>
          <w:kern w:val="0"/>
          <w:sz w:val="24"/>
          <w:szCs w:val="24"/>
          <w:lang w:eastAsia="en-GB"/>
          <w14:ligatures w14:val="none"/>
        </w:rPr>
      </w:pPr>
      <w:r w:rsidRPr="003537F4">
        <w:rPr>
          <w:rFonts w:ascii="Arial" w:eastAsia="Times New Roman" w:hAnsi="Arial" w:cs="Arial"/>
          <w:kern w:val="0"/>
          <w:sz w:val="24"/>
          <w:szCs w:val="24"/>
          <w:lang w:eastAsia="en-GB"/>
          <w14:ligatures w14:val="none"/>
        </w:rPr>
        <w:lastRenderedPageBreak/>
        <w:t>Reference List.</w:t>
      </w:r>
    </w:p>
    <w:p w14:paraId="04897816"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 xml:space="preserve">Bradley, R. (2021) ‘Naturalistic child observation’, </w:t>
      </w:r>
      <w:r w:rsidRPr="005228E9">
        <w:rPr>
          <w:rFonts w:ascii="Arial" w:eastAsia="Yu Mincho" w:hAnsi="Arial" w:cs="Arial"/>
          <w:i/>
          <w:iCs/>
          <w:kern w:val="0"/>
          <w:sz w:val="24"/>
          <w:szCs w:val="24"/>
          <w:lang w:eastAsia="en-GB"/>
          <w14:ligatures w14:val="none"/>
        </w:rPr>
        <w:t>Gettysburg Social Sciences Review</w:t>
      </w:r>
      <w:r w:rsidRPr="005228E9">
        <w:rPr>
          <w:rFonts w:ascii="Arial" w:eastAsia="Yu Mincho" w:hAnsi="Arial" w:cs="Arial"/>
          <w:kern w:val="0"/>
          <w:sz w:val="24"/>
          <w:szCs w:val="24"/>
          <w:lang w:eastAsia="en-GB"/>
          <w14:ligatures w14:val="none"/>
        </w:rPr>
        <w:t xml:space="preserve">, 5(1), Article 3. Available at: </w:t>
      </w:r>
      <w:hyperlink r:id="rId18" w:history="1">
        <w:r w:rsidRPr="005228E9">
          <w:rPr>
            <w:rFonts w:ascii="Arial" w:eastAsia="Yu Mincho" w:hAnsi="Arial" w:cs="Arial"/>
            <w:color w:val="467886"/>
            <w:kern w:val="0"/>
            <w:sz w:val="24"/>
            <w:szCs w:val="24"/>
            <w:u w:val="single"/>
            <w:lang w:eastAsia="en-GB"/>
            <w14:ligatures w14:val="none"/>
          </w:rPr>
          <w:t>https://cupola.gettysburg.edu/gssr/vol5/iss1/3/</w:t>
        </w:r>
      </w:hyperlink>
      <w:r w:rsidRPr="005228E9">
        <w:rPr>
          <w:rFonts w:ascii="Arial" w:eastAsia="Yu Mincho" w:hAnsi="Arial" w:cs="Arial"/>
          <w:kern w:val="0"/>
          <w:sz w:val="24"/>
          <w:szCs w:val="24"/>
          <w:lang w:eastAsia="en-GB"/>
          <w14:ligatures w14:val="none"/>
        </w:rPr>
        <w:t xml:space="preserve"> </w:t>
      </w:r>
    </w:p>
    <w:p w14:paraId="28D0888F"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 xml:space="preserve">Campbell, S. et al. (2020) ‘Purposive sampling: complex or simple? Research case examples’, </w:t>
      </w:r>
      <w:r w:rsidRPr="005228E9">
        <w:rPr>
          <w:rFonts w:ascii="Arial" w:eastAsia="Yu Mincho" w:hAnsi="Arial" w:cs="Arial"/>
          <w:i/>
          <w:iCs/>
          <w:kern w:val="0"/>
          <w:sz w:val="24"/>
          <w:szCs w:val="24"/>
          <w:lang w:eastAsia="en-GB"/>
          <w14:ligatures w14:val="none"/>
        </w:rPr>
        <w:t>Journal of Research in Nursing</w:t>
      </w:r>
      <w:r w:rsidRPr="005228E9">
        <w:rPr>
          <w:rFonts w:ascii="Arial" w:eastAsia="Yu Mincho" w:hAnsi="Arial" w:cs="Arial"/>
          <w:kern w:val="0"/>
          <w:sz w:val="24"/>
          <w:szCs w:val="24"/>
          <w:lang w:eastAsia="en-GB"/>
          <w14:ligatures w14:val="none"/>
        </w:rPr>
        <w:t xml:space="preserve">, 25(8), pp. 652-661. Available at: </w:t>
      </w:r>
      <w:hyperlink r:id="rId19" w:history="1">
        <w:r w:rsidRPr="005228E9">
          <w:rPr>
            <w:rFonts w:ascii="Arial" w:eastAsia="Yu Mincho" w:hAnsi="Arial" w:cs="Arial"/>
            <w:color w:val="467886"/>
            <w:kern w:val="0"/>
            <w:sz w:val="24"/>
            <w:szCs w:val="24"/>
            <w:u w:val="single"/>
            <w:lang w:eastAsia="en-GB"/>
            <w14:ligatures w14:val="none"/>
          </w:rPr>
          <w:t>https://doi.org/10.1177/1744987120927206</w:t>
        </w:r>
      </w:hyperlink>
      <w:r w:rsidRPr="005228E9">
        <w:rPr>
          <w:rFonts w:ascii="Arial" w:eastAsia="Yu Mincho" w:hAnsi="Arial" w:cs="Arial"/>
          <w:kern w:val="0"/>
          <w:sz w:val="24"/>
          <w:szCs w:val="24"/>
          <w:lang w:eastAsia="en-GB"/>
          <w14:ligatures w14:val="none"/>
        </w:rPr>
        <w:t xml:space="preserve"> </w:t>
      </w:r>
    </w:p>
    <w:p w14:paraId="6313A200"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 xml:space="preserve">Cohen, L., Manion, L. and Morrison, K. (2018) </w:t>
      </w:r>
      <w:r w:rsidRPr="005228E9">
        <w:rPr>
          <w:rFonts w:ascii="Arial" w:eastAsia="Yu Mincho" w:hAnsi="Arial" w:cs="Arial"/>
          <w:i/>
          <w:iCs/>
          <w:kern w:val="0"/>
          <w:sz w:val="24"/>
          <w:szCs w:val="24"/>
          <w:lang w:eastAsia="en-GB"/>
          <w14:ligatures w14:val="none"/>
        </w:rPr>
        <w:t>Research Methods in Education</w:t>
      </w:r>
      <w:r w:rsidRPr="005228E9">
        <w:rPr>
          <w:rFonts w:ascii="Arial" w:eastAsia="Yu Mincho" w:hAnsi="Arial" w:cs="Arial"/>
          <w:kern w:val="0"/>
          <w:sz w:val="24"/>
          <w:szCs w:val="24"/>
          <w:lang w:eastAsia="en-GB"/>
          <w14:ligatures w14:val="none"/>
        </w:rPr>
        <w:t xml:space="preserve">. 8th </w:t>
      </w:r>
      <w:proofErr w:type="spellStart"/>
      <w:r w:rsidRPr="005228E9">
        <w:rPr>
          <w:rFonts w:ascii="Arial" w:eastAsia="Yu Mincho" w:hAnsi="Arial" w:cs="Arial"/>
          <w:kern w:val="0"/>
          <w:sz w:val="24"/>
          <w:szCs w:val="24"/>
          <w:lang w:eastAsia="en-GB"/>
          <w14:ligatures w14:val="none"/>
        </w:rPr>
        <w:t>edn</w:t>
      </w:r>
      <w:proofErr w:type="spellEnd"/>
      <w:r w:rsidRPr="005228E9">
        <w:rPr>
          <w:rFonts w:ascii="Arial" w:eastAsia="Yu Mincho" w:hAnsi="Arial" w:cs="Arial"/>
          <w:kern w:val="0"/>
          <w:sz w:val="24"/>
          <w:szCs w:val="24"/>
          <w:lang w:eastAsia="en-GB"/>
          <w14:ligatures w14:val="none"/>
        </w:rPr>
        <w:t>. London: Routledge.</w:t>
      </w:r>
    </w:p>
    <w:p w14:paraId="033AC1DB"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proofErr w:type="spellStart"/>
      <w:r w:rsidRPr="005228E9">
        <w:rPr>
          <w:rFonts w:ascii="Arial" w:eastAsia="Yu Mincho" w:hAnsi="Arial" w:cs="Arial"/>
          <w:kern w:val="0"/>
          <w:sz w:val="24"/>
          <w:szCs w:val="24"/>
          <w:lang w:eastAsia="en-GB"/>
          <w14:ligatures w14:val="none"/>
        </w:rPr>
        <w:t>DeJonckheere</w:t>
      </w:r>
      <w:proofErr w:type="spellEnd"/>
      <w:r w:rsidRPr="005228E9">
        <w:rPr>
          <w:rFonts w:ascii="Arial" w:eastAsia="Yu Mincho" w:hAnsi="Arial" w:cs="Arial"/>
          <w:kern w:val="0"/>
          <w:sz w:val="24"/>
          <w:szCs w:val="24"/>
          <w:lang w:eastAsia="en-GB"/>
          <w14:ligatures w14:val="none"/>
        </w:rPr>
        <w:t>, M. and Vaughn, L.M. (2019) ‘</w:t>
      </w:r>
      <w:proofErr w:type="spellStart"/>
      <w:r w:rsidRPr="005228E9">
        <w:rPr>
          <w:rFonts w:ascii="Arial" w:eastAsia="Yu Mincho" w:hAnsi="Arial" w:cs="Arial"/>
          <w:kern w:val="0"/>
          <w:sz w:val="24"/>
          <w:szCs w:val="24"/>
          <w:lang w:eastAsia="en-GB"/>
          <w14:ligatures w14:val="none"/>
        </w:rPr>
        <w:t>Semistructured</w:t>
      </w:r>
      <w:proofErr w:type="spellEnd"/>
      <w:r w:rsidRPr="005228E9">
        <w:rPr>
          <w:rFonts w:ascii="Arial" w:eastAsia="Yu Mincho" w:hAnsi="Arial" w:cs="Arial"/>
          <w:kern w:val="0"/>
          <w:sz w:val="24"/>
          <w:szCs w:val="24"/>
          <w:lang w:eastAsia="en-GB"/>
          <w14:ligatures w14:val="none"/>
        </w:rPr>
        <w:t xml:space="preserve"> interviewing in primary care research: a balance of relationship and rigour’, </w:t>
      </w:r>
      <w:r w:rsidRPr="005228E9">
        <w:rPr>
          <w:rFonts w:ascii="Arial" w:eastAsia="Yu Mincho" w:hAnsi="Arial" w:cs="Arial"/>
          <w:i/>
          <w:iCs/>
          <w:kern w:val="0"/>
          <w:sz w:val="24"/>
          <w:szCs w:val="24"/>
          <w:lang w:eastAsia="en-GB"/>
          <w14:ligatures w14:val="none"/>
        </w:rPr>
        <w:t>Family Medicine and Community Health</w:t>
      </w:r>
      <w:r w:rsidRPr="005228E9">
        <w:rPr>
          <w:rFonts w:ascii="Arial" w:eastAsia="Yu Mincho" w:hAnsi="Arial" w:cs="Arial"/>
          <w:kern w:val="0"/>
          <w:sz w:val="24"/>
          <w:szCs w:val="24"/>
          <w:lang w:eastAsia="en-GB"/>
          <w14:ligatures w14:val="none"/>
        </w:rPr>
        <w:t xml:space="preserve">, 7(2), e000057. Available at: </w:t>
      </w:r>
      <w:hyperlink r:id="rId20" w:history="1">
        <w:r w:rsidRPr="005228E9">
          <w:rPr>
            <w:rFonts w:ascii="Arial" w:eastAsia="Yu Mincho" w:hAnsi="Arial" w:cs="Arial"/>
            <w:color w:val="467886"/>
            <w:kern w:val="0"/>
            <w:sz w:val="24"/>
            <w:szCs w:val="24"/>
            <w:u w:val="single"/>
            <w:lang w:eastAsia="en-GB"/>
            <w14:ligatures w14:val="none"/>
          </w:rPr>
          <w:t>https://doi.org/10.1136/fmch-2018-000057</w:t>
        </w:r>
      </w:hyperlink>
      <w:r w:rsidRPr="005228E9">
        <w:rPr>
          <w:rFonts w:ascii="Arial" w:eastAsia="Yu Mincho" w:hAnsi="Arial" w:cs="Arial"/>
          <w:kern w:val="0"/>
          <w:sz w:val="24"/>
          <w:szCs w:val="24"/>
          <w:lang w:eastAsia="en-GB"/>
          <w14:ligatures w14:val="none"/>
        </w:rPr>
        <w:t xml:space="preserve"> </w:t>
      </w:r>
    </w:p>
    <w:p w14:paraId="002B9899"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 xml:space="preserve">Gabrieli, G., Lee, A., </w:t>
      </w:r>
      <w:proofErr w:type="spellStart"/>
      <w:r w:rsidRPr="005228E9">
        <w:rPr>
          <w:rFonts w:ascii="Arial" w:eastAsia="Yu Mincho" w:hAnsi="Arial" w:cs="Arial"/>
          <w:kern w:val="0"/>
          <w:sz w:val="24"/>
          <w:szCs w:val="24"/>
          <w:lang w:eastAsia="en-GB"/>
          <w14:ligatures w14:val="none"/>
        </w:rPr>
        <w:t>Setoh</w:t>
      </w:r>
      <w:proofErr w:type="spellEnd"/>
      <w:r w:rsidRPr="005228E9">
        <w:rPr>
          <w:rFonts w:ascii="Arial" w:eastAsia="Yu Mincho" w:hAnsi="Arial" w:cs="Arial"/>
          <w:kern w:val="0"/>
          <w:sz w:val="24"/>
          <w:szCs w:val="24"/>
          <w:lang w:eastAsia="en-GB"/>
          <w14:ligatures w14:val="none"/>
        </w:rPr>
        <w:t xml:space="preserve">, P. and Esposito, G. (2021) ‘An analysis of the generalizability and stability of the Halo effect during the COVID-19 pandemic outbreak’, </w:t>
      </w:r>
      <w:r w:rsidRPr="005228E9">
        <w:rPr>
          <w:rFonts w:ascii="Arial" w:eastAsia="Yu Mincho" w:hAnsi="Arial" w:cs="Arial"/>
          <w:i/>
          <w:iCs/>
          <w:kern w:val="0"/>
          <w:sz w:val="24"/>
          <w:szCs w:val="24"/>
          <w:lang w:eastAsia="en-GB"/>
          <w14:ligatures w14:val="none"/>
        </w:rPr>
        <w:t>Frontiers in Psychology</w:t>
      </w:r>
      <w:r w:rsidRPr="005228E9">
        <w:rPr>
          <w:rFonts w:ascii="Arial" w:eastAsia="Yu Mincho" w:hAnsi="Arial" w:cs="Arial"/>
          <w:kern w:val="0"/>
          <w:sz w:val="24"/>
          <w:szCs w:val="24"/>
          <w:lang w:eastAsia="en-GB"/>
          <w14:ligatures w14:val="none"/>
        </w:rPr>
        <w:t xml:space="preserve">, 12, Article 631871. Available at: </w:t>
      </w:r>
      <w:hyperlink r:id="rId21" w:history="1">
        <w:r w:rsidRPr="005228E9">
          <w:rPr>
            <w:rFonts w:ascii="Arial" w:eastAsia="Yu Mincho" w:hAnsi="Arial" w:cs="Arial"/>
            <w:color w:val="467886"/>
            <w:kern w:val="0"/>
            <w:sz w:val="24"/>
            <w:szCs w:val="24"/>
            <w:u w:val="single"/>
            <w:lang w:eastAsia="en-GB"/>
            <w14:ligatures w14:val="none"/>
          </w:rPr>
          <w:t>https://doi.org/10.3389/fpsyg.2021.631871</w:t>
        </w:r>
      </w:hyperlink>
      <w:r w:rsidRPr="005228E9">
        <w:rPr>
          <w:rFonts w:ascii="Arial" w:eastAsia="Yu Mincho" w:hAnsi="Arial" w:cs="Arial"/>
          <w:kern w:val="0"/>
          <w:sz w:val="24"/>
          <w:szCs w:val="24"/>
          <w:lang w:eastAsia="en-GB"/>
          <w14:ligatures w14:val="none"/>
        </w:rPr>
        <w:t xml:space="preserve"> </w:t>
      </w:r>
    </w:p>
    <w:p w14:paraId="2389D53E"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 xml:space="preserve">Kallio, H. et al. (2016) ‘Systematic methodological review: developing a framework for a qualitative semi-structured interview guide’, </w:t>
      </w:r>
      <w:r w:rsidRPr="005228E9">
        <w:rPr>
          <w:rFonts w:ascii="Arial" w:eastAsia="Yu Mincho" w:hAnsi="Arial" w:cs="Arial"/>
          <w:i/>
          <w:iCs/>
          <w:kern w:val="0"/>
          <w:sz w:val="24"/>
          <w:szCs w:val="24"/>
          <w:lang w:eastAsia="en-GB"/>
          <w14:ligatures w14:val="none"/>
        </w:rPr>
        <w:t>Journal of Advanced Nursing</w:t>
      </w:r>
      <w:r w:rsidRPr="005228E9">
        <w:rPr>
          <w:rFonts w:ascii="Arial" w:eastAsia="Yu Mincho" w:hAnsi="Arial" w:cs="Arial"/>
          <w:kern w:val="0"/>
          <w:sz w:val="24"/>
          <w:szCs w:val="24"/>
          <w:lang w:eastAsia="en-GB"/>
          <w14:ligatures w14:val="none"/>
        </w:rPr>
        <w:t xml:space="preserve">, 72(12), pp. 2954-2965. Available at: </w:t>
      </w:r>
      <w:hyperlink r:id="rId22" w:history="1">
        <w:r w:rsidRPr="005228E9">
          <w:rPr>
            <w:rFonts w:ascii="Arial" w:eastAsia="Yu Mincho" w:hAnsi="Arial" w:cs="Arial"/>
            <w:color w:val="467886"/>
            <w:kern w:val="0"/>
            <w:sz w:val="24"/>
            <w:szCs w:val="24"/>
            <w:u w:val="single"/>
            <w:lang w:eastAsia="en-GB"/>
            <w14:ligatures w14:val="none"/>
          </w:rPr>
          <w:t>https://doi.org/10.1111/jan.13031</w:t>
        </w:r>
      </w:hyperlink>
      <w:r w:rsidRPr="005228E9">
        <w:rPr>
          <w:rFonts w:ascii="Arial" w:eastAsia="Yu Mincho" w:hAnsi="Arial" w:cs="Arial"/>
          <w:kern w:val="0"/>
          <w:sz w:val="24"/>
          <w:szCs w:val="24"/>
          <w:lang w:eastAsia="en-GB"/>
          <w14:ligatures w14:val="none"/>
        </w:rPr>
        <w:t xml:space="preserve"> </w:t>
      </w:r>
    </w:p>
    <w:p w14:paraId="79C663B6"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 xml:space="preserve">Lim, W.M. (2024) ‘What is qualitative research? An overview and guidelines’, </w:t>
      </w:r>
      <w:r w:rsidRPr="005228E9">
        <w:rPr>
          <w:rFonts w:ascii="Arial" w:eastAsia="Yu Mincho" w:hAnsi="Arial" w:cs="Arial"/>
          <w:i/>
          <w:iCs/>
          <w:kern w:val="0"/>
          <w:sz w:val="24"/>
          <w:szCs w:val="24"/>
          <w:lang w:eastAsia="en-GB"/>
          <w14:ligatures w14:val="none"/>
        </w:rPr>
        <w:t>Australasian Marketing Journal</w:t>
      </w:r>
      <w:r w:rsidRPr="005228E9">
        <w:rPr>
          <w:rFonts w:ascii="Arial" w:eastAsia="Yu Mincho" w:hAnsi="Arial" w:cs="Arial"/>
          <w:kern w:val="0"/>
          <w:sz w:val="24"/>
          <w:szCs w:val="24"/>
          <w:lang w:eastAsia="en-GB"/>
          <w14:ligatures w14:val="none"/>
        </w:rPr>
        <w:t xml:space="preserve">. Available at: </w:t>
      </w:r>
      <w:hyperlink r:id="rId23" w:history="1">
        <w:r w:rsidRPr="005228E9">
          <w:rPr>
            <w:rFonts w:ascii="Arial" w:eastAsia="Yu Mincho" w:hAnsi="Arial" w:cs="Arial"/>
            <w:color w:val="467886"/>
            <w:kern w:val="0"/>
            <w:sz w:val="24"/>
            <w:szCs w:val="24"/>
            <w:u w:val="single"/>
            <w:lang w:eastAsia="en-GB"/>
            <w14:ligatures w14:val="none"/>
          </w:rPr>
          <w:t>https://doi.org/10.1177/14413582241264619</w:t>
        </w:r>
      </w:hyperlink>
      <w:r w:rsidRPr="005228E9">
        <w:rPr>
          <w:rFonts w:ascii="Arial" w:eastAsia="Yu Mincho" w:hAnsi="Arial" w:cs="Arial"/>
          <w:kern w:val="0"/>
          <w:sz w:val="24"/>
          <w:szCs w:val="24"/>
          <w:lang w:eastAsia="en-GB"/>
          <w14:ligatures w14:val="none"/>
        </w:rPr>
        <w:t xml:space="preserve"> </w:t>
      </w:r>
    </w:p>
    <w:p w14:paraId="4AEC35E7"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 xml:space="preserve">Naeem, M. et al. (2023) ‘A step-by-step process of thematic analysis to develop a conceptual model in qualitative research’, </w:t>
      </w:r>
      <w:r w:rsidRPr="005228E9">
        <w:rPr>
          <w:rFonts w:ascii="Arial" w:eastAsia="Yu Mincho" w:hAnsi="Arial" w:cs="Arial"/>
          <w:i/>
          <w:iCs/>
          <w:kern w:val="0"/>
          <w:sz w:val="24"/>
          <w:szCs w:val="24"/>
          <w:lang w:eastAsia="en-GB"/>
          <w14:ligatures w14:val="none"/>
        </w:rPr>
        <w:t>International Journal of Qualitative Methods</w:t>
      </w:r>
      <w:r w:rsidRPr="005228E9">
        <w:rPr>
          <w:rFonts w:ascii="Arial" w:eastAsia="Yu Mincho" w:hAnsi="Arial" w:cs="Arial"/>
          <w:kern w:val="0"/>
          <w:sz w:val="24"/>
          <w:szCs w:val="24"/>
          <w:lang w:eastAsia="en-GB"/>
          <w14:ligatures w14:val="none"/>
        </w:rPr>
        <w:t xml:space="preserve">, 22. Available at: </w:t>
      </w:r>
      <w:hyperlink r:id="rId24" w:history="1">
        <w:r w:rsidRPr="005228E9">
          <w:rPr>
            <w:rFonts w:ascii="Arial" w:eastAsia="Yu Mincho" w:hAnsi="Arial" w:cs="Arial"/>
            <w:color w:val="467886"/>
            <w:kern w:val="0"/>
            <w:sz w:val="24"/>
            <w:szCs w:val="24"/>
            <w:u w:val="single"/>
            <w:lang w:eastAsia="en-GB"/>
            <w14:ligatures w14:val="none"/>
          </w:rPr>
          <w:t>https://doi.org/10.1177/16094069231205789</w:t>
        </w:r>
      </w:hyperlink>
      <w:r w:rsidRPr="005228E9">
        <w:rPr>
          <w:rFonts w:ascii="Arial" w:eastAsia="Yu Mincho" w:hAnsi="Arial" w:cs="Arial"/>
          <w:kern w:val="0"/>
          <w:sz w:val="24"/>
          <w:szCs w:val="24"/>
          <w:lang w:eastAsia="en-GB"/>
          <w14:ligatures w14:val="none"/>
        </w:rPr>
        <w:t xml:space="preserve"> </w:t>
      </w:r>
    </w:p>
    <w:p w14:paraId="62DCB143"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 xml:space="preserve">Oswald, D., Sherratt, F. and Smith, S. (2014) ‘Handling the Hawthorne effect: The challenges surrounding a participant observer’, </w:t>
      </w:r>
      <w:r w:rsidRPr="005228E9">
        <w:rPr>
          <w:rFonts w:ascii="Arial" w:eastAsia="Yu Mincho" w:hAnsi="Arial" w:cs="Arial"/>
          <w:i/>
          <w:iCs/>
          <w:kern w:val="0"/>
          <w:sz w:val="24"/>
          <w:szCs w:val="24"/>
          <w:lang w:eastAsia="en-GB"/>
          <w14:ligatures w14:val="none"/>
        </w:rPr>
        <w:t>Review of Social Studies</w:t>
      </w:r>
      <w:r w:rsidRPr="005228E9">
        <w:rPr>
          <w:rFonts w:ascii="Arial" w:eastAsia="Yu Mincho" w:hAnsi="Arial" w:cs="Arial"/>
          <w:kern w:val="0"/>
          <w:sz w:val="24"/>
          <w:szCs w:val="24"/>
          <w:lang w:eastAsia="en-GB"/>
          <w14:ligatures w14:val="none"/>
        </w:rPr>
        <w:t>, 1(1), pp. 53–73.</w:t>
      </w:r>
    </w:p>
    <w:p w14:paraId="47894915"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lastRenderedPageBreak/>
        <w:t xml:space="preserve">Paskins, Z. et al. (2017) ‘Exploring the added value of video-stimulated recall in researching the primary care doctor–patient consultation: A process evaluation’, </w:t>
      </w:r>
      <w:r w:rsidRPr="005228E9">
        <w:rPr>
          <w:rFonts w:ascii="Arial" w:eastAsia="Yu Mincho" w:hAnsi="Arial" w:cs="Arial"/>
          <w:i/>
          <w:iCs/>
          <w:kern w:val="0"/>
          <w:sz w:val="24"/>
          <w:szCs w:val="24"/>
          <w:lang w:eastAsia="en-GB"/>
          <w14:ligatures w14:val="none"/>
        </w:rPr>
        <w:t>International Journal of Qualitative Methods</w:t>
      </w:r>
      <w:r w:rsidRPr="005228E9">
        <w:rPr>
          <w:rFonts w:ascii="Arial" w:eastAsia="Yu Mincho" w:hAnsi="Arial" w:cs="Arial"/>
          <w:kern w:val="0"/>
          <w:sz w:val="24"/>
          <w:szCs w:val="24"/>
          <w:lang w:eastAsia="en-GB"/>
          <w14:ligatures w14:val="none"/>
        </w:rPr>
        <w:t xml:space="preserve">, 16(1).  Available at: </w:t>
      </w:r>
      <w:hyperlink r:id="rId25" w:history="1">
        <w:r w:rsidRPr="005228E9">
          <w:rPr>
            <w:rFonts w:ascii="Arial" w:eastAsia="Yu Mincho" w:hAnsi="Arial" w:cs="Arial"/>
            <w:color w:val="467886"/>
            <w:kern w:val="0"/>
            <w:sz w:val="24"/>
            <w:szCs w:val="24"/>
            <w:u w:val="single"/>
            <w:lang w:eastAsia="en-GB"/>
            <w14:ligatures w14:val="none"/>
          </w:rPr>
          <w:t>https://doi.org/10.1177/1609406917719623</w:t>
        </w:r>
      </w:hyperlink>
      <w:r w:rsidRPr="005228E9">
        <w:rPr>
          <w:rFonts w:ascii="Arial" w:eastAsia="Yu Mincho" w:hAnsi="Arial" w:cs="Arial"/>
          <w:kern w:val="0"/>
          <w:sz w:val="24"/>
          <w:szCs w:val="24"/>
          <w:lang w:eastAsia="en-GB"/>
          <w14:ligatures w14:val="none"/>
        </w:rPr>
        <w:t xml:space="preserve"> </w:t>
      </w:r>
    </w:p>
    <w:p w14:paraId="78C57A20" w14:textId="77777777" w:rsidR="005228E9" w:rsidRPr="005228E9" w:rsidRDefault="005228E9" w:rsidP="005228E9">
      <w:pPr>
        <w:spacing w:before="100" w:beforeAutospacing="1" w:after="100" w:afterAutospacing="1" w:line="360" w:lineRule="auto"/>
        <w:rPr>
          <w:rFonts w:ascii="Arial" w:eastAsia="Yu Mincho" w:hAnsi="Arial" w:cs="Arial"/>
          <w:kern w:val="0"/>
          <w:sz w:val="24"/>
          <w:szCs w:val="24"/>
          <w:lang w:eastAsia="en-GB"/>
          <w14:ligatures w14:val="none"/>
        </w:rPr>
      </w:pPr>
      <w:r w:rsidRPr="005228E9">
        <w:rPr>
          <w:rFonts w:ascii="Arial" w:eastAsia="Yu Mincho" w:hAnsi="Arial" w:cs="Arial"/>
          <w:kern w:val="0"/>
          <w:sz w:val="24"/>
          <w:szCs w:val="24"/>
          <w:lang w:eastAsia="en-GB"/>
          <w14:ligatures w14:val="none"/>
        </w:rPr>
        <w:t xml:space="preserve">Roberts-Holmes, G. (2018) </w:t>
      </w:r>
      <w:r w:rsidRPr="005228E9">
        <w:rPr>
          <w:rFonts w:ascii="Arial" w:eastAsia="Yu Mincho" w:hAnsi="Arial" w:cs="Arial"/>
          <w:i/>
          <w:iCs/>
          <w:kern w:val="0"/>
          <w:sz w:val="24"/>
          <w:szCs w:val="24"/>
          <w:lang w:eastAsia="en-GB"/>
          <w14:ligatures w14:val="none"/>
        </w:rPr>
        <w:t>Doing Your Early Years Research Project: A Step by Step Guide</w:t>
      </w:r>
      <w:r w:rsidRPr="005228E9">
        <w:rPr>
          <w:rFonts w:ascii="Arial" w:eastAsia="Yu Mincho" w:hAnsi="Arial" w:cs="Arial"/>
          <w:kern w:val="0"/>
          <w:sz w:val="24"/>
          <w:szCs w:val="24"/>
          <w:lang w:eastAsia="en-GB"/>
          <w14:ligatures w14:val="none"/>
        </w:rPr>
        <w:t xml:space="preserve">. 4th </w:t>
      </w:r>
      <w:proofErr w:type="spellStart"/>
      <w:r w:rsidRPr="005228E9">
        <w:rPr>
          <w:rFonts w:ascii="Arial" w:eastAsia="Yu Mincho" w:hAnsi="Arial" w:cs="Arial"/>
          <w:kern w:val="0"/>
          <w:sz w:val="24"/>
          <w:szCs w:val="24"/>
          <w:lang w:eastAsia="en-GB"/>
          <w14:ligatures w14:val="none"/>
        </w:rPr>
        <w:t>edn</w:t>
      </w:r>
      <w:proofErr w:type="spellEnd"/>
      <w:r w:rsidRPr="005228E9">
        <w:rPr>
          <w:rFonts w:ascii="Arial" w:eastAsia="Yu Mincho" w:hAnsi="Arial" w:cs="Arial"/>
          <w:kern w:val="0"/>
          <w:sz w:val="24"/>
          <w:szCs w:val="24"/>
          <w:lang w:eastAsia="en-GB"/>
          <w14:ligatures w14:val="none"/>
        </w:rPr>
        <w:t>. London: SAGE Publications.</w:t>
      </w:r>
    </w:p>
    <w:p w14:paraId="638DEB4D" w14:textId="77777777" w:rsidR="008E7593" w:rsidRDefault="008E7593"/>
    <w:p w14:paraId="2978CCDD" w14:textId="77777777" w:rsidR="005228E9" w:rsidRDefault="005228E9"/>
    <w:p w14:paraId="3F7C07A2" w14:textId="77777777" w:rsidR="005228E9" w:rsidRDefault="005228E9"/>
    <w:p w14:paraId="1E63464B" w14:textId="77777777" w:rsidR="005228E9" w:rsidRDefault="005228E9"/>
    <w:p w14:paraId="61DB4836" w14:textId="77777777" w:rsidR="005228E9" w:rsidRDefault="005228E9"/>
    <w:p w14:paraId="035F9ACE" w14:textId="77777777" w:rsidR="005228E9" w:rsidRDefault="005228E9"/>
    <w:p w14:paraId="0F610502" w14:textId="77777777" w:rsidR="005228E9" w:rsidRDefault="005228E9"/>
    <w:p w14:paraId="4E494B6E" w14:textId="77777777" w:rsidR="005228E9" w:rsidRDefault="005228E9"/>
    <w:p w14:paraId="581FF0DC" w14:textId="77777777" w:rsidR="005228E9" w:rsidRDefault="005228E9"/>
    <w:p w14:paraId="1E829738" w14:textId="77777777" w:rsidR="005228E9" w:rsidRDefault="005228E9"/>
    <w:p w14:paraId="2EAF4005" w14:textId="77777777" w:rsidR="000E1D63" w:rsidRDefault="000E1D63" w:rsidP="003537F4">
      <w:pPr>
        <w:spacing w:before="100" w:beforeAutospacing="1" w:after="100" w:afterAutospacing="1" w:line="360" w:lineRule="auto"/>
        <w:rPr>
          <w:rFonts w:ascii="Arial" w:eastAsia="Yu Mincho" w:hAnsi="Arial" w:cs="Arial"/>
          <w:kern w:val="0"/>
          <w:sz w:val="24"/>
          <w:szCs w:val="24"/>
          <w:lang w:eastAsia="en-GB"/>
          <w14:ligatures w14:val="none"/>
        </w:rPr>
      </w:pPr>
    </w:p>
    <w:p w14:paraId="3BCB890B" w14:textId="77777777" w:rsidR="000E1D63" w:rsidRDefault="000E1D63" w:rsidP="003537F4">
      <w:pPr>
        <w:spacing w:before="100" w:beforeAutospacing="1" w:after="100" w:afterAutospacing="1" w:line="360" w:lineRule="auto"/>
        <w:rPr>
          <w:rFonts w:ascii="Arial" w:eastAsia="Yu Mincho" w:hAnsi="Arial" w:cs="Arial"/>
          <w:kern w:val="0"/>
          <w:sz w:val="24"/>
          <w:szCs w:val="24"/>
          <w:lang w:eastAsia="en-GB"/>
          <w14:ligatures w14:val="none"/>
        </w:rPr>
      </w:pPr>
    </w:p>
    <w:p w14:paraId="02980A6E" w14:textId="77777777" w:rsidR="000E1D63" w:rsidRDefault="000E1D63" w:rsidP="003537F4">
      <w:pPr>
        <w:spacing w:before="100" w:beforeAutospacing="1" w:after="100" w:afterAutospacing="1" w:line="360" w:lineRule="auto"/>
        <w:rPr>
          <w:rFonts w:ascii="Arial" w:eastAsia="Yu Mincho" w:hAnsi="Arial" w:cs="Arial"/>
          <w:kern w:val="0"/>
          <w:sz w:val="24"/>
          <w:szCs w:val="24"/>
          <w:lang w:eastAsia="en-GB"/>
          <w14:ligatures w14:val="none"/>
        </w:rPr>
      </w:pPr>
    </w:p>
    <w:p w14:paraId="072EB5FB" w14:textId="77777777" w:rsidR="000E1D63" w:rsidRDefault="000E1D63" w:rsidP="003537F4">
      <w:pPr>
        <w:spacing w:before="100" w:beforeAutospacing="1" w:after="100" w:afterAutospacing="1" w:line="360" w:lineRule="auto"/>
        <w:rPr>
          <w:rFonts w:ascii="Arial" w:eastAsia="Yu Mincho" w:hAnsi="Arial" w:cs="Arial"/>
          <w:kern w:val="0"/>
          <w:sz w:val="24"/>
          <w:szCs w:val="24"/>
          <w:lang w:eastAsia="en-GB"/>
          <w14:ligatures w14:val="none"/>
        </w:rPr>
      </w:pPr>
    </w:p>
    <w:p w14:paraId="1D07E42D" w14:textId="77777777" w:rsidR="000E1D63" w:rsidRDefault="000E1D63" w:rsidP="003537F4">
      <w:pPr>
        <w:spacing w:before="100" w:beforeAutospacing="1" w:after="100" w:afterAutospacing="1" w:line="360" w:lineRule="auto"/>
        <w:rPr>
          <w:rFonts w:ascii="Arial" w:eastAsia="Yu Mincho" w:hAnsi="Arial" w:cs="Arial"/>
          <w:kern w:val="0"/>
          <w:sz w:val="24"/>
          <w:szCs w:val="24"/>
          <w:lang w:eastAsia="en-GB"/>
          <w14:ligatures w14:val="none"/>
        </w:rPr>
      </w:pPr>
    </w:p>
    <w:p w14:paraId="0EB0BF84" w14:textId="77777777" w:rsidR="000E1D63" w:rsidRDefault="000E1D63" w:rsidP="003537F4">
      <w:pPr>
        <w:spacing w:before="100" w:beforeAutospacing="1" w:after="100" w:afterAutospacing="1" w:line="360" w:lineRule="auto"/>
        <w:rPr>
          <w:rFonts w:ascii="Arial" w:eastAsia="Yu Mincho" w:hAnsi="Arial" w:cs="Arial"/>
          <w:kern w:val="0"/>
          <w:sz w:val="24"/>
          <w:szCs w:val="24"/>
          <w:lang w:eastAsia="en-GB"/>
          <w14:ligatures w14:val="none"/>
        </w:rPr>
      </w:pPr>
    </w:p>
    <w:p w14:paraId="51BDD38F" w14:textId="77777777" w:rsidR="000E1D63" w:rsidRDefault="000E1D63" w:rsidP="003537F4">
      <w:pPr>
        <w:spacing w:before="100" w:beforeAutospacing="1" w:after="100" w:afterAutospacing="1" w:line="360" w:lineRule="auto"/>
        <w:rPr>
          <w:rFonts w:ascii="Arial" w:eastAsia="Yu Mincho" w:hAnsi="Arial" w:cs="Arial"/>
          <w:kern w:val="0"/>
          <w:sz w:val="24"/>
          <w:szCs w:val="24"/>
          <w:lang w:eastAsia="en-GB"/>
          <w14:ligatures w14:val="none"/>
        </w:rPr>
      </w:pPr>
    </w:p>
    <w:p w14:paraId="1E8A3C08" w14:textId="77777777" w:rsidR="00E355F6" w:rsidRDefault="00E355F6" w:rsidP="003537F4">
      <w:pPr>
        <w:spacing w:before="100" w:beforeAutospacing="1" w:after="100" w:afterAutospacing="1" w:line="360" w:lineRule="auto"/>
        <w:rPr>
          <w:rFonts w:ascii="Arial" w:eastAsia="Yu Mincho" w:hAnsi="Arial" w:cs="Arial"/>
          <w:kern w:val="0"/>
          <w:sz w:val="24"/>
          <w:szCs w:val="24"/>
          <w:lang w:eastAsia="en-GB"/>
          <w14:ligatures w14:val="none"/>
        </w:rPr>
      </w:pPr>
    </w:p>
    <w:p w14:paraId="50657A21" w14:textId="77777777" w:rsidR="00E355F6" w:rsidRDefault="00E355F6" w:rsidP="003537F4">
      <w:pPr>
        <w:spacing w:before="100" w:beforeAutospacing="1" w:after="100" w:afterAutospacing="1" w:line="360" w:lineRule="auto"/>
        <w:rPr>
          <w:rFonts w:ascii="Arial" w:eastAsia="Yu Mincho" w:hAnsi="Arial" w:cs="Arial"/>
          <w:kern w:val="0"/>
          <w:sz w:val="24"/>
          <w:szCs w:val="24"/>
          <w:lang w:eastAsia="en-GB"/>
          <w14:ligatures w14:val="none"/>
        </w:rPr>
      </w:pPr>
    </w:p>
    <w:p w14:paraId="149EAC92" w14:textId="382DCEDB"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lastRenderedPageBreak/>
        <w:t xml:space="preserve">Informed voluntary consent can only be given once participants understand what they are agreeing to. </w:t>
      </w:r>
    </w:p>
    <w:p w14:paraId="264F0D72"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Participants may feel influenced or obligated to take part in research. BERA (2024, paragraph 20) highlights that potential participants may not be in a social position to participate. This is also suggested by Negrin et al. (2022), who explain that gatekeepers can make participants feel obligated to take part in research. To mitigate this, a general participation invitation could be used, with follow-up discussions taking place privately to discuss consent and explain that refusals will remain confidential.</w:t>
      </w:r>
    </w:p>
    <w:p w14:paraId="41C38EED"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Children’s assent means recognising a child’s desire to participate. As emphasised by NCRM (n.d.), children who aren’t competent to consent should still have the right to assent to participation. A child should not automatically be included in research just because parents have given consent. To mitigate this, it needs to be recognised that assent can be monitored through non-verbal behaviour (BPS, 2021, Section 4.7, p. 17). This can be achieved by observing whether a child becomes withdrawn, unusually quiet, unwilling to engage, verbally says no or shows discomfort through body language.</w:t>
      </w:r>
    </w:p>
    <w:p w14:paraId="064F0300"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All actions concerning children should consider their best interests. This is prominent in the UNCRC (1989, Articles 3(1) and 12(1)), which states that children capable of forming their own views have the right to express them freely in matters affecting them. To mitigate these circumstances, the child’s wellbeing would take priority. If a child becomes distressed or uncomfortable with being observed, their wishes would be respected and the observation stopped.</w:t>
      </w:r>
    </w:p>
    <w:p w14:paraId="2032D5DE"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 xml:space="preserve">All participants have the right to withdraw from research without giving a reason. BERA (2024, paragraph 31) highlights that participants should understand how to withdraw and researchers must respect their decision. Discussions about re-engaging should be handled carefully to avoid pressure or coercion, and incentives shouldn’t be offered to persuade them to stay. To mitigate these circumstances, I would clearly explain that participation is voluntary, how participants can withdraw </w:t>
      </w:r>
      <w:r w:rsidRPr="003537F4">
        <w:rPr>
          <w:rFonts w:ascii="Arial" w:eastAsia="Yu Mincho" w:hAnsi="Arial" w:cs="Arial"/>
          <w:kern w:val="0"/>
          <w:sz w:val="24"/>
          <w:szCs w:val="24"/>
          <w:lang w:eastAsia="en-GB"/>
          <w14:ligatures w14:val="none"/>
        </w:rPr>
        <w:lastRenderedPageBreak/>
        <w:t>and at what stage their data could no longer be withdrawn, for example, once fully anonymised and incorporated into the completed analysis.</w:t>
      </w:r>
    </w:p>
    <w:p w14:paraId="59436855"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All participants will need clear information about what the research involves, including their choices and rights. BERA (2024, paragraph 27) explains that researchers should be open and honest about their research. Non-disclosure should be avoided unless justified, and withholding information should be carefully considered (BPS, 2021, Section 7, p. 23).</w:t>
      </w:r>
    </w:p>
    <w:p w14:paraId="0A06780C"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To mitigate the risk of participants not understanding what is involved, I would provide information sheets to parents and practitioners explaining the purpose, what will be observed, the duration and location of the two observations and what is expected of them. I would also explain that video recordings will be made, withdrawal rights, data storage and how recordings will be used.</w:t>
      </w:r>
    </w:p>
    <w:p w14:paraId="35381ECE"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Graham et al. (2013, p. 58) emphasise that children must understand their participation, including the risks and benefits, to make a meaningful choice. Parents must also understand their child’s involvement. I would use age-appropriate language or pictures and check children’s understanding (BPS, 2021, Section 4.6, p. 17).</w:t>
      </w:r>
    </w:p>
    <w:p w14:paraId="45029263"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Protecting participants’ confidentiality and anonymity is an important ethical responsibility, particularly when research involves children and video recordings. BERA (2024, paragraph 39) emphasises that participants and institutions have a right to privacy and that anonymisation and pseudonymisation can protect their identities. Researchers must also recognise that participants may wish to be identified and have the right to waive their anonymity or confidentiality. To mitigate the risk of identification, I would use pseudonyms such as Practitioner 1–4 and Child A–D.</w:t>
      </w:r>
    </w:p>
    <w:p w14:paraId="0EB6B9BB"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BERA (2024, paragraph 40) explains that anonymity isn’t always possible in small communities or identifiable institutions. To mitigate this risk, I would avoid including place names or identifying details that could reveal the early years setting or participants.</w:t>
      </w:r>
    </w:p>
    <w:p w14:paraId="130005A4"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lastRenderedPageBreak/>
        <w:t>BERA (2024, paragraph 41) explains that maintaining anonymity can be difficult with video recordings because participants may be recognised through their appearance or behaviour. This is particularly important to my research because observations will capture identifiable practitioners and children, even when pseudonyms are used. To mitigate this risk, I would avoid including identifiable video recordings in my research findings.</w:t>
      </w:r>
    </w:p>
    <w:p w14:paraId="02E51BBB"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 xml:space="preserve">Graham et al. (2013, </w:t>
      </w:r>
      <w:r w:rsidRPr="003537F4">
        <w:rPr>
          <w:rFonts w:ascii="Arial" w:eastAsia="Yu Mincho" w:hAnsi="Arial" w:cs="Arial"/>
          <w:i/>
          <w:iCs/>
          <w:kern w:val="0"/>
          <w:sz w:val="24"/>
          <w:szCs w:val="24"/>
          <w:lang w:eastAsia="en-GB"/>
          <w14:ligatures w14:val="none"/>
        </w:rPr>
        <w:t>Privacy and Confidentiality</w:t>
      </w:r>
      <w:r w:rsidRPr="003537F4">
        <w:rPr>
          <w:rFonts w:ascii="Arial" w:eastAsia="Yu Mincho" w:hAnsi="Arial" w:cs="Arial"/>
          <w:kern w:val="0"/>
          <w:sz w:val="24"/>
          <w:szCs w:val="24"/>
          <w:lang w:eastAsia="en-GB"/>
          <w14:ligatures w14:val="none"/>
        </w:rPr>
        <w:t>, p. 4) emphasise that researchers have a responsibility to protect private information shared with them. Participants should also be able to speak privately and freely during data collection. To mitigate the risk of conversations being overheard, I would carry out semi-structured interviews with practitioners in a private room where others cannot hear what is discussed.</w:t>
      </w:r>
    </w:p>
    <w:p w14:paraId="2A657C6C"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BERA (2024, paragraph 48) explains that confidentiality may need to be broken when information suggests someone is at risk of harm. If safeguarding concerns arose during my observations or semi-structured interviews, I would follow the setting’s safeguarding procedures and report concerns to the designated safeguarding lead. I would also seek advice from my university lecturer where appropriate. To ensure participants understand the limits of confidentiality, I would explain these circumstances in the information sheets before research begins.</w:t>
      </w:r>
    </w:p>
    <w:p w14:paraId="12630A84"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 xml:space="preserve">Research involving young children and practitioners can present ethical risks. BPS (2021, Section 3, pp. 10–11) suggests that children may be more vulnerable to potential harm. Graham et al. (2013, </w:t>
      </w:r>
      <w:r w:rsidRPr="003537F4">
        <w:rPr>
          <w:rFonts w:ascii="Arial" w:eastAsia="Yu Mincho" w:hAnsi="Arial" w:cs="Arial"/>
          <w:i/>
          <w:iCs/>
          <w:kern w:val="0"/>
          <w:sz w:val="24"/>
          <w:szCs w:val="24"/>
          <w:lang w:eastAsia="en-GB"/>
          <w14:ligatures w14:val="none"/>
        </w:rPr>
        <w:t>Harms and Benefits</w:t>
      </w:r>
      <w:r w:rsidRPr="003537F4">
        <w:rPr>
          <w:rFonts w:ascii="Arial" w:eastAsia="Yu Mincho" w:hAnsi="Arial" w:cs="Arial"/>
          <w:kern w:val="0"/>
          <w:sz w:val="24"/>
          <w:szCs w:val="24"/>
          <w:lang w:eastAsia="en-GB"/>
          <w14:ligatures w14:val="none"/>
        </w:rPr>
        <w:t>, pp. 31–32) highlight that researchers may unintentionally cause harm if they lack the skills or experience required. ERIC also emphasises that the benefits of research should outweigh the risks to children.</w:t>
      </w:r>
    </w:p>
    <w:p w14:paraId="7C9714CF"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To mitigate these risks, I would ensure my approach is age-appropriate and consider how my presence could make children feel uncomfortable. I would position myself away from direct involvement and keep the camera stationary to minimise distractions. If a child shows signs of unwillingness to participate, I would stop recording, as their wellbeing must take priority over the research.</w:t>
      </w:r>
    </w:p>
    <w:p w14:paraId="4B064581"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lastRenderedPageBreak/>
        <w:t>Practitioners may face ethical risks when their professional practice is observed and video-recorded. BPS (2021, Section 3, pp. 10–11) emphasises potential impacts on participants’ self-esteem, confidence and professional standing. Practitioners may feel that their abilities are being judged, while disclosure of identifiable recordings or findings could affect their professional reputation or employment.</w:t>
      </w:r>
    </w:p>
    <w:p w14:paraId="4AA54CE4"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To mitigate these concerns, I would reassure practitioners that my research aims to understand adult–child interactions rather than evaluate their performance. I would also ensure identifiable recordings are only accessible to those authorised to access the research data.</w:t>
      </w:r>
    </w:p>
    <w:p w14:paraId="4283974D"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Researchers must consider risks to their physical and psychological wellbeing. BERA (2024, paragraph 82) highlights the importance of researcher safety and wellbeing. UWTSD (n.d., Section 7, p. 10) identifies risks such as lone working, environmental hazards and injury or illness.</w:t>
      </w:r>
    </w:p>
    <w:p w14:paraId="4D5041F5"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During my observations, I could face risks to my physical and emotional wellbeing if I witnessed a child becoming distressed or encountered a safeguarding concern. Environmental hazards could also present trip hazards around children’s furniture and recording equipment.</w:t>
      </w:r>
    </w:p>
    <w:p w14:paraId="1AFF3DCE"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To mitigate these risks, I would complete a risk assessment and consider the positioning of recording equipment. I would familiarise myself with the setting’s safeguarding procedures and seek support from my university lecturer if something affected my emotional wellbeing.</w:t>
      </w:r>
    </w:p>
    <w:p w14:paraId="4CF2CD98"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Research can present ethical risks to the university if appropriate procedures are not followed. UWTSD’s Research Ethics and Code of Practice (n.d., Section 4, p. 4) highlights the importance of research integrity, accountability and ethical standards. I would need to gain ethical approval and consider risks to the university’s reputation.</w:t>
      </w:r>
    </w:p>
    <w:p w14:paraId="19C61E2E"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Failure to follow ethical procedures could damage the university’s reputation and public trust in future research. I would mitigate this by following approved procedures and seeking guidance from my university lecturer if I was unsure of anything.</w:t>
      </w:r>
    </w:p>
    <w:p w14:paraId="60809C02"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lastRenderedPageBreak/>
        <w:t>When conducting research involving young children and practitioners, I would need to consider how their personal information is collected, stored and protected. The UK GDPR and Data Protection Act 2018 set out the legal requirements for protecting personal information. The Information Commissioner’s Office (ICO, n.d.) highlights that researchers should only collect information that is needed and ensure it is kept secure. This is important because video recordings could identify children and practitioners.</w:t>
      </w:r>
    </w:p>
    <w:p w14:paraId="40EDD5A3"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The ICO (n.d.) explains that personal information should only be collected for a clear purpose. BERA (2024, paragraph 39) also highlights the importance of protecting participants’ privacy. During observations and interviews, I would explain how information would be used and who would have access to it. Participants could still be identified through their faces and voices, even when pseudonyms are used.</w:t>
      </w:r>
    </w:p>
    <w:p w14:paraId="7F29B10B"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Participants have rights under UK GDPR. The ICO (n.d.) explains that individuals have the right to know how their information is used and request access, although research exemptions may apply. I would explain these rights in information sheets and seek guidance from the university if a participant requested access.</w:t>
      </w:r>
    </w:p>
    <w:p w14:paraId="7D79E33C"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UWTSD’s Research Ethics and Code of Practice (n.d., Section 6, pp. 9–10) highlights the importance of considering risks to participants’ personal information. It explains that a Data Protection Impact Assessment (DPIA) can identify these risks and how they could be reduced. As my research involves children and video recordings, I would check whether a DPIA was required and ensure appropriate procedures were followed before beginning my research.</w:t>
      </w:r>
    </w:p>
    <w:p w14:paraId="480F78E5"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p>
    <w:p w14:paraId="149DCC06"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p>
    <w:p w14:paraId="04A8CC10"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p>
    <w:p w14:paraId="5AA93909"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p>
    <w:p w14:paraId="28FDE317"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p>
    <w:p w14:paraId="2EFDB483"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lastRenderedPageBreak/>
        <w:t>Reference list.</w:t>
      </w:r>
    </w:p>
    <w:p w14:paraId="5602C02F"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 xml:space="preserve">British Educational Research Association (BERA) (2024) </w:t>
      </w:r>
      <w:r w:rsidRPr="003537F4">
        <w:rPr>
          <w:rFonts w:ascii="Arial" w:eastAsia="Yu Mincho" w:hAnsi="Arial" w:cs="Arial"/>
          <w:i/>
          <w:iCs/>
          <w:kern w:val="0"/>
          <w:sz w:val="24"/>
          <w:szCs w:val="24"/>
          <w:lang w:eastAsia="en-GB"/>
          <w14:ligatures w14:val="none"/>
        </w:rPr>
        <w:t>Ethical Guidelines for Educational Research</w:t>
      </w:r>
      <w:r w:rsidRPr="003537F4">
        <w:rPr>
          <w:rFonts w:ascii="Arial" w:eastAsia="Yu Mincho" w:hAnsi="Arial" w:cs="Arial"/>
          <w:kern w:val="0"/>
          <w:sz w:val="24"/>
          <w:szCs w:val="24"/>
          <w:lang w:eastAsia="en-GB"/>
          <w14:ligatures w14:val="none"/>
        </w:rPr>
        <w:t xml:space="preserve">. 5th </w:t>
      </w:r>
      <w:proofErr w:type="spellStart"/>
      <w:r w:rsidRPr="003537F4">
        <w:rPr>
          <w:rFonts w:ascii="Arial" w:eastAsia="Yu Mincho" w:hAnsi="Arial" w:cs="Arial"/>
          <w:kern w:val="0"/>
          <w:sz w:val="24"/>
          <w:szCs w:val="24"/>
          <w:lang w:eastAsia="en-GB"/>
          <w14:ligatures w14:val="none"/>
        </w:rPr>
        <w:t>edn</w:t>
      </w:r>
      <w:proofErr w:type="spellEnd"/>
      <w:r w:rsidRPr="003537F4">
        <w:rPr>
          <w:rFonts w:ascii="Arial" w:eastAsia="Yu Mincho" w:hAnsi="Arial" w:cs="Arial"/>
          <w:kern w:val="0"/>
          <w:sz w:val="24"/>
          <w:szCs w:val="24"/>
          <w:lang w:eastAsia="en-GB"/>
          <w14:ligatures w14:val="none"/>
        </w:rPr>
        <w:t xml:space="preserve">. Available at: </w:t>
      </w:r>
      <w:hyperlink r:id="rId26" w:history="1">
        <w:r w:rsidRPr="003537F4">
          <w:rPr>
            <w:rFonts w:ascii="Arial" w:eastAsia="Yu Mincho" w:hAnsi="Arial" w:cs="Arial"/>
            <w:color w:val="467886"/>
            <w:kern w:val="0"/>
            <w:sz w:val="24"/>
            <w:szCs w:val="24"/>
            <w:u w:val="single"/>
            <w:lang w:eastAsia="en-GB"/>
            <w14:ligatures w14:val="none"/>
          </w:rPr>
          <w:t>https://www.bera.ac.uk/publication/ethical-guidelines-for-educational-research-fifth-edition-2024</w:t>
        </w:r>
      </w:hyperlink>
      <w:r w:rsidRPr="003537F4">
        <w:rPr>
          <w:rFonts w:ascii="Arial" w:eastAsia="Yu Mincho" w:hAnsi="Arial" w:cs="Arial"/>
          <w:kern w:val="0"/>
          <w:sz w:val="24"/>
          <w:szCs w:val="24"/>
          <w:lang w:eastAsia="en-GB"/>
          <w14:ligatures w14:val="none"/>
        </w:rPr>
        <w:t xml:space="preserve">  (Accessed: 18 October 2026).</w:t>
      </w:r>
    </w:p>
    <w:p w14:paraId="4293A690"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 xml:space="preserve">British Psychological Society (BPS) (2021) </w:t>
      </w:r>
      <w:r w:rsidRPr="003537F4">
        <w:rPr>
          <w:rFonts w:ascii="Arial" w:eastAsia="Yu Mincho" w:hAnsi="Arial" w:cs="Arial"/>
          <w:i/>
          <w:iCs/>
          <w:kern w:val="0"/>
          <w:sz w:val="24"/>
          <w:szCs w:val="24"/>
          <w:lang w:eastAsia="en-GB"/>
          <w14:ligatures w14:val="none"/>
        </w:rPr>
        <w:t>Code of Human Research Ethics</w:t>
      </w:r>
      <w:r w:rsidRPr="003537F4">
        <w:rPr>
          <w:rFonts w:ascii="Arial" w:eastAsia="Yu Mincho" w:hAnsi="Arial" w:cs="Arial"/>
          <w:kern w:val="0"/>
          <w:sz w:val="24"/>
          <w:szCs w:val="24"/>
          <w:lang w:eastAsia="en-GB"/>
          <w14:ligatures w14:val="none"/>
        </w:rPr>
        <w:t xml:space="preserve">. Leicester: BPS. Available at: </w:t>
      </w:r>
      <w:hyperlink r:id="rId27" w:history="1">
        <w:r w:rsidRPr="003537F4">
          <w:rPr>
            <w:rFonts w:ascii="Arial" w:eastAsia="Yu Mincho" w:hAnsi="Arial" w:cs="Arial"/>
            <w:color w:val="467886"/>
            <w:kern w:val="0"/>
            <w:sz w:val="24"/>
            <w:szCs w:val="24"/>
            <w:u w:val="single"/>
            <w:lang w:eastAsia="en-GB"/>
            <w14:ligatures w14:val="none"/>
          </w:rPr>
          <w:t>https://doi.org/10.53841/bpsrep.2021.inf180</w:t>
        </w:r>
      </w:hyperlink>
      <w:r w:rsidRPr="003537F4">
        <w:rPr>
          <w:rFonts w:ascii="Arial" w:eastAsia="Yu Mincho" w:hAnsi="Arial" w:cs="Arial"/>
          <w:kern w:val="0"/>
          <w:sz w:val="24"/>
          <w:szCs w:val="24"/>
          <w:lang w:eastAsia="en-GB"/>
          <w14:ligatures w14:val="none"/>
        </w:rPr>
        <w:t xml:space="preserve">  (Accessed: 18 October 2026).</w:t>
      </w:r>
    </w:p>
    <w:p w14:paraId="3569B3D6"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Graham, A., Powell, M., Taylor, N., Anderson, D. and Fitzgerald, R</w:t>
      </w:r>
      <w:r w:rsidRPr="003537F4">
        <w:rPr>
          <w:rFonts w:ascii="Arial" w:eastAsia="Yu Mincho" w:hAnsi="Arial" w:cs="Arial"/>
          <w:b/>
          <w:bCs/>
          <w:kern w:val="0"/>
          <w:sz w:val="24"/>
          <w:szCs w:val="24"/>
          <w:lang w:eastAsia="en-GB"/>
          <w14:ligatures w14:val="none"/>
        </w:rPr>
        <w:t>.</w:t>
      </w:r>
      <w:r w:rsidRPr="003537F4">
        <w:rPr>
          <w:rFonts w:ascii="Arial" w:eastAsia="Yu Mincho" w:hAnsi="Arial" w:cs="Arial"/>
          <w:kern w:val="0"/>
          <w:sz w:val="24"/>
          <w:szCs w:val="24"/>
          <w:lang w:eastAsia="en-GB"/>
          <w14:ligatures w14:val="none"/>
        </w:rPr>
        <w:t xml:space="preserve"> (2013) </w:t>
      </w:r>
      <w:r w:rsidRPr="003537F4">
        <w:rPr>
          <w:rFonts w:ascii="Arial" w:eastAsia="Yu Mincho" w:hAnsi="Arial" w:cs="Arial"/>
          <w:i/>
          <w:iCs/>
          <w:kern w:val="0"/>
          <w:sz w:val="24"/>
          <w:szCs w:val="24"/>
          <w:lang w:eastAsia="en-GB"/>
          <w14:ligatures w14:val="none"/>
        </w:rPr>
        <w:t>Ethical Research Involving Children</w:t>
      </w:r>
      <w:r w:rsidRPr="003537F4">
        <w:rPr>
          <w:rFonts w:ascii="Arial" w:eastAsia="Yu Mincho" w:hAnsi="Arial" w:cs="Arial"/>
          <w:kern w:val="0"/>
          <w:sz w:val="24"/>
          <w:szCs w:val="24"/>
          <w:lang w:eastAsia="en-GB"/>
          <w14:ligatures w14:val="none"/>
        </w:rPr>
        <w:t xml:space="preserve">. Florence: UNICEF Office of Research – Innocenti. Available at: </w:t>
      </w:r>
      <w:hyperlink r:id="rId28" w:history="1">
        <w:r w:rsidRPr="003537F4">
          <w:rPr>
            <w:rFonts w:ascii="Arial" w:eastAsia="Yu Mincho" w:hAnsi="Arial" w:cs="Arial"/>
            <w:color w:val="467886"/>
            <w:kern w:val="0"/>
            <w:sz w:val="24"/>
            <w:szCs w:val="24"/>
            <w:u w:val="single"/>
            <w:lang w:eastAsia="en-GB"/>
            <w14:ligatures w14:val="none"/>
          </w:rPr>
          <w:t>https://www.unicef.org/innocenti/reports/ethical-research-involving-children</w:t>
        </w:r>
      </w:hyperlink>
      <w:r w:rsidRPr="003537F4">
        <w:rPr>
          <w:rFonts w:ascii="Arial" w:eastAsia="Yu Mincho" w:hAnsi="Arial" w:cs="Arial"/>
          <w:kern w:val="0"/>
          <w:sz w:val="24"/>
          <w:szCs w:val="24"/>
          <w:lang w:eastAsia="en-GB"/>
          <w14:ligatures w14:val="none"/>
        </w:rPr>
        <w:t xml:space="preserve">  (Accessed: 18 October 2026).</w:t>
      </w:r>
    </w:p>
    <w:p w14:paraId="3324E432"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 xml:space="preserve">Information Commissioner’s Office (ICO) (n.d.) </w:t>
      </w:r>
      <w:r w:rsidRPr="003537F4">
        <w:rPr>
          <w:rFonts w:ascii="Arial" w:eastAsia="Yu Mincho" w:hAnsi="Arial" w:cs="Arial"/>
          <w:i/>
          <w:iCs/>
          <w:kern w:val="0"/>
          <w:sz w:val="24"/>
          <w:szCs w:val="24"/>
          <w:lang w:eastAsia="en-GB"/>
          <w14:ligatures w14:val="none"/>
        </w:rPr>
        <w:t>A guide to the data protection principles</w:t>
      </w:r>
      <w:r w:rsidRPr="003537F4">
        <w:rPr>
          <w:rFonts w:ascii="Arial" w:eastAsia="Yu Mincho" w:hAnsi="Arial" w:cs="Arial"/>
          <w:kern w:val="0"/>
          <w:sz w:val="24"/>
          <w:szCs w:val="24"/>
          <w:lang w:eastAsia="en-GB"/>
          <w14:ligatures w14:val="none"/>
        </w:rPr>
        <w:t xml:space="preserve">. Available at: </w:t>
      </w:r>
      <w:hyperlink r:id="rId29" w:history="1">
        <w:r w:rsidRPr="003537F4">
          <w:rPr>
            <w:rFonts w:ascii="Arial" w:eastAsia="Yu Mincho" w:hAnsi="Arial" w:cs="Arial"/>
            <w:color w:val="467886"/>
            <w:kern w:val="0"/>
            <w:sz w:val="24"/>
            <w:szCs w:val="24"/>
            <w:u w:val="single"/>
            <w:lang w:eastAsia="en-GB"/>
            <w14:ligatures w14:val="none"/>
          </w:rPr>
          <w:t>https://ico.org.uk/for-organisations/uk-gdpr-guidance-and-resources/data-protection-principles/a-guide-to-the-data-protection-principles/</w:t>
        </w:r>
      </w:hyperlink>
      <w:r w:rsidRPr="003537F4">
        <w:rPr>
          <w:rFonts w:ascii="Arial" w:eastAsia="Yu Mincho" w:hAnsi="Arial" w:cs="Arial"/>
          <w:kern w:val="0"/>
          <w:sz w:val="24"/>
          <w:szCs w:val="24"/>
          <w:lang w:eastAsia="en-GB"/>
          <w14:ligatures w14:val="none"/>
        </w:rPr>
        <w:t xml:space="preserve">  (Accessed: 18 October 2026).</w:t>
      </w:r>
    </w:p>
    <w:p w14:paraId="295328A2"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 xml:space="preserve">Information Commissioner’s Office (ICO) (n.d.) </w:t>
      </w:r>
      <w:r w:rsidRPr="003537F4">
        <w:rPr>
          <w:rFonts w:ascii="Arial" w:eastAsia="Yu Mincho" w:hAnsi="Arial" w:cs="Arial"/>
          <w:i/>
          <w:iCs/>
          <w:kern w:val="0"/>
          <w:sz w:val="24"/>
          <w:szCs w:val="24"/>
          <w:lang w:eastAsia="en-GB"/>
          <w14:ligatures w14:val="none"/>
        </w:rPr>
        <w:t>Exemptions</w:t>
      </w:r>
      <w:r w:rsidRPr="003537F4">
        <w:rPr>
          <w:rFonts w:ascii="Arial" w:eastAsia="Yu Mincho" w:hAnsi="Arial" w:cs="Arial"/>
          <w:kern w:val="0"/>
          <w:sz w:val="24"/>
          <w:szCs w:val="24"/>
          <w:lang w:eastAsia="en-GB"/>
          <w14:ligatures w14:val="none"/>
        </w:rPr>
        <w:t xml:space="preserve">. Available at: </w:t>
      </w:r>
      <w:hyperlink r:id="rId30" w:history="1">
        <w:r w:rsidRPr="003537F4">
          <w:rPr>
            <w:rFonts w:ascii="Arial" w:eastAsia="Yu Mincho" w:hAnsi="Arial" w:cs="Arial"/>
            <w:color w:val="467886"/>
            <w:kern w:val="0"/>
            <w:sz w:val="24"/>
            <w:szCs w:val="24"/>
            <w:u w:val="single"/>
            <w:lang w:eastAsia="en-GB"/>
            <w14:ligatures w14:val="none"/>
          </w:rPr>
          <w:t>https://ico.org.uk/for-organisations/uk-gdpr-guidance-and-resources/the-research-provisions/exemptions/</w:t>
        </w:r>
      </w:hyperlink>
      <w:r w:rsidRPr="003537F4">
        <w:rPr>
          <w:rFonts w:ascii="Arial" w:eastAsia="Yu Mincho" w:hAnsi="Arial" w:cs="Arial"/>
          <w:kern w:val="0"/>
          <w:sz w:val="24"/>
          <w:szCs w:val="24"/>
          <w:lang w:eastAsia="en-GB"/>
          <w14:ligatures w14:val="none"/>
        </w:rPr>
        <w:t xml:space="preserve">  (Accessed: 18 October 2026).</w:t>
      </w:r>
    </w:p>
    <w:p w14:paraId="764A99DA"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 xml:space="preserve">National Centre for Research Methods (NCRM) (n.d.) </w:t>
      </w:r>
      <w:r w:rsidRPr="003537F4">
        <w:rPr>
          <w:rFonts w:ascii="Arial" w:eastAsia="Yu Mincho" w:hAnsi="Arial" w:cs="Arial"/>
          <w:i/>
          <w:iCs/>
          <w:kern w:val="0"/>
          <w:sz w:val="24"/>
          <w:szCs w:val="24"/>
          <w:lang w:eastAsia="en-GB"/>
          <w14:ligatures w14:val="none"/>
        </w:rPr>
        <w:t>Obtaining Consent in Research involving Children – Understanding the Legal and Ethical Framework</w:t>
      </w:r>
      <w:r w:rsidRPr="003537F4">
        <w:rPr>
          <w:rFonts w:ascii="Arial" w:eastAsia="Yu Mincho" w:hAnsi="Arial" w:cs="Arial"/>
          <w:kern w:val="0"/>
          <w:sz w:val="24"/>
          <w:szCs w:val="24"/>
          <w:lang w:eastAsia="en-GB"/>
          <w14:ligatures w14:val="none"/>
        </w:rPr>
        <w:t xml:space="preserve">. Guidance Paper 2. Available at: </w:t>
      </w:r>
      <w:hyperlink r:id="rId31" w:history="1">
        <w:r w:rsidRPr="003537F4">
          <w:rPr>
            <w:rFonts w:ascii="Arial" w:eastAsia="Yu Mincho" w:hAnsi="Arial" w:cs="Arial"/>
            <w:color w:val="467886"/>
            <w:kern w:val="0"/>
            <w:sz w:val="24"/>
            <w:szCs w:val="24"/>
            <w:u w:val="single"/>
            <w:lang w:eastAsia="en-GB"/>
            <w14:ligatures w14:val="none"/>
          </w:rPr>
          <w:t>https://repository.ncrm.ac.uk/resources/ethics/paper2.php</w:t>
        </w:r>
      </w:hyperlink>
      <w:r w:rsidRPr="003537F4">
        <w:rPr>
          <w:rFonts w:ascii="Arial" w:eastAsia="Yu Mincho" w:hAnsi="Arial" w:cs="Arial"/>
          <w:kern w:val="0"/>
          <w:sz w:val="24"/>
          <w:szCs w:val="24"/>
          <w:lang w:eastAsia="en-GB"/>
          <w14:ligatures w14:val="none"/>
        </w:rPr>
        <w:t xml:space="preserve">  (Accessed: 18 October 2026).</w:t>
      </w:r>
    </w:p>
    <w:p w14:paraId="26FD3995"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 xml:space="preserve">Negrin, K.A., Slaughter, S.E., Dahlke, S. and Olson, J. (2022) ‘Successful recruitment to qualitative research: A critical reflection’, </w:t>
      </w:r>
      <w:r w:rsidRPr="003537F4">
        <w:rPr>
          <w:rFonts w:ascii="Arial" w:eastAsia="Yu Mincho" w:hAnsi="Arial" w:cs="Arial"/>
          <w:i/>
          <w:iCs/>
          <w:kern w:val="0"/>
          <w:sz w:val="24"/>
          <w:szCs w:val="24"/>
          <w:lang w:eastAsia="en-GB"/>
          <w14:ligatures w14:val="none"/>
        </w:rPr>
        <w:t>International Journal of Qualitative Methods</w:t>
      </w:r>
      <w:r w:rsidRPr="003537F4">
        <w:rPr>
          <w:rFonts w:ascii="Arial" w:eastAsia="Yu Mincho" w:hAnsi="Arial" w:cs="Arial"/>
          <w:kern w:val="0"/>
          <w:sz w:val="24"/>
          <w:szCs w:val="24"/>
          <w:lang w:eastAsia="en-GB"/>
          <w14:ligatures w14:val="none"/>
        </w:rPr>
        <w:t xml:space="preserve">, 21. Available at: </w:t>
      </w:r>
      <w:hyperlink r:id="rId32" w:history="1">
        <w:r w:rsidRPr="003537F4">
          <w:rPr>
            <w:rFonts w:ascii="Arial" w:eastAsia="Yu Mincho" w:hAnsi="Arial" w:cs="Arial"/>
            <w:color w:val="467886"/>
            <w:kern w:val="0"/>
            <w:sz w:val="24"/>
            <w:szCs w:val="24"/>
            <w:u w:val="single"/>
            <w:lang w:eastAsia="en-GB"/>
            <w14:ligatures w14:val="none"/>
          </w:rPr>
          <w:t>https://doi.org/10.1177/16094069221119576</w:t>
        </w:r>
      </w:hyperlink>
      <w:r w:rsidRPr="003537F4">
        <w:rPr>
          <w:rFonts w:ascii="Arial" w:eastAsia="Yu Mincho" w:hAnsi="Arial" w:cs="Arial"/>
          <w:kern w:val="0"/>
          <w:sz w:val="24"/>
          <w:szCs w:val="24"/>
          <w:lang w:eastAsia="en-GB"/>
          <w14:ligatures w14:val="none"/>
        </w:rPr>
        <w:t xml:space="preserve">  (Accessed: 18 October 2026).</w:t>
      </w:r>
    </w:p>
    <w:p w14:paraId="5B96C67E"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lastRenderedPageBreak/>
        <w:t xml:space="preserve">United Nations (1989) </w:t>
      </w:r>
      <w:r w:rsidRPr="003537F4">
        <w:rPr>
          <w:rFonts w:ascii="Arial" w:eastAsia="Yu Mincho" w:hAnsi="Arial" w:cs="Arial"/>
          <w:i/>
          <w:iCs/>
          <w:kern w:val="0"/>
          <w:sz w:val="24"/>
          <w:szCs w:val="24"/>
          <w:lang w:eastAsia="en-GB"/>
          <w14:ligatures w14:val="none"/>
        </w:rPr>
        <w:t>Convention on the Rights of the Child</w:t>
      </w:r>
      <w:r w:rsidRPr="003537F4">
        <w:rPr>
          <w:rFonts w:ascii="Arial" w:eastAsia="Yu Mincho" w:hAnsi="Arial" w:cs="Arial"/>
          <w:kern w:val="0"/>
          <w:sz w:val="24"/>
          <w:szCs w:val="24"/>
          <w:lang w:eastAsia="en-GB"/>
          <w14:ligatures w14:val="none"/>
        </w:rPr>
        <w:t xml:space="preserve">. Available at: </w:t>
      </w:r>
      <w:hyperlink r:id="rId33" w:history="1">
        <w:r w:rsidRPr="003537F4">
          <w:rPr>
            <w:rFonts w:ascii="Arial" w:eastAsia="Yu Mincho" w:hAnsi="Arial" w:cs="Arial"/>
            <w:color w:val="467886"/>
            <w:kern w:val="0"/>
            <w:sz w:val="24"/>
            <w:szCs w:val="24"/>
            <w:u w:val="single"/>
            <w:lang w:eastAsia="en-GB"/>
            <w14:ligatures w14:val="none"/>
          </w:rPr>
          <w:t>https://www.unicef.org/child-rights-convention/convention-text</w:t>
        </w:r>
      </w:hyperlink>
      <w:r w:rsidRPr="003537F4">
        <w:rPr>
          <w:rFonts w:ascii="Arial" w:eastAsia="Yu Mincho" w:hAnsi="Arial" w:cs="Arial"/>
          <w:kern w:val="0"/>
          <w:sz w:val="24"/>
          <w:szCs w:val="24"/>
          <w:lang w:eastAsia="en-GB"/>
          <w14:ligatures w14:val="none"/>
        </w:rPr>
        <w:t xml:space="preserve">  (Accessed: 18 October 2026).</w:t>
      </w:r>
    </w:p>
    <w:p w14:paraId="4249C6E9" w14:textId="77777777" w:rsidR="003537F4" w:rsidRPr="003537F4" w:rsidRDefault="003537F4" w:rsidP="003537F4">
      <w:pPr>
        <w:spacing w:before="100" w:beforeAutospacing="1" w:after="100" w:afterAutospacing="1" w:line="360" w:lineRule="auto"/>
        <w:rPr>
          <w:rFonts w:ascii="Arial" w:eastAsia="Yu Mincho" w:hAnsi="Arial" w:cs="Arial"/>
          <w:kern w:val="0"/>
          <w:sz w:val="24"/>
          <w:szCs w:val="24"/>
          <w:lang w:eastAsia="en-GB"/>
          <w14:ligatures w14:val="none"/>
        </w:rPr>
      </w:pPr>
      <w:r w:rsidRPr="003537F4">
        <w:rPr>
          <w:rFonts w:ascii="Arial" w:eastAsia="Yu Mincho" w:hAnsi="Arial" w:cs="Arial"/>
          <w:kern w:val="0"/>
          <w:sz w:val="24"/>
          <w:szCs w:val="24"/>
          <w:lang w:eastAsia="en-GB"/>
          <w14:ligatures w14:val="none"/>
        </w:rPr>
        <w:t xml:space="preserve">University of Wales Trinity Saint David (UWTSD) (n.d.) </w:t>
      </w:r>
      <w:r w:rsidRPr="003537F4">
        <w:rPr>
          <w:rFonts w:ascii="Arial" w:eastAsia="Yu Mincho" w:hAnsi="Arial" w:cs="Arial"/>
          <w:i/>
          <w:iCs/>
          <w:kern w:val="0"/>
          <w:sz w:val="24"/>
          <w:szCs w:val="24"/>
          <w:lang w:eastAsia="en-GB"/>
          <w14:ligatures w14:val="none"/>
        </w:rPr>
        <w:t>Code of Practice for Research Ethics and Integrity</w:t>
      </w:r>
      <w:r w:rsidRPr="003537F4">
        <w:rPr>
          <w:rFonts w:ascii="Arial" w:eastAsia="Yu Mincho" w:hAnsi="Arial" w:cs="Arial"/>
          <w:kern w:val="0"/>
          <w:sz w:val="24"/>
          <w:szCs w:val="24"/>
          <w:lang w:eastAsia="en-GB"/>
          <w14:ligatures w14:val="none"/>
        </w:rPr>
        <w:t xml:space="preserve">. Available at: </w:t>
      </w:r>
      <w:hyperlink r:id="rId34" w:history="1">
        <w:r w:rsidRPr="003537F4">
          <w:rPr>
            <w:rFonts w:ascii="Arial" w:eastAsia="Yu Mincho" w:hAnsi="Arial" w:cs="Arial"/>
            <w:color w:val="467886"/>
            <w:kern w:val="0"/>
            <w:sz w:val="24"/>
            <w:szCs w:val="24"/>
            <w:u w:val="single"/>
            <w:lang w:eastAsia="en-GB"/>
            <w14:ligatures w14:val="none"/>
          </w:rPr>
          <w:t>https://www.uwtsd.ac.uk/media/2041/download</w:t>
        </w:r>
      </w:hyperlink>
      <w:r w:rsidRPr="003537F4">
        <w:rPr>
          <w:rFonts w:ascii="Arial" w:eastAsia="Yu Mincho" w:hAnsi="Arial" w:cs="Arial"/>
          <w:kern w:val="0"/>
          <w:sz w:val="24"/>
          <w:szCs w:val="24"/>
          <w:lang w:eastAsia="en-GB"/>
          <w14:ligatures w14:val="none"/>
        </w:rPr>
        <w:t xml:space="preserve">  (Accessed: 18 October 2026).</w:t>
      </w:r>
    </w:p>
    <w:p w14:paraId="1CDE15F6" w14:textId="77777777" w:rsidR="005228E9" w:rsidRDefault="005228E9"/>
    <w:sectPr w:rsidR="005228E9">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C9D68" w14:textId="77777777" w:rsidR="00A26A45" w:rsidRDefault="00A26A45" w:rsidP="00C22DD8">
      <w:pPr>
        <w:spacing w:after="0" w:line="240" w:lineRule="auto"/>
      </w:pPr>
      <w:r>
        <w:separator/>
      </w:r>
    </w:p>
  </w:endnote>
  <w:endnote w:type="continuationSeparator" w:id="0">
    <w:p w14:paraId="160F43B3" w14:textId="77777777" w:rsidR="00A26A45" w:rsidRDefault="00A26A45" w:rsidP="00C22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7849370"/>
      <w:docPartObj>
        <w:docPartGallery w:val="Page Numbers (Bottom of Page)"/>
        <w:docPartUnique/>
      </w:docPartObj>
    </w:sdtPr>
    <w:sdtContent>
      <w:p w14:paraId="06927160" w14:textId="6425F921" w:rsidR="005846F3" w:rsidRDefault="005846F3">
        <w:pPr>
          <w:pStyle w:val="Footer"/>
          <w:jc w:val="center"/>
        </w:pPr>
        <w:r>
          <w:fldChar w:fldCharType="begin"/>
        </w:r>
        <w:r>
          <w:instrText>PAGE   \* MERGEFORMAT</w:instrText>
        </w:r>
        <w:r>
          <w:fldChar w:fldCharType="separate"/>
        </w:r>
        <w:r>
          <w:t>2</w:t>
        </w:r>
        <w:r>
          <w:fldChar w:fldCharType="end"/>
        </w:r>
      </w:p>
    </w:sdtContent>
  </w:sdt>
  <w:p w14:paraId="7354F131" w14:textId="77777777" w:rsidR="00C22DD8" w:rsidRDefault="00C22D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4E2431" w14:textId="77777777" w:rsidR="00A26A45" w:rsidRDefault="00A26A45" w:rsidP="00C22DD8">
      <w:pPr>
        <w:spacing w:after="0" w:line="240" w:lineRule="auto"/>
      </w:pPr>
      <w:r>
        <w:separator/>
      </w:r>
    </w:p>
  </w:footnote>
  <w:footnote w:type="continuationSeparator" w:id="0">
    <w:p w14:paraId="7D1CDCD8" w14:textId="77777777" w:rsidR="00A26A45" w:rsidRDefault="00A26A45" w:rsidP="00C22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2E026" w14:textId="2ED49BC8" w:rsidR="005846F3" w:rsidRDefault="005846F3" w:rsidP="005846F3">
    <w:pPr>
      <w:pStyle w:val="Header"/>
    </w:pPr>
    <w:r w:rsidRPr="005846F3">
      <w:t xml:space="preserve"> </w:t>
    </w:r>
    <w:r>
      <w:t xml:space="preserve">Student Number: 2521445 </w:t>
    </w:r>
  </w:p>
  <w:p w14:paraId="15DE0F03" w14:textId="77777777" w:rsidR="005846F3" w:rsidRDefault="005846F3" w:rsidP="005846F3">
    <w:pPr>
      <w:pStyle w:val="Header"/>
    </w:pPr>
    <w:r>
      <w:t>Module Code: ECEY5010</w:t>
    </w:r>
  </w:p>
  <w:p w14:paraId="2BFD62F5" w14:textId="02F2ADA7" w:rsidR="005846F3" w:rsidRDefault="005846F3">
    <w:pPr>
      <w:pStyle w:val="Header"/>
      <w:jc w:val="center"/>
    </w:pPr>
  </w:p>
  <w:p w14:paraId="213E2C73" w14:textId="77777777" w:rsidR="00C22DD8" w:rsidRDefault="00C22D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0D8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78706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7255"/>
    <w:rsid w:val="000B1914"/>
    <w:rsid w:val="000E1D63"/>
    <w:rsid w:val="002A5E78"/>
    <w:rsid w:val="003537F4"/>
    <w:rsid w:val="005228E9"/>
    <w:rsid w:val="005846F3"/>
    <w:rsid w:val="00592905"/>
    <w:rsid w:val="005D1CE4"/>
    <w:rsid w:val="00857255"/>
    <w:rsid w:val="008E7593"/>
    <w:rsid w:val="00915438"/>
    <w:rsid w:val="00A26A45"/>
    <w:rsid w:val="00AE6238"/>
    <w:rsid w:val="00C22DD8"/>
    <w:rsid w:val="00E355F6"/>
    <w:rsid w:val="00FD75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1B5DA"/>
  <w15:chartTrackingRefBased/>
  <w15:docId w15:val="{A5342F1A-D7A0-499D-B53A-6EE05084A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7255"/>
  </w:style>
  <w:style w:type="paragraph" w:styleId="Heading1">
    <w:name w:val="heading 1"/>
    <w:basedOn w:val="Normal"/>
    <w:next w:val="Normal"/>
    <w:link w:val="Heading1Char"/>
    <w:uiPriority w:val="9"/>
    <w:qFormat/>
    <w:rsid w:val="0085725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5725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5725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5725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5725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572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72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72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72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725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5725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5725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5725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5725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572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72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72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7255"/>
    <w:rPr>
      <w:rFonts w:eastAsiaTheme="majorEastAsia" w:cstheme="majorBidi"/>
      <w:color w:val="272727" w:themeColor="text1" w:themeTint="D8"/>
    </w:rPr>
  </w:style>
  <w:style w:type="paragraph" w:styleId="Title">
    <w:name w:val="Title"/>
    <w:basedOn w:val="Normal"/>
    <w:next w:val="Normal"/>
    <w:link w:val="TitleChar"/>
    <w:uiPriority w:val="10"/>
    <w:qFormat/>
    <w:rsid w:val="008572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72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72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72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7255"/>
    <w:pPr>
      <w:spacing w:before="160"/>
      <w:jc w:val="center"/>
    </w:pPr>
    <w:rPr>
      <w:i/>
      <w:iCs/>
      <w:color w:val="404040" w:themeColor="text1" w:themeTint="BF"/>
    </w:rPr>
  </w:style>
  <w:style w:type="character" w:customStyle="1" w:styleId="QuoteChar">
    <w:name w:val="Quote Char"/>
    <w:basedOn w:val="DefaultParagraphFont"/>
    <w:link w:val="Quote"/>
    <w:uiPriority w:val="29"/>
    <w:rsid w:val="00857255"/>
    <w:rPr>
      <w:i/>
      <w:iCs/>
      <w:color w:val="404040" w:themeColor="text1" w:themeTint="BF"/>
    </w:rPr>
  </w:style>
  <w:style w:type="paragraph" w:styleId="ListParagraph">
    <w:name w:val="List Paragraph"/>
    <w:basedOn w:val="Normal"/>
    <w:uiPriority w:val="34"/>
    <w:qFormat/>
    <w:rsid w:val="00857255"/>
    <w:pPr>
      <w:ind w:left="720"/>
      <w:contextualSpacing/>
    </w:pPr>
  </w:style>
  <w:style w:type="character" w:styleId="IntenseEmphasis">
    <w:name w:val="Intense Emphasis"/>
    <w:basedOn w:val="DefaultParagraphFont"/>
    <w:uiPriority w:val="21"/>
    <w:qFormat/>
    <w:rsid w:val="00857255"/>
    <w:rPr>
      <w:i/>
      <w:iCs/>
      <w:color w:val="2F5496" w:themeColor="accent1" w:themeShade="BF"/>
    </w:rPr>
  </w:style>
  <w:style w:type="paragraph" w:styleId="IntenseQuote">
    <w:name w:val="Intense Quote"/>
    <w:basedOn w:val="Normal"/>
    <w:next w:val="Normal"/>
    <w:link w:val="IntenseQuoteChar"/>
    <w:uiPriority w:val="30"/>
    <w:qFormat/>
    <w:rsid w:val="0085725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57255"/>
    <w:rPr>
      <w:i/>
      <w:iCs/>
      <w:color w:val="2F5496" w:themeColor="accent1" w:themeShade="BF"/>
    </w:rPr>
  </w:style>
  <w:style w:type="character" w:styleId="IntenseReference">
    <w:name w:val="Intense Reference"/>
    <w:basedOn w:val="DefaultParagraphFont"/>
    <w:uiPriority w:val="32"/>
    <w:qFormat/>
    <w:rsid w:val="00857255"/>
    <w:rPr>
      <w:b/>
      <w:bCs/>
      <w:smallCaps/>
      <w:color w:val="2F5496" w:themeColor="accent1" w:themeShade="BF"/>
      <w:spacing w:val="5"/>
    </w:rPr>
  </w:style>
  <w:style w:type="paragraph" w:styleId="Header">
    <w:name w:val="header"/>
    <w:basedOn w:val="Normal"/>
    <w:link w:val="HeaderChar"/>
    <w:uiPriority w:val="99"/>
    <w:unhideWhenUsed/>
    <w:rsid w:val="00C22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2DD8"/>
  </w:style>
  <w:style w:type="paragraph" w:styleId="Footer">
    <w:name w:val="footer"/>
    <w:basedOn w:val="Normal"/>
    <w:link w:val="FooterChar"/>
    <w:uiPriority w:val="99"/>
    <w:unhideWhenUsed/>
    <w:rsid w:val="00C22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2DD8"/>
  </w:style>
  <w:style w:type="character" w:styleId="Hyperlink">
    <w:name w:val="Hyperlink"/>
    <w:basedOn w:val="DefaultParagraphFont"/>
    <w:uiPriority w:val="99"/>
    <w:unhideWhenUsed/>
    <w:rsid w:val="008E759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ir.ac.uk/research/hub/publication/669595" TargetMode="External"/><Relationship Id="rId18" Type="http://schemas.openxmlformats.org/officeDocument/2006/relationships/hyperlink" Target="https://cupola.gettysburg.edu/gssr/vol5/iss1/3/" TargetMode="External"/><Relationship Id="rId26" Type="http://schemas.openxmlformats.org/officeDocument/2006/relationships/hyperlink" Target="https://www.bera.ac.uk/publication/ethical-guidelines-for-educational-research-fifth-edition-2024" TargetMode="External"/><Relationship Id="rId21" Type="http://schemas.openxmlformats.org/officeDocument/2006/relationships/hyperlink" Target="https://doi.org/10.3389/fpsyg.2021.631871" TargetMode="External"/><Relationship Id="rId34" Type="http://schemas.openxmlformats.org/officeDocument/2006/relationships/hyperlink" Target="https://www.uwtsd.ac.uk/media/2041/download" TargetMode="External"/><Relationship Id="rId7" Type="http://schemas.openxmlformats.org/officeDocument/2006/relationships/hyperlink" Target="https://doi.org/10.1080/09669760.2020.1848523" TargetMode="External"/><Relationship Id="rId12" Type="http://schemas.openxmlformats.org/officeDocument/2006/relationships/hyperlink" Target="https://doi.org/10.1001/jamapediatrics.2024.2620" TargetMode="External"/><Relationship Id="rId17" Type="http://schemas.openxmlformats.org/officeDocument/2006/relationships/hyperlink" Target="https://hwb.gov.wales/curriculum-for-wales/science-and-technology/designing-your-curriculum/" TargetMode="External"/><Relationship Id="rId25" Type="http://schemas.openxmlformats.org/officeDocument/2006/relationships/hyperlink" Target="https://doi.org/10.1177/1609406917719623" TargetMode="External"/><Relationship Id="rId33" Type="http://schemas.openxmlformats.org/officeDocument/2006/relationships/hyperlink" Target="https://www.unicef.org/child-rights-convention/convention-text"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hwb.gov.wales/curriculum-for-wales/cross-curricular-skills-frameworks/digital-competence-framework-dcf/" TargetMode="External"/><Relationship Id="rId20" Type="http://schemas.openxmlformats.org/officeDocument/2006/relationships/hyperlink" Target="https://doi.org/10.1136/fmch-2018-000057" TargetMode="External"/><Relationship Id="rId29" Type="http://schemas.openxmlformats.org/officeDocument/2006/relationships/hyperlink" Target="https://ico.org.uk/for-organisations/uk-gdpr-guidance-and-resources/data-protection-principles/a-guide-to-the-data-protection-princip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educsci16081260" TargetMode="External"/><Relationship Id="rId24" Type="http://schemas.openxmlformats.org/officeDocument/2006/relationships/hyperlink" Target="https://doi.org/10.1177/16094069231205789" TargetMode="External"/><Relationship Id="rId32" Type="http://schemas.openxmlformats.org/officeDocument/2006/relationships/hyperlink" Target="https://doi.org/10.1177/16094069221119576"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j.edurev.2024.100614" TargetMode="External"/><Relationship Id="rId23" Type="http://schemas.openxmlformats.org/officeDocument/2006/relationships/hyperlink" Target="https://doi.org/10.1177/14413582241264619" TargetMode="External"/><Relationship Id="rId28" Type="http://schemas.openxmlformats.org/officeDocument/2006/relationships/hyperlink" Target="https://www.unicef.org/innocenti/reports/ethical-research-involving-children" TargetMode="External"/><Relationship Id="rId36" Type="http://schemas.openxmlformats.org/officeDocument/2006/relationships/footer" Target="footer1.xml"/><Relationship Id="rId10" Type="http://schemas.openxmlformats.org/officeDocument/2006/relationships/hyperlink" Target="https://doi.org/10.1111/bjet.70063" TargetMode="External"/><Relationship Id="rId19" Type="http://schemas.openxmlformats.org/officeDocument/2006/relationships/hyperlink" Target="https://doi.org/10.1177/1744987120927206" TargetMode="External"/><Relationship Id="rId31" Type="http://schemas.openxmlformats.org/officeDocument/2006/relationships/hyperlink" Target="https://repository.ncrm.ac.uk/resources/ethics/paper2.php" TargetMode="External"/><Relationship Id="rId4" Type="http://schemas.openxmlformats.org/officeDocument/2006/relationships/webSettings" Target="webSettings.xml"/><Relationship Id="rId9" Type="http://schemas.openxmlformats.org/officeDocument/2006/relationships/hyperlink" Target="https://doi.org/10.1080/1475939x.2016.1152291" TargetMode="External"/><Relationship Id="rId14" Type="http://schemas.openxmlformats.org/officeDocument/2006/relationships/hyperlink" Target="https://doi.org/10.1017/CBO9781139174299.008" TargetMode="External"/><Relationship Id="rId22" Type="http://schemas.openxmlformats.org/officeDocument/2006/relationships/hyperlink" Target="https://doi.org/10.1111/jan.13031" TargetMode="External"/><Relationship Id="rId27" Type="http://schemas.openxmlformats.org/officeDocument/2006/relationships/hyperlink" Target="https://doi.org/10.53841/bpsrep.2021.inf180" TargetMode="External"/><Relationship Id="rId30" Type="http://schemas.openxmlformats.org/officeDocument/2006/relationships/hyperlink" Target="https://ico.org.uk/for-organisations/uk-gdpr-guidance-and-resources/the-research-provisions/exemptions/" TargetMode="External"/><Relationship Id="rId35" Type="http://schemas.openxmlformats.org/officeDocument/2006/relationships/header" Target="header1.xml"/><Relationship Id="rId8" Type="http://schemas.openxmlformats.org/officeDocument/2006/relationships/hyperlink" Target="https://help-for-early-years-providers.education.gov.uk/health-and-wellbeing/screen-use"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21</Pages>
  <Words>5610</Words>
  <Characters>31980</Characters>
  <Application>Microsoft Office Word</Application>
  <DocSecurity>0</DocSecurity>
  <Lines>266</Lines>
  <Paragraphs>75</Paragraphs>
  <ScaleCrop>false</ScaleCrop>
  <Company/>
  <LinksUpToDate>false</LinksUpToDate>
  <CharactersWithSpaces>37515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owen</dc:creator>
  <cp:keywords/>
  <dc:description/>
  <cp:lastModifiedBy>katie owen</cp:lastModifiedBy>
  <cp:revision>13</cp:revision>
  <dcterms:created xsi:type="dcterms:W3CDTF">2026-10-25T10:34:00Z</dcterms:created>
  <dcterms:modified xsi:type="dcterms:W3CDTF">2026-10-25T10:47:00Z</dcterms:modified>
</cp:coreProperties>
</file>