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4B0B5" w14:textId="77777777" w:rsidR="00BC2ED7" w:rsidRPr="004E6958" w:rsidRDefault="00BC2ED7" w:rsidP="00BC2ED7">
      <w:pPr>
        <w:pStyle w:val="TOCHeading"/>
        <w:spacing w:line="240" w:lineRule="auto"/>
        <w:jc w:val="center"/>
        <w:rPr>
          <w:rFonts w:ascii="Arial" w:hAnsi="Arial" w:cs="Arial"/>
        </w:rPr>
      </w:pPr>
    </w:p>
    <w:p w14:paraId="16FBEEB1" w14:textId="77777777" w:rsidR="00BC2ED7" w:rsidRPr="004E6958" w:rsidRDefault="00BC2ED7" w:rsidP="00BC2ED7">
      <w:pPr>
        <w:pStyle w:val="Heading1"/>
        <w:spacing w:line="240" w:lineRule="auto"/>
        <w:jc w:val="center"/>
        <w:rPr>
          <w:rFonts w:ascii="Arial" w:hAnsi="Arial" w:cs="Arial"/>
          <w:sz w:val="24"/>
          <w:szCs w:val="24"/>
        </w:rPr>
      </w:pPr>
    </w:p>
    <w:p w14:paraId="5A00B518" w14:textId="77777777" w:rsidR="00BC2ED7" w:rsidRPr="004E6958" w:rsidRDefault="00BC2ED7" w:rsidP="00BC2ED7">
      <w:pPr>
        <w:spacing w:before="212" w:line="240" w:lineRule="auto"/>
        <w:jc w:val="center"/>
        <w:rPr>
          <w:rFonts w:ascii="Arial" w:hAnsi="Arial" w:cs="Arial"/>
          <w:b/>
          <w:sz w:val="36"/>
          <w:szCs w:val="36"/>
        </w:rPr>
      </w:pPr>
      <w:r w:rsidRPr="004E6958">
        <w:rPr>
          <w:rFonts w:ascii="Arial" w:hAnsi="Arial" w:cs="Arial"/>
          <w:noProof/>
          <w:sz w:val="36"/>
          <w:szCs w:val="36"/>
        </w:rPr>
        <w:drawing>
          <wp:inline distT="0" distB="0" distL="0" distR="0" wp14:anchorId="2D82A152" wp14:editId="0773A487">
            <wp:extent cx="2981325" cy="1190625"/>
            <wp:effectExtent l="0" t="0" r="9525" b="9525"/>
            <wp:docPr id="1690153312" name="Picture 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14:paraId="68304DC8" w14:textId="77777777" w:rsidR="00BC2ED7" w:rsidRPr="004E6958" w:rsidRDefault="00BC2ED7" w:rsidP="00BC2ED7">
      <w:pPr>
        <w:spacing w:before="212" w:line="240" w:lineRule="auto"/>
        <w:jc w:val="center"/>
        <w:rPr>
          <w:rFonts w:ascii="Arial" w:hAnsi="Arial" w:cs="Arial"/>
          <w:b/>
          <w:sz w:val="36"/>
          <w:szCs w:val="36"/>
        </w:rPr>
      </w:pPr>
    </w:p>
    <w:p w14:paraId="2024D95C" w14:textId="77777777" w:rsidR="00BC2ED7" w:rsidRPr="004E6958" w:rsidRDefault="00BC2ED7" w:rsidP="00BC2ED7">
      <w:pPr>
        <w:spacing w:before="212" w:line="240" w:lineRule="auto"/>
        <w:jc w:val="center"/>
        <w:rPr>
          <w:rFonts w:ascii="Arial" w:hAnsi="Arial" w:cs="Arial"/>
          <w:b/>
          <w:bCs/>
          <w:sz w:val="36"/>
          <w:szCs w:val="36"/>
        </w:rPr>
      </w:pPr>
      <w:r w:rsidRPr="004E6958">
        <w:rPr>
          <w:rFonts w:ascii="Arial" w:hAnsi="Arial" w:cs="Arial"/>
          <w:b/>
          <w:bCs/>
          <w:sz w:val="36"/>
          <w:szCs w:val="36"/>
        </w:rPr>
        <w:t>MODULE CODE: BMSW4014</w:t>
      </w:r>
    </w:p>
    <w:p w14:paraId="40B360E2" w14:textId="77777777" w:rsidR="00BC2ED7" w:rsidRPr="004E6958" w:rsidRDefault="00BC2ED7" w:rsidP="00BC2ED7">
      <w:pPr>
        <w:spacing w:before="212" w:line="240" w:lineRule="auto"/>
        <w:jc w:val="center"/>
        <w:rPr>
          <w:rFonts w:ascii="Arial" w:hAnsi="Arial" w:cs="Arial"/>
          <w:b/>
          <w:sz w:val="36"/>
          <w:szCs w:val="36"/>
        </w:rPr>
      </w:pPr>
    </w:p>
    <w:p w14:paraId="3C989C5D" w14:textId="77777777" w:rsidR="00BC2ED7" w:rsidRPr="004E6958" w:rsidRDefault="00BC2ED7" w:rsidP="00BC2ED7">
      <w:pPr>
        <w:spacing w:before="212" w:line="240" w:lineRule="auto"/>
        <w:jc w:val="center"/>
        <w:rPr>
          <w:rFonts w:ascii="Arial" w:hAnsi="Arial" w:cs="Arial"/>
          <w:b/>
          <w:bCs/>
          <w:sz w:val="32"/>
          <w:szCs w:val="32"/>
        </w:rPr>
      </w:pPr>
      <w:r w:rsidRPr="004E6958">
        <w:rPr>
          <w:rFonts w:ascii="Arial" w:hAnsi="Arial" w:cs="Arial"/>
          <w:b/>
          <w:bCs/>
          <w:sz w:val="32"/>
          <w:szCs w:val="32"/>
        </w:rPr>
        <w:t xml:space="preserve">ASSESSMENT COMPONENT: </w:t>
      </w:r>
      <w:r w:rsidRPr="004E6958">
        <w:rPr>
          <w:rFonts w:ascii="Arial" w:hAnsi="Arial" w:cs="Arial"/>
          <w:b/>
          <w:bCs/>
          <w:sz w:val="36"/>
          <w:szCs w:val="36"/>
        </w:rPr>
        <w:t>Understanding the Business Environment of the Influencer industry</w:t>
      </w:r>
    </w:p>
    <w:p w14:paraId="45B36298" w14:textId="77777777" w:rsidR="00BC2ED7" w:rsidRPr="004E6958" w:rsidRDefault="00BC2ED7" w:rsidP="00BC2ED7">
      <w:pPr>
        <w:spacing w:before="7" w:line="240" w:lineRule="auto"/>
        <w:jc w:val="center"/>
        <w:rPr>
          <w:rFonts w:ascii="Arial" w:hAnsi="Arial" w:cs="Arial"/>
          <w:b/>
          <w:sz w:val="36"/>
          <w:szCs w:val="36"/>
        </w:rPr>
      </w:pPr>
    </w:p>
    <w:p w14:paraId="0DDA2DA6" w14:textId="77777777" w:rsidR="00BC2ED7" w:rsidRPr="004E6958" w:rsidRDefault="00BC2ED7" w:rsidP="00BC2ED7">
      <w:pPr>
        <w:spacing w:before="3" w:line="240" w:lineRule="auto"/>
        <w:jc w:val="center"/>
        <w:rPr>
          <w:rFonts w:ascii="Arial" w:hAnsi="Arial" w:cs="Arial"/>
          <w:b/>
          <w:sz w:val="36"/>
          <w:szCs w:val="36"/>
        </w:rPr>
      </w:pPr>
      <w:r w:rsidRPr="004E6958">
        <w:rPr>
          <w:rFonts w:ascii="Arial" w:hAnsi="Arial" w:cs="Arial"/>
          <w:b/>
          <w:sz w:val="36"/>
          <w:szCs w:val="36"/>
        </w:rPr>
        <w:t>STUDENT NAME: Stevie-Marie Surman</w:t>
      </w:r>
    </w:p>
    <w:p w14:paraId="0615F746" w14:textId="77777777" w:rsidR="00BC2ED7" w:rsidRPr="004E6958" w:rsidRDefault="00BC2ED7" w:rsidP="00BC2ED7">
      <w:pPr>
        <w:spacing w:before="3" w:line="240" w:lineRule="auto"/>
        <w:jc w:val="center"/>
        <w:rPr>
          <w:rFonts w:ascii="Arial" w:hAnsi="Arial" w:cs="Arial"/>
          <w:b/>
          <w:sz w:val="36"/>
          <w:szCs w:val="36"/>
        </w:rPr>
      </w:pPr>
    </w:p>
    <w:p w14:paraId="13BBF43A" w14:textId="77777777" w:rsidR="00BC2ED7" w:rsidRPr="004E6958" w:rsidRDefault="00BC2ED7" w:rsidP="00BC2ED7">
      <w:pPr>
        <w:spacing w:before="3" w:line="240" w:lineRule="auto"/>
        <w:jc w:val="center"/>
        <w:rPr>
          <w:rFonts w:ascii="Arial" w:hAnsi="Arial" w:cs="Arial"/>
          <w:b/>
          <w:sz w:val="36"/>
          <w:szCs w:val="36"/>
        </w:rPr>
      </w:pPr>
      <w:r w:rsidRPr="004E6958">
        <w:rPr>
          <w:rFonts w:ascii="Arial" w:hAnsi="Arial" w:cs="Arial"/>
          <w:b/>
          <w:sz w:val="36"/>
          <w:szCs w:val="36"/>
        </w:rPr>
        <w:t>STUDENT NUMBER: 2508074</w:t>
      </w:r>
    </w:p>
    <w:p w14:paraId="2C950699" w14:textId="77777777" w:rsidR="00BC2ED7" w:rsidRPr="004E6958" w:rsidRDefault="00BC2ED7" w:rsidP="00BC2ED7">
      <w:pPr>
        <w:spacing w:line="240" w:lineRule="auto"/>
        <w:jc w:val="center"/>
        <w:rPr>
          <w:rFonts w:ascii="Arial" w:hAnsi="Arial" w:cs="Arial"/>
          <w:b/>
          <w:sz w:val="36"/>
          <w:szCs w:val="36"/>
        </w:rPr>
      </w:pPr>
    </w:p>
    <w:p w14:paraId="6C2AF7E4" w14:textId="77777777" w:rsidR="00BC2ED7" w:rsidRPr="004E6958" w:rsidRDefault="00BC2ED7" w:rsidP="00BC2ED7">
      <w:pPr>
        <w:spacing w:line="240" w:lineRule="auto"/>
        <w:jc w:val="center"/>
        <w:rPr>
          <w:rFonts w:ascii="Arial" w:hAnsi="Arial" w:cs="Arial"/>
          <w:b/>
          <w:sz w:val="36"/>
          <w:szCs w:val="36"/>
        </w:rPr>
      </w:pPr>
      <w:r w:rsidRPr="004E6958">
        <w:rPr>
          <w:rFonts w:ascii="Arial" w:hAnsi="Arial" w:cs="Arial"/>
          <w:b/>
          <w:sz w:val="36"/>
          <w:szCs w:val="36"/>
        </w:rPr>
        <w:t>LECTURER: Chris Wilkin</w:t>
      </w:r>
    </w:p>
    <w:p w14:paraId="4774DDA3" w14:textId="77777777" w:rsidR="00BC2ED7" w:rsidRPr="004E6958" w:rsidRDefault="00BC2ED7" w:rsidP="00BC2ED7">
      <w:pPr>
        <w:spacing w:line="240" w:lineRule="auto"/>
        <w:ind w:left="100"/>
        <w:jc w:val="center"/>
        <w:rPr>
          <w:rFonts w:ascii="Arial" w:hAnsi="Arial" w:cs="Arial"/>
          <w:b/>
          <w:sz w:val="36"/>
          <w:szCs w:val="36"/>
        </w:rPr>
      </w:pPr>
    </w:p>
    <w:p w14:paraId="6967A123" w14:textId="77777777" w:rsidR="00BC2ED7" w:rsidRPr="004E6958" w:rsidRDefault="00BC2ED7" w:rsidP="00BC2ED7">
      <w:pPr>
        <w:spacing w:before="120" w:after="120" w:line="240" w:lineRule="auto"/>
        <w:jc w:val="center"/>
        <w:rPr>
          <w:rFonts w:ascii="Arial" w:hAnsi="Arial" w:cs="Arial"/>
          <w:b/>
          <w:sz w:val="36"/>
          <w:szCs w:val="36"/>
        </w:rPr>
      </w:pPr>
      <w:r w:rsidRPr="004E6958">
        <w:rPr>
          <w:rFonts w:ascii="Arial" w:hAnsi="Arial" w:cs="Arial"/>
          <w:b/>
          <w:sz w:val="36"/>
          <w:szCs w:val="36"/>
        </w:rPr>
        <w:t>DATE: 10</w:t>
      </w:r>
      <w:r w:rsidRPr="004E6958">
        <w:rPr>
          <w:rFonts w:ascii="Arial" w:hAnsi="Arial" w:cs="Arial"/>
          <w:b/>
          <w:sz w:val="36"/>
          <w:szCs w:val="36"/>
          <w:vertAlign w:val="superscript"/>
        </w:rPr>
        <w:t>th</w:t>
      </w:r>
      <w:r w:rsidRPr="004E6958">
        <w:rPr>
          <w:rFonts w:ascii="Arial" w:hAnsi="Arial" w:cs="Arial"/>
          <w:b/>
          <w:sz w:val="36"/>
          <w:szCs w:val="36"/>
        </w:rPr>
        <w:t xml:space="preserve"> JULY 2026 at 23:59pm</w:t>
      </w:r>
    </w:p>
    <w:p w14:paraId="479D9D45" w14:textId="77777777" w:rsidR="00BC2ED7" w:rsidRPr="004E6958" w:rsidRDefault="00BC2ED7" w:rsidP="00BC2ED7">
      <w:pPr>
        <w:spacing w:line="360" w:lineRule="auto"/>
        <w:jc w:val="both"/>
        <w:rPr>
          <w:rFonts w:ascii="Arial" w:hAnsi="Arial" w:cs="Arial"/>
          <w:b/>
          <w:sz w:val="36"/>
          <w:szCs w:val="36"/>
        </w:rPr>
      </w:pPr>
      <w:r w:rsidRPr="004E6958">
        <w:rPr>
          <w:rFonts w:ascii="Arial" w:hAnsi="Arial" w:cs="Arial"/>
          <w:b/>
          <w:sz w:val="36"/>
          <w:szCs w:val="36"/>
        </w:rPr>
        <w:br w:type="page"/>
      </w:r>
      <w:r w:rsidRPr="004E6958">
        <w:rPr>
          <w:rFonts w:ascii="Arial" w:hAnsi="Arial" w:cs="Arial"/>
          <w:b/>
          <w:bCs/>
        </w:rPr>
        <w:lastRenderedPageBreak/>
        <w:t xml:space="preserve">AI Acknowledgement  </w:t>
      </w:r>
    </w:p>
    <w:p w14:paraId="04A74CF1"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I acknowledge the use of ChatGPT (https://chatgpt.com/) for research purposes. Using the prompts: </w:t>
      </w:r>
    </w:p>
    <w:p w14:paraId="213F6A1B" w14:textId="77777777" w:rsidR="00BC2ED7" w:rsidRDefault="00BC2ED7" w:rsidP="009C264D">
      <w:pPr>
        <w:pStyle w:val="ListParagraph"/>
        <w:numPr>
          <w:ilvl w:val="0"/>
          <w:numId w:val="2"/>
        </w:numPr>
        <w:spacing w:line="360" w:lineRule="auto"/>
        <w:jc w:val="both"/>
        <w:rPr>
          <w:rFonts w:ascii="Arial" w:hAnsi="Arial" w:cs="Arial"/>
        </w:rPr>
      </w:pPr>
      <w:r w:rsidRPr="004E6958">
        <w:rPr>
          <w:rFonts w:ascii="Arial" w:hAnsi="Arial" w:cs="Arial"/>
        </w:rPr>
        <w:t>Provide me 20 creditable sources that discuss External Factors Influencing the Creator Economy / Influencer industry. (See appendix A)</w:t>
      </w:r>
    </w:p>
    <w:p w14:paraId="18D65C43" w14:textId="77777777" w:rsidR="00BC2ED7" w:rsidRPr="001E7980" w:rsidRDefault="00BC2ED7" w:rsidP="00BC2ED7">
      <w:pPr>
        <w:spacing w:line="360" w:lineRule="auto"/>
        <w:jc w:val="both"/>
        <w:rPr>
          <w:rFonts w:ascii="Arial" w:hAnsi="Arial" w:cs="Arial"/>
        </w:rPr>
      </w:pPr>
    </w:p>
    <w:p w14:paraId="729E30A2" w14:textId="77777777" w:rsidR="00BC2ED7" w:rsidRDefault="00BC2ED7" w:rsidP="00BC2ED7">
      <w:pPr>
        <w:jc w:val="both"/>
        <w:rPr>
          <w:rFonts w:ascii="Arial" w:hAnsi="Arial" w:cs="Arial"/>
        </w:rPr>
      </w:pPr>
      <w:r w:rsidRPr="001E7980">
        <w:rPr>
          <w:rFonts w:ascii="Arial" w:hAnsi="Arial" w:cs="Arial"/>
        </w:rPr>
        <w:t xml:space="preserve">I acknowledge the use of the UWTSD library Research Assistant (https://librarysearch.uwtsd.ac.uk/) for research purposes. Using the prompts: </w:t>
      </w:r>
    </w:p>
    <w:p w14:paraId="39BC9CD4" w14:textId="77777777" w:rsidR="00BC2ED7" w:rsidRPr="001E7980" w:rsidRDefault="00BC2ED7" w:rsidP="009C264D">
      <w:pPr>
        <w:pStyle w:val="ListParagraph"/>
        <w:numPr>
          <w:ilvl w:val="0"/>
          <w:numId w:val="3"/>
        </w:numPr>
        <w:jc w:val="both"/>
        <w:rPr>
          <w:rFonts w:ascii="Arial" w:hAnsi="Arial" w:cs="Arial"/>
        </w:rPr>
      </w:pPr>
      <w:r>
        <w:rPr>
          <w:rFonts w:ascii="Arial" w:hAnsi="Arial" w:cs="Arial"/>
        </w:rPr>
        <w:t>B</w:t>
      </w:r>
      <w:r w:rsidRPr="001E7980">
        <w:rPr>
          <w:rFonts w:ascii="Arial" w:hAnsi="Arial" w:cs="Arial"/>
        </w:rPr>
        <w:t>usiness environment of the influencer industry</w:t>
      </w:r>
      <w:r>
        <w:rPr>
          <w:rFonts w:ascii="Arial" w:hAnsi="Arial" w:cs="Arial"/>
        </w:rPr>
        <w:t>. (See appendix B)</w:t>
      </w:r>
    </w:p>
    <w:p w14:paraId="13D9531A" w14:textId="77777777" w:rsidR="00BC2ED7" w:rsidRPr="001E7980" w:rsidRDefault="00BC2ED7" w:rsidP="00BC2ED7">
      <w:pPr>
        <w:jc w:val="both"/>
        <w:rPr>
          <w:rFonts w:ascii="Arial" w:hAnsi="Arial" w:cs="Arial"/>
        </w:rPr>
      </w:pPr>
    </w:p>
    <w:p w14:paraId="1355B702"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5A5A81CB" w14:textId="77777777" w:rsidR="00BC2ED7" w:rsidRPr="004E6958" w:rsidRDefault="00BC2ED7" w:rsidP="00BC2ED7">
      <w:pPr>
        <w:spacing w:line="360" w:lineRule="auto"/>
        <w:jc w:val="both"/>
        <w:rPr>
          <w:rFonts w:ascii="Arial" w:hAnsi="Arial" w:cs="Arial"/>
          <w:b/>
          <w:sz w:val="36"/>
          <w:szCs w:val="36"/>
        </w:rPr>
      </w:pPr>
    </w:p>
    <w:p w14:paraId="5D32402E" w14:textId="77777777" w:rsidR="00BC2ED7" w:rsidRPr="004E6958" w:rsidRDefault="00BC2ED7" w:rsidP="00BC2ED7">
      <w:pPr>
        <w:pStyle w:val="TOCHeading"/>
        <w:spacing w:line="360" w:lineRule="auto"/>
        <w:jc w:val="both"/>
        <w:rPr>
          <w:rFonts w:ascii="Arial" w:hAnsi="Arial" w:cs="Arial"/>
        </w:rPr>
      </w:pPr>
    </w:p>
    <w:p w14:paraId="6BD51314" w14:textId="77777777" w:rsidR="00BC2ED7" w:rsidRPr="004E6958" w:rsidRDefault="00BC2ED7" w:rsidP="00BC2ED7">
      <w:pPr>
        <w:pStyle w:val="TOCHeading"/>
        <w:spacing w:line="360" w:lineRule="auto"/>
        <w:jc w:val="both"/>
        <w:rPr>
          <w:rFonts w:ascii="Arial" w:hAnsi="Arial" w:cs="Arial"/>
        </w:rPr>
      </w:pPr>
    </w:p>
    <w:p w14:paraId="6849D575" w14:textId="77777777" w:rsidR="00BC2ED7" w:rsidRPr="004E6958" w:rsidRDefault="00BC2ED7" w:rsidP="00BC2ED7">
      <w:pPr>
        <w:pStyle w:val="TOCHeading"/>
        <w:spacing w:line="360" w:lineRule="auto"/>
        <w:jc w:val="both"/>
        <w:rPr>
          <w:rFonts w:ascii="Arial" w:hAnsi="Arial" w:cs="Arial"/>
        </w:rPr>
      </w:pPr>
    </w:p>
    <w:p w14:paraId="738ED89F" w14:textId="77777777" w:rsidR="00BC2ED7" w:rsidRPr="004E6958" w:rsidRDefault="00BC2ED7" w:rsidP="00BC2ED7">
      <w:pPr>
        <w:pStyle w:val="TOCHeading"/>
        <w:spacing w:line="360" w:lineRule="auto"/>
        <w:jc w:val="both"/>
        <w:rPr>
          <w:rFonts w:ascii="Arial" w:hAnsi="Arial" w:cs="Arial"/>
        </w:rPr>
      </w:pPr>
    </w:p>
    <w:p w14:paraId="4A1933E9" w14:textId="77777777" w:rsidR="00BC2ED7" w:rsidRPr="004E6958" w:rsidRDefault="00BC2ED7" w:rsidP="00BC2ED7">
      <w:pPr>
        <w:pStyle w:val="TOCHeading"/>
        <w:spacing w:line="360" w:lineRule="auto"/>
        <w:jc w:val="both"/>
        <w:rPr>
          <w:rFonts w:ascii="Arial" w:hAnsi="Arial" w:cs="Arial"/>
        </w:rPr>
      </w:pPr>
    </w:p>
    <w:p w14:paraId="43E95E11" w14:textId="77777777" w:rsidR="00BC2ED7" w:rsidRPr="004E6958" w:rsidRDefault="00BC2ED7" w:rsidP="00BC2ED7">
      <w:pPr>
        <w:pStyle w:val="TOCHeading"/>
        <w:spacing w:line="360" w:lineRule="auto"/>
        <w:jc w:val="both"/>
        <w:rPr>
          <w:rFonts w:ascii="Arial" w:hAnsi="Arial" w:cs="Arial"/>
        </w:rPr>
      </w:pPr>
    </w:p>
    <w:p w14:paraId="6ACA85A5" w14:textId="77777777" w:rsidR="00BC2ED7" w:rsidRDefault="00BC2ED7" w:rsidP="00BC2ED7">
      <w:pPr>
        <w:pStyle w:val="TOCHeading"/>
        <w:spacing w:line="360" w:lineRule="auto"/>
        <w:jc w:val="both"/>
        <w:rPr>
          <w:rFonts w:ascii="Arial" w:hAnsi="Arial" w:cs="Arial"/>
        </w:rPr>
      </w:pPr>
    </w:p>
    <w:p w14:paraId="7675F21D" w14:textId="77777777" w:rsidR="00BC2ED7" w:rsidRDefault="00BC2ED7" w:rsidP="00BC2ED7">
      <w:pPr>
        <w:rPr>
          <w:lang w:val="en-US"/>
        </w:rPr>
      </w:pPr>
    </w:p>
    <w:p w14:paraId="25D64763" w14:textId="77777777" w:rsidR="00BC2ED7" w:rsidRDefault="00BC2ED7" w:rsidP="00BC2ED7">
      <w:pPr>
        <w:rPr>
          <w:lang w:val="en-US"/>
        </w:rPr>
      </w:pPr>
    </w:p>
    <w:p w14:paraId="287D5664" w14:textId="77777777" w:rsidR="00BC2ED7" w:rsidRDefault="00BC2ED7" w:rsidP="00BC2ED7">
      <w:pPr>
        <w:rPr>
          <w:lang w:val="en-US"/>
        </w:rPr>
      </w:pPr>
    </w:p>
    <w:p w14:paraId="6B68015C" w14:textId="77777777" w:rsidR="00BC2ED7" w:rsidRDefault="00BC2ED7" w:rsidP="00BC2ED7">
      <w:pPr>
        <w:rPr>
          <w:lang w:val="en-US"/>
        </w:rPr>
      </w:pPr>
    </w:p>
    <w:p w14:paraId="100907C2" w14:textId="77777777" w:rsidR="00BC2ED7" w:rsidRDefault="00BC2ED7" w:rsidP="00BC2ED7">
      <w:pPr>
        <w:rPr>
          <w:lang w:val="en-US"/>
        </w:rPr>
      </w:pPr>
    </w:p>
    <w:p w14:paraId="457B4F27" w14:textId="77777777" w:rsidR="00BC2ED7" w:rsidRDefault="00BC2ED7" w:rsidP="00BC2ED7">
      <w:pPr>
        <w:rPr>
          <w:lang w:val="en-US"/>
        </w:rPr>
      </w:pPr>
    </w:p>
    <w:p w14:paraId="2698756B" w14:textId="77777777" w:rsidR="00BC2ED7" w:rsidRDefault="00BC2ED7" w:rsidP="00BC2ED7">
      <w:pPr>
        <w:rPr>
          <w:lang w:val="en-US"/>
        </w:rPr>
      </w:pPr>
    </w:p>
    <w:p w14:paraId="41DD5314" w14:textId="77777777" w:rsidR="00BC2ED7" w:rsidRPr="0060048B" w:rsidRDefault="00BC2ED7" w:rsidP="00BC2ED7">
      <w:pPr>
        <w:rPr>
          <w:lang w:val="en-US"/>
        </w:rPr>
      </w:pPr>
    </w:p>
    <w:sdt>
      <w:sdtPr>
        <w:rPr>
          <w:rFonts w:ascii="Arial" w:eastAsiaTheme="minorHAnsi" w:hAnsi="Arial" w:cs="Arial"/>
          <w:color w:val="auto"/>
          <w:kern w:val="2"/>
          <w:sz w:val="22"/>
          <w:szCs w:val="22"/>
          <w:lang w:val="en-GB"/>
          <w14:ligatures w14:val="standardContextual"/>
        </w:rPr>
        <w:id w:val="-987472734"/>
        <w:docPartObj>
          <w:docPartGallery w:val="Table of Contents"/>
          <w:docPartUnique/>
        </w:docPartObj>
      </w:sdtPr>
      <w:sdtEndPr>
        <w:rPr>
          <w:b/>
          <w:bCs/>
          <w:noProof/>
        </w:rPr>
      </w:sdtEndPr>
      <w:sdtContent>
        <w:p w14:paraId="62C8EB7F" w14:textId="77777777" w:rsidR="00BC2ED7" w:rsidRPr="004E6958" w:rsidRDefault="00BC2ED7" w:rsidP="00BC2ED7">
          <w:pPr>
            <w:pStyle w:val="TOCHeading"/>
            <w:spacing w:line="360" w:lineRule="auto"/>
            <w:jc w:val="both"/>
            <w:rPr>
              <w:rFonts w:ascii="Arial" w:hAnsi="Arial" w:cs="Arial"/>
            </w:rPr>
          </w:pPr>
          <w:r w:rsidRPr="004E6958">
            <w:rPr>
              <w:rFonts w:ascii="Arial" w:hAnsi="Arial" w:cs="Arial"/>
            </w:rPr>
            <w:t>Contents</w:t>
          </w:r>
        </w:p>
        <w:p w14:paraId="23E235D7" w14:textId="325415C2" w:rsidR="00BC2ED7" w:rsidRDefault="00BC2ED7">
          <w:pPr>
            <w:pStyle w:val="TOC1"/>
            <w:tabs>
              <w:tab w:val="right" w:leader="dot" w:pos="9016"/>
            </w:tabs>
            <w:rPr>
              <w:rFonts w:eastAsiaTheme="minorEastAsia"/>
              <w:noProof/>
              <w:sz w:val="24"/>
              <w:szCs w:val="24"/>
              <w:lang w:eastAsia="en-GB"/>
            </w:rPr>
          </w:pPr>
          <w:r w:rsidRPr="004E6958">
            <w:rPr>
              <w:rFonts w:ascii="Arial" w:hAnsi="Arial" w:cs="Arial"/>
            </w:rPr>
            <w:fldChar w:fldCharType="begin"/>
          </w:r>
          <w:r w:rsidRPr="004E6958">
            <w:rPr>
              <w:rFonts w:ascii="Arial" w:hAnsi="Arial" w:cs="Arial"/>
            </w:rPr>
            <w:instrText xml:space="preserve"> TOC \o "1-3" \h \z \u </w:instrText>
          </w:r>
          <w:r w:rsidRPr="004E6958">
            <w:rPr>
              <w:rFonts w:ascii="Arial" w:hAnsi="Arial" w:cs="Arial"/>
            </w:rPr>
            <w:fldChar w:fldCharType="separate"/>
          </w:r>
          <w:hyperlink w:anchor="_Toc234346337" w:history="1">
            <w:r w:rsidRPr="003F30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_Toc234346337 \h </w:instrText>
            </w:r>
            <w:r>
              <w:rPr>
                <w:noProof/>
                <w:webHidden/>
              </w:rPr>
            </w:r>
            <w:r>
              <w:rPr>
                <w:noProof/>
                <w:webHidden/>
              </w:rPr>
              <w:fldChar w:fldCharType="separate"/>
            </w:r>
            <w:r>
              <w:rPr>
                <w:noProof/>
                <w:webHidden/>
              </w:rPr>
              <w:t>3</w:t>
            </w:r>
            <w:r>
              <w:rPr>
                <w:noProof/>
                <w:webHidden/>
              </w:rPr>
              <w:fldChar w:fldCharType="end"/>
            </w:r>
          </w:hyperlink>
        </w:p>
        <w:p w14:paraId="38383ABE" w14:textId="742EF61D" w:rsidR="00BC2ED7" w:rsidRDefault="00BC2ED7">
          <w:pPr>
            <w:pStyle w:val="TOC1"/>
            <w:tabs>
              <w:tab w:val="right" w:leader="dot" w:pos="9016"/>
            </w:tabs>
            <w:rPr>
              <w:rFonts w:eastAsiaTheme="minorEastAsia"/>
              <w:noProof/>
              <w:sz w:val="24"/>
              <w:szCs w:val="24"/>
              <w:lang w:eastAsia="en-GB"/>
            </w:rPr>
          </w:pPr>
          <w:hyperlink w:anchor="_Toc234346338" w:history="1">
            <w:r w:rsidRPr="003F303F">
              <w:rPr>
                <w:rStyle w:val="Hyperlink"/>
                <w:rFonts w:ascii="Arial" w:hAnsi="Arial" w:cs="Arial"/>
                <w:noProof/>
              </w:rPr>
              <w:t>STEEPLE Analysis</w:t>
            </w:r>
            <w:r>
              <w:rPr>
                <w:noProof/>
                <w:webHidden/>
              </w:rPr>
              <w:tab/>
            </w:r>
            <w:r>
              <w:rPr>
                <w:noProof/>
                <w:webHidden/>
              </w:rPr>
              <w:fldChar w:fldCharType="begin"/>
            </w:r>
            <w:r>
              <w:rPr>
                <w:noProof/>
                <w:webHidden/>
              </w:rPr>
              <w:instrText xml:space="preserve"> PAGEREF _Toc234346338 \h </w:instrText>
            </w:r>
            <w:r>
              <w:rPr>
                <w:noProof/>
                <w:webHidden/>
              </w:rPr>
            </w:r>
            <w:r>
              <w:rPr>
                <w:noProof/>
                <w:webHidden/>
              </w:rPr>
              <w:fldChar w:fldCharType="separate"/>
            </w:r>
            <w:r>
              <w:rPr>
                <w:noProof/>
                <w:webHidden/>
              </w:rPr>
              <w:t>4</w:t>
            </w:r>
            <w:r>
              <w:rPr>
                <w:noProof/>
                <w:webHidden/>
              </w:rPr>
              <w:fldChar w:fldCharType="end"/>
            </w:r>
          </w:hyperlink>
        </w:p>
        <w:p w14:paraId="6032695B" w14:textId="6FFDD9AF" w:rsidR="00BC2ED7" w:rsidRDefault="00BC2ED7">
          <w:pPr>
            <w:pStyle w:val="TOC3"/>
            <w:tabs>
              <w:tab w:val="right" w:leader="dot" w:pos="9016"/>
            </w:tabs>
            <w:rPr>
              <w:rFonts w:eastAsiaTheme="minorEastAsia"/>
              <w:noProof/>
              <w:sz w:val="24"/>
              <w:szCs w:val="24"/>
              <w:lang w:eastAsia="en-GB"/>
            </w:rPr>
          </w:pPr>
          <w:hyperlink w:anchor="_Toc234346339" w:history="1">
            <w:r w:rsidRPr="003F303F">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_Toc234346339 \h </w:instrText>
            </w:r>
            <w:r>
              <w:rPr>
                <w:noProof/>
                <w:webHidden/>
              </w:rPr>
            </w:r>
            <w:r>
              <w:rPr>
                <w:noProof/>
                <w:webHidden/>
              </w:rPr>
              <w:fldChar w:fldCharType="separate"/>
            </w:r>
            <w:r>
              <w:rPr>
                <w:noProof/>
                <w:webHidden/>
              </w:rPr>
              <w:t>4</w:t>
            </w:r>
            <w:r>
              <w:rPr>
                <w:noProof/>
                <w:webHidden/>
              </w:rPr>
              <w:fldChar w:fldCharType="end"/>
            </w:r>
          </w:hyperlink>
        </w:p>
        <w:p w14:paraId="0900BC33" w14:textId="068D7AD7" w:rsidR="00BC2ED7" w:rsidRDefault="00BC2ED7">
          <w:pPr>
            <w:pStyle w:val="TOC3"/>
            <w:tabs>
              <w:tab w:val="right" w:leader="dot" w:pos="9016"/>
            </w:tabs>
            <w:rPr>
              <w:rFonts w:eastAsiaTheme="minorEastAsia"/>
              <w:noProof/>
              <w:sz w:val="24"/>
              <w:szCs w:val="24"/>
              <w:lang w:eastAsia="en-GB"/>
            </w:rPr>
          </w:pPr>
          <w:hyperlink w:anchor="_Toc234346340" w:history="1">
            <w:r w:rsidRPr="003F303F">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_Toc234346340 \h </w:instrText>
            </w:r>
            <w:r>
              <w:rPr>
                <w:noProof/>
                <w:webHidden/>
              </w:rPr>
            </w:r>
            <w:r>
              <w:rPr>
                <w:noProof/>
                <w:webHidden/>
              </w:rPr>
              <w:fldChar w:fldCharType="separate"/>
            </w:r>
            <w:r>
              <w:rPr>
                <w:noProof/>
                <w:webHidden/>
              </w:rPr>
              <w:t>5</w:t>
            </w:r>
            <w:r>
              <w:rPr>
                <w:noProof/>
                <w:webHidden/>
              </w:rPr>
              <w:fldChar w:fldCharType="end"/>
            </w:r>
          </w:hyperlink>
        </w:p>
        <w:p w14:paraId="7C40B8D4" w14:textId="40CB6DD7" w:rsidR="00BC2ED7" w:rsidRDefault="00BC2ED7">
          <w:pPr>
            <w:pStyle w:val="TOC3"/>
            <w:tabs>
              <w:tab w:val="right" w:leader="dot" w:pos="9016"/>
            </w:tabs>
            <w:rPr>
              <w:rFonts w:eastAsiaTheme="minorEastAsia"/>
              <w:noProof/>
              <w:sz w:val="24"/>
              <w:szCs w:val="24"/>
              <w:lang w:eastAsia="en-GB"/>
            </w:rPr>
          </w:pPr>
          <w:hyperlink w:anchor="_Toc234346341" w:history="1">
            <w:r w:rsidRPr="003F303F">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_Toc234346341 \h </w:instrText>
            </w:r>
            <w:r>
              <w:rPr>
                <w:noProof/>
                <w:webHidden/>
              </w:rPr>
            </w:r>
            <w:r>
              <w:rPr>
                <w:noProof/>
                <w:webHidden/>
              </w:rPr>
              <w:fldChar w:fldCharType="separate"/>
            </w:r>
            <w:r>
              <w:rPr>
                <w:noProof/>
                <w:webHidden/>
              </w:rPr>
              <w:t>5</w:t>
            </w:r>
            <w:r>
              <w:rPr>
                <w:noProof/>
                <w:webHidden/>
              </w:rPr>
              <w:fldChar w:fldCharType="end"/>
            </w:r>
          </w:hyperlink>
        </w:p>
        <w:p w14:paraId="59FFA815" w14:textId="0BFA6697" w:rsidR="00BC2ED7" w:rsidRDefault="00BC2ED7">
          <w:pPr>
            <w:pStyle w:val="TOC3"/>
            <w:tabs>
              <w:tab w:val="right" w:leader="dot" w:pos="9016"/>
            </w:tabs>
            <w:rPr>
              <w:rFonts w:eastAsiaTheme="minorEastAsia"/>
              <w:noProof/>
              <w:sz w:val="24"/>
              <w:szCs w:val="24"/>
              <w:lang w:eastAsia="en-GB"/>
            </w:rPr>
          </w:pPr>
          <w:hyperlink w:anchor="_Toc234346342" w:history="1">
            <w:r w:rsidRPr="003F303F">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_Toc234346342 \h </w:instrText>
            </w:r>
            <w:r>
              <w:rPr>
                <w:noProof/>
                <w:webHidden/>
              </w:rPr>
            </w:r>
            <w:r>
              <w:rPr>
                <w:noProof/>
                <w:webHidden/>
              </w:rPr>
              <w:fldChar w:fldCharType="separate"/>
            </w:r>
            <w:r>
              <w:rPr>
                <w:noProof/>
                <w:webHidden/>
              </w:rPr>
              <w:t>6</w:t>
            </w:r>
            <w:r>
              <w:rPr>
                <w:noProof/>
                <w:webHidden/>
              </w:rPr>
              <w:fldChar w:fldCharType="end"/>
            </w:r>
          </w:hyperlink>
        </w:p>
        <w:p w14:paraId="3FE00C43" w14:textId="16E44ACF" w:rsidR="00BC2ED7" w:rsidRDefault="00BC2ED7">
          <w:pPr>
            <w:pStyle w:val="TOC3"/>
            <w:tabs>
              <w:tab w:val="right" w:leader="dot" w:pos="9016"/>
            </w:tabs>
            <w:rPr>
              <w:rFonts w:eastAsiaTheme="minorEastAsia"/>
              <w:noProof/>
              <w:sz w:val="24"/>
              <w:szCs w:val="24"/>
              <w:lang w:eastAsia="en-GB"/>
            </w:rPr>
          </w:pPr>
          <w:hyperlink w:anchor="_Toc234346343" w:history="1">
            <w:r w:rsidRPr="003F303F">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_Toc234346343 \h </w:instrText>
            </w:r>
            <w:r>
              <w:rPr>
                <w:noProof/>
                <w:webHidden/>
              </w:rPr>
            </w:r>
            <w:r>
              <w:rPr>
                <w:noProof/>
                <w:webHidden/>
              </w:rPr>
              <w:fldChar w:fldCharType="separate"/>
            </w:r>
            <w:r>
              <w:rPr>
                <w:noProof/>
                <w:webHidden/>
              </w:rPr>
              <w:t>6</w:t>
            </w:r>
            <w:r>
              <w:rPr>
                <w:noProof/>
                <w:webHidden/>
              </w:rPr>
              <w:fldChar w:fldCharType="end"/>
            </w:r>
          </w:hyperlink>
        </w:p>
        <w:p w14:paraId="11434FFE" w14:textId="32D69DE6" w:rsidR="00BC2ED7" w:rsidRDefault="00BC2ED7">
          <w:pPr>
            <w:pStyle w:val="TOC3"/>
            <w:tabs>
              <w:tab w:val="right" w:leader="dot" w:pos="9016"/>
            </w:tabs>
            <w:rPr>
              <w:rFonts w:eastAsiaTheme="minorEastAsia"/>
              <w:noProof/>
              <w:sz w:val="24"/>
              <w:szCs w:val="24"/>
              <w:lang w:eastAsia="en-GB"/>
            </w:rPr>
          </w:pPr>
          <w:hyperlink w:anchor="_Toc234346344" w:history="1">
            <w:r w:rsidRPr="003F303F">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_Toc234346344 \h </w:instrText>
            </w:r>
            <w:r>
              <w:rPr>
                <w:noProof/>
                <w:webHidden/>
              </w:rPr>
            </w:r>
            <w:r>
              <w:rPr>
                <w:noProof/>
                <w:webHidden/>
              </w:rPr>
              <w:fldChar w:fldCharType="separate"/>
            </w:r>
            <w:r>
              <w:rPr>
                <w:noProof/>
                <w:webHidden/>
              </w:rPr>
              <w:t>6</w:t>
            </w:r>
            <w:r>
              <w:rPr>
                <w:noProof/>
                <w:webHidden/>
              </w:rPr>
              <w:fldChar w:fldCharType="end"/>
            </w:r>
          </w:hyperlink>
        </w:p>
        <w:p w14:paraId="5E607B18" w14:textId="7DF9862D" w:rsidR="00BC2ED7" w:rsidRDefault="00BC2ED7">
          <w:pPr>
            <w:pStyle w:val="TOC3"/>
            <w:tabs>
              <w:tab w:val="right" w:leader="dot" w:pos="9016"/>
            </w:tabs>
            <w:rPr>
              <w:rFonts w:eastAsiaTheme="minorEastAsia"/>
              <w:noProof/>
              <w:sz w:val="24"/>
              <w:szCs w:val="24"/>
              <w:lang w:eastAsia="en-GB"/>
            </w:rPr>
          </w:pPr>
          <w:hyperlink w:anchor="_Toc234346345" w:history="1">
            <w:r w:rsidRPr="003F303F">
              <w:rPr>
                <w:rStyle w:val="Hyperlink"/>
                <w:rFonts w:ascii="Arial" w:hAnsi="Arial" w:cs="Arial"/>
                <w:noProof/>
              </w:rPr>
              <w:t>Ethical Factors</w:t>
            </w:r>
            <w:r>
              <w:rPr>
                <w:noProof/>
                <w:webHidden/>
              </w:rPr>
              <w:tab/>
            </w:r>
            <w:r>
              <w:rPr>
                <w:noProof/>
                <w:webHidden/>
              </w:rPr>
              <w:fldChar w:fldCharType="begin"/>
            </w:r>
            <w:r>
              <w:rPr>
                <w:noProof/>
                <w:webHidden/>
              </w:rPr>
              <w:instrText xml:space="preserve"> PAGEREF _Toc234346345 \h </w:instrText>
            </w:r>
            <w:r>
              <w:rPr>
                <w:noProof/>
                <w:webHidden/>
              </w:rPr>
            </w:r>
            <w:r>
              <w:rPr>
                <w:noProof/>
                <w:webHidden/>
              </w:rPr>
              <w:fldChar w:fldCharType="separate"/>
            </w:r>
            <w:r>
              <w:rPr>
                <w:noProof/>
                <w:webHidden/>
              </w:rPr>
              <w:t>6</w:t>
            </w:r>
            <w:r>
              <w:rPr>
                <w:noProof/>
                <w:webHidden/>
              </w:rPr>
              <w:fldChar w:fldCharType="end"/>
            </w:r>
          </w:hyperlink>
        </w:p>
        <w:p w14:paraId="365F2DEC" w14:textId="76FBD5C4" w:rsidR="00BC2ED7" w:rsidRDefault="00BC2ED7">
          <w:pPr>
            <w:pStyle w:val="TOC1"/>
            <w:tabs>
              <w:tab w:val="right" w:leader="dot" w:pos="9016"/>
            </w:tabs>
            <w:rPr>
              <w:rFonts w:eastAsiaTheme="minorEastAsia"/>
              <w:noProof/>
              <w:sz w:val="24"/>
              <w:szCs w:val="24"/>
              <w:lang w:eastAsia="en-GB"/>
            </w:rPr>
          </w:pPr>
          <w:hyperlink w:anchor="_Toc234346346" w:history="1">
            <w:r w:rsidRPr="003F303F">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_Toc234346346 \h </w:instrText>
            </w:r>
            <w:r>
              <w:rPr>
                <w:noProof/>
                <w:webHidden/>
              </w:rPr>
            </w:r>
            <w:r>
              <w:rPr>
                <w:noProof/>
                <w:webHidden/>
              </w:rPr>
              <w:fldChar w:fldCharType="separate"/>
            </w:r>
            <w:r>
              <w:rPr>
                <w:noProof/>
                <w:webHidden/>
              </w:rPr>
              <w:t>6</w:t>
            </w:r>
            <w:r>
              <w:rPr>
                <w:noProof/>
                <w:webHidden/>
              </w:rPr>
              <w:fldChar w:fldCharType="end"/>
            </w:r>
          </w:hyperlink>
        </w:p>
        <w:p w14:paraId="7C718747" w14:textId="031DEF92" w:rsidR="00BC2ED7" w:rsidRDefault="00BC2ED7">
          <w:pPr>
            <w:pStyle w:val="TOC1"/>
            <w:tabs>
              <w:tab w:val="right" w:leader="dot" w:pos="9016"/>
            </w:tabs>
            <w:rPr>
              <w:rFonts w:eastAsiaTheme="minorEastAsia"/>
              <w:noProof/>
              <w:sz w:val="24"/>
              <w:szCs w:val="24"/>
              <w:lang w:eastAsia="en-GB"/>
            </w:rPr>
          </w:pPr>
          <w:hyperlink w:anchor="_Toc234346347" w:history="1">
            <w:r w:rsidRPr="003F303F">
              <w:rPr>
                <w:rStyle w:val="Hyperlink"/>
                <w:rFonts w:ascii="Arial" w:hAnsi="Arial" w:cs="Arial"/>
                <w:noProof/>
              </w:rPr>
              <w:t>Future Lens: DPSIR Analysis</w:t>
            </w:r>
            <w:r>
              <w:rPr>
                <w:noProof/>
                <w:webHidden/>
              </w:rPr>
              <w:tab/>
            </w:r>
            <w:r>
              <w:rPr>
                <w:noProof/>
                <w:webHidden/>
              </w:rPr>
              <w:fldChar w:fldCharType="begin"/>
            </w:r>
            <w:r>
              <w:rPr>
                <w:noProof/>
                <w:webHidden/>
              </w:rPr>
              <w:instrText xml:space="preserve"> PAGEREF _Toc234346347 \h </w:instrText>
            </w:r>
            <w:r>
              <w:rPr>
                <w:noProof/>
                <w:webHidden/>
              </w:rPr>
            </w:r>
            <w:r>
              <w:rPr>
                <w:noProof/>
                <w:webHidden/>
              </w:rPr>
              <w:fldChar w:fldCharType="separate"/>
            </w:r>
            <w:r>
              <w:rPr>
                <w:noProof/>
                <w:webHidden/>
              </w:rPr>
              <w:t>7</w:t>
            </w:r>
            <w:r>
              <w:rPr>
                <w:noProof/>
                <w:webHidden/>
              </w:rPr>
              <w:fldChar w:fldCharType="end"/>
            </w:r>
          </w:hyperlink>
        </w:p>
        <w:p w14:paraId="2A5FB91D" w14:textId="72FE42C2" w:rsidR="00BC2ED7" w:rsidRDefault="00BC2ED7">
          <w:pPr>
            <w:pStyle w:val="TOC1"/>
            <w:tabs>
              <w:tab w:val="right" w:leader="dot" w:pos="9016"/>
            </w:tabs>
            <w:rPr>
              <w:rFonts w:eastAsiaTheme="minorEastAsia"/>
              <w:noProof/>
              <w:sz w:val="24"/>
              <w:szCs w:val="24"/>
              <w:lang w:eastAsia="en-GB"/>
            </w:rPr>
          </w:pPr>
          <w:hyperlink w:anchor="_Toc234346348" w:history="1">
            <w:r w:rsidRPr="003F303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_Toc234346348 \h </w:instrText>
            </w:r>
            <w:r>
              <w:rPr>
                <w:noProof/>
                <w:webHidden/>
              </w:rPr>
            </w:r>
            <w:r>
              <w:rPr>
                <w:noProof/>
                <w:webHidden/>
              </w:rPr>
              <w:fldChar w:fldCharType="separate"/>
            </w:r>
            <w:r>
              <w:rPr>
                <w:noProof/>
                <w:webHidden/>
              </w:rPr>
              <w:t>8</w:t>
            </w:r>
            <w:r>
              <w:rPr>
                <w:noProof/>
                <w:webHidden/>
              </w:rPr>
              <w:fldChar w:fldCharType="end"/>
            </w:r>
          </w:hyperlink>
        </w:p>
        <w:p w14:paraId="354D4D00" w14:textId="7443DA4D" w:rsidR="00BC2ED7" w:rsidRDefault="00BC2ED7">
          <w:pPr>
            <w:pStyle w:val="TOC1"/>
            <w:tabs>
              <w:tab w:val="right" w:leader="dot" w:pos="9016"/>
            </w:tabs>
            <w:rPr>
              <w:rFonts w:eastAsiaTheme="minorEastAsia"/>
              <w:noProof/>
              <w:sz w:val="24"/>
              <w:szCs w:val="24"/>
              <w:lang w:eastAsia="en-GB"/>
            </w:rPr>
          </w:pPr>
          <w:hyperlink w:anchor="_Toc234346349" w:history="1">
            <w:r w:rsidRPr="003F30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_Toc234346349 \h </w:instrText>
            </w:r>
            <w:r>
              <w:rPr>
                <w:noProof/>
                <w:webHidden/>
              </w:rPr>
            </w:r>
            <w:r>
              <w:rPr>
                <w:noProof/>
                <w:webHidden/>
              </w:rPr>
              <w:fldChar w:fldCharType="separate"/>
            </w:r>
            <w:r>
              <w:rPr>
                <w:noProof/>
                <w:webHidden/>
              </w:rPr>
              <w:t>8</w:t>
            </w:r>
            <w:r>
              <w:rPr>
                <w:noProof/>
                <w:webHidden/>
              </w:rPr>
              <w:fldChar w:fldCharType="end"/>
            </w:r>
          </w:hyperlink>
        </w:p>
        <w:p w14:paraId="718FCD11" w14:textId="1FFC6D4D" w:rsidR="00BC2ED7" w:rsidRDefault="00BC2ED7">
          <w:pPr>
            <w:pStyle w:val="TOC1"/>
            <w:tabs>
              <w:tab w:val="right" w:leader="dot" w:pos="9016"/>
            </w:tabs>
            <w:rPr>
              <w:rFonts w:eastAsiaTheme="minorEastAsia"/>
              <w:noProof/>
              <w:sz w:val="24"/>
              <w:szCs w:val="24"/>
              <w:lang w:eastAsia="en-GB"/>
            </w:rPr>
          </w:pPr>
          <w:hyperlink w:anchor="_Toc234346350" w:history="1">
            <w:r w:rsidRPr="003F303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_Toc234346350 \h </w:instrText>
            </w:r>
            <w:r>
              <w:rPr>
                <w:noProof/>
                <w:webHidden/>
              </w:rPr>
            </w:r>
            <w:r>
              <w:rPr>
                <w:noProof/>
                <w:webHidden/>
              </w:rPr>
              <w:fldChar w:fldCharType="separate"/>
            </w:r>
            <w:r>
              <w:rPr>
                <w:noProof/>
                <w:webHidden/>
              </w:rPr>
              <w:t>9</w:t>
            </w:r>
            <w:r>
              <w:rPr>
                <w:noProof/>
                <w:webHidden/>
              </w:rPr>
              <w:fldChar w:fldCharType="end"/>
            </w:r>
          </w:hyperlink>
        </w:p>
        <w:p w14:paraId="34BAFDBD" w14:textId="58A1EB94" w:rsidR="00BC2ED7" w:rsidRDefault="00BC2ED7">
          <w:pPr>
            <w:pStyle w:val="TOC1"/>
            <w:tabs>
              <w:tab w:val="right" w:leader="dot" w:pos="9016"/>
            </w:tabs>
            <w:rPr>
              <w:rFonts w:eastAsiaTheme="minorEastAsia"/>
              <w:noProof/>
              <w:sz w:val="24"/>
              <w:szCs w:val="24"/>
              <w:lang w:eastAsia="en-GB"/>
            </w:rPr>
          </w:pPr>
          <w:hyperlink w:anchor="_Toc234346351" w:history="1">
            <w:r w:rsidRPr="003F303F">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_Toc234346351 \h </w:instrText>
            </w:r>
            <w:r>
              <w:rPr>
                <w:noProof/>
                <w:webHidden/>
              </w:rPr>
            </w:r>
            <w:r>
              <w:rPr>
                <w:noProof/>
                <w:webHidden/>
              </w:rPr>
              <w:fldChar w:fldCharType="separate"/>
            </w:r>
            <w:r>
              <w:rPr>
                <w:noProof/>
                <w:webHidden/>
              </w:rPr>
              <w:t>10</w:t>
            </w:r>
            <w:r>
              <w:rPr>
                <w:noProof/>
                <w:webHidden/>
              </w:rPr>
              <w:fldChar w:fldCharType="end"/>
            </w:r>
          </w:hyperlink>
        </w:p>
        <w:p w14:paraId="1F422A73" w14:textId="04A4F92E" w:rsidR="00BC2ED7" w:rsidRPr="004E6958" w:rsidRDefault="00BC2ED7" w:rsidP="00BC2ED7">
          <w:pPr>
            <w:spacing w:line="360" w:lineRule="auto"/>
            <w:jc w:val="both"/>
            <w:rPr>
              <w:rFonts w:ascii="Arial" w:hAnsi="Arial" w:cs="Arial"/>
              <w:b/>
              <w:bCs/>
              <w:noProof/>
            </w:rPr>
          </w:pPr>
          <w:r w:rsidRPr="004E6958">
            <w:rPr>
              <w:rFonts w:ascii="Arial" w:hAnsi="Arial" w:cs="Arial"/>
              <w:b/>
              <w:bCs/>
              <w:noProof/>
            </w:rPr>
            <w:fldChar w:fldCharType="end"/>
          </w:r>
        </w:p>
      </w:sdtContent>
    </w:sdt>
    <w:p w14:paraId="48633AD8" w14:textId="77777777" w:rsidR="00BC2ED7" w:rsidRPr="004E6958" w:rsidRDefault="00BC2ED7" w:rsidP="00BC2ED7">
      <w:pPr>
        <w:spacing w:line="360" w:lineRule="auto"/>
        <w:jc w:val="both"/>
        <w:rPr>
          <w:rFonts w:ascii="Arial" w:hAnsi="Arial" w:cs="Arial"/>
        </w:rPr>
      </w:pPr>
    </w:p>
    <w:p w14:paraId="21D54BBC" w14:textId="77777777" w:rsidR="00BC2ED7" w:rsidRPr="004E6958" w:rsidRDefault="00BC2ED7" w:rsidP="00BC2ED7">
      <w:pPr>
        <w:spacing w:line="360" w:lineRule="auto"/>
        <w:jc w:val="both"/>
        <w:rPr>
          <w:rFonts w:ascii="Arial" w:hAnsi="Arial" w:cs="Arial"/>
        </w:rPr>
      </w:pPr>
    </w:p>
    <w:p w14:paraId="0EC727EB" w14:textId="77777777" w:rsidR="00BC2ED7" w:rsidRPr="004E6958" w:rsidRDefault="00BC2ED7" w:rsidP="00BC2ED7">
      <w:pPr>
        <w:spacing w:line="360" w:lineRule="auto"/>
        <w:jc w:val="both"/>
        <w:rPr>
          <w:rFonts w:ascii="Arial" w:hAnsi="Arial" w:cs="Arial"/>
        </w:rPr>
      </w:pPr>
    </w:p>
    <w:p w14:paraId="095313D4" w14:textId="77777777" w:rsidR="00BC2ED7" w:rsidRPr="004E6958" w:rsidRDefault="00BC2ED7" w:rsidP="00BC2ED7">
      <w:pPr>
        <w:spacing w:line="360" w:lineRule="auto"/>
        <w:jc w:val="both"/>
        <w:rPr>
          <w:rFonts w:ascii="Arial" w:hAnsi="Arial" w:cs="Arial"/>
        </w:rPr>
      </w:pPr>
    </w:p>
    <w:p w14:paraId="532C5AFF" w14:textId="77777777" w:rsidR="00BC2ED7" w:rsidRPr="004E6958" w:rsidRDefault="00BC2ED7" w:rsidP="00BC2ED7">
      <w:pPr>
        <w:spacing w:line="360" w:lineRule="auto"/>
        <w:jc w:val="both"/>
        <w:rPr>
          <w:rFonts w:ascii="Arial" w:hAnsi="Arial" w:cs="Arial"/>
        </w:rPr>
      </w:pPr>
    </w:p>
    <w:p w14:paraId="67ABBE34" w14:textId="77777777" w:rsidR="00BC2ED7" w:rsidRPr="004E6958" w:rsidRDefault="00BC2ED7" w:rsidP="00BC2ED7">
      <w:pPr>
        <w:spacing w:line="360" w:lineRule="auto"/>
        <w:jc w:val="both"/>
        <w:rPr>
          <w:rFonts w:ascii="Arial" w:hAnsi="Arial" w:cs="Arial"/>
        </w:rPr>
      </w:pPr>
    </w:p>
    <w:p w14:paraId="42ACBB5D" w14:textId="77777777" w:rsidR="00BC2ED7" w:rsidRPr="004E6958" w:rsidRDefault="00BC2ED7" w:rsidP="00BC2ED7">
      <w:pPr>
        <w:pStyle w:val="Heading1"/>
        <w:spacing w:line="360" w:lineRule="auto"/>
        <w:jc w:val="both"/>
        <w:rPr>
          <w:rFonts w:ascii="Arial" w:hAnsi="Arial" w:cs="Arial"/>
        </w:rPr>
      </w:pPr>
      <w:bookmarkStart w:id="0" w:name="_Toc234346337"/>
      <w:r w:rsidRPr="004E6958">
        <w:rPr>
          <w:rFonts w:ascii="Arial" w:hAnsi="Arial" w:cs="Arial"/>
        </w:rPr>
        <w:t>Introduction</w:t>
      </w:r>
      <w:bookmarkEnd w:id="0"/>
    </w:p>
    <w:p w14:paraId="779CBCE4"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The creator economy comprises individuals who generate income through digital content on platforms such as TikTok, Instagram, YouTube and Twitch via advertising, sponsorships, </w:t>
      </w:r>
      <w:r w:rsidRPr="004E6958">
        <w:rPr>
          <w:rFonts w:ascii="Arial" w:hAnsi="Arial" w:cs="Arial"/>
        </w:rPr>
        <w:lastRenderedPageBreak/>
        <w:t>subscriptions, affiliate marketing and merchandise. Goldman Sachs (2023) predicts the industry could reach US$480 billion by 2027, highlighting its growing economic significance. However, creators operate in a rapidly changing environment shaped by technology, regulation, consumer behaviour and platform governance. This report critically analyses these influences using the STEEPLE framework, evaluates the industry's strategic position through SWOT, and examines future trends using the DPSIR framework.</w:t>
      </w:r>
    </w:p>
    <w:p w14:paraId="53077C6D" w14:textId="77777777" w:rsidR="00BC2ED7" w:rsidRPr="004E6958" w:rsidRDefault="00BC2ED7" w:rsidP="00BC2ED7">
      <w:pPr>
        <w:pStyle w:val="Heading1"/>
        <w:spacing w:line="360" w:lineRule="auto"/>
        <w:jc w:val="both"/>
        <w:rPr>
          <w:rFonts w:ascii="Arial" w:hAnsi="Arial" w:cs="Arial"/>
        </w:rPr>
      </w:pPr>
      <w:bookmarkStart w:id="1" w:name="_Toc234346338"/>
      <w:r w:rsidRPr="004E6958">
        <w:rPr>
          <w:rFonts w:ascii="Arial" w:hAnsi="Arial" w:cs="Arial"/>
        </w:rPr>
        <w:t>STEEPLE Analysis</w:t>
      </w:r>
      <w:bookmarkEnd w:id="1"/>
    </w:p>
    <w:p w14:paraId="613D3657" w14:textId="77777777" w:rsidR="00BC2ED7" w:rsidRPr="004E6958" w:rsidRDefault="00BC2ED7" w:rsidP="00BC2ED7">
      <w:pPr>
        <w:spacing w:line="360" w:lineRule="auto"/>
        <w:jc w:val="both"/>
        <w:rPr>
          <w:rFonts w:ascii="Arial" w:hAnsi="Arial" w:cs="Arial"/>
        </w:rPr>
      </w:pPr>
      <w:bookmarkStart w:id="2" w:name="_Toc234346339"/>
      <w:r w:rsidRPr="004E6958">
        <w:rPr>
          <w:rStyle w:val="Heading3Char"/>
          <w:rFonts w:ascii="Arial" w:hAnsi="Arial" w:cs="Arial"/>
        </w:rPr>
        <w:t>Social Factors</w:t>
      </w:r>
      <w:bookmarkEnd w:id="2"/>
      <w:r w:rsidRPr="004E6958">
        <w:rPr>
          <w:rFonts w:ascii="Arial" w:hAnsi="Arial" w:cs="Arial"/>
        </w:rPr>
        <w:br/>
        <w:t xml:space="preserve">Social factors are a major driver of the creator economy as audiences increasingly prefer authentic, relatable content over traditional advertising (Abidin, 2018). Freberg et al. (2011) argue that social media influencers act as independent third-party endorsers who shape consumer attitudes through perceived credibility and personality. This can be explained by Parasocial Interaction Theory, which argues that audiences develop one-sided emotional relationships with media personalities, increasing trust and influencing purchasing decisions. Consequently, influencers often achieve higher engagement than traditional celebrities, particularly among Generation Z consumers who value authenticity and transparency. </w:t>
      </w:r>
      <w:proofErr w:type="spellStart"/>
      <w:r w:rsidRPr="004E6958">
        <w:rPr>
          <w:rFonts w:ascii="Arial" w:hAnsi="Arial" w:cs="Arial"/>
        </w:rPr>
        <w:t>Djafarova</w:t>
      </w:r>
      <w:proofErr w:type="spellEnd"/>
      <w:r w:rsidRPr="004E6958">
        <w:rPr>
          <w:rFonts w:ascii="Arial" w:hAnsi="Arial" w:cs="Arial"/>
        </w:rPr>
        <w:t xml:space="preserve"> and Rushworth (2017) found that young consumers perceive Instagram influencers as more trustworthy and relatable than traditional celebrities, increasing the effectiveness of influencer recommendations on purchasing behaviour</w:t>
      </w:r>
    </w:p>
    <w:p w14:paraId="045A9228"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UK influencers Molly-Mae Hague and KSI demonstrate how audience trust can be converted into commercial success. Molly-Mae has expanded her personal brand through partnerships and her fashion label, </w:t>
      </w:r>
      <w:proofErr w:type="spellStart"/>
      <w:r w:rsidRPr="004E6958">
        <w:rPr>
          <w:rFonts w:ascii="Arial" w:hAnsi="Arial" w:cs="Arial"/>
        </w:rPr>
        <w:t>Maebe</w:t>
      </w:r>
      <w:proofErr w:type="spellEnd"/>
      <w:r w:rsidRPr="004E6958">
        <w:rPr>
          <w:rFonts w:ascii="Arial" w:hAnsi="Arial" w:cs="Arial"/>
        </w:rPr>
        <w:t>, while KSI has diversified into YouTube, music, boxing and business ventures. Their success illustrates how strong audience relationships create sustainable competitive advantage and transform social capital into economic value.</w:t>
      </w:r>
    </w:p>
    <w:p w14:paraId="21A5C740" w14:textId="77777777" w:rsidR="00BC2ED7" w:rsidRPr="004E6958" w:rsidRDefault="00BC2ED7" w:rsidP="00BC2ED7">
      <w:pPr>
        <w:spacing w:line="360" w:lineRule="auto"/>
        <w:jc w:val="both"/>
        <w:rPr>
          <w:rFonts w:ascii="Arial" w:hAnsi="Arial" w:cs="Arial"/>
        </w:rPr>
      </w:pPr>
      <w:r w:rsidRPr="004E6958">
        <w:rPr>
          <w:rFonts w:ascii="Arial" w:hAnsi="Arial" w:cs="Arial"/>
        </w:rPr>
        <w:t>However, increasing awareness of influencer marketing has made consumers more sceptical of sponsored content, placing greater pressure on creators to remain authentic and align with values such as diversity, sustainability and ethical behaviour. Molly-Mae's widely criticised "24 hours in a day" comments demonstrate how quickly public backlash can damage reputation and commercial opportunities, highlighting the risks of constant public scrutiny.</w:t>
      </w:r>
    </w:p>
    <w:p w14:paraId="6FD996FF"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Growing concerns about social media's impact on mental health, body image and unrealistic lifestyles have also increased demands for stronger platform accountability and government intervention. These concerns have influenced the UK's online safety framework and ongoing debates about protecting younger users. Therefore, social factors are closely interconnected </w:t>
      </w:r>
      <w:r w:rsidRPr="004E6958">
        <w:rPr>
          <w:rFonts w:ascii="Arial" w:hAnsi="Arial" w:cs="Arial"/>
        </w:rPr>
        <w:lastRenderedPageBreak/>
        <w:t>with technological, legal and ethical influences, meaning creators who fail to adapt to changing consumer expectations risk losing audience trust, brand partnerships and long-term sustainability.</w:t>
      </w:r>
    </w:p>
    <w:p w14:paraId="0982B00C" w14:textId="77777777" w:rsidR="00BC2ED7" w:rsidRPr="004E6958" w:rsidRDefault="00BC2ED7" w:rsidP="00BC2ED7">
      <w:pPr>
        <w:pStyle w:val="Heading3"/>
        <w:spacing w:line="360" w:lineRule="auto"/>
        <w:jc w:val="both"/>
        <w:rPr>
          <w:rFonts w:ascii="Arial" w:hAnsi="Arial" w:cs="Arial"/>
        </w:rPr>
      </w:pPr>
      <w:bookmarkStart w:id="3" w:name="_Toc234346340"/>
      <w:r w:rsidRPr="004E6958">
        <w:rPr>
          <w:rFonts w:ascii="Arial" w:hAnsi="Arial" w:cs="Arial"/>
        </w:rPr>
        <w:t>Technological Factors</w:t>
      </w:r>
      <w:bookmarkEnd w:id="3"/>
    </w:p>
    <w:p w14:paraId="75A87620" w14:textId="77777777" w:rsidR="00BC2ED7" w:rsidRPr="004E6958" w:rsidRDefault="00BC2ED7" w:rsidP="00BC2ED7">
      <w:pPr>
        <w:spacing w:line="360" w:lineRule="auto"/>
        <w:jc w:val="both"/>
        <w:rPr>
          <w:rFonts w:ascii="Arial" w:hAnsi="Arial" w:cs="Arial"/>
        </w:rPr>
      </w:pPr>
      <w:r w:rsidRPr="004E6958">
        <w:rPr>
          <w:rFonts w:ascii="Arial" w:hAnsi="Arial" w:cs="Arial"/>
        </w:rPr>
        <w:t>Technology is the primary driver of the creator economy, enabling creators to reach global audiences without traditional media. Algorithms on TikTok, YouTube and Instagram determine content visibility, creating significant opportunities for audience growth and monetisation (Kaye, Chen and Zeng, 2021). However, they also create strategic dependence, as algorithm changes can rapidly reduce visibility, engagement and revenue, making technology both an opportunity and a business risk.</w:t>
      </w:r>
    </w:p>
    <w:p w14:paraId="5AC8AB8D"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The careers of UK influencers Molly-Mae Hague and KSI demonstrate these contrasting effects. Molly-Mae has used Instagram and YouTube to build a personal brand that expanded into entrepreneurial ventures, including her fashion label, </w:t>
      </w:r>
      <w:proofErr w:type="spellStart"/>
      <w:r w:rsidRPr="004E6958">
        <w:rPr>
          <w:rFonts w:ascii="Arial" w:hAnsi="Arial" w:cs="Arial"/>
        </w:rPr>
        <w:t>Maebe</w:t>
      </w:r>
      <w:proofErr w:type="spellEnd"/>
      <w:r w:rsidRPr="004E6958">
        <w:rPr>
          <w:rFonts w:ascii="Arial" w:hAnsi="Arial" w:cs="Arial"/>
        </w:rPr>
        <w:t>. Likewise, KSI has leveraged YouTube to develop successful careers in music, boxing and businesses such as Prime Hydration and XIX Vodka. These examples show that technology can support entrepreneurship when creators diversify beyond platform income. Nevertheless, both remain reliant on digital platforms to maintain audience engagement, highlighting the continued influence of platform governance on commercial success.</w:t>
      </w:r>
    </w:p>
    <w:p w14:paraId="5F6A18DC" w14:textId="77777777" w:rsidR="00BC2ED7" w:rsidRPr="004E6958" w:rsidRDefault="00BC2ED7" w:rsidP="00BC2ED7">
      <w:pPr>
        <w:spacing w:line="360" w:lineRule="auto"/>
        <w:jc w:val="both"/>
        <w:rPr>
          <w:rFonts w:ascii="Arial" w:hAnsi="Arial" w:cs="Arial"/>
        </w:rPr>
      </w:pPr>
      <w:r w:rsidRPr="004E6958">
        <w:rPr>
          <w:rFonts w:ascii="Arial" w:hAnsi="Arial" w:cs="Arial"/>
        </w:rPr>
        <w:t>Artificial intelligence (AI) is also reshaping the creator economy through automated editing, content generation and audience analytics, improving efficiency while reducing production costs (World Economic Forum, 2024). However, AI lowers barriers to entry and increases competition through virtual influencers and AI-generated content. Lou and Yuan (2019) argue that influencer credibility and message value significantly increase consumer trust, suggesting that technology alone cannot replace authentic relationships with audiences. Therefore, technology should be viewed not only as an enabler of innovation but also as a disruptive force requiring creators to continually adapt their business models to remain competitive.</w:t>
      </w:r>
    </w:p>
    <w:p w14:paraId="0448AB8F" w14:textId="77777777" w:rsidR="00BC2ED7" w:rsidRPr="004E6958" w:rsidRDefault="00BC2ED7" w:rsidP="00BC2ED7">
      <w:pPr>
        <w:pStyle w:val="Heading3"/>
        <w:spacing w:line="360" w:lineRule="auto"/>
        <w:jc w:val="both"/>
        <w:rPr>
          <w:rFonts w:ascii="Arial" w:hAnsi="Arial" w:cs="Arial"/>
        </w:rPr>
      </w:pPr>
      <w:bookmarkStart w:id="4" w:name="_Toc234346341"/>
      <w:r w:rsidRPr="004E6958">
        <w:rPr>
          <w:rFonts w:ascii="Arial" w:hAnsi="Arial" w:cs="Arial"/>
        </w:rPr>
        <w:t>Economic Factors</w:t>
      </w:r>
      <w:bookmarkEnd w:id="4"/>
    </w:p>
    <w:p w14:paraId="72EA352F" w14:textId="77777777" w:rsidR="00BC2ED7" w:rsidRPr="004E6958" w:rsidRDefault="00BC2ED7" w:rsidP="00BC2ED7">
      <w:pPr>
        <w:spacing w:line="360" w:lineRule="auto"/>
        <w:jc w:val="both"/>
        <w:rPr>
          <w:rFonts w:ascii="Arial" w:hAnsi="Arial" w:cs="Arial"/>
        </w:rPr>
      </w:pPr>
      <w:r w:rsidRPr="004E6958">
        <w:rPr>
          <w:rFonts w:ascii="Arial" w:hAnsi="Arial" w:cs="Arial"/>
        </w:rPr>
        <w:t>The creator economy offers entrepreneurial opportunities with relatively low start-up costs. However, income remains highly unequal, with a small proportion of creators earning most industry revenue while many struggle financially (Cunningham and Craig, 2019). Economic downturns can also reduce advertising budgets and sponsorship opportunities, increasing income instability. Therefore, despite continued industry growth, creators remain vulnerable to economic fluctuations and platform-dependent revenue.</w:t>
      </w:r>
    </w:p>
    <w:p w14:paraId="1E073AAC" w14:textId="77777777" w:rsidR="00BC2ED7" w:rsidRPr="004E6958" w:rsidRDefault="00BC2ED7" w:rsidP="00BC2ED7">
      <w:pPr>
        <w:pStyle w:val="Heading3"/>
        <w:spacing w:line="360" w:lineRule="auto"/>
        <w:jc w:val="both"/>
        <w:rPr>
          <w:rFonts w:ascii="Arial" w:hAnsi="Arial" w:cs="Arial"/>
        </w:rPr>
      </w:pPr>
      <w:bookmarkStart w:id="5" w:name="_Toc234346342"/>
      <w:r w:rsidRPr="004E6958">
        <w:rPr>
          <w:rFonts w:ascii="Arial" w:hAnsi="Arial" w:cs="Arial"/>
        </w:rPr>
        <w:lastRenderedPageBreak/>
        <w:t>Environmental Factors</w:t>
      </w:r>
      <w:bookmarkEnd w:id="5"/>
    </w:p>
    <w:p w14:paraId="16628FDC" w14:textId="77777777" w:rsidR="00BC2ED7" w:rsidRPr="004E6958" w:rsidRDefault="00BC2ED7" w:rsidP="00BC2ED7">
      <w:pPr>
        <w:spacing w:line="360" w:lineRule="auto"/>
        <w:jc w:val="both"/>
        <w:rPr>
          <w:rFonts w:ascii="Arial" w:hAnsi="Arial" w:cs="Arial"/>
        </w:rPr>
      </w:pPr>
      <w:r w:rsidRPr="004E6958">
        <w:rPr>
          <w:rFonts w:ascii="Arial" w:hAnsi="Arial" w:cs="Arial"/>
        </w:rPr>
        <w:t>Environmental concerns increasingly influence consumer behaviour and brand partnerships. Audiences expect creators to promote sustainable products and practices, while associations with environmentally harmful brands can damage reputation. Although digital businesses have a lower physical impact than traditional industries, streaming services and data centres still contribute to carbon emissions, making sustainability an increasingly important consideration within the creator economy.</w:t>
      </w:r>
    </w:p>
    <w:p w14:paraId="5E35A750" w14:textId="77777777" w:rsidR="00BC2ED7" w:rsidRPr="004E6958" w:rsidRDefault="00BC2ED7" w:rsidP="00BC2ED7">
      <w:pPr>
        <w:pStyle w:val="Heading3"/>
        <w:spacing w:line="360" w:lineRule="auto"/>
        <w:jc w:val="both"/>
        <w:rPr>
          <w:rFonts w:ascii="Arial" w:hAnsi="Arial" w:cs="Arial"/>
        </w:rPr>
      </w:pPr>
      <w:bookmarkStart w:id="6" w:name="_Toc234346343"/>
      <w:r w:rsidRPr="004E6958">
        <w:rPr>
          <w:rFonts w:ascii="Arial" w:hAnsi="Arial" w:cs="Arial"/>
        </w:rPr>
        <w:t>Political Factors</w:t>
      </w:r>
      <w:bookmarkEnd w:id="6"/>
    </w:p>
    <w:p w14:paraId="4B609156" w14:textId="77777777" w:rsidR="00BC2ED7" w:rsidRPr="004E6958" w:rsidRDefault="00BC2ED7" w:rsidP="00BC2ED7">
      <w:pPr>
        <w:spacing w:line="360" w:lineRule="auto"/>
        <w:jc w:val="both"/>
        <w:rPr>
          <w:rFonts w:ascii="Arial" w:hAnsi="Arial" w:cs="Arial"/>
        </w:rPr>
      </w:pPr>
      <w:r w:rsidRPr="004E6958">
        <w:rPr>
          <w:rFonts w:ascii="Arial" w:hAnsi="Arial" w:cs="Arial"/>
        </w:rPr>
        <w:t>Governments are playing a greater role in regulating digital platforms due to concerns over online safety, misinformation and national security. In the UK, the Online Safety Act 2023 and proposals for stronger protections for young users may affect creators who rely on younger audiences. While intended to improve online safety, increased regulation may reduce audience reach and increase compliance requirements, demonstrating how political decisions create both opportunities and challenges.</w:t>
      </w:r>
    </w:p>
    <w:p w14:paraId="52B471F3" w14:textId="77777777" w:rsidR="00BC2ED7" w:rsidRPr="004E6958" w:rsidRDefault="00BC2ED7" w:rsidP="00BC2ED7">
      <w:pPr>
        <w:pStyle w:val="Heading3"/>
        <w:spacing w:line="360" w:lineRule="auto"/>
        <w:jc w:val="both"/>
        <w:rPr>
          <w:rFonts w:ascii="Arial" w:hAnsi="Arial" w:cs="Arial"/>
        </w:rPr>
      </w:pPr>
      <w:bookmarkStart w:id="7" w:name="_Toc234346344"/>
      <w:r w:rsidRPr="004E6958">
        <w:rPr>
          <w:rFonts w:ascii="Arial" w:hAnsi="Arial" w:cs="Arial"/>
        </w:rPr>
        <w:t>Legal Factors</w:t>
      </w:r>
      <w:bookmarkEnd w:id="7"/>
    </w:p>
    <w:p w14:paraId="6F844BB8" w14:textId="77777777" w:rsidR="00BC2ED7" w:rsidRPr="004E6958" w:rsidRDefault="00BC2ED7" w:rsidP="00BC2ED7">
      <w:pPr>
        <w:spacing w:line="360" w:lineRule="auto"/>
        <w:jc w:val="both"/>
        <w:rPr>
          <w:rFonts w:ascii="Arial" w:hAnsi="Arial" w:cs="Arial"/>
        </w:rPr>
      </w:pPr>
      <w:r w:rsidRPr="004E6958">
        <w:rPr>
          <w:rFonts w:ascii="Arial" w:hAnsi="Arial" w:cs="Arial"/>
        </w:rPr>
        <w:t>Legal regulation has become increasingly important within the creator economy. The Advertising Standards Authority (ASA) requires influencers to disclose paid partnerships, while GDPR governs the use of audience data. Failure to comply can result in financial penalties and reputational damage. Consequently, legal compliance is essential for maintaining audience trust and long-term commercial success.</w:t>
      </w:r>
    </w:p>
    <w:p w14:paraId="4159C6E2" w14:textId="77777777" w:rsidR="00BC2ED7" w:rsidRPr="004E6958" w:rsidRDefault="00BC2ED7" w:rsidP="00BC2ED7">
      <w:pPr>
        <w:pStyle w:val="Heading3"/>
        <w:spacing w:line="360" w:lineRule="auto"/>
        <w:jc w:val="both"/>
        <w:rPr>
          <w:rFonts w:ascii="Arial" w:hAnsi="Arial" w:cs="Arial"/>
        </w:rPr>
      </w:pPr>
      <w:bookmarkStart w:id="8" w:name="_Toc234346345"/>
      <w:r w:rsidRPr="004E6958">
        <w:rPr>
          <w:rFonts w:ascii="Arial" w:hAnsi="Arial" w:cs="Arial"/>
        </w:rPr>
        <w:t>Ethical Factors</w:t>
      </w:r>
      <w:bookmarkEnd w:id="8"/>
    </w:p>
    <w:p w14:paraId="2C2F9B74" w14:textId="77777777" w:rsidR="00BC2ED7" w:rsidRPr="004E6958" w:rsidRDefault="00BC2ED7" w:rsidP="00BC2ED7">
      <w:pPr>
        <w:spacing w:line="360" w:lineRule="auto"/>
        <w:jc w:val="both"/>
        <w:rPr>
          <w:rFonts w:ascii="Arial" w:hAnsi="Arial" w:cs="Arial"/>
        </w:rPr>
      </w:pPr>
      <w:r w:rsidRPr="004E6958">
        <w:rPr>
          <w:rFonts w:ascii="Arial" w:hAnsi="Arial" w:cs="Arial"/>
        </w:rPr>
        <w:t>Ethical issues such as misinformation, undisclosed advertising, unrealistic beauty standards and AI-generated influencers continue to shape public perceptions of creators. As audiences increasingly value transparency and authenticity, ethical behaviour has become essential for maintaining consumer trust, protecting reputation and securing long-term brand partnerships.</w:t>
      </w:r>
    </w:p>
    <w:p w14:paraId="396B7254" w14:textId="77777777" w:rsidR="00BC2ED7" w:rsidRPr="004E6958" w:rsidRDefault="00BC2ED7" w:rsidP="00BC2ED7">
      <w:pPr>
        <w:spacing w:line="360" w:lineRule="auto"/>
        <w:jc w:val="both"/>
        <w:rPr>
          <w:rFonts w:ascii="Arial" w:hAnsi="Arial" w:cs="Arial"/>
        </w:rPr>
      </w:pPr>
      <w:r w:rsidRPr="004E6958">
        <w:rPr>
          <w:rFonts w:ascii="Arial" w:hAnsi="Arial" w:cs="Arial"/>
        </w:rPr>
        <w:t>The preceding STEEPLE analysis demonstrates that external factors create both strategic opportunities and significant risks. These findings are synthesised within the following SWOT analysis.</w:t>
      </w:r>
    </w:p>
    <w:p w14:paraId="6A0DDB67" w14:textId="77777777" w:rsidR="00BC2ED7" w:rsidRPr="004E6958" w:rsidRDefault="00BC2ED7" w:rsidP="00BC2ED7">
      <w:pPr>
        <w:pStyle w:val="Heading1"/>
        <w:spacing w:line="360" w:lineRule="auto"/>
        <w:jc w:val="both"/>
        <w:rPr>
          <w:rFonts w:ascii="Arial" w:hAnsi="Arial" w:cs="Arial"/>
        </w:rPr>
      </w:pPr>
      <w:bookmarkStart w:id="9" w:name="_Toc234346346"/>
      <w:r w:rsidRPr="004E6958">
        <w:rPr>
          <w:rFonts w:ascii="Arial" w:hAnsi="Arial" w:cs="Arial"/>
        </w:rPr>
        <w:t>SWOT Analysis</w:t>
      </w:r>
      <w:bookmarkEnd w:id="9"/>
    </w:p>
    <w:p w14:paraId="30A6E4EC" w14:textId="77777777" w:rsidR="00BC2ED7" w:rsidRPr="004E6958" w:rsidRDefault="00BC2ED7" w:rsidP="00BC2ED7">
      <w:pPr>
        <w:spacing w:line="360" w:lineRule="auto"/>
        <w:jc w:val="both"/>
        <w:rPr>
          <w:rFonts w:ascii="Arial" w:hAnsi="Arial" w:cs="Arial"/>
        </w:rPr>
      </w:pPr>
      <w:r>
        <w:rPr>
          <w:rFonts w:ascii="Arial" w:hAnsi="Arial" w:cs="Arial"/>
        </w:rPr>
        <w:t xml:space="preserve">See appendix </w:t>
      </w:r>
      <w:proofErr w:type="gramStart"/>
      <w:r>
        <w:rPr>
          <w:rFonts w:ascii="Arial" w:hAnsi="Arial" w:cs="Arial"/>
        </w:rPr>
        <w:t>C.</w:t>
      </w:r>
      <w:r w:rsidRPr="004E6958">
        <w:rPr>
          <w:rFonts w:ascii="Arial" w:hAnsi="Arial" w:cs="Arial"/>
        </w:rPr>
        <w:t>.</w:t>
      </w:r>
      <w:proofErr w:type="gramEnd"/>
    </w:p>
    <w:p w14:paraId="0DA8F7CC" w14:textId="77777777" w:rsidR="00BC2ED7" w:rsidRPr="004E6958" w:rsidRDefault="00BC2ED7" w:rsidP="00BC2ED7">
      <w:pPr>
        <w:pStyle w:val="Heading1"/>
        <w:spacing w:line="360" w:lineRule="auto"/>
        <w:jc w:val="both"/>
        <w:rPr>
          <w:rFonts w:ascii="Arial" w:hAnsi="Arial" w:cs="Arial"/>
        </w:rPr>
      </w:pPr>
      <w:bookmarkStart w:id="10" w:name="_Toc234346347"/>
      <w:r w:rsidRPr="004E6958">
        <w:rPr>
          <w:rFonts w:ascii="Arial" w:hAnsi="Arial" w:cs="Arial"/>
        </w:rPr>
        <w:lastRenderedPageBreak/>
        <w:t>Future Lens: DPSIR Analysis</w:t>
      </w:r>
      <w:bookmarkEnd w:id="10"/>
    </w:p>
    <w:p w14:paraId="2636FA38" w14:textId="77777777" w:rsidR="00BC2ED7" w:rsidRPr="004E6958" w:rsidRDefault="00BC2ED7" w:rsidP="00BC2ED7">
      <w:pPr>
        <w:spacing w:line="360" w:lineRule="auto"/>
        <w:jc w:val="both"/>
        <w:rPr>
          <w:rFonts w:ascii="Arial" w:hAnsi="Arial" w:cs="Arial"/>
        </w:rPr>
      </w:pPr>
      <w:r w:rsidRPr="004E6958">
        <w:rPr>
          <w:rFonts w:ascii="Arial" w:hAnsi="Arial" w:cs="Arial"/>
        </w:rPr>
        <w:t>The DPSIR (Drivers, Pressures, State, Impacts, Responses) framework provides a structured approach to analysing how external forces will shape the future of the creator economy.</w:t>
      </w:r>
    </w:p>
    <w:p w14:paraId="2629F729"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Drivers include rapid technological innovation, increasing digital consumption, widespread smartphone use and growing demand for personalised content. These trends continue to expand opportunities for creators while encouraging businesses to invest more heavily in influencer marketing (Goldman Sachs, 2023; Kotler, </w:t>
      </w:r>
      <w:proofErr w:type="spellStart"/>
      <w:r w:rsidRPr="004E6958">
        <w:rPr>
          <w:rFonts w:ascii="Arial" w:hAnsi="Arial" w:cs="Arial"/>
        </w:rPr>
        <w:t>Kartajaya</w:t>
      </w:r>
      <w:proofErr w:type="spellEnd"/>
      <w:r w:rsidRPr="004E6958">
        <w:rPr>
          <w:rFonts w:ascii="Arial" w:hAnsi="Arial" w:cs="Arial"/>
        </w:rPr>
        <w:t xml:space="preserve"> and Setiawan, 2021).</w:t>
      </w:r>
    </w:p>
    <w:p w14:paraId="32FB97F1" w14:textId="77777777" w:rsidR="00BC2ED7" w:rsidRPr="004E6958" w:rsidRDefault="00BC2ED7" w:rsidP="00BC2ED7">
      <w:pPr>
        <w:spacing w:line="360" w:lineRule="auto"/>
        <w:jc w:val="both"/>
        <w:rPr>
          <w:rFonts w:ascii="Arial" w:hAnsi="Arial" w:cs="Arial"/>
        </w:rPr>
      </w:pPr>
      <w:r w:rsidRPr="004E6958">
        <w:rPr>
          <w:rFonts w:ascii="Arial" w:hAnsi="Arial" w:cs="Arial"/>
        </w:rPr>
        <w:t>These drivers create Pressures, including algorithm dependence, market saturation, competition from AI-generated influencers, and concerns over misinformation, privacy and online safety. Governments are increasing regulation through measures such as the UK's Online Safety Act 2023, while Ofcom has strengthened its focus on protecting children online. Although the UK has not introduced a nationwide social media ban, ongoing proposals for stronger age restrictions suggest regulatory intervention will continue to increase (Ofcom, 2025; OECD, 2024).</w:t>
      </w:r>
    </w:p>
    <w:p w14:paraId="7900CD4B" w14:textId="77777777" w:rsidR="00BC2ED7" w:rsidRPr="004E6958" w:rsidRDefault="00BC2ED7" w:rsidP="00BC2ED7">
      <w:pPr>
        <w:spacing w:line="360" w:lineRule="auto"/>
        <w:jc w:val="both"/>
        <w:rPr>
          <w:rFonts w:ascii="Arial" w:hAnsi="Arial" w:cs="Arial"/>
        </w:rPr>
      </w:pPr>
      <w:r w:rsidRPr="004E6958">
        <w:rPr>
          <w:rFonts w:ascii="Arial" w:hAnsi="Arial" w:cs="Arial"/>
        </w:rPr>
        <w:t>The current State of the creator economy is one of rapid growth, increasing professionalisation and intense competition. AI is becoming integrated into content creation and discovery, while brands expect greater transparency, measurable returns and compliance with advertising standards (PwC, 2024). The Advertising Standards Authority (ASA) and Competition and Markets Authority (CMA) have also strengthened guidance on sponsored content, raising expectations for professional conduct (Advertising Standards Authority, 2024; Competition and Markets Authority, 2024).</w:t>
      </w:r>
    </w:p>
    <w:p w14:paraId="2ED0A0CC" w14:textId="77777777" w:rsidR="00BC2ED7" w:rsidRPr="004E6958" w:rsidRDefault="00BC2ED7" w:rsidP="00BC2ED7">
      <w:pPr>
        <w:spacing w:line="360" w:lineRule="auto"/>
        <w:jc w:val="both"/>
        <w:rPr>
          <w:rFonts w:ascii="Arial" w:hAnsi="Arial" w:cs="Arial"/>
        </w:rPr>
      </w:pPr>
      <w:r w:rsidRPr="004E6958">
        <w:rPr>
          <w:rFonts w:ascii="Arial" w:hAnsi="Arial" w:cs="Arial"/>
        </w:rPr>
        <w:t>These trends are likely to have significant Impacts. Smaller creators may struggle to compete with established influencers and AI-generated content, while audiences become more sceptical of sponsored or synthetic media. Although increased regulation may improve online safety and consumer trust, it could also increase compliance costs and reduce opportunities for creators targeting younger audiences (World Economic Forum, 2024). Consequently, successful creators are likely to operate as diversified digital businesses rather than relying solely on platform income.</w:t>
      </w:r>
    </w:p>
    <w:p w14:paraId="14B570FA" w14:textId="77777777" w:rsidR="00BC2ED7" w:rsidRPr="004E6958" w:rsidRDefault="00BC2ED7" w:rsidP="00BC2ED7">
      <w:pPr>
        <w:spacing w:line="360" w:lineRule="auto"/>
        <w:jc w:val="both"/>
        <w:rPr>
          <w:rFonts w:ascii="Arial" w:hAnsi="Arial" w:cs="Arial"/>
        </w:rPr>
      </w:pPr>
      <w:r w:rsidRPr="004E6958">
        <w:rPr>
          <w:rFonts w:ascii="Arial" w:hAnsi="Arial" w:cs="Arial"/>
        </w:rPr>
        <w:t>Effective Responses include diversifying revenue streams, investing in owned platforms such as newsletters and subscription communities, adopting transparent AI disclosure practices and ensuring compliance with advertising and data protection regulations. These strategies reduce dependence on algorithms while strengthening audience trust and long-term resilience (Advertising Standards Authority, 2024; Competition and Markets Authority, 2024).</w:t>
      </w:r>
    </w:p>
    <w:p w14:paraId="0FBBE983" w14:textId="77777777" w:rsidR="00BC2ED7" w:rsidRPr="004E6958" w:rsidRDefault="00BC2ED7" w:rsidP="00BC2ED7">
      <w:pPr>
        <w:spacing w:line="360" w:lineRule="auto"/>
        <w:jc w:val="both"/>
        <w:rPr>
          <w:rFonts w:ascii="Arial" w:hAnsi="Arial" w:cs="Arial"/>
        </w:rPr>
      </w:pPr>
      <w:r w:rsidRPr="004E6958">
        <w:rPr>
          <w:rFonts w:ascii="Arial" w:hAnsi="Arial" w:cs="Arial"/>
        </w:rPr>
        <w:lastRenderedPageBreak/>
        <w:t xml:space="preserve">Overall, the creator economy will be shaped by the rise of AI-assisted influencers, increased government regulation and continued market saturation. Creators who diversify their business models, build long-term brand equity and maintain ethical, transparent relationships with audiences will be better positioned to remain competitive in an increasingly regulated and technology-driven marketplace (Kotler, </w:t>
      </w:r>
      <w:proofErr w:type="spellStart"/>
      <w:r w:rsidRPr="004E6958">
        <w:rPr>
          <w:rFonts w:ascii="Arial" w:hAnsi="Arial" w:cs="Arial"/>
        </w:rPr>
        <w:t>Kartajaya</w:t>
      </w:r>
      <w:proofErr w:type="spellEnd"/>
      <w:r w:rsidRPr="004E6958">
        <w:rPr>
          <w:rFonts w:ascii="Arial" w:hAnsi="Arial" w:cs="Arial"/>
        </w:rPr>
        <w:t xml:space="preserve"> and Setiawan, 2021; OECD, 2024).</w:t>
      </w:r>
    </w:p>
    <w:p w14:paraId="36F9ED07" w14:textId="77777777" w:rsidR="00BC2ED7" w:rsidRPr="004E6958" w:rsidRDefault="00BC2ED7" w:rsidP="00BC2ED7">
      <w:pPr>
        <w:spacing w:line="360" w:lineRule="auto"/>
        <w:jc w:val="both"/>
        <w:rPr>
          <w:rFonts w:ascii="Arial" w:hAnsi="Arial" w:cs="Arial"/>
        </w:rPr>
      </w:pPr>
      <w:r w:rsidRPr="004E6958">
        <w:rPr>
          <w:rFonts w:ascii="Arial" w:hAnsi="Arial" w:cs="Arial"/>
        </w:rPr>
        <w:t>Within the next five years, AI-generated influencers are likely to become mainstream competitors for product endorsements due to their lower operating costs and complete brand control. Human creators will therefore increasingly compete on authenticity, lived experience and community engagement rather than production quality alone.</w:t>
      </w:r>
    </w:p>
    <w:p w14:paraId="2D07065A" w14:textId="77777777" w:rsidR="00BC2ED7" w:rsidRPr="004E6958" w:rsidRDefault="00BC2ED7" w:rsidP="00BC2ED7">
      <w:pPr>
        <w:pStyle w:val="Heading1"/>
        <w:spacing w:line="360" w:lineRule="auto"/>
        <w:jc w:val="both"/>
        <w:rPr>
          <w:rFonts w:ascii="Arial" w:hAnsi="Arial" w:cs="Arial"/>
        </w:rPr>
      </w:pPr>
      <w:bookmarkStart w:id="11" w:name="_Toc234346348"/>
      <w:r w:rsidRPr="004E6958">
        <w:rPr>
          <w:rFonts w:ascii="Arial" w:hAnsi="Arial" w:cs="Arial"/>
        </w:rPr>
        <w:t>Recommendations</w:t>
      </w:r>
      <w:bookmarkEnd w:id="11"/>
    </w:p>
    <w:p w14:paraId="018B7840" w14:textId="77777777" w:rsidR="00BC2ED7" w:rsidRPr="004E6958" w:rsidRDefault="00BC2ED7" w:rsidP="00BC2ED7">
      <w:pPr>
        <w:spacing w:line="360" w:lineRule="auto"/>
        <w:jc w:val="both"/>
        <w:rPr>
          <w:rFonts w:ascii="Arial" w:hAnsi="Arial" w:cs="Arial"/>
        </w:rPr>
      </w:pPr>
      <w:r w:rsidRPr="004E6958">
        <w:rPr>
          <w:rFonts w:ascii="Arial" w:hAnsi="Arial" w:cs="Arial"/>
        </w:rPr>
        <w:t>Recommendation 1: Creators should diversify income through subscriptions, digital products and owned brands to reduce dependence on sponsorships, algorithms and economic fluctuations.</w:t>
      </w:r>
    </w:p>
    <w:p w14:paraId="5E90E2A6" w14:textId="77777777" w:rsidR="00BC2ED7" w:rsidRPr="004E6958" w:rsidRDefault="00BC2ED7" w:rsidP="00BC2ED7">
      <w:pPr>
        <w:spacing w:line="360" w:lineRule="auto"/>
        <w:jc w:val="both"/>
        <w:rPr>
          <w:rFonts w:ascii="Arial" w:hAnsi="Arial" w:cs="Arial"/>
        </w:rPr>
      </w:pPr>
      <w:r w:rsidRPr="004E6958">
        <w:rPr>
          <w:rFonts w:ascii="Arial" w:hAnsi="Arial" w:cs="Arial"/>
        </w:rPr>
        <w:t xml:space="preserve">Recommendation 2: Creators and organisations should prioritise transparent sponsorship disclosures, responsible AI use and compliance with advertising and data protection regulations to strengthen audience trust and ensure long-term sustainability. This recommendation is supported by </w:t>
      </w:r>
      <w:proofErr w:type="spellStart"/>
      <w:r w:rsidRPr="004E6958">
        <w:rPr>
          <w:rFonts w:ascii="Arial" w:hAnsi="Arial" w:cs="Arial"/>
        </w:rPr>
        <w:t>Djafarova</w:t>
      </w:r>
      <w:proofErr w:type="spellEnd"/>
      <w:r w:rsidRPr="004E6958">
        <w:rPr>
          <w:rFonts w:ascii="Arial" w:hAnsi="Arial" w:cs="Arial"/>
        </w:rPr>
        <w:t xml:space="preserve"> and Rushworth (2017) and Lou and Yuan (2019), who found that authenticity and credibility are key drivers of consumer trust and purchasing behaviour.</w:t>
      </w:r>
    </w:p>
    <w:p w14:paraId="7753EB5F" w14:textId="77777777" w:rsidR="00BC2ED7" w:rsidRPr="004E6958" w:rsidRDefault="00BC2ED7" w:rsidP="00BC2ED7">
      <w:pPr>
        <w:pStyle w:val="Heading1"/>
        <w:spacing w:line="360" w:lineRule="auto"/>
        <w:jc w:val="both"/>
        <w:rPr>
          <w:rFonts w:ascii="Arial" w:hAnsi="Arial" w:cs="Arial"/>
        </w:rPr>
      </w:pPr>
      <w:bookmarkStart w:id="12" w:name="_Toc234346349"/>
      <w:r w:rsidRPr="004E6958">
        <w:rPr>
          <w:rFonts w:ascii="Arial" w:hAnsi="Arial" w:cs="Arial"/>
        </w:rPr>
        <w:t>Conclusion</w:t>
      </w:r>
      <w:bookmarkEnd w:id="12"/>
    </w:p>
    <w:p w14:paraId="6979847C" w14:textId="77777777" w:rsidR="00BC2ED7" w:rsidRPr="004E6958" w:rsidRDefault="00BC2ED7" w:rsidP="00BC2ED7">
      <w:pPr>
        <w:spacing w:line="360" w:lineRule="auto"/>
        <w:jc w:val="both"/>
        <w:rPr>
          <w:rFonts w:ascii="Arial" w:hAnsi="Arial" w:cs="Arial"/>
        </w:rPr>
      </w:pPr>
      <w:r w:rsidRPr="004E6958">
        <w:rPr>
          <w:rFonts w:ascii="Arial" w:hAnsi="Arial" w:cs="Arial"/>
        </w:rPr>
        <w:t>The creator economy has become a significant part of the digital economy but is increasingly shaped by technological innovation, changing consumer behaviour, regulation and ethical expectations. The STEEPLE and SWOT analyses demonstrate that while creators benefit from strong audience engagement and entrepreneurial opportunities, they also face risks from platform dependence, AI and increasing regulation. To remain competitive, creators must diversify income, maintain audience trust and adapt proactively to an evolving digital environment.</w:t>
      </w:r>
    </w:p>
    <w:p w14:paraId="75DC7551" w14:textId="77777777" w:rsidR="00BC2ED7" w:rsidRPr="004E6958" w:rsidRDefault="00BC2ED7" w:rsidP="00BC2ED7">
      <w:pPr>
        <w:spacing w:line="360" w:lineRule="auto"/>
        <w:jc w:val="both"/>
        <w:rPr>
          <w:rFonts w:ascii="Arial" w:hAnsi="Arial" w:cs="Arial"/>
        </w:rPr>
      </w:pPr>
    </w:p>
    <w:p w14:paraId="258D9053" w14:textId="77777777" w:rsidR="00BC2ED7" w:rsidRPr="004E6958" w:rsidRDefault="00BC2ED7" w:rsidP="00BC2ED7">
      <w:pPr>
        <w:pStyle w:val="Heading1"/>
        <w:spacing w:line="360" w:lineRule="auto"/>
        <w:jc w:val="both"/>
        <w:rPr>
          <w:rFonts w:ascii="Arial" w:hAnsi="Arial" w:cs="Arial"/>
        </w:rPr>
      </w:pPr>
      <w:bookmarkStart w:id="13" w:name="_Toc234346350"/>
      <w:r w:rsidRPr="004E6958">
        <w:rPr>
          <w:rFonts w:ascii="Arial" w:hAnsi="Arial" w:cs="Arial"/>
        </w:rPr>
        <w:lastRenderedPageBreak/>
        <w:t>References</w:t>
      </w:r>
      <w:bookmarkEnd w:id="13"/>
    </w:p>
    <w:p w14:paraId="42E68935"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Abidin, C. (2018) </w:t>
      </w:r>
      <w:r w:rsidRPr="004E6958">
        <w:rPr>
          <w:rFonts w:ascii="Arial" w:hAnsi="Arial" w:cs="Arial"/>
          <w:i/>
          <w:iCs/>
        </w:rPr>
        <w:t>Internet celebrity: Understanding fame online</w:t>
      </w:r>
      <w:r w:rsidRPr="004E6958">
        <w:rPr>
          <w:rFonts w:ascii="Arial" w:hAnsi="Arial" w:cs="Arial"/>
        </w:rPr>
        <w:t>. Bingley: Emerald Publishing.</w:t>
      </w:r>
    </w:p>
    <w:p w14:paraId="212A93EB"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Advertising Standards Authority (2024) </w:t>
      </w:r>
      <w:r w:rsidRPr="004E6958">
        <w:rPr>
          <w:rFonts w:ascii="Arial" w:hAnsi="Arial" w:cs="Arial"/>
          <w:i/>
          <w:iCs/>
        </w:rPr>
        <w:t>Influencer marketing: Guidance for influencers</w:t>
      </w:r>
      <w:r w:rsidRPr="004E6958">
        <w:rPr>
          <w:rFonts w:ascii="Arial" w:hAnsi="Arial" w:cs="Arial"/>
        </w:rPr>
        <w:t>. Available at: https://www.asa.org.uk/advice-online/influencers.html (Accessed: 6 July 2026).</w:t>
      </w:r>
    </w:p>
    <w:p w14:paraId="797953CB"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Competition and Markets Authority (2024) </w:t>
      </w:r>
      <w:r w:rsidRPr="004E6958">
        <w:rPr>
          <w:rFonts w:ascii="Arial" w:hAnsi="Arial" w:cs="Arial"/>
          <w:i/>
          <w:iCs/>
        </w:rPr>
        <w:t>Social media endorsements: Being transparent with your followers</w:t>
      </w:r>
      <w:r w:rsidRPr="004E6958">
        <w:rPr>
          <w:rFonts w:ascii="Arial" w:hAnsi="Arial" w:cs="Arial"/>
        </w:rPr>
        <w:t>. Available at: https://www.gov.uk/government/publications/social-media-endorsements-guide-for-influencers (Accessed: 6 July 2026).</w:t>
      </w:r>
    </w:p>
    <w:p w14:paraId="3E908024"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Cunningham, S. and Craig, D. (2019) </w:t>
      </w:r>
      <w:r w:rsidRPr="004E6958">
        <w:rPr>
          <w:rFonts w:ascii="Arial" w:hAnsi="Arial" w:cs="Arial"/>
          <w:i/>
          <w:iCs/>
        </w:rPr>
        <w:t>Social media entertainment: The new intersection of Hollywood and Silicon Valley</w:t>
      </w:r>
      <w:r w:rsidRPr="004E6958">
        <w:rPr>
          <w:rFonts w:ascii="Arial" w:hAnsi="Arial" w:cs="Arial"/>
        </w:rPr>
        <w:t>. New York: New York University Press.</w:t>
      </w:r>
    </w:p>
    <w:p w14:paraId="4890C669"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Djafarova, E. and Rushworth, C. (2017) 'Exploring the credibility of online celebrities' Instagram profiles in influencing the purchase decisions of young female users', </w:t>
      </w:r>
      <w:r w:rsidRPr="004E6958">
        <w:rPr>
          <w:rFonts w:ascii="Arial" w:hAnsi="Arial" w:cs="Arial"/>
          <w:i/>
          <w:iCs/>
        </w:rPr>
        <w:t xml:space="preserve">Computers in Human </w:t>
      </w:r>
      <w:proofErr w:type="spellStart"/>
      <w:r w:rsidRPr="004E6958">
        <w:rPr>
          <w:rFonts w:ascii="Arial" w:hAnsi="Arial" w:cs="Arial"/>
          <w:i/>
          <w:iCs/>
        </w:rPr>
        <w:t>Behavior</w:t>
      </w:r>
      <w:proofErr w:type="spellEnd"/>
      <w:r w:rsidRPr="004E6958">
        <w:rPr>
          <w:rFonts w:ascii="Arial" w:hAnsi="Arial" w:cs="Arial"/>
        </w:rPr>
        <w:t>, 68, pp. 1–7. https://doi.org/10.1016/j.chb.2016.11.009</w:t>
      </w:r>
    </w:p>
    <w:p w14:paraId="7518821C"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Goldman Sachs (2023) </w:t>
      </w:r>
      <w:r w:rsidRPr="004E6958">
        <w:rPr>
          <w:rFonts w:ascii="Arial" w:hAnsi="Arial" w:cs="Arial"/>
          <w:i/>
          <w:iCs/>
        </w:rPr>
        <w:t>The creator economy could approach half-a-trillion dollars by 2027</w:t>
      </w:r>
      <w:r w:rsidRPr="004E6958">
        <w:rPr>
          <w:rFonts w:ascii="Arial" w:hAnsi="Arial" w:cs="Arial"/>
        </w:rPr>
        <w:t>. Available at: https://www.goldmansachs.com/insights/articles/the-creator-economy-could-approach-half-a-trillion-dollars-by-2027 (Accessed: 6 July 2026).</w:t>
      </w:r>
    </w:p>
    <w:p w14:paraId="48444F74"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Influencer Marketing Hub (2024) </w:t>
      </w:r>
      <w:r w:rsidRPr="004E6958">
        <w:rPr>
          <w:rFonts w:ascii="Arial" w:hAnsi="Arial" w:cs="Arial"/>
          <w:i/>
          <w:iCs/>
        </w:rPr>
        <w:t>Influencer marketing benchmark report 2024</w:t>
      </w:r>
      <w:r w:rsidRPr="004E6958">
        <w:rPr>
          <w:rFonts w:ascii="Arial" w:hAnsi="Arial" w:cs="Arial"/>
        </w:rPr>
        <w:t>. Available at: https://influencermarketinghub.com/influencer-marketing-benchmark-report/ (Accessed: 6 July 2026).</w:t>
      </w:r>
    </w:p>
    <w:p w14:paraId="7FA8E28A"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Kaye, D.B.V., Chen, X. and Zeng, J. (2021) ‘The co-evolution of two Chinese mobile short video apps: Parallel </w:t>
      </w:r>
      <w:proofErr w:type="spellStart"/>
      <w:r w:rsidRPr="004E6958">
        <w:rPr>
          <w:rFonts w:ascii="Arial" w:hAnsi="Arial" w:cs="Arial"/>
        </w:rPr>
        <w:t>platformization</w:t>
      </w:r>
      <w:proofErr w:type="spellEnd"/>
      <w:r w:rsidRPr="004E6958">
        <w:rPr>
          <w:rFonts w:ascii="Arial" w:hAnsi="Arial" w:cs="Arial"/>
        </w:rPr>
        <w:t xml:space="preserve"> of Douyin and TikTok’, </w:t>
      </w:r>
      <w:r w:rsidRPr="004E6958">
        <w:rPr>
          <w:rFonts w:ascii="Arial" w:hAnsi="Arial" w:cs="Arial"/>
          <w:i/>
          <w:iCs/>
        </w:rPr>
        <w:t>Mobile Media &amp; Communication</w:t>
      </w:r>
      <w:r w:rsidRPr="004E6958">
        <w:rPr>
          <w:rFonts w:ascii="Arial" w:hAnsi="Arial" w:cs="Arial"/>
        </w:rPr>
        <w:t>, 9(2), pp. 229–253.</w:t>
      </w:r>
    </w:p>
    <w:p w14:paraId="0D07BA54"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Kotler, P., </w:t>
      </w:r>
      <w:proofErr w:type="spellStart"/>
      <w:r w:rsidRPr="004E6958">
        <w:rPr>
          <w:rFonts w:ascii="Arial" w:hAnsi="Arial" w:cs="Arial"/>
        </w:rPr>
        <w:t>Kartajaya</w:t>
      </w:r>
      <w:proofErr w:type="spellEnd"/>
      <w:r w:rsidRPr="004E6958">
        <w:rPr>
          <w:rFonts w:ascii="Arial" w:hAnsi="Arial" w:cs="Arial"/>
        </w:rPr>
        <w:t xml:space="preserve">, H. and Setiawan, I. (2021) </w:t>
      </w:r>
      <w:r w:rsidRPr="004E6958">
        <w:rPr>
          <w:rFonts w:ascii="Arial" w:hAnsi="Arial" w:cs="Arial"/>
          <w:i/>
          <w:iCs/>
        </w:rPr>
        <w:t>Marketing 5.0: Technology for humanity</w:t>
      </w:r>
      <w:r w:rsidRPr="004E6958">
        <w:rPr>
          <w:rFonts w:ascii="Arial" w:hAnsi="Arial" w:cs="Arial"/>
        </w:rPr>
        <w:t>. Hoboken, NJ: John Wiley &amp; Sons.</w:t>
      </w:r>
    </w:p>
    <w:p w14:paraId="7C83D518"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Lou, C. and Yuan, S. (2019) 'Influencer marketing: How message value and credibility affect consumer trust of branded content on social media', </w:t>
      </w:r>
      <w:r w:rsidRPr="004E6958">
        <w:rPr>
          <w:rFonts w:ascii="Arial" w:hAnsi="Arial" w:cs="Arial"/>
          <w:i/>
          <w:iCs/>
        </w:rPr>
        <w:t>Journal of Interactive Advertising</w:t>
      </w:r>
      <w:r w:rsidRPr="004E6958">
        <w:rPr>
          <w:rFonts w:ascii="Arial" w:hAnsi="Arial" w:cs="Arial"/>
        </w:rPr>
        <w:t>, 19(1), pp. 58–73. https://doi.org/10.1080/15252019.2018.1533501</w:t>
      </w:r>
    </w:p>
    <w:p w14:paraId="6892FCD7"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OECD (2024) </w:t>
      </w:r>
      <w:r w:rsidRPr="004E6958">
        <w:rPr>
          <w:rFonts w:ascii="Arial" w:hAnsi="Arial" w:cs="Arial"/>
          <w:i/>
          <w:iCs/>
        </w:rPr>
        <w:t>OECD digital economy outlook 2024</w:t>
      </w:r>
      <w:r w:rsidRPr="004E6958">
        <w:rPr>
          <w:rFonts w:ascii="Arial" w:hAnsi="Arial" w:cs="Arial"/>
        </w:rPr>
        <w:t>. Paris: OECD Publishing. Available at: https://www.oecd.org/digital/oecd-digital-economy-outlook/ (Accessed: 6 July 2026).</w:t>
      </w:r>
    </w:p>
    <w:p w14:paraId="69FABF83"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Ofcom (2025) </w:t>
      </w:r>
      <w:r w:rsidRPr="004E6958">
        <w:rPr>
          <w:rFonts w:ascii="Arial" w:hAnsi="Arial" w:cs="Arial"/>
          <w:i/>
          <w:iCs/>
        </w:rPr>
        <w:t>Children and parents: Media use and attitudes report 2025</w:t>
      </w:r>
      <w:r w:rsidRPr="004E6958">
        <w:rPr>
          <w:rFonts w:ascii="Arial" w:hAnsi="Arial" w:cs="Arial"/>
        </w:rPr>
        <w:t>. London: Ofcom. Available at: https://www.ofcom.org.uk/research-and-data/media-literacy-research/childrens (Accessed: 6 July 2026).</w:t>
      </w:r>
    </w:p>
    <w:p w14:paraId="5391E4A6"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lastRenderedPageBreak/>
        <w:t xml:space="preserve">PwC (2024) </w:t>
      </w:r>
      <w:r w:rsidRPr="004E6958">
        <w:rPr>
          <w:rFonts w:ascii="Arial" w:hAnsi="Arial" w:cs="Arial"/>
          <w:i/>
          <w:iCs/>
        </w:rPr>
        <w:t>Global entertainment &amp; media outlook 2024–2028</w:t>
      </w:r>
      <w:r w:rsidRPr="004E6958">
        <w:rPr>
          <w:rFonts w:ascii="Arial" w:hAnsi="Arial" w:cs="Arial"/>
        </w:rPr>
        <w:t>. London: PricewaterhouseCoopers. Available at: https://www.pwc.com/gx/en/industries/tmt/media/outlook.html (Accessed: 6 July 2026).</w:t>
      </w:r>
    </w:p>
    <w:p w14:paraId="1EFD88E7"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Tuten, T.L. (2023) </w:t>
      </w:r>
      <w:r w:rsidRPr="004E6958">
        <w:rPr>
          <w:rFonts w:ascii="Arial" w:hAnsi="Arial" w:cs="Arial"/>
          <w:i/>
          <w:iCs/>
        </w:rPr>
        <w:t>Social media marketing</w:t>
      </w:r>
      <w:r w:rsidRPr="004E6958">
        <w:rPr>
          <w:rFonts w:ascii="Arial" w:hAnsi="Arial" w:cs="Arial"/>
        </w:rPr>
        <w:t xml:space="preserve">. 5th </w:t>
      </w:r>
      <w:proofErr w:type="spellStart"/>
      <w:r w:rsidRPr="004E6958">
        <w:rPr>
          <w:rFonts w:ascii="Arial" w:hAnsi="Arial" w:cs="Arial"/>
        </w:rPr>
        <w:t>edn</w:t>
      </w:r>
      <w:proofErr w:type="spellEnd"/>
      <w:r w:rsidRPr="004E6958">
        <w:rPr>
          <w:rFonts w:ascii="Arial" w:hAnsi="Arial" w:cs="Arial"/>
        </w:rPr>
        <w:t>. London: Sage.</w:t>
      </w:r>
    </w:p>
    <w:p w14:paraId="7F79BC2A"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UNCTAD (2023) </w:t>
      </w:r>
      <w:r w:rsidRPr="004E6958">
        <w:rPr>
          <w:rFonts w:ascii="Arial" w:hAnsi="Arial" w:cs="Arial"/>
          <w:i/>
          <w:iCs/>
        </w:rPr>
        <w:t>Digital economy report 2023</w:t>
      </w:r>
      <w:r w:rsidRPr="004E6958">
        <w:rPr>
          <w:rFonts w:ascii="Arial" w:hAnsi="Arial" w:cs="Arial"/>
        </w:rPr>
        <w:t>. Geneva: United Nations Conference on Trade and Development. Available at: https://unctad.org/publication/digital-economy-report-2023 (Accessed: 6 July 2026).</w:t>
      </w:r>
    </w:p>
    <w:p w14:paraId="7C348493"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World Economic Forum (2024) </w:t>
      </w:r>
      <w:r w:rsidRPr="004E6958">
        <w:rPr>
          <w:rFonts w:ascii="Arial" w:hAnsi="Arial" w:cs="Arial"/>
          <w:i/>
          <w:iCs/>
        </w:rPr>
        <w:t>Artificial intelligence and the future of digital work</w:t>
      </w:r>
      <w:r w:rsidRPr="004E6958">
        <w:rPr>
          <w:rFonts w:ascii="Arial" w:hAnsi="Arial" w:cs="Arial"/>
        </w:rPr>
        <w:t>. Geneva: World Economic Forum. Available at: https://www.weforum.org/reports/artificial-intelligence-and-the-future-of-work (Accessed: 6 July 2026).</w:t>
      </w:r>
    </w:p>
    <w:p w14:paraId="05CEFC35" w14:textId="77777777" w:rsidR="00BC2ED7" w:rsidRPr="004E6958" w:rsidRDefault="00BC2ED7" w:rsidP="009C264D">
      <w:pPr>
        <w:pStyle w:val="ListParagraph"/>
        <w:numPr>
          <w:ilvl w:val="0"/>
          <w:numId w:val="1"/>
        </w:numPr>
        <w:spacing w:line="360" w:lineRule="auto"/>
        <w:jc w:val="both"/>
        <w:rPr>
          <w:rFonts w:ascii="Arial" w:hAnsi="Arial" w:cs="Arial"/>
        </w:rPr>
      </w:pPr>
      <w:r w:rsidRPr="004E6958">
        <w:rPr>
          <w:rFonts w:ascii="Arial" w:hAnsi="Arial" w:cs="Arial"/>
        </w:rPr>
        <w:t xml:space="preserve">Zuboff, S. (2019) </w:t>
      </w:r>
      <w:r w:rsidRPr="004E6958">
        <w:rPr>
          <w:rFonts w:ascii="Arial" w:hAnsi="Arial" w:cs="Arial"/>
          <w:i/>
          <w:iCs/>
        </w:rPr>
        <w:t>The age of surveillance capitalism: The fight for a human future at the new frontier of power</w:t>
      </w:r>
      <w:r w:rsidRPr="004E6958">
        <w:rPr>
          <w:rFonts w:ascii="Arial" w:hAnsi="Arial" w:cs="Arial"/>
        </w:rPr>
        <w:t>. London: Profile Books.</w:t>
      </w:r>
    </w:p>
    <w:p w14:paraId="70AE3A05" w14:textId="77777777" w:rsidR="00BC2ED7" w:rsidRPr="004E6958" w:rsidRDefault="00BC2ED7" w:rsidP="00BC2ED7">
      <w:pPr>
        <w:spacing w:line="360" w:lineRule="auto"/>
        <w:jc w:val="both"/>
        <w:rPr>
          <w:rFonts w:ascii="Arial" w:hAnsi="Arial" w:cs="Arial"/>
        </w:rPr>
      </w:pPr>
    </w:p>
    <w:p w14:paraId="66F4B791" w14:textId="77777777" w:rsidR="00BC2ED7" w:rsidRPr="004E6958" w:rsidRDefault="00BC2ED7" w:rsidP="00BC2ED7">
      <w:pPr>
        <w:spacing w:line="360" w:lineRule="auto"/>
        <w:jc w:val="both"/>
        <w:rPr>
          <w:rFonts w:ascii="Arial" w:hAnsi="Arial" w:cs="Arial"/>
        </w:rPr>
      </w:pPr>
    </w:p>
    <w:p w14:paraId="5533294A" w14:textId="77777777" w:rsidR="00BC2ED7" w:rsidRPr="004E6958" w:rsidRDefault="00BC2ED7" w:rsidP="00BC2ED7">
      <w:pPr>
        <w:spacing w:line="360" w:lineRule="auto"/>
        <w:jc w:val="both"/>
        <w:rPr>
          <w:rFonts w:ascii="Arial" w:hAnsi="Arial" w:cs="Arial"/>
        </w:rPr>
      </w:pPr>
    </w:p>
    <w:p w14:paraId="26C3E024" w14:textId="77777777" w:rsidR="00BC2ED7" w:rsidRDefault="00BC2ED7" w:rsidP="00BC2ED7">
      <w:pPr>
        <w:spacing w:line="360" w:lineRule="auto"/>
        <w:jc w:val="both"/>
        <w:rPr>
          <w:rFonts w:ascii="Arial" w:hAnsi="Arial" w:cs="Arial"/>
        </w:rPr>
      </w:pPr>
    </w:p>
    <w:p w14:paraId="3E2448A7" w14:textId="77777777" w:rsidR="00BC2ED7" w:rsidRDefault="00BC2ED7" w:rsidP="00BC2ED7">
      <w:pPr>
        <w:spacing w:line="360" w:lineRule="auto"/>
        <w:jc w:val="both"/>
        <w:rPr>
          <w:rFonts w:ascii="Arial" w:hAnsi="Arial" w:cs="Arial"/>
        </w:rPr>
      </w:pPr>
    </w:p>
    <w:p w14:paraId="627C7842" w14:textId="77777777" w:rsidR="00BC2ED7" w:rsidRDefault="00BC2ED7" w:rsidP="00BC2ED7">
      <w:pPr>
        <w:spacing w:line="360" w:lineRule="auto"/>
        <w:jc w:val="both"/>
        <w:rPr>
          <w:rFonts w:ascii="Arial" w:hAnsi="Arial" w:cs="Arial"/>
        </w:rPr>
      </w:pPr>
    </w:p>
    <w:p w14:paraId="37533BC8" w14:textId="77777777" w:rsidR="00BC2ED7" w:rsidRDefault="00BC2ED7" w:rsidP="00BC2ED7">
      <w:pPr>
        <w:spacing w:line="360" w:lineRule="auto"/>
        <w:jc w:val="both"/>
        <w:rPr>
          <w:rFonts w:ascii="Arial" w:hAnsi="Arial" w:cs="Arial"/>
        </w:rPr>
      </w:pPr>
    </w:p>
    <w:p w14:paraId="3A47C36B" w14:textId="77777777" w:rsidR="00BC2ED7" w:rsidRDefault="00BC2ED7" w:rsidP="00BC2ED7">
      <w:pPr>
        <w:spacing w:line="360" w:lineRule="auto"/>
        <w:jc w:val="both"/>
        <w:rPr>
          <w:rFonts w:ascii="Arial" w:hAnsi="Arial" w:cs="Arial"/>
        </w:rPr>
      </w:pPr>
    </w:p>
    <w:p w14:paraId="7CE707CE" w14:textId="77777777" w:rsidR="00BC2ED7" w:rsidRDefault="00BC2ED7" w:rsidP="00BC2ED7">
      <w:pPr>
        <w:spacing w:line="360" w:lineRule="auto"/>
        <w:jc w:val="both"/>
        <w:rPr>
          <w:rFonts w:ascii="Arial" w:hAnsi="Arial" w:cs="Arial"/>
        </w:rPr>
      </w:pPr>
    </w:p>
    <w:p w14:paraId="3D601EAD" w14:textId="77777777" w:rsidR="00BC2ED7" w:rsidRPr="004E6958" w:rsidRDefault="00BC2ED7" w:rsidP="00BC2ED7">
      <w:pPr>
        <w:spacing w:line="360" w:lineRule="auto"/>
        <w:jc w:val="both"/>
        <w:rPr>
          <w:rFonts w:ascii="Arial" w:hAnsi="Arial" w:cs="Arial"/>
        </w:rPr>
      </w:pPr>
    </w:p>
    <w:p w14:paraId="437A79E7" w14:textId="77777777" w:rsidR="00BC2ED7" w:rsidRPr="004E6958" w:rsidRDefault="00BC2ED7" w:rsidP="00BC2ED7">
      <w:pPr>
        <w:pStyle w:val="Heading1"/>
        <w:spacing w:line="360" w:lineRule="auto"/>
        <w:jc w:val="both"/>
        <w:rPr>
          <w:rFonts w:ascii="Arial" w:hAnsi="Arial" w:cs="Arial"/>
        </w:rPr>
      </w:pPr>
      <w:bookmarkStart w:id="14" w:name="_Toc234346351"/>
      <w:r w:rsidRPr="004E6958">
        <w:rPr>
          <w:rFonts w:ascii="Arial" w:hAnsi="Arial" w:cs="Arial"/>
        </w:rPr>
        <w:t>Appendices</w:t>
      </w:r>
      <w:bookmarkEnd w:id="14"/>
      <w:r w:rsidRPr="004E6958">
        <w:rPr>
          <w:rFonts w:ascii="Arial" w:hAnsi="Arial" w:cs="Arial"/>
        </w:rPr>
        <w:t xml:space="preserve"> </w:t>
      </w:r>
    </w:p>
    <w:p w14:paraId="4CA36EEE" w14:textId="77777777" w:rsidR="00BC2ED7" w:rsidRPr="004E6958" w:rsidRDefault="00BC2ED7" w:rsidP="00BC2ED7">
      <w:pPr>
        <w:spacing w:line="360" w:lineRule="auto"/>
        <w:jc w:val="both"/>
        <w:rPr>
          <w:rFonts w:ascii="Arial" w:hAnsi="Arial" w:cs="Arial"/>
        </w:rPr>
      </w:pPr>
    </w:p>
    <w:p w14:paraId="34E37C66" w14:textId="77777777" w:rsidR="00BC2ED7" w:rsidRPr="004E6958" w:rsidRDefault="00BC2ED7" w:rsidP="00BC2ED7">
      <w:pPr>
        <w:spacing w:line="360" w:lineRule="auto"/>
        <w:jc w:val="both"/>
        <w:rPr>
          <w:rFonts w:ascii="Arial" w:hAnsi="Arial" w:cs="Arial"/>
        </w:rPr>
      </w:pPr>
      <w:r w:rsidRPr="004E6958">
        <w:rPr>
          <w:rFonts w:ascii="Arial" w:hAnsi="Arial" w:cs="Arial"/>
          <w:noProof/>
        </w:rPr>
        <w:lastRenderedPageBreak/>
        <w:drawing>
          <wp:anchor distT="0" distB="0" distL="114300" distR="114300" simplePos="0" relativeHeight="251659264" behindDoc="1" locked="0" layoutInCell="1" allowOverlap="1" wp14:anchorId="7A7B8B6F" wp14:editId="70A10A99">
            <wp:simplePos x="0" y="0"/>
            <wp:positionH relativeFrom="margin">
              <wp:posOffset>1441938</wp:posOffset>
            </wp:positionH>
            <wp:positionV relativeFrom="paragraph">
              <wp:posOffset>8988</wp:posOffset>
            </wp:positionV>
            <wp:extent cx="3970020" cy="1900555"/>
            <wp:effectExtent l="0" t="0" r="0" b="4445"/>
            <wp:wrapTight wrapText="bothSides">
              <wp:wrapPolygon edited="0">
                <wp:start x="0" y="0"/>
                <wp:lineTo x="0" y="21434"/>
                <wp:lineTo x="21455" y="21434"/>
                <wp:lineTo x="21455" y="0"/>
                <wp:lineTo x="0" y="0"/>
              </wp:wrapPolygon>
            </wp:wrapTight>
            <wp:docPr id="1920947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947635" name="Picture 19209476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70020" cy="1900555"/>
                    </a:xfrm>
                    <a:prstGeom prst="rect">
                      <a:avLst/>
                    </a:prstGeom>
                  </pic:spPr>
                </pic:pic>
              </a:graphicData>
            </a:graphic>
            <wp14:sizeRelH relativeFrom="margin">
              <wp14:pctWidth>0</wp14:pctWidth>
            </wp14:sizeRelH>
            <wp14:sizeRelV relativeFrom="margin">
              <wp14:pctHeight>0</wp14:pctHeight>
            </wp14:sizeRelV>
          </wp:anchor>
        </w:drawing>
      </w:r>
    </w:p>
    <w:p w14:paraId="16282A07" w14:textId="77777777" w:rsidR="00BC2ED7" w:rsidRPr="004E6958" w:rsidRDefault="00BC2ED7" w:rsidP="00BC2ED7">
      <w:pPr>
        <w:spacing w:line="360" w:lineRule="auto"/>
        <w:jc w:val="both"/>
        <w:rPr>
          <w:rFonts w:ascii="Arial" w:hAnsi="Arial" w:cs="Arial"/>
        </w:rPr>
      </w:pPr>
      <w:r w:rsidRPr="004E6958">
        <w:rPr>
          <w:rFonts w:ascii="Arial" w:hAnsi="Arial" w:cs="Arial"/>
        </w:rPr>
        <w:t>A</w:t>
      </w:r>
    </w:p>
    <w:p w14:paraId="1DE10146" w14:textId="77777777" w:rsidR="00BC2ED7" w:rsidRPr="004E6958" w:rsidRDefault="00BC2ED7" w:rsidP="00BC2ED7">
      <w:pPr>
        <w:spacing w:line="360" w:lineRule="auto"/>
        <w:jc w:val="both"/>
        <w:rPr>
          <w:rFonts w:ascii="Arial" w:hAnsi="Arial" w:cs="Arial"/>
        </w:rPr>
      </w:pPr>
      <w:r w:rsidRPr="004E6958">
        <w:rPr>
          <w:rFonts w:ascii="Arial" w:hAnsi="Arial" w:cs="Arial"/>
        </w:rPr>
        <w:t>(ChatGPT, 2026)</w:t>
      </w:r>
    </w:p>
    <w:p w14:paraId="5BFA8CC8" w14:textId="77777777" w:rsidR="00BC2ED7" w:rsidRPr="004E6958" w:rsidRDefault="00BC2ED7" w:rsidP="00BC2ED7">
      <w:pPr>
        <w:spacing w:line="360" w:lineRule="auto"/>
        <w:jc w:val="both"/>
        <w:rPr>
          <w:rFonts w:ascii="Arial" w:hAnsi="Arial" w:cs="Arial"/>
        </w:rPr>
      </w:pPr>
    </w:p>
    <w:p w14:paraId="35F7B0E5" w14:textId="77777777" w:rsidR="00BC2ED7" w:rsidRPr="004E6958" w:rsidRDefault="00BC2ED7" w:rsidP="00BC2ED7">
      <w:pPr>
        <w:spacing w:line="360" w:lineRule="auto"/>
        <w:jc w:val="both"/>
        <w:rPr>
          <w:rFonts w:ascii="Arial" w:hAnsi="Arial" w:cs="Arial"/>
        </w:rPr>
      </w:pPr>
    </w:p>
    <w:p w14:paraId="7A4A0BAB" w14:textId="77777777" w:rsidR="00BC2ED7" w:rsidRPr="004E6958" w:rsidRDefault="00BC2ED7" w:rsidP="00BC2ED7">
      <w:pPr>
        <w:spacing w:line="360" w:lineRule="auto"/>
        <w:jc w:val="both"/>
        <w:rPr>
          <w:rFonts w:ascii="Arial" w:hAnsi="Arial" w:cs="Arial"/>
        </w:rPr>
      </w:pPr>
    </w:p>
    <w:p w14:paraId="05AE8E18" w14:textId="77777777" w:rsidR="00BC2ED7" w:rsidRPr="004E6958" w:rsidRDefault="00BC2ED7" w:rsidP="00BC2ED7">
      <w:pPr>
        <w:spacing w:line="360" w:lineRule="auto"/>
        <w:jc w:val="both"/>
        <w:rPr>
          <w:rFonts w:ascii="Arial" w:hAnsi="Arial" w:cs="Arial"/>
        </w:rPr>
      </w:pPr>
      <w:r>
        <w:rPr>
          <w:rFonts w:ascii="Arial" w:hAnsi="Arial" w:cs="Arial"/>
          <w:noProof/>
        </w:rPr>
        <w:drawing>
          <wp:anchor distT="0" distB="0" distL="114300" distR="114300" simplePos="0" relativeHeight="251660288" behindDoc="1" locked="0" layoutInCell="1" allowOverlap="1" wp14:anchorId="6D20715C" wp14:editId="10A9D847">
            <wp:simplePos x="0" y="0"/>
            <wp:positionH relativeFrom="margin">
              <wp:align>right</wp:align>
            </wp:positionH>
            <wp:positionV relativeFrom="paragraph">
              <wp:posOffset>177751</wp:posOffset>
            </wp:positionV>
            <wp:extent cx="4241800" cy="2048510"/>
            <wp:effectExtent l="0" t="0" r="6350" b="8890"/>
            <wp:wrapTight wrapText="bothSides">
              <wp:wrapPolygon edited="0">
                <wp:start x="0" y="0"/>
                <wp:lineTo x="0" y="21493"/>
                <wp:lineTo x="21535" y="21493"/>
                <wp:lineTo x="21535" y="0"/>
                <wp:lineTo x="0" y="0"/>
              </wp:wrapPolygon>
            </wp:wrapTight>
            <wp:docPr id="507082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82273" name="Picture 507082273"/>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1800" cy="2048510"/>
                    </a:xfrm>
                    <a:prstGeom prst="rect">
                      <a:avLst/>
                    </a:prstGeom>
                  </pic:spPr>
                </pic:pic>
              </a:graphicData>
            </a:graphic>
          </wp:anchor>
        </w:drawing>
      </w:r>
    </w:p>
    <w:p w14:paraId="148DE2A6" w14:textId="77777777" w:rsidR="00BC2ED7" w:rsidRPr="004E6958" w:rsidRDefault="00BC2ED7" w:rsidP="00BC2ED7">
      <w:pPr>
        <w:spacing w:line="360" w:lineRule="auto"/>
        <w:jc w:val="both"/>
        <w:rPr>
          <w:rFonts w:ascii="Arial" w:hAnsi="Arial" w:cs="Arial"/>
        </w:rPr>
      </w:pPr>
      <w:r>
        <w:rPr>
          <w:rFonts w:ascii="Arial" w:hAnsi="Arial" w:cs="Arial"/>
        </w:rPr>
        <w:t xml:space="preserve">B </w:t>
      </w:r>
    </w:p>
    <w:p w14:paraId="223CA910" w14:textId="77777777" w:rsidR="00BC2ED7" w:rsidRDefault="00BC2ED7" w:rsidP="00BC2ED7">
      <w:pPr>
        <w:spacing w:line="360" w:lineRule="auto"/>
        <w:jc w:val="both"/>
        <w:rPr>
          <w:rFonts w:ascii="Arial" w:hAnsi="Arial" w:cs="Arial"/>
        </w:rPr>
      </w:pPr>
    </w:p>
    <w:p w14:paraId="0C2E8B7B" w14:textId="77777777" w:rsidR="00BC2ED7" w:rsidRDefault="00BC2ED7" w:rsidP="00BC2ED7">
      <w:pPr>
        <w:spacing w:line="360" w:lineRule="auto"/>
        <w:jc w:val="both"/>
        <w:rPr>
          <w:rFonts w:ascii="Arial" w:hAnsi="Arial" w:cs="Arial"/>
        </w:rPr>
      </w:pPr>
    </w:p>
    <w:p w14:paraId="70A997CA" w14:textId="77777777" w:rsidR="00BC2ED7" w:rsidRDefault="00BC2ED7" w:rsidP="00BC2ED7">
      <w:pPr>
        <w:spacing w:line="360" w:lineRule="auto"/>
        <w:jc w:val="both"/>
        <w:rPr>
          <w:rFonts w:ascii="Arial" w:hAnsi="Arial" w:cs="Arial"/>
        </w:rPr>
      </w:pPr>
    </w:p>
    <w:p w14:paraId="353123BC" w14:textId="77777777" w:rsidR="00BC2ED7" w:rsidRDefault="00BC2ED7" w:rsidP="00BC2ED7">
      <w:pPr>
        <w:spacing w:line="360" w:lineRule="auto"/>
        <w:jc w:val="both"/>
        <w:rPr>
          <w:rFonts w:ascii="Arial" w:hAnsi="Arial" w:cs="Arial"/>
        </w:rPr>
      </w:pPr>
    </w:p>
    <w:p w14:paraId="3934A6CF" w14:textId="77777777" w:rsidR="00BC2ED7" w:rsidRDefault="00BC2ED7" w:rsidP="00BC2ED7">
      <w:pPr>
        <w:spacing w:line="360" w:lineRule="auto"/>
        <w:jc w:val="both"/>
        <w:rPr>
          <w:rFonts w:ascii="Arial" w:hAnsi="Arial" w:cs="Arial"/>
        </w:rPr>
      </w:pPr>
    </w:p>
    <w:p w14:paraId="7EF8F6AB" w14:textId="77777777" w:rsidR="00BC2ED7" w:rsidRDefault="00BC2ED7" w:rsidP="00BC2ED7">
      <w:pPr>
        <w:spacing w:line="360" w:lineRule="auto"/>
        <w:jc w:val="both"/>
        <w:rPr>
          <w:rFonts w:ascii="Arial" w:hAnsi="Arial" w:cs="Arial"/>
        </w:rPr>
      </w:pPr>
    </w:p>
    <w:p w14:paraId="5182CB42" w14:textId="77777777" w:rsidR="00BC2ED7" w:rsidRDefault="00BC2ED7" w:rsidP="00BC2ED7">
      <w:pPr>
        <w:spacing w:line="360" w:lineRule="auto"/>
        <w:jc w:val="both"/>
        <w:rPr>
          <w:rFonts w:ascii="Arial" w:hAnsi="Arial" w:cs="Arial"/>
        </w:rPr>
      </w:pPr>
    </w:p>
    <w:p w14:paraId="5B010213" w14:textId="77777777" w:rsidR="00BC2ED7" w:rsidRDefault="00BC2ED7" w:rsidP="00BC2ED7">
      <w:pPr>
        <w:spacing w:line="360" w:lineRule="auto"/>
        <w:jc w:val="both"/>
        <w:rPr>
          <w:rFonts w:ascii="Arial" w:hAnsi="Arial" w:cs="Arial"/>
        </w:rPr>
      </w:pPr>
    </w:p>
    <w:p w14:paraId="75903B0E" w14:textId="77777777" w:rsidR="00BC2ED7" w:rsidRDefault="00BC2ED7" w:rsidP="00BC2ED7">
      <w:pPr>
        <w:spacing w:line="360" w:lineRule="auto"/>
        <w:jc w:val="both"/>
        <w:rPr>
          <w:rFonts w:ascii="Arial" w:hAnsi="Arial" w:cs="Arial"/>
        </w:rPr>
      </w:pPr>
    </w:p>
    <w:p w14:paraId="782EFDA2" w14:textId="77777777" w:rsidR="00BC2ED7" w:rsidRDefault="00BC2ED7" w:rsidP="00BC2ED7">
      <w:pPr>
        <w:spacing w:line="360" w:lineRule="auto"/>
        <w:jc w:val="both"/>
        <w:rPr>
          <w:rFonts w:ascii="Arial" w:hAnsi="Arial" w:cs="Arial"/>
        </w:rPr>
      </w:pPr>
    </w:p>
    <w:p w14:paraId="4E3F1886" w14:textId="77777777" w:rsidR="00BC2ED7" w:rsidRDefault="00BC2ED7" w:rsidP="00BC2ED7">
      <w:pPr>
        <w:spacing w:line="360" w:lineRule="auto"/>
        <w:jc w:val="both"/>
        <w:rPr>
          <w:rFonts w:ascii="Arial" w:hAnsi="Arial" w:cs="Arial"/>
        </w:rPr>
      </w:pPr>
    </w:p>
    <w:p w14:paraId="45653139" w14:textId="77777777" w:rsidR="00BC2ED7" w:rsidRDefault="00BC2ED7" w:rsidP="00BC2ED7">
      <w:pPr>
        <w:spacing w:line="360" w:lineRule="auto"/>
        <w:jc w:val="both"/>
        <w:rPr>
          <w:rFonts w:ascii="Arial" w:hAnsi="Arial" w:cs="Arial"/>
        </w:rPr>
      </w:pPr>
    </w:p>
    <w:p w14:paraId="5D7F8F21" w14:textId="77777777" w:rsidR="00BC2ED7" w:rsidRDefault="00BC2ED7" w:rsidP="00BC2ED7">
      <w:pPr>
        <w:spacing w:line="360" w:lineRule="auto"/>
        <w:jc w:val="both"/>
        <w:rPr>
          <w:rFonts w:ascii="Arial" w:hAnsi="Arial" w:cs="Arial"/>
        </w:rPr>
      </w:pPr>
    </w:p>
    <w:p w14:paraId="5B154179" w14:textId="77777777" w:rsidR="00BC2ED7" w:rsidRDefault="00BC2ED7" w:rsidP="00BC2ED7">
      <w:pPr>
        <w:spacing w:line="360" w:lineRule="auto"/>
        <w:jc w:val="both"/>
        <w:rPr>
          <w:rFonts w:ascii="Arial" w:hAnsi="Arial" w:cs="Arial"/>
        </w:rPr>
      </w:pPr>
    </w:p>
    <w:p w14:paraId="33F01FED" w14:textId="77777777" w:rsidR="00BC2ED7" w:rsidRPr="004E6958" w:rsidRDefault="00BC2ED7" w:rsidP="00BC2ED7">
      <w:pPr>
        <w:spacing w:line="360" w:lineRule="auto"/>
        <w:jc w:val="both"/>
        <w:rPr>
          <w:rFonts w:ascii="Arial" w:hAnsi="Arial" w:cs="Arial"/>
        </w:rPr>
      </w:pPr>
    </w:p>
    <w:p w14:paraId="1E05A0F0" w14:textId="77777777" w:rsidR="00BC2ED7" w:rsidRPr="0060048B" w:rsidRDefault="00BC2ED7" w:rsidP="00BC2ED7">
      <w:pPr>
        <w:spacing w:line="240" w:lineRule="auto"/>
        <w:rPr>
          <w:rFonts w:ascii="Arial" w:hAnsi="Arial" w:cs="Arial"/>
        </w:rPr>
      </w:pPr>
      <w:r>
        <w:rPr>
          <w:rFonts w:ascii="Arial" w:hAnsi="Arial" w:cs="Arial"/>
        </w:rPr>
        <w:t>C</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2"/>
        <w:gridCol w:w="3963"/>
        <w:gridCol w:w="3581"/>
      </w:tblGrid>
      <w:tr w:rsidR="00BC2ED7" w:rsidRPr="0060048B" w14:paraId="7CAD42A2" w14:textId="77777777" w:rsidTr="00F53829">
        <w:trPr>
          <w:tblHeader/>
          <w:tblCellSpacing w:w="15" w:type="dxa"/>
        </w:trPr>
        <w:tc>
          <w:tcPr>
            <w:tcW w:w="0" w:type="auto"/>
            <w:vAlign w:val="center"/>
            <w:hideMark/>
          </w:tcPr>
          <w:p w14:paraId="58FBE8DC"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SWOT</w:t>
            </w:r>
          </w:p>
        </w:tc>
        <w:tc>
          <w:tcPr>
            <w:tcW w:w="0" w:type="auto"/>
            <w:vAlign w:val="center"/>
            <w:hideMark/>
          </w:tcPr>
          <w:p w14:paraId="5321194F"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Analysis</w:t>
            </w:r>
          </w:p>
        </w:tc>
        <w:tc>
          <w:tcPr>
            <w:tcW w:w="0" w:type="auto"/>
            <w:vAlign w:val="center"/>
            <w:hideMark/>
          </w:tcPr>
          <w:p w14:paraId="37D4E04A"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Implications</w:t>
            </w:r>
          </w:p>
        </w:tc>
      </w:tr>
      <w:tr w:rsidR="00BC2ED7" w:rsidRPr="0060048B" w14:paraId="6F5C4F24" w14:textId="77777777" w:rsidTr="00F53829">
        <w:trPr>
          <w:tblCellSpacing w:w="15" w:type="dxa"/>
        </w:trPr>
        <w:tc>
          <w:tcPr>
            <w:tcW w:w="0" w:type="auto"/>
            <w:vAlign w:val="center"/>
            <w:hideMark/>
          </w:tcPr>
          <w:p w14:paraId="1DE23332"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Strengths</w:t>
            </w:r>
          </w:p>
        </w:tc>
        <w:tc>
          <w:tcPr>
            <w:tcW w:w="0" w:type="auto"/>
            <w:vAlign w:val="center"/>
            <w:hideMark/>
          </w:tcPr>
          <w:p w14:paraId="09D2BFD6"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 xml:space="preserve">The creator economy enables influencers to build authentic relationships with </w:t>
            </w:r>
            <w:r w:rsidRPr="0060048B">
              <w:rPr>
                <w:rFonts w:ascii="Arial" w:hAnsi="Arial" w:cs="Arial"/>
                <w:sz w:val="21"/>
                <w:szCs w:val="21"/>
              </w:rPr>
              <w:lastRenderedPageBreak/>
              <w:t>audiences, generating higher engagement and trust than traditional advertising (Abidin, 2018). Influencers such as Molly-Mae Hague and KSI have leveraged their personal brands to create successful businesses, demonstrating how digital influence can be converted into long-term commercial value through sponsorships, entrepreneurship and diversified income streams.</w:t>
            </w:r>
          </w:p>
        </w:tc>
        <w:tc>
          <w:tcPr>
            <w:tcW w:w="0" w:type="auto"/>
            <w:vAlign w:val="center"/>
            <w:hideMark/>
          </w:tcPr>
          <w:p w14:paraId="751630D5"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lastRenderedPageBreak/>
              <w:t xml:space="preserve">These strengths are closely linked to social and technological factors </w:t>
            </w:r>
            <w:r w:rsidRPr="0060048B">
              <w:rPr>
                <w:rFonts w:ascii="Arial" w:hAnsi="Arial" w:cs="Arial"/>
                <w:sz w:val="21"/>
                <w:szCs w:val="21"/>
              </w:rPr>
              <w:lastRenderedPageBreak/>
              <w:t>identified in the STEEPLE analysis. However, maintaining audience trust requires creators to remain authentic and adapt to changing consumer expectations. Diversification beyond social media platforms also improves long-term business sustainability.</w:t>
            </w:r>
          </w:p>
        </w:tc>
      </w:tr>
      <w:tr w:rsidR="00BC2ED7" w:rsidRPr="0060048B" w14:paraId="0DFB1930" w14:textId="77777777" w:rsidTr="00F53829">
        <w:trPr>
          <w:tblCellSpacing w:w="15" w:type="dxa"/>
        </w:trPr>
        <w:tc>
          <w:tcPr>
            <w:tcW w:w="0" w:type="auto"/>
            <w:vAlign w:val="center"/>
            <w:hideMark/>
          </w:tcPr>
          <w:p w14:paraId="43550A58"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lastRenderedPageBreak/>
              <w:t>Weaknesses</w:t>
            </w:r>
          </w:p>
        </w:tc>
        <w:tc>
          <w:tcPr>
            <w:tcW w:w="0" w:type="auto"/>
            <w:vAlign w:val="center"/>
            <w:hideMark/>
          </w:tcPr>
          <w:p w14:paraId="307AABF5"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The creator economy is heavily dependent on platform algorithms, advertising revenue and audience engagement. Changes to algorithms can significantly reduce visibility and income, while constant content creation contributes to burnout and mental health challenges. Market saturation also makes it increasingly difficult for smaller creators to achieve financial stability.</w:t>
            </w:r>
          </w:p>
        </w:tc>
        <w:tc>
          <w:tcPr>
            <w:tcW w:w="0" w:type="auto"/>
            <w:vAlign w:val="center"/>
            <w:hideMark/>
          </w:tcPr>
          <w:p w14:paraId="6D23B59C"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These weaknesses reflect the technological, economic and social pressures identified in the STEEPLE analysis. High dependence on external platforms limits creators' strategic control, making diversification essential for long-term resilience.</w:t>
            </w:r>
          </w:p>
        </w:tc>
      </w:tr>
      <w:tr w:rsidR="00BC2ED7" w:rsidRPr="0060048B" w14:paraId="436C8FB7" w14:textId="77777777" w:rsidTr="00F53829">
        <w:trPr>
          <w:tblCellSpacing w:w="15" w:type="dxa"/>
        </w:trPr>
        <w:tc>
          <w:tcPr>
            <w:tcW w:w="0" w:type="auto"/>
            <w:vAlign w:val="center"/>
            <w:hideMark/>
          </w:tcPr>
          <w:p w14:paraId="7501EF1F"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Opportunities</w:t>
            </w:r>
          </w:p>
        </w:tc>
        <w:tc>
          <w:tcPr>
            <w:tcW w:w="0" w:type="auto"/>
            <w:vAlign w:val="center"/>
            <w:hideMark/>
          </w:tcPr>
          <w:p w14:paraId="663F6A4D"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Emerging technologies, including AI-powered content creation, subscription models and creator-owned brands, provide opportunities to improve productivity and diversify revenue streams. KSI's expansion into businesses such as Prime Hydration demonstrates how creators can reduce reliance on platform-generated income. Growing demand for niche communities also offers new opportunities for targeted influencer marketing.</w:t>
            </w:r>
          </w:p>
        </w:tc>
        <w:tc>
          <w:tcPr>
            <w:tcW w:w="0" w:type="auto"/>
            <w:vAlign w:val="center"/>
            <w:hideMark/>
          </w:tcPr>
          <w:p w14:paraId="29DDF77F"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These opportunities arise from technological innovation and changing consumer behaviour. Creators who invest in new technologies while maintaining authentic audience relationships are more likely to achieve sustainable competitive advantage.</w:t>
            </w:r>
          </w:p>
        </w:tc>
      </w:tr>
      <w:tr w:rsidR="00BC2ED7" w:rsidRPr="0060048B" w14:paraId="5634247C" w14:textId="77777777" w:rsidTr="00F53829">
        <w:trPr>
          <w:tblCellSpacing w:w="15" w:type="dxa"/>
        </w:trPr>
        <w:tc>
          <w:tcPr>
            <w:tcW w:w="0" w:type="auto"/>
            <w:vAlign w:val="center"/>
            <w:hideMark/>
          </w:tcPr>
          <w:p w14:paraId="36D22B62" w14:textId="77777777" w:rsidR="00BC2ED7" w:rsidRPr="0060048B" w:rsidRDefault="00BC2ED7" w:rsidP="00F53829">
            <w:pPr>
              <w:spacing w:line="240" w:lineRule="auto"/>
              <w:jc w:val="center"/>
              <w:rPr>
                <w:rFonts w:ascii="Arial" w:hAnsi="Arial" w:cs="Arial"/>
                <w:b/>
                <w:bCs/>
                <w:sz w:val="21"/>
                <w:szCs w:val="21"/>
              </w:rPr>
            </w:pPr>
            <w:r w:rsidRPr="0060048B">
              <w:rPr>
                <w:rFonts w:ascii="Arial" w:hAnsi="Arial" w:cs="Arial"/>
                <w:b/>
                <w:bCs/>
                <w:sz w:val="21"/>
                <w:szCs w:val="21"/>
              </w:rPr>
              <w:t>Threats</w:t>
            </w:r>
          </w:p>
        </w:tc>
        <w:tc>
          <w:tcPr>
            <w:tcW w:w="0" w:type="auto"/>
            <w:vAlign w:val="center"/>
            <w:hideMark/>
          </w:tcPr>
          <w:p w14:paraId="37D72884"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Increasing government regulation, including the Online Safety Act 2023, stricter advertising disclosure requirements and evolving data protection legislation, may increase compliance costs. AI-generated influencers, deepfake technology and continued market saturation also intensify competition while reducing consumer trust in online content.</w:t>
            </w:r>
          </w:p>
        </w:tc>
        <w:tc>
          <w:tcPr>
            <w:tcW w:w="0" w:type="auto"/>
            <w:vAlign w:val="center"/>
            <w:hideMark/>
          </w:tcPr>
          <w:p w14:paraId="543A2898" w14:textId="77777777" w:rsidR="00BC2ED7" w:rsidRPr="0060048B" w:rsidRDefault="00BC2ED7" w:rsidP="00F53829">
            <w:pPr>
              <w:spacing w:line="240" w:lineRule="auto"/>
              <w:jc w:val="center"/>
              <w:rPr>
                <w:rFonts w:ascii="Arial" w:hAnsi="Arial" w:cs="Arial"/>
                <w:sz w:val="21"/>
                <w:szCs w:val="21"/>
              </w:rPr>
            </w:pPr>
            <w:r w:rsidRPr="0060048B">
              <w:rPr>
                <w:rFonts w:ascii="Arial" w:hAnsi="Arial" w:cs="Arial"/>
                <w:sz w:val="21"/>
                <w:szCs w:val="21"/>
              </w:rPr>
              <w:t>These threats are linked to legal, political, ethical and technological factors. Long-term success will depend on creators adapting to regulation, embracing ethical practices and differentiating themselves through authenticity, innovation and diversified business models.</w:t>
            </w:r>
          </w:p>
        </w:tc>
      </w:tr>
    </w:tbl>
    <w:p w14:paraId="29689E03" w14:textId="77777777" w:rsidR="00BC2ED7" w:rsidRPr="0060048B" w:rsidRDefault="00BC2ED7" w:rsidP="00BC2ED7">
      <w:pPr>
        <w:spacing w:line="240" w:lineRule="auto"/>
        <w:rPr>
          <w:rFonts w:ascii="Arial" w:hAnsi="Arial" w:cs="Arial"/>
        </w:rPr>
      </w:pPr>
    </w:p>
    <w:p w14:paraId="0342FCEE" w14:textId="438F3CA9" w:rsidR="00533686" w:rsidRDefault="00533686" w:rsidP="008A6471"/>
    <w:sectPr w:rsidR="00533686" w:rsidSect="00BC2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43535"/>
    <w:multiLevelType w:val="hybridMultilevel"/>
    <w:tmpl w:val="7E2CFE0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84B411F"/>
    <w:multiLevelType w:val="hybridMultilevel"/>
    <w:tmpl w:val="2CA88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9C0F1A"/>
    <w:multiLevelType w:val="hybridMultilevel"/>
    <w:tmpl w:val="7E2CFE0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0786201">
    <w:abstractNumId w:val="1"/>
  </w:num>
  <w:num w:numId="2" w16cid:durableId="150800997">
    <w:abstractNumId w:val="2"/>
  </w:num>
  <w:num w:numId="3" w16cid:durableId="212461232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771"/>
    <w:rsid w:val="00076DAE"/>
    <w:rsid w:val="00167AAC"/>
    <w:rsid w:val="004828B3"/>
    <w:rsid w:val="004E79E1"/>
    <w:rsid w:val="004F15ED"/>
    <w:rsid w:val="00533686"/>
    <w:rsid w:val="006B7145"/>
    <w:rsid w:val="007565F2"/>
    <w:rsid w:val="008A6471"/>
    <w:rsid w:val="009C264D"/>
    <w:rsid w:val="00B575F3"/>
    <w:rsid w:val="00BB1771"/>
    <w:rsid w:val="00BC2ED7"/>
    <w:rsid w:val="00C35D74"/>
    <w:rsid w:val="00CC2665"/>
    <w:rsid w:val="00D70159"/>
    <w:rsid w:val="00F274CE"/>
    <w:rsid w:val="00F61C9D"/>
    <w:rsid w:val="00FC5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1A1E6"/>
  <w15:chartTrackingRefBased/>
  <w15:docId w15:val="{5E937CCE-E6A7-4659-964C-A893B35B8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1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1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771"/>
    <w:rPr>
      <w:rFonts w:eastAsiaTheme="majorEastAsia" w:cstheme="majorBidi"/>
      <w:color w:val="272727" w:themeColor="text1" w:themeTint="D8"/>
    </w:rPr>
  </w:style>
  <w:style w:type="paragraph" w:styleId="Title">
    <w:name w:val="Title"/>
    <w:basedOn w:val="Normal"/>
    <w:next w:val="Normal"/>
    <w:link w:val="TitleChar"/>
    <w:uiPriority w:val="10"/>
    <w:qFormat/>
    <w:rsid w:val="00BB1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771"/>
    <w:pPr>
      <w:spacing w:before="160"/>
      <w:jc w:val="center"/>
    </w:pPr>
    <w:rPr>
      <w:i/>
      <w:iCs/>
      <w:color w:val="404040" w:themeColor="text1" w:themeTint="BF"/>
    </w:rPr>
  </w:style>
  <w:style w:type="character" w:customStyle="1" w:styleId="QuoteChar">
    <w:name w:val="Quote Char"/>
    <w:basedOn w:val="DefaultParagraphFont"/>
    <w:link w:val="Quote"/>
    <w:uiPriority w:val="29"/>
    <w:rsid w:val="00BB1771"/>
    <w:rPr>
      <w:i/>
      <w:iCs/>
      <w:color w:val="404040" w:themeColor="text1" w:themeTint="BF"/>
    </w:rPr>
  </w:style>
  <w:style w:type="paragraph" w:styleId="ListParagraph">
    <w:name w:val="List Paragraph"/>
    <w:basedOn w:val="Normal"/>
    <w:uiPriority w:val="34"/>
    <w:qFormat/>
    <w:rsid w:val="00BB1771"/>
    <w:pPr>
      <w:ind w:left="720"/>
      <w:contextualSpacing/>
    </w:pPr>
  </w:style>
  <w:style w:type="character" w:styleId="IntenseEmphasis">
    <w:name w:val="Intense Emphasis"/>
    <w:basedOn w:val="DefaultParagraphFont"/>
    <w:uiPriority w:val="21"/>
    <w:qFormat/>
    <w:rsid w:val="00BB1771"/>
    <w:rPr>
      <w:i/>
      <w:iCs/>
      <w:color w:val="0F4761" w:themeColor="accent1" w:themeShade="BF"/>
    </w:rPr>
  </w:style>
  <w:style w:type="paragraph" w:styleId="IntenseQuote">
    <w:name w:val="Intense Quote"/>
    <w:basedOn w:val="Normal"/>
    <w:next w:val="Normal"/>
    <w:link w:val="IntenseQuoteChar"/>
    <w:uiPriority w:val="30"/>
    <w:qFormat/>
    <w:rsid w:val="00BB1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771"/>
    <w:rPr>
      <w:i/>
      <w:iCs/>
      <w:color w:val="0F4761" w:themeColor="accent1" w:themeShade="BF"/>
    </w:rPr>
  </w:style>
  <w:style w:type="character" w:styleId="IntenseReference">
    <w:name w:val="Intense Reference"/>
    <w:basedOn w:val="DefaultParagraphFont"/>
    <w:uiPriority w:val="32"/>
    <w:qFormat/>
    <w:rsid w:val="00BB1771"/>
    <w:rPr>
      <w:b/>
      <w:bCs/>
      <w:smallCaps/>
      <w:color w:val="0F4761" w:themeColor="accent1" w:themeShade="BF"/>
      <w:spacing w:val="5"/>
    </w:rPr>
  </w:style>
  <w:style w:type="character" w:styleId="Hyperlink">
    <w:name w:val="Hyperlink"/>
    <w:basedOn w:val="DefaultParagraphFont"/>
    <w:uiPriority w:val="99"/>
    <w:unhideWhenUsed/>
    <w:rsid w:val="00076DAE"/>
    <w:rPr>
      <w:color w:val="467886" w:themeColor="hyperlink"/>
      <w:u w:val="single"/>
    </w:rPr>
  </w:style>
  <w:style w:type="character" w:styleId="UnresolvedMention">
    <w:name w:val="Unresolved Mention"/>
    <w:basedOn w:val="DefaultParagraphFont"/>
    <w:uiPriority w:val="99"/>
    <w:semiHidden/>
    <w:unhideWhenUsed/>
    <w:rsid w:val="00076DAE"/>
    <w:rPr>
      <w:color w:val="605E5C"/>
      <w:shd w:val="clear" w:color="auto" w:fill="E1DFDD"/>
    </w:rPr>
  </w:style>
  <w:style w:type="paragraph" w:styleId="TOCHeading">
    <w:name w:val="TOC Heading"/>
    <w:basedOn w:val="Heading1"/>
    <w:next w:val="Normal"/>
    <w:uiPriority w:val="39"/>
    <w:unhideWhenUsed/>
    <w:qFormat/>
    <w:rsid w:val="00BC2ED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C2ED7"/>
    <w:pPr>
      <w:spacing w:after="100"/>
    </w:pPr>
  </w:style>
  <w:style w:type="paragraph" w:styleId="TOC3">
    <w:name w:val="toc 3"/>
    <w:basedOn w:val="Normal"/>
    <w:next w:val="Normal"/>
    <w:autoRedefine/>
    <w:uiPriority w:val="39"/>
    <w:unhideWhenUsed/>
    <w:rsid w:val="00BC2ED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1512</TotalTime>
  <Pages>12</Pages>
  <Words>3049</Words>
  <Characters>17380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Surman</dc:creator>
  <cp:keywords/>
  <dc:description/>
  <cp:lastModifiedBy>Keiran</cp:lastModifiedBy>
  <cp:revision>7</cp:revision>
  <dcterms:created xsi:type="dcterms:W3CDTF">2026-05-12T12:43:00Z</dcterms:created>
  <dcterms:modified xsi:type="dcterms:W3CDTF">2026-07-07T18:51:00Z</dcterms:modified>
</cp:coreProperties>
</file>