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70FEB" w14:textId="77777777" w:rsidR="003E1C98" w:rsidRDefault="003E1C98" w:rsidP="003E1C98">
      <w:r>
        <w:t xml:space="preserve">Currently, more people are above 65 years in the UK, and this trend is reflected all over the globe. While this is good, it also raises new concerns and compounds existing issues that the elderly experience (Ritchie and </w:t>
      </w:r>
      <w:proofErr w:type="spellStart"/>
      <w:r>
        <w:t>Roser</w:t>
      </w:r>
      <w:proofErr w:type="spellEnd"/>
      <w:r>
        <w:t xml:space="preserve">, 2019). The ageing population data in the UK shows many regional differences. Our major cities, notably London, have younger populations than the rest of the country, although the south and east of England are home to many retirees (Davenport et al., 2020, p6). As the population ages, it is natural that more people will need medical care, particularly in areas dedicated to the elderly and for expensive specialist healthcare services like hip replacements. The UK might anticipate higher pricing and maybe even a </w:t>
      </w:r>
      <w:proofErr w:type="spellStart"/>
      <w:r>
        <w:t>labor</w:t>
      </w:r>
      <w:proofErr w:type="spellEnd"/>
      <w:r>
        <w:t xml:space="preserve"> shortage. As the population ages, there will be greater demand for services like meal delivery and senior care in the comfort of their own homes. The growing need for retirement communities will produce housing shortages (Ritchie and </w:t>
      </w:r>
      <w:proofErr w:type="spellStart"/>
      <w:r>
        <w:t>Roser</w:t>
      </w:r>
      <w:proofErr w:type="spellEnd"/>
      <w:r>
        <w:t>, 2019). These are pricey and may result in a more significant tax burden for the middle and lower classes. Higher healthcare and social service costs aren't the only things that might hurt the economy; pension costs can also go up. To balance the costs of caring for an aging population, an increase in taxes or a drop in the value of pensions may be necessary, aggravating the poverty of retirees. (Eccles, 2021, p1733). The ageing population needs government attention to formulate health and social care policies.</w:t>
      </w:r>
    </w:p>
    <w:p w14:paraId="70AA729A" w14:textId="77777777" w:rsidR="003E1C98" w:rsidRDefault="003E1C98" w:rsidP="003E1C98">
      <w:r>
        <w:t>Definition of "Old Age"</w:t>
      </w:r>
    </w:p>
    <w:p w14:paraId="55FB72AF" w14:textId="77777777" w:rsidR="003E1C98" w:rsidRDefault="003E1C98" w:rsidP="003E1C98">
      <w:r>
        <w:t xml:space="preserve">Old age is the last phase of a human's typical lifespan. There are inconsistencies between biological, demographic (conditions of mortality and illness), economic (employment and retirement), and social (ageing and ageing-related) definitions of old age (Clough, 2021, p8). However, 60 or 65 years of age is often used as the </w:t>
      </w:r>
      <w:proofErr w:type="spellStart"/>
      <w:r>
        <w:t>cutoff</w:t>
      </w:r>
      <w:proofErr w:type="spellEnd"/>
      <w:r>
        <w:t xml:space="preserve"> for defining old age for statistical and public administrative reasons (Clough, 2021, p12). There are two ways to define old age. They are the most senior members of society and represent the last phase of human development. Ageing's physiological impacts and the generation's shared experiences and values are shaped by the social structure of the society in which they live (Wenger, 2018, p7). The ages at which people are regarded to be elderly vary considerably across cultures. What a culture considers old age may be different from what those of that society who are of that age and older believe to be old.</w:t>
      </w:r>
    </w:p>
    <w:p w14:paraId="2A6B7D6A" w14:textId="77777777" w:rsidR="003E1C98" w:rsidRDefault="003E1C98" w:rsidP="003E1C98">
      <w:r>
        <w:t xml:space="preserve">Furthermore, scientists are divided on </w:t>
      </w:r>
      <w:proofErr w:type="gramStart"/>
      <w:r>
        <w:t>whether or not</w:t>
      </w:r>
      <w:proofErr w:type="gramEnd"/>
      <w:r>
        <w:t xml:space="preserve"> ageing has a fundamental biological cause. On the other hand, in </w:t>
      </w:r>
      <w:proofErr w:type="gramStart"/>
      <w:r>
        <w:t>the majority of</w:t>
      </w:r>
      <w:proofErr w:type="gramEnd"/>
      <w:r>
        <w:t xml:space="preserve"> modern Western nations, retirement and old age social programs are not accessible until age 60 or 65. However, old age is often defined as the years 40–70 (Clough, 2021, p17).</w:t>
      </w:r>
    </w:p>
    <w:p w14:paraId="78B71D2D" w14:textId="77777777" w:rsidR="003E1C98" w:rsidRDefault="003E1C98" w:rsidP="003E1C98">
      <w:r>
        <w:t xml:space="preserve">Ageing Population and Changes in Number of Older People </w:t>
      </w:r>
    </w:p>
    <w:p w14:paraId="23E7471A" w14:textId="77777777" w:rsidR="003E1C98" w:rsidRDefault="003E1C98" w:rsidP="003E1C98">
      <w:r>
        <w:t xml:space="preserve">Most of the UK's population is ageing. The main factors are the rising median age at death and the falling </w:t>
      </w:r>
      <w:proofErr w:type="spellStart"/>
      <w:r>
        <w:t>birthrate</w:t>
      </w:r>
      <w:proofErr w:type="spellEnd"/>
      <w:r>
        <w:t xml:space="preserve">. Populations everywhere are becoming older as a direct consequence of falling birth rates and rising life expectancies (Ritchie and </w:t>
      </w:r>
      <w:proofErr w:type="spellStart"/>
      <w:r>
        <w:t>Roser</w:t>
      </w:r>
      <w:proofErr w:type="spellEnd"/>
      <w:r>
        <w:t xml:space="preserve">, 2019). The share of the population over 60 years old has grown due to this shift in the population's age structure. Besides, more individuals 65 and above than children under the age of 15. With 681,560 births and 689,629 deaths in 2020, the natural change in the UK was -8,069. (Sophie, 2022). That the population has declined due to natural causes is just the second time since records began being kept in 1976. With 31,120 fewer babies born in 2020 compared to 2019, this year will have the lowest birth rate since 2002. In 2020, women generally had 1.56 children, the lowest total fertility rate (TFR) since records started in 1938. (Ritchie and </w:t>
      </w:r>
      <w:proofErr w:type="spellStart"/>
      <w:r>
        <w:t>Roser</w:t>
      </w:r>
      <w:proofErr w:type="spellEnd"/>
      <w:r>
        <w:t>, 2019).</w:t>
      </w:r>
    </w:p>
    <w:p w14:paraId="7A9F7EBE" w14:textId="77777777" w:rsidR="003E1C98" w:rsidRDefault="003E1C98" w:rsidP="003E1C98">
      <w:r>
        <w:t>In 2019, around 12.3M of the UK's population was 65 or older. From 2009 to 2019, older people increased by 23%, much more than the 7% growth seen in the UK over the same period (Sophie, 2022). By 2043, the elderly will make up 24% of the UK's total population (17.4 million people), and the proportion will continue to rise (</w:t>
      </w:r>
      <w:proofErr w:type="spellStart"/>
      <w:r>
        <w:t>Harjono</w:t>
      </w:r>
      <w:proofErr w:type="spellEnd"/>
      <w:r>
        <w:t xml:space="preserve"> </w:t>
      </w:r>
      <w:proofErr w:type="spellStart"/>
      <w:r>
        <w:t>Hadiwiardjo</w:t>
      </w:r>
      <w:proofErr w:type="spellEnd"/>
      <w:r>
        <w:t xml:space="preserve"> and Damayanti, 2022, p3). The percentage of people aged 75 and older is expected to increase from 8% in 2018 to 13% in 2043 Ritchie and </w:t>
      </w:r>
      <w:proofErr w:type="spellStart"/>
      <w:r>
        <w:t>Roser</w:t>
      </w:r>
      <w:proofErr w:type="spellEnd"/>
      <w:r>
        <w:t>, 2019). The rate of people aged 85 and older is expected to grow from 2% to 4%.</w:t>
      </w:r>
    </w:p>
    <w:p w14:paraId="53CE381B" w14:textId="77777777" w:rsidR="003E1C98" w:rsidRDefault="003E1C98" w:rsidP="003E1C98">
      <w:r>
        <w:t>Issues Experienced by Older People in the UK (the pandemic, medical, emotional, social, etc.)</w:t>
      </w:r>
    </w:p>
    <w:p w14:paraId="294B5208" w14:textId="77777777" w:rsidR="003E1C98" w:rsidRDefault="003E1C98" w:rsidP="003E1C98">
      <w:r>
        <w:t>Many persons who have reached the traditional retirement age are still physically and mentally capable of working and would relish the chance to do so if only they could find suitable employment. Also, since so much may now be done online or remotely, it might be difficult for the elderly to manage day-to-day money and retirement planning. As a result, they may be more susceptible to various forms of deception (</w:t>
      </w:r>
      <w:proofErr w:type="spellStart"/>
      <w:r>
        <w:t>Everaars</w:t>
      </w:r>
      <w:proofErr w:type="spellEnd"/>
      <w:r>
        <w:t xml:space="preserve"> et al., 2021, p59). The loss of flexibility and agility that comes with becoming older may make even simple challenging chores. Over time, this might make individuals focus only on their needs, inhibiting their ability to maintain social relationships and pursue hobbies. Many older persons need extra care when they can no longer live alone. When family members step in to offer this kind of care, it may be challenging to juggle </w:t>
      </w:r>
      <w:proofErr w:type="gramStart"/>
      <w:r>
        <w:t>all of</w:t>
      </w:r>
      <w:proofErr w:type="gramEnd"/>
      <w:r>
        <w:t xml:space="preserve"> their other commitments without feeling overwhelmed. Complex and fragmented healthcare systems disproportionately affect the elderly, particularly those with many chronic diseases (</w:t>
      </w:r>
      <w:proofErr w:type="spellStart"/>
      <w:r>
        <w:t>Keyworth</w:t>
      </w:r>
      <w:proofErr w:type="spellEnd"/>
      <w:r>
        <w:t xml:space="preserve"> et al., 2021). Medication and other forms of treatment must be coordinated amongst several medical specialists and facilities.</w:t>
      </w:r>
    </w:p>
    <w:p w14:paraId="4996B7CD" w14:textId="77777777" w:rsidR="003E1C98" w:rsidRDefault="003E1C98" w:rsidP="003E1C98">
      <w:r>
        <w:t>Moreover, the COVID-19 pandemic has exacerbated pre-existing health inequalities. The emotional and physical toll has been worse for elderly persons from lower-income families (</w:t>
      </w:r>
      <w:proofErr w:type="spellStart"/>
      <w:r>
        <w:t>Harjono</w:t>
      </w:r>
      <w:proofErr w:type="spellEnd"/>
      <w:r>
        <w:t xml:space="preserve"> </w:t>
      </w:r>
      <w:proofErr w:type="spellStart"/>
      <w:r>
        <w:t>Hadiwiardjo</w:t>
      </w:r>
      <w:proofErr w:type="spellEnd"/>
      <w:r>
        <w:t xml:space="preserve"> and Damayanti, 2022, p5). A lack of mental stimulation and socializing during the epidemic has increased confusion, forgetfulness, and rehashing of previous talks among the elderly (Wenger, 2021, p18). There was a correlation between the decline in social life, the number of in-person social encounters recorded during the pandemic, and an increased risk of depression in some instances (</w:t>
      </w:r>
      <w:proofErr w:type="spellStart"/>
      <w:r>
        <w:t>Lebrasseur</w:t>
      </w:r>
      <w:proofErr w:type="spellEnd"/>
      <w:r>
        <w:t xml:space="preserve"> et al., 2021). Some older adults' anxiety has reached crippling levels, causing panic attacks and other physical symptoms that significantly impair their ability to go about their daily lives.</w:t>
      </w:r>
    </w:p>
    <w:p w14:paraId="36160479" w14:textId="77777777" w:rsidR="003E1C98" w:rsidRDefault="003E1C98" w:rsidP="003E1C98">
      <w:r>
        <w:t xml:space="preserve">Current Health and Social Care provision </w:t>
      </w:r>
    </w:p>
    <w:p w14:paraId="05B65700" w14:textId="77777777" w:rsidR="003E1C98" w:rsidRDefault="003E1C98" w:rsidP="003E1C98">
      <w:r>
        <w:t>Problems in the UK's official and informal care system have led to a dramatic rise in the number of elderly persons whose care and support requirements are being unfulfilled. One of the most pressing issues in public health today is meeting these unmet demands. It is crucial to comprehend the care and support requirements of the elderly before coming up with appropriate ways to meet some of these demands (Abdi et al., 2019). Even though the NHS has received more cash in recent years, this analysis shows that the service is still having trouble keeping up with the demands of the increasing number of individuals who have several chronic ailments and are elderly or otherwise fragile (</w:t>
      </w:r>
      <w:proofErr w:type="spellStart"/>
      <w:r>
        <w:t>Everaars</w:t>
      </w:r>
      <w:proofErr w:type="spellEnd"/>
      <w:r>
        <w:t xml:space="preserve"> et al., 2021, p62).</w:t>
      </w:r>
    </w:p>
    <w:p w14:paraId="3F344197" w14:textId="77777777" w:rsidR="003E1C98" w:rsidRDefault="003E1C98" w:rsidP="003E1C98">
      <w:r>
        <w:t>During the height of the epidemic in the UK, many regular NHS services were suspended or no longer provided in person. As of January 2022, over 6 million individuals in England remained on waiting lists for typical hospital treatment (</w:t>
      </w:r>
      <w:proofErr w:type="spellStart"/>
      <w:r>
        <w:t>Thorlby</w:t>
      </w:r>
      <w:proofErr w:type="spellEnd"/>
      <w:r>
        <w:t xml:space="preserve"> et al., 2022), despite services have resumed. This is because many have not yet been restored to total capacity due to the lingering effects of COVID-19. The International Health Policy Survey 2021 (IHP 2021) from the Commonwealth Fund analyses seniors' perspectives in 11 high-income nations, including the UK (Adhikari et al., 2021, p16). The UK demonstrates the NHS's continued success in shielding individuals from financial obstacles to getting health care. As time has progressed, more and more proof of the extensive and long-lasting nature of delays and disruptions to various NHS services in England has emerged. These services range from general practice to regular hospital treatment to social and health care in the community.  </w:t>
      </w:r>
    </w:p>
    <w:p w14:paraId="52C5063C" w14:textId="77777777" w:rsidR="003E1C98" w:rsidRDefault="003E1C98" w:rsidP="003E1C98">
      <w:r>
        <w:t>Social care is generally inaccessible to those with assets above £23,250 (for residential care, this sum includes the value of their home, if they have one) (</w:t>
      </w:r>
      <w:proofErr w:type="spellStart"/>
      <w:r>
        <w:t>Liley</w:t>
      </w:r>
      <w:proofErr w:type="spellEnd"/>
      <w:r>
        <w:t xml:space="preserve">, 2021). In many cases, the entire cost of publicly sponsored services cannot be covered without contributions from individuals' salaries. In contrast to many other nations, England does not have a "national" budget for social services; these costs are distributed among local governments. However, some of the amounts local authorities have available to spend comes from the central government's grant funding on social care (Ritchie and </w:t>
      </w:r>
      <w:proofErr w:type="spellStart"/>
      <w:r>
        <w:t>Roser</w:t>
      </w:r>
      <w:proofErr w:type="spellEnd"/>
      <w:r>
        <w:t>, 2019). Local governments' spending on adult social care was £23.3 billion in 2019/2020, up over £1 billion from the previous fiscal year (Lilley, 2021). Increased demand has resulted in just a £99 million increase in expenditure from 2010/11 (Lilley, 2021).</w:t>
      </w:r>
    </w:p>
    <w:p w14:paraId="6B8D1777" w14:textId="77777777" w:rsidR="003E1C98" w:rsidRDefault="003E1C98" w:rsidP="003E1C98">
      <w:r>
        <w:t xml:space="preserve">The growing social care cost in England is driven by two key factors: increased demand for services and rising supply prices. In recent years, there has been an increase in the population with a demonstrated need for social care, but this increase has not always been reflected in actual service use (CQC). More than 1.9 million individuals last year asked their municipality for help, an increase of almost 100,000 from 2015/16. (Rocks et al., 2021, p14). Population growth has accelerated due in part to changing demographics. As a result of living longer, people may need social care services for either the short or long term. The National Health Service (NHS) long-term plan in England is supported by a financial settlement that extends until 2023/24 and provides average annual increases of 3.3% each year, beginning with the current fiscal year (Rocks et al., 2021, p37). However, this occurs in the context of massive hospital deficits, a maintenance backlog, and severe </w:t>
      </w:r>
      <w:proofErr w:type="spellStart"/>
      <w:r>
        <w:t>labor</w:t>
      </w:r>
      <w:proofErr w:type="spellEnd"/>
      <w:r>
        <w:t xml:space="preserve"> shortages, all resulting from poor investment in the past.</w:t>
      </w:r>
    </w:p>
    <w:p w14:paraId="1ECA311C" w14:textId="77777777" w:rsidR="003E1C98" w:rsidRDefault="003E1C98" w:rsidP="003E1C98">
      <w:r>
        <w:t xml:space="preserve"> The Societal Effects of the Ageing Population (Financial, Social, Perceptions, etc.)</w:t>
      </w:r>
    </w:p>
    <w:p w14:paraId="4DCAC2D5" w14:textId="77777777" w:rsidR="003E1C98" w:rsidRDefault="003E1C98" w:rsidP="003E1C98">
      <w:r>
        <w:t xml:space="preserve">The ageing of a society has the potential to influence several different factors, including but not limited </w:t>
      </w:r>
      <w:proofErr w:type="gramStart"/>
      <w:r>
        <w:t>to:</w:t>
      </w:r>
      <w:proofErr w:type="gramEnd"/>
      <w:r>
        <w:t xml:space="preserve"> family dynamics, retirement and employment trends, economic development, the capacity of communities and governments to provide for the needs of the elderly, and the prevalence of disability and chronic illness (</w:t>
      </w:r>
      <w:proofErr w:type="spellStart"/>
      <w:r>
        <w:t>Cylus</w:t>
      </w:r>
      <w:proofErr w:type="spellEnd"/>
      <w:r>
        <w:t xml:space="preserve"> et al., 2020). Concerns have been raised about our society's ability to provide for the medical demands of an ageing population. There are also concerns about the impact on the economy and the budget due to the declining proportion of individuals in their prime working years (CQC). The inability of contemporary society's institutions to care for the physically and mentally deteriorating old has contributed to the phenomenon of ageing as a societal concern. </w:t>
      </w:r>
    </w:p>
    <w:p w14:paraId="684E8290" w14:textId="730DFD6F" w:rsidR="003E1C98" w:rsidRDefault="003E1C98" w:rsidP="003E1C98">
      <w:r>
        <w:t xml:space="preserve">There's a common misconception that the elderly </w:t>
      </w:r>
      <w:proofErr w:type="gramStart"/>
      <w:r>
        <w:t>are</w:t>
      </w:r>
      <w:proofErr w:type="gramEnd"/>
      <w:r>
        <w:t xml:space="preserve"> helpless or a burden on society. The elderly </w:t>
      </w:r>
      <w:proofErr w:type="gramStart"/>
      <w:r>
        <w:t>are</w:t>
      </w:r>
      <w:proofErr w:type="gramEnd"/>
      <w:r>
        <w:t xml:space="preserve"> disproportionately affected by prejudice, poverty, and inadequate health (Ritchie and </w:t>
      </w:r>
      <w:proofErr w:type="spellStart"/>
      <w:r>
        <w:t>Roser</w:t>
      </w:r>
      <w:proofErr w:type="spellEnd"/>
      <w:r>
        <w:t xml:space="preserve">, 2019). The elderly </w:t>
      </w:r>
      <w:proofErr w:type="gramStart"/>
      <w:r>
        <w:t>are</w:t>
      </w:r>
      <w:proofErr w:type="gramEnd"/>
      <w:r>
        <w:t xml:space="preserve"> stigmatized because they cannot conform to today's youth-centric standards. Instead of assuming social care demand would rise in tandem with the rising incidence of chronic diseases, officials working to reform adult social care should be aware of the</w:t>
      </w:r>
      <w:r w:rsidRPr="003E1C98">
        <w:t xml:space="preserve"> </w:t>
      </w:r>
      <w:r>
        <w:t>complications involved in anticipating future demand.</w:t>
      </w:r>
    </w:p>
    <w:p w14:paraId="26F3B1F8" w14:textId="77777777" w:rsidR="003E1C98" w:rsidRDefault="003E1C98" w:rsidP="003E1C98">
      <w:r>
        <w:t xml:space="preserve">Government and Health Service Response to the Problem </w:t>
      </w:r>
    </w:p>
    <w:p w14:paraId="6DFF40E5" w14:textId="77777777" w:rsidR="003E1C98" w:rsidRDefault="003E1C98" w:rsidP="003E1C98">
      <w:r>
        <w:t>It is projected that by 2035 just 2.5 persons of working age will be supporting each retiree in Britain, and by 2050 only two people will be doing so (Greer, 2021, p29). The dependence ratio measures the number of active-age adults in proportion to the number of older adults living in the community. Humanity has made great strides in terms of maturing,' with people now living much longer and healthier lives than in past generations. This shift in the population presents an opportunity to tap into the wisdom, insight, and originality of a hitherto unseen proportion of the population (Greer, 2021, p.37). Several strategies exist for addressing the ageing of Britain's population, which the government or private businesses may implement. However, the finest possible economic, social, and political systems must be established immediately to avert a disaster.</w:t>
      </w:r>
    </w:p>
    <w:p w14:paraId="74698E2B" w14:textId="77777777" w:rsidR="003E1C98" w:rsidRDefault="003E1C98" w:rsidP="003E1C98">
      <w:r>
        <w:t xml:space="preserve">According to the Age and Employment Network (TAEN), companies may benefit greatly from this population shift. Flynn and </w:t>
      </w:r>
      <w:proofErr w:type="spellStart"/>
      <w:r>
        <w:t>Schröder</w:t>
      </w:r>
      <w:proofErr w:type="spellEnd"/>
      <w:r>
        <w:t xml:space="preserve"> (2021) argue that organisations may boost productivity, competitive advantage, and profitability by drawing from a larger talent pool. Raising the retirement age is a divisive issue in politics and society. There is a good chance that the government of the United Kingdom will implement this. Government policy as of 2010 indicates a gradual increase in the state pension age for women from 60 to 65 between 2020. It is projected to increase for both sexes between 2024 and 2046, from 65 to 68, respectively. One proposed solution to the pension dilemma in the UK is to require citizens to save a certain percentage of their income. Many would choose this if their employers matched their contributions. Alternatively, we may try to get more people into the workforce (</w:t>
      </w:r>
      <w:proofErr w:type="spellStart"/>
      <w:r>
        <w:t>Cotterell</w:t>
      </w:r>
      <w:proofErr w:type="spellEnd"/>
      <w:r>
        <w:t xml:space="preserve"> et al., 2018). Although most working-age males work in industrialized nations, fewer women and those aged 55 to 64 participate in the </w:t>
      </w:r>
      <w:proofErr w:type="spellStart"/>
      <w:r>
        <w:t>labor</w:t>
      </w:r>
      <w:proofErr w:type="spellEnd"/>
      <w:r>
        <w:t xml:space="preserve"> force.</w:t>
      </w:r>
    </w:p>
    <w:p w14:paraId="108006ED" w14:textId="77777777" w:rsidR="003E1C98" w:rsidRDefault="003E1C98" w:rsidP="003E1C98">
      <w:r>
        <w:t>Relevant Theory, including Specific Theories of Ageing</w:t>
      </w:r>
    </w:p>
    <w:p w14:paraId="1A967CF4" w14:textId="77777777" w:rsidR="003E1C98" w:rsidRDefault="003E1C98" w:rsidP="003E1C98">
      <w:r>
        <w:t xml:space="preserve">There are several aspects of ageing. Consequently, there are several hypotheses, each of which may account for certain features of the ageing process. However, no universal explanation of ageing can account for </w:t>
      </w:r>
      <w:proofErr w:type="gramStart"/>
      <w:r>
        <w:t>all of</w:t>
      </w:r>
      <w:proofErr w:type="gramEnd"/>
      <w:r>
        <w:t xml:space="preserve"> its observed features. Continuity theory may provide light on how our population's ageing affects policy and practice at all levels of government.</w:t>
      </w:r>
    </w:p>
    <w:p w14:paraId="1A4461BA" w14:textId="77777777" w:rsidR="003E1C98" w:rsidRDefault="003E1C98" w:rsidP="003E1C98">
      <w:r>
        <w:t>The continuity theory of ageing examines how middle-aged and older persons make strategic adjustments to their lives to preserve important internal and external constants (</w:t>
      </w:r>
      <w:proofErr w:type="spellStart"/>
      <w:r>
        <w:t>Iyare</w:t>
      </w:r>
      <w:proofErr w:type="spellEnd"/>
      <w:r>
        <w:t xml:space="preserve"> et al., 2022, p283). The term "internal continuity" refers to creating connections between current and past experiences (</w:t>
      </w:r>
      <w:proofErr w:type="spellStart"/>
      <w:r>
        <w:t>Iyare</w:t>
      </w:r>
      <w:proofErr w:type="spellEnd"/>
      <w:r>
        <w:t xml:space="preserve"> et al., 2022, p284). On the other hand, when we talk about external continuity, we're referring to our interactions with the people and places we know and love (</w:t>
      </w:r>
      <w:proofErr w:type="spellStart"/>
      <w:r>
        <w:t>Iyare</w:t>
      </w:r>
      <w:proofErr w:type="spellEnd"/>
      <w:r>
        <w:t xml:space="preserve"> et al., 2022, p286). It </w:t>
      </w:r>
      <w:proofErr w:type="spellStart"/>
      <w:r>
        <w:t>centers</w:t>
      </w:r>
      <w:proofErr w:type="spellEnd"/>
      <w:r>
        <w:t xml:space="preserve"> on the premise that the maintenance of familiarity — with one's surroundings, family, and circumstances — is crucial for the continued autonomy of the elderly. Consistency in routines and surroundings allows the elderly to direct their attention and energy where it will be most helpful, mitigating some of the negative impacts of ageing (</w:t>
      </w:r>
      <w:proofErr w:type="spellStart"/>
      <w:r>
        <w:t>Iyare</w:t>
      </w:r>
      <w:proofErr w:type="spellEnd"/>
      <w:r>
        <w:t xml:space="preserve"> et al., 2022, p286). It's not that people who subscribe to the continuity theory never change; instead, they find ways to minimize the adverse effects of change by relying on the tried-and-true routines and habits they've developed over the years.</w:t>
      </w:r>
    </w:p>
    <w:p w14:paraId="4C65E22E" w14:textId="77777777" w:rsidR="003E1C98" w:rsidRDefault="003E1C98" w:rsidP="003E1C98">
      <w:r>
        <w:t>Advances in communication, technology, and AI</w:t>
      </w:r>
    </w:p>
    <w:p w14:paraId="7BA2CEBB" w14:textId="77777777" w:rsidR="003E1C98" w:rsidRDefault="003E1C98" w:rsidP="003E1C98">
      <w:r>
        <w:t xml:space="preserve">The most promising clinical applications of the technology include those that improve safety and housing to ensure older people can continue living in their communities and homes and rehabilitation and mobility to enhance mobility and gait. In communication and quality of life, technology will improve medication management, lower isolation, and expand access to transportation options. To wit: (Cassel et al., 2018). There is now a practical use for AI among medical practitioners. Because of this, the elderly care sector has undergone a sea change. </w:t>
      </w:r>
      <w:proofErr w:type="gramStart"/>
      <w:r>
        <w:t>These artificial intelligence (AI)</w:t>
      </w:r>
      <w:proofErr w:type="gramEnd"/>
      <w:r>
        <w:t xml:space="preserve"> enabled gadgets are becoming more popular, especially in health tracking, voice assistance, and identification. Voice-enabled devices are proliferating quickly, and more affluent individuals like them (</w:t>
      </w:r>
      <w:proofErr w:type="spellStart"/>
      <w:r>
        <w:t>Pilotto</w:t>
      </w:r>
      <w:proofErr w:type="spellEnd"/>
      <w:r>
        <w:t xml:space="preserve"> et al., 2018, p773). There is growing evidence that voice assistants may help older adults in various ways. In addition to timely medication reminders, patients easily access updated lifestyle data, social support, and essential health information. </w:t>
      </w:r>
    </w:p>
    <w:p w14:paraId="2FE1DBD6" w14:textId="77777777" w:rsidR="003E1C98" w:rsidRDefault="003E1C98" w:rsidP="003E1C98">
      <w:r>
        <w:t>To fully realize the potential of AI in healthcare and eldercare, it will be necessary to combine several apps into a unified interface. Care for the elderly, including clinical therapy, will be aided by AI applications based on empathy (</w:t>
      </w:r>
      <w:proofErr w:type="spellStart"/>
      <w:r>
        <w:t>Ollevier</w:t>
      </w:r>
      <w:proofErr w:type="spellEnd"/>
      <w:r>
        <w:t xml:space="preserve"> et al., 2020, p8). There may be a compelling argument for AI in business. It will have a game-changing effect on health outcomes.</w:t>
      </w:r>
    </w:p>
    <w:p w14:paraId="06BB7CFC" w14:textId="77777777" w:rsidR="003E1C98" w:rsidRDefault="003E1C98" w:rsidP="003E1C98">
      <w:r>
        <w:t>Conclusion</w:t>
      </w:r>
    </w:p>
    <w:p w14:paraId="61B673A9" w14:textId="77777777" w:rsidR="003E1C98" w:rsidRDefault="003E1C98" w:rsidP="003E1C98">
      <w:r>
        <w:t xml:space="preserve">The ageing population needs government attention to formulate health and social care policies. Under domestic and international law, it is the responsibility of the United Kingdom to protect the autonomy of older adults. This obligation can be fulfilled by ensuring that older adults in the country have access to high-quality medical care and social and recreational opportunities and that their personal and family information is kept private. The government of the United Kingdom can guarantee that senior citizens in the country get the assistance to which they are entitled by carrying out routine evaluations of social care assessments to verify their accuracy and ensure that they are not biased. In addition, the authorities are responsible for ensuring that individuals are not left without the support throughout the investigation and appeals procedures. </w:t>
      </w:r>
    </w:p>
    <w:p w14:paraId="2F80095D" w14:textId="77777777" w:rsidR="003E1C98" w:rsidRDefault="003E1C98" w:rsidP="003E1C98"/>
    <w:p w14:paraId="5DF40EFF" w14:textId="77777777" w:rsidR="003E1C98" w:rsidRDefault="003E1C98" w:rsidP="003E1C98"/>
    <w:p w14:paraId="76F04126" w14:textId="77777777" w:rsidR="003E1C98" w:rsidRDefault="003E1C98" w:rsidP="003E1C98"/>
    <w:p w14:paraId="7A0039F3" w14:textId="77777777" w:rsidR="003E1C98" w:rsidRDefault="003E1C98" w:rsidP="003E1C98"/>
    <w:p w14:paraId="75BC15E3" w14:textId="77777777" w:rsidR="003E1C98" w:rsidRDefault="003E1C98" w:rsidP="003E1C98"/>
    <w:p w14:paraId="4BA093FC" w14:textId="77777777" w:rsidR="003E1C98" w:rsidRDefault="003E1C98" w:rsidP="003E1C98"/>
    <w:p w14:paraId="6A5A0163" w14:textId="77777777" w:rsidR="003E1C98" w:rsidRDefault="003E1C98" w:rsidP="003E1C98"/>
    <w:p w14:paraId="19F420D0" w14:textId="77777777" w:rsidR="003E1C98" w:rsidRDefault="003E1C98" w:rsidP="003E1C98"/>
    <w:p w14:paraId="459B89FA" w14:textId="77777777" w:rsidR="003E1C98" w:rsidRDefault="003E1C98" w:rsidP="003E1C98"/>
    <w:p w14:paraId="7B09216B" w14:textId="77777777" w:rsidR="003E1C98" w:rsidRDefault="003E1C98" w:rsidP="003E1C98"/>
    <w:p w14:paraId="285411C4" w14:textId="77777777" w:rsidR="003E1C98" w:rsidRDefault="003E1C98" w:rsidP="003E1C98"/>
    <w:p w14:paraId="3C3A447A" w14:textId="77777777" w:rsidR="003E1C98" w:rsidRDefault="003E1C98" w:rsidP="003E1C98"/>
    <w:p w14:paraId="2261BF9C" w14:textId="77777777" w:rsidR="003E1C98" w:rsidRDefault="003E1C98" w:rsidP="003E1C98"/>
    <w:p w14:paraId="1B007B7F" w14:textId="77777777" w:rsidR="003E1C98" w:rsidRDefault="003E1C98" w:rsidP="003E1C98"/>
    <w:p w14:paraId="7C8E76F9" w14:textId="77777777" w:rsidR="003E1C98" w:rsidRDefault="003E1C98" w:rsidP="003E1C98"/>
    <w:p w14:paraId="0077255F" w14:textId="77777777" w:rsidR="003E1C98" w:rsidRDefault="003E1C98" w:rsidP="003E1C98"/>
    <w:p w14:paraId="75E16B2D" w14:textId="77777777" w:rsidR="003E1C98" w:rsidRDefault="003E1C98" w:rsidP="003E1C98"/>
    <w:p w14:paraId="63D989FE" w14:textId="77777777" w:rsidR="003E1C98" w:rsidRDefault="003E1C98" w:rsidP="003E1C98"/>
    <w:p w14:paraId="2B8FC930" w14:textId="77777777" w:rsidR="003E1C98" w:rsidRDefault="003E1C98" w:rsidP="003E1C98"/>
    <w:p w14:paraId="46261034" w14:textId="77777777" w:rsidR="003E1C98" w:rsidRDefault="003E1C98" w:rsidP="003E1C98">
      <w:r>
        <w:t>References</w:t>
      </w:r>
    </w:p>
    <w:p w14:paraId="3D486598" w14:textId="77777777" w:rsidR="003E1C98" w:rsidRDefault="003E1C98" w:rsidP="003E1C98">
      <w:r>
        <w:t xml:space="preserve">Abdi, S., Spann, A., </w:t>
      </w:r>
      <w:proofErr w:type="spellStart"/>
      <w:r>
        <w:t>Borilovic</w:t>
      </w:r>
      <w:proofErr w:type="spellEnd"/>
      <w:r>
        <w:t>, J., de Witte, L., &amp; Hawley, M. (2019). Understanding older people's care and support needs: a scoping review and categorization using the WHO international classification of functioning, disability, and health framework (ICF). BMC geriatrics, 19(1), 195. https://doi.org/10.1186/s12877-019-1189-9</w:t>
      </w:r>
    </w:p>
    <w:p w14:paraId="1D6E55BB" w14:textId="77777777" w:rsidR="003E1C98" w:rsidRDefault="003E1C98" w:rsidP="003E1C98">
      <w:r>
        <w:t xml:space="preserve"> Adhikari, S., Clemens, M., Dempster, H. and </w:t>
      </w:r>
      <w:proofErr w:type="spellStart"/>
      <w:r>
        <w:t>Ekeator</w:t>
      </w:r>
      <w:proofErr w:type="spellEnd"/>
      <w:r>
        <w:t xml:space="preserve">, N.L., 2021. A Global Skill Partnership in Nursing between Nigeria and the UK. https://cgdev.org/sites/default/files/Global-Skill-Partnership-Nursing-Nigeria-UK.pdf </w:t>
      </w:r>
    </w:p>
    <w:p w14:paraId="2CDBB4C9" w14:textId="77777777" w:rsidR="003E1C98" w:rsidRDefault="003E1C98" w:rsidP="003E1C98">
      <w:r>
        <w:t xml:space="preserve">Cassell A, Edwards D, </w:t>
      </w:r>
      <w:proofErr w:type="spellStart"/>
      <w:r>
        <w:t>Harshfield</w:t>
      </w:r>
      <w:proofErr w:type="spellEnd"/>
      <w:r>
        <w:t xml:space="preserve"> A, Rhodes K, </w:t>
      </w:r>
      <w:proofErr w:type="spellStart"/>
      <w:r>
        <w:t>Brimicombe</w:t>
      </w:r>
      <w:proofErr w:type="spellEnd"/>
      <w:r>
        <w:t xml:space="preserve"> J, Payne R, Griffin S. 2018. The epidemiology of multimorbidity in primary care: a retrospective cohort study. British Journal of General Practice. 2018 Apr; 6(669): e245–e251.</w:t>
      </w:r>
    </w:p>
    <w:p w14:paraId="03B3524C" w14:textId="77777777" w:rsidR="003E1C98" w:rsidRDefault="003E1C98" w:rsidP="003E1C98">
      <w:r>
        <w:t xml:space="preserve">Clough, R., 2021. Nursing homes. Routledge. https://doi.org/10.4324/9781003191421 </w:t>
      </w:r>
    </w:p>
    <w:p w14:paraId="1168E7D5" w14:textId="77777777" w:rsidR="003E1C98" w:rsidRDefault="003E1C98" w:rsidP="003E1C98">
      <w:proofErr w:type="spellStart"/>
      <w:r>
        <w:t>Cotterell</w:t>
      </w:r>
      <w:proofErr w:type="spellEnd"/>
      <w:r>
        <w:t xml:space="preserve">, N., </w:t>
      </w:r>
      <w:proofErr w:type="spellStart"/>
      <w:r>
        <w:t>Buffel</w:t>
      </w:r>
      <w:proofErr w:type="spellEnd"/>
      <w:r>
        <w:t xml:space="preserve">, T. and Phillipson, C., 2018. Preventing social isolation in older people. </w:t>
      </w:r>
      <w:proofErr w:type="spellStart"/>
      <w:r>
        <w:t>Maturitas</w:t>
      </w:r>
      <w:proofErr w:type="spellEnd"/>
      <w:r>
        <w:t>, 113, pp.80-84. https://doi.org/10.1016/j.maturitas.2018.04.014</w:t>
      </w:r>
    </w:p>
    <w:p w14:paraId="00928F07" w14:textId="77777777" w:rsidR="003E1C98" w:rsidRDefault="003E1C98" w:rsidP="003E1C98">
      <w:r>
        <w:t xml:space="preserve">CQC- The state of health care and adult social care in England - 2017/18. https://www.bgs.org.uk/resources/the-state-of-health-care-and-adult-social-care-in-england-201718 </w:t>
      </w:r>
    </w:p>
    <w:p w14:paraId="1185BF4F" w14:textId="77777777" w:rsidR="003E1C98" w:rsidRDefault="003E1C98" w:rsidP="003E1C98">
      <w:proofErr w:type="spellStart"/>
      <w:r>
        <w:t>Cylus</w:t>
      </w:r>
      <w:proofErr w:type="spellEnd"/>
      <w:r>
        <w:t xml:space="preserve">, J., Williams, G., Normand, C., &amp; </w:t>
      </w:r>
      <w:proofErr w:type="spellStart"/>
      <w:r>
        <w:t>Figueras</w:t>
      </w:r>
      <w:proofErr w:type="spellEnd"/>
      <w:r>
        <w:t xml:space="preserve">, J. 2020. Economic, fiscal, and societal consequences of population ageing - looming catastrophe or fake </w:t>
      </w:r>
      <w:proofErr w:type="gramStart"/>
      <w:r>
        <w:t>news?.</w:t>
      </w:r>
      <w:proofErr w:type="gramEnd"/>
      <w:r>
        <w:t xml:space="preserve"> Croatian medical journal, 61(2), 189–192. https://doi.org/10.3325/cmj.2020.61.189</w:t>
      </w:r>
    </w:p>
    <w:p w14:paraId="53090347" w14:textId="77777777" w:rsidR="003E1C98" w:rsidRDefault="003E1C98" w:rsidP="003E1C98">
      <w:r>
        <w:t xml:space="preserve">Davenport, A., Farquharson, C., Rasul, I., </w:t>
      </w:r>
      <w:proofErr w:type="spellStart"/>
      <w:r>
        <w:t>Sibieta</w:t>
      </w:r>
      <w:proofErr w:type="spellEnd"/>
      <w:r>
        <w:t xml:space="preserve">, L. and </w:t>
      </w:r>
      <w:proofErr w:type="spellStart"/>
      <w:r>
        <w:t>Stoye</w:t>
      </w:r>
      <w:proofErr w:type="spellEnd"/>
      <w:r>
        <w:t xml:space="preserve">, G., 2020. The geography of the COVID-19 crisis in England. Institute for Fiscal Studies, p.p3. https://ifs.org.uk/inequality/wp-content/uploads/2020/07/The-Geography-of-the-COVID19-crisis-in-England-1.pdf </w:t>
      </w:r>
    </w:p>
    <w:p w14:paraId="1BCFAE5F" w14:textId="77777777" w:rsidR="003E1C98" w:rsidRDefault="003E1C98" w:rsidP="003E1C98">
      <w:r>
        <w:t xml:space="preserve">Eccles, Andrew. "Remote care technologies, older people and the social care crisis in the United Kingdom: </w:t>
      </w:r>
      <w:proofErr w:type="gramStart"/>
      <w:r>
        <w:t>a</w:t>
      </w:r>
      <w:proofErr w:type="gramEnd"/>
      <w:r>
        <w:t xml:space="preserve"> Multiple Streams Approach to understanding the 'silver bullet ‘of telecare policy." Ageing &amp; Society 41, no. 8 (2021): 1726-1747. https://doi.org/10.1017/S0144686X19001776 </w:t>
      </w:r>
    </w:p>
    <w:p w14:paraId="09614024" w14:textId="77777777" w:rsidR="003E1C98" w:rsidRDefault="003E1C98" w:rsidP="003E1C98">
      <w:proofErr w:type="spellStart"/>
      <w:r>
        <w:t>Everaars</w:t>
      </w:r>
      <w:proofErr w:type="spellEnd"/>
      <w:r>
        <w:t xml:space="preserve">, B., </w:t>
      </w:r>
      <w:proofErr w:type="spellStart"/>
      <w:r>
        <w:t>Jerković-Ćosić</w:t>
      </w:r>
      <w:proofErr w:type="spellEnd"/>
      <w:r>
        <w:t xml:space="preserve">, K., </w:t>
      </w:r>
      <w:proofErr w:type="spellStart"/>
      <w:r>
        <w:t>Bleijenberg</w:t>
      </w:r>
      <w:proofErr w:type="spellEnd"/>
      <w:r>
        <w:t xml:space="preserve">, N., De Wit, </w:t>
      </w:r>
      <w:proofErr w:type="gramStart"/>
      <w:r>
        <w:t>N.J.</w:t>
      </w:r>
      <w:proofErr w:type="gramEnd"/>
      <w:r>
        <w:t xml:space="preserve"> and Van Der Heijden, G.J.M.G., 2021. Exploring associations between oral health and frailty in community-dwelling older people. The Journal of Frailty &amp; Ageing, 10(1), pp.56-62. https://doi.org/10.14283/jfa.2020.55 </w:t>
      </w:r>
    </w:p>
    <w:p w14:paraId="72E65F72" w14:textId="77777777" w:rsidR="003E1C98" w:rsidRDefault="003E1C98" w:rsidP="003E1C98">
      <w:r>
        <w:t xml:space="preserve">Flynn, M. and </w:t>
      </w:r>
      <w:proofErr w:type="spellStart"/>
      <w:r>
        <w:t>Schröder</w:t>
      </w:r>
      <w:proofErr w:type="spellEnd"/>
      <w:r>
        <w:t xml:space="preserve">, H., 2021. Age, work and pensions in the United Kingdom and Hong Kong: An institutional perspective. Economic and Industrial Democracy, 42(2), pp.248-268. https://www.um.edu.mt/library/oar/handle/123456789/85384 </w:t>
      </w:r>
    </w:p>
    <w:p w14:paraId="0AE8855D" w14:textId="77777777" w:rsidR="003E1C98" w:rsidRDefault="003E1C98" w:rsidP="003E1C98">
      <w:r>
        <w:t xml:space="preserve">Greer, S.L., Lynch, J., Reeves, A., </w:t>
      </w:r>
      <w:proofErr w:type="spellStart"/>
      <w:r>
        <w:t>Falkenbach</w:t>
      </w:r>
      <w:proofErr w:type="spellEnd"/>
      <w:r>
        <w:t xml:space="preserve">, M., Gingrich, J., </w:t>
      </w:r>
      <w:proofErr w:type="spellStart"/>
      <w:r>
        <w:t>Cylus</w:t>
      </w:r>
      <w:proofErr w:type="spellEnd"/>
      <w:r>
        <w:t>, J. and Bambra, C., 2021. Ageing and Health. Cambridge University Press.</w:t>
      </w:r>
    </w:p>
    <w:p w14:paraId="1550F876" w14:textId="77777777" w:rsidR="003E1C98" w:rsidRDefault="003E1C98" w:rsidP="003E1C98">
      <w:proofErr w:type="spellStart"/>
      <w:r>
        <w:t>Harjono</w:t>
      </w:r>
      <w:proofErr w:type="spellEnd"/>
      <w:r>
        <w:t xml:space="preserve"> </w:t>
      </w:r>
      <w:proofErr w:type="spellStart"/>
      <w:r>
        <w:t>Hadiwiardjo</w:t>
      </w:r>
      <w:proofErr w:type="spellEnd"/>
      <w:r>
        <w:t xml:space="preserve">, Y. and Damayanti, R., 2022. Biopsychosocial factors associated with depression in the elderly: A systematic literature review. F1000Research, 11, p.1068. https://doi.org/10.12688/f1000research.121710.1 </w:t>
      </w:r>
    </w:p>
    <w:p w14:paraId="5E5878C5" w14:textId="77777777" w:rsidR="003E1C98" w:rsidRDefault="003E1C98" w:rsidP="003E1C98">
      <w:proofErr w:type="spellStart"/>
      <w:r>
        <w:t>Iyare</w:t>
      </w:r>
      <w:proofErr w:type="spellEnd"/>
      <w:r>
        <w:t xml:space="preserve">, A.E., </w:t>
      </w:r>
      <w:proofErr w:type="spellStart"/>
      <w:r>
        <w:t>Imafidon</w:t>
      </w:r>
      <w:proofErr w:type="spellEnd"/>
      <w:r>
        <w:t xml:space="preserve">, E. and </w:t>
      </w:r>
      <w:proofErr w:type="spellStart"/>
      <w:r>
        <w:t>Abudu</w:t>
      </w:r>
      <w:proofErr w:type="spellEnd"/>
      <w:r>
        <w:t xml:space="preserve">, K.U., 2022. Ageing, Ageism, Cultural Representations of the </w:t>
      </w:r>
      <w:proofErr w:type="gramStart"/>
      <w:r>
        <w:t>Elderly</w:t>
      </w:r>
      <w:proofErr w:type="gramEnd"/>
      <w:r>
        <w:t xml:space="preserve"> and the Duty to Care in African Traditions. In Essays on Contemporary Issues in African Philosophy (pp. 281-299). Springer, Cham. https://doi.org/10.1007/978-3-030-70436-0_18 </w:t>
      </w:r>
    </w:p>
    <w:p w14:paraId="031DF65C" w14:textId="77777777" w:rsidR="003E1C98" w:rsidRDefault="003E1C98" w:rsidP="003E1C98">
      <w:proofErr w:type="spellStart"/>
      <w:r>
        <w:t>Keyworth</w:t>
      </w:r>
      <w:proofErr w:type="spellEnd"/>
      <w:r>
        <w:t xml:space="preserve">, C., </w:t>
      </w:r>
      <w:proofErr w:type="spellStart"/>
      <w:r>
        <w:t>Epton</w:t>
      </w:r>
      <w:proofErr w:type="spellEnd"/>
      <w:r>
        <w:t xml:space="preserve">, T., Byrne-Davis, L., Leather, JZ and Armitage, C.J., 2021. What challenges do UK adults face when adhering to COVID-19-related instructions? Cross-sectional survey in a representative sample. Preventive Medicine, 147, p.106458. https://doi.org/10.1016/j.ypmed.2021.106458 </w:t>
      </w:r>
    </w:p>
    <w:p w14:paraId="2F80E444" w14:textId="77777777" w:rsidR="003E1C98" w:rsidRDefault="003E1C98" w:rsidP="003E1C98">
      <w:proofErr w:type="spellStart"/>
      <w:r>
        <w:t>Lebrasseur</w:t>
      </w:r>
      <w:proofErr w:type="spellEnd"/>
      <w:r>
        <w:t xml:space="preserve">, A., Fortin-Bédard, N., </w:t>
      </w:r>
      <w:proofErr w:type="spellStart"/>
      <w:r>
        <w:t>Lettre</w:t>
      </w:r>
      <w:proofErr w:type="spellEnd"/>
      <w:r>
        <w:t xml:space="preserve">, J., Raymond, E., </w:t>
      </w:r>
      <w:proofErr w:type="spellStart"/>
      <w:r>
        <w:t>Bussières</w:t>
      </w:r>
      <w:proofErr w:type="spellEnd"/>
      <w:r>
        <w:t xml:space="preserve">, E. L., Lapierre, N., </w:t>
      </w:r>
      <w:proofErr w:type="spellStart"/>
      <w:r>
        <w:t>Faieta</w:t>
      </w:r>
      <w:proofErr w:type="spellEnd"/>
      <w:r>
        <w:t xml:space="preserve">, J., Vincent, C., Duchesne, L., Ouellet, M. C., Gagnon, E., </w:t>
      </w:r>
      <w:proofErr w:type="spellStart"/>
      <w:r>
        <w:t>Tourigny</w:t>
      </w:r>
      <w:proofErr w:type="spellEnd"/>
      <w:r>
        <w:t>, A., Lamontagne, M. È., &amp; Routhier, F. 2021. Impact of the COVID-19 Pandemic on Older Adults: Rapid Review. JMIR ageing, 4(2), e26474. https://doi.org/10.2196/26474</w:t>
      </w:r>
    </w:p>
    <w:p w14:paraId="7EC1CB0F" w14:textId="77777777" w:rsidR="003E1C98" w:rsidRDefault="003E1C98" w:rsidP="003E1C98">
      <w:r>
        <w:t xml:space="preserve">Levell, N.J., 2022. NHS outpatient secondary care: a time of challenges and opportunities. Future Healthcare Journal, 9(2), p.106. https://doi.org/10.7861/fhj.2022-0044 </w:t>
      </w:r>
    </w:p>
    <w:p w14:paraId="6B9804CB" w14:textId="77777777" w:rsidR="003E1C98" w:rsidRDefault="003E1C98" w:rsidP="003E1C98">
      <w:r>
        <w:t xml:space="preserve">Lilley, P., 2021. Solving the Social Care Dilemma? A Responsible Solution. http://allcatsrgrey.org.uk/wp/download/social_care/SOCIAL-CARE.pdf </w:t>
      </w:r>
    </w:p>
    <w:p w14:paraId="41FCD3CF" w14:textId="77777777" w:rsidR="003E1C98" w:rsidRDefault="003E1C98" w:rsidP="003E1C98">
      <w:proofErr w:type="spellStart"/>
      <w:r>
        <w:t>Ollevier</w:t>
      </w:r>
      <w:proofErr w:type="spellEnd"/>
      <w:r>
        <w:t xml:space="preserve">, A., Aguiar, G., Palomino, M. and </w:t>
      </w:r>
      <w:proofErr w:type="spellStart"/>
      <w:r>
        <w:t>Simpelaere</w:t>
      </w:r>
      <w:proofErr w:type="spellEnd"/>
      <w:r>
        <w:t xml:space="preserve">, I.S., 2020. How can technology support ageing in place in healthy older adults? A systematic review. Public health reviews, 41(1), pp.1-12. https://doi.org/10.1186/s40985-020-00143-4 </w:t>
      </w:r>
    </w:p>
    <w:p w14:paraId="1B5693FA" w14:textId="77777777" w:rsidR="003E1C98" w:rsidRDefault="003E1C98" w:rsidP="003E1C98">
      <w:proofErr w:type="spellStart"/>
      <w:r>
        <w:t>Pilotto</w:t>
      </w:r>
      <w:proofErr w:type="spellEnd"/>
      <w:r>
        <w:t xml:space="preserve">, A., </w:t>
      </w:r>
      <w:proofErr w:type="spellStart"/>
      <w:r>
        <w:t>Boi</w:t>
      </w:r>
      <w:proofErr w:type="spellEnd"/>
      <w:r>
        <w:t xml:space="preserve">, R. and </w:t>
      </w:r>
      <w:proofErr w:type="spellStart"/>
      <w:r>
        <w:t>Petermans</w:t>
      </w:r>
      <w:proofErr w:type="spellEnd"/>
      <w:r>
        <w:t xml:space="preserve">, J., 2018. Technology in geriatrics. Age and ageing, 47(6), pp.771-774. https://doi.org/10.1093/ageing/afy026 </w:t>
      </w:r>
    </w:p>
    <w:p w14:paraId="6377A740" w14:textId="77777777" w:rsidR="003E1C98" w:rsidRDefault="003E1C98" w:rsidP="003E1C98">
      <w:r>
        <w:t xml:space="preserve">Ritchie, H. and </w:t>
      </w:r>
      <w:proofErr w:type="spellStart"/>
      <w:r>
        <w:t>Roser</w:t>
      </w:r>
      <w:proofErr w:type="spellEnd"/>
      <w:r>
        <w:t xml:space="preserve">, M., 2019. Age structure. Our World in Data. https://ourworldindata.org/age-structure?country= </w:t>
      </w:r>
    </w:p>
    <w:p w14:paraId="00581C65" w14:textId="77777777" w:rsidR="003E1C98" w:rsidRDefault="003E1C98" w:rsidP="003E1C98">
      <w:r>
        <w:t xml:space="preserve">Rocks, S., </w:t>
      </w:r>
      <w:proofErr w:type="spellStart"/>
      <w:r>
        <w:t>Boccarini</w:t>
      </w:r>
      <w:proofErr w:type="spellEnd"/>
      <w:r>
        <w:t xml:space="preserve">, G., Charlesworth, A., </w:t>
      </w:r>
      <w:proofErr w:type="spellStart"/>
      <w:r>
        <w:t>Idriss</w:t>
      </w:r>
      <w:proofErr w:type="spellEnd"/>
      <w:r>
        <w:t>, O., McConkey, R. and Rachet-</w:t>
      </w:r>
      <w:proofErr w:type="spellStart"/>
      <w:r>
        <w:t>Jacquet</w:t>
      </w:r>
      <w:proofErr w:type="spellEnd"/>
      <w:r>
        <w:t xml:space="preserve">, L., 2021. REAL Centre Projections. https://www.health.org.uk/sites/default/files/upload/publications/2021/REALCentreFundingProjections_WEB.pdf </w:t>
      </w:r>
    </w:p>
    <w:p w14:paraId="4F45EF82" w14:textId="77777777" w:rsidR="003E1C98" w:rsidRDefault="003E1C98" w:rsidP="003E1C98">
      <w:r>
        <w:t>Sophie Gilbert-Johns, R.M. 2022. Overview of the UK population: 2020, Overview of the UK population - Office for National Statistics. Office for National Statistics. Available at: https://www.ons.gov.uk/peoplepopulationandcommunity/populationandmigration/populationestimates/articles/overviewoftheukpopulation/2020 (Accessed: October 12, 2022).</w:t>
      </w:r>
    </w:p>
    <w:p w14:paraId="49023D7F" w14:textId="77777777" w:rsidR="003E1C98" w:rsidRDefault="003E1C98" w:rsidP="003E1C98">
      <w:proofErr w:type="spellStart"/>
      <w:r>
        <w:t>Thorlby</w:t>
      </w:r>
      <w:proofErr w:type="spellEnd"/>
      <w:r>
        <w:t>, R., Gardner, T., &amp; Fraser, C. (2022</w:t>
      </w:r>
      <w:proofErr w:type="gramStart"/>
      <w:r>
        <w:t>).Health</w:t>
      </w:r>
      <w:proofErr w:type="gramEnd"/>
      <w:r>
        <w:t xml:space="preserve"> and care for older adults during the pandemic. What The Commonwealth Fund's 2021 international survey reveals about the UK. https://www.health.org.uk/news-and-comment/charts-and-infographics/health-and-care-for-older-adults-during-the-pandemic </w:t>
      </w:r>
    </w:p>
    <w:p w14:paraId="75FE0F3E" w14:textId="77777777" w:rsidR="003E1C98" w:rsidRDefault="003E1C98" w:rsidP="003E1C98">
      <w:r>
        <w:t xml:space="preserve">Wenger, G.C., 2021. The supportive network: Coping with old age. Routledge. https://doi.org/10.4324/9781003206989 </w:t>
      </w:r>
    </w:p>
    <w:p w14:paraId="1D584FF3" w14:textId="2E9BC31F" w:rsidR="008101F1" w:rsidRDefault="008101F1" w:rsidP="003E1C98"/>
    <w:sectPr w:rsidR="008101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C98"/>
    <w:rsid w:val="001C49F4"/>
    <w:rsid w:val="003E1C98"/>
    <w:rsid w:val="008101F1"/>
    <w:rsid w:val="00E25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4C606"/>
  <w15:chartTrackingRefBased/>
  <w15:docId w15:val="{FAAABEE2-9135-4588-B06B-D7C91C89F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3381</Words>
  <Characters>19548</Characters>
  <Application>Microsoft Office Word</Application>
  <DocSecurity>0</DocSecurity>
  <Lines>331</Lines>
  <Paragraphs>71</Paragraphs>
  <ScaleCrop>false</ScaleCrop>
  <Company/>
  <LinksUpToDate>false</LinksUpToDate>
  <CharactersWithSpaces>22858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kerris smith</dc:creator>
  <cp:keywords/>
  <dc:description/>
  <cp:lastModifiedBy>kerris smith</cp:lastModifiedBy>
  <cp:revision>2</cp:revision>
  <dcterms:created xsi:type="dcterms:W3CDTF">2022-10-13T19:57:00Z</dcterms:created>
  <dcterms:modified xsi:type="dcterms:W3CDTF">2022-10-13T19:57:00Z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09cb1c72-3971-4c5a-9111-8b8e7e51f3a4</vt:lpwstr>
  </property>
</Properties>
</file>