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10EAB" w14:textId="5DAC6806" w:rsidR="00413C62" w:rsidRPr="00C75E06" w:rsidRDefault="00413C62" w:rsidP="00BC2FCC">
      <w:pPr>
        <w:jc w:val="both"/>
        <w:rPr>
          <w:rFonts w:ascii="Times New Roman" w:hAnsi="Times New Roman" w:cs="Times New Roman"/>
          <w:b/>
          <w:bCs/>
          <w:sz w:val="24"/>
          <w:szCs w:val="24"/>
        </w:rPr>
      </w:pPr>
      <w:r w:rsidRPr="00C75E06">
        <w:rPr>
          <w:rFonts w:ascii="Times New Roman" w:hAnsi="Times New Roman" w:cs="Times New Roman"/>
          <w:b/>
          <w:bCs/>
          <w:sz w:val="24"/>
          <w:szCs w:val="24"/>
        </w:rPr>
        <w:t xml:space="preserve">Why are terrorist </w:t>
      </w:r>
      <w:r w:rsidR="00C75E06" w:rsidRPr="00C75E06">
        <w:rPr>
          <w:rFonts w:ascii="Times New Roman" w:hAnsi="Times New Roman" w:cs="Times New Roman"/>
          <w:b/>
          <w:bCs/>
          <w:sz w:val="24"/>
          <w:szCs w:val="24"/>
        </w:rPr>
        <w:t>organisations</w:t>
      </w:r>
      <w:r w:rsidRPr="00C75E06">
        <w:rPr>
          <w:rFonts w:ascii="Times New Roman" w:hAnsi="Times New Roman" w:cs="Times New Roman"/>
          <w:b/>
          <w:bCs/>
          <w:sz w:val="24"/>
          <w:szCs w:val="24"/>
        </w:rPr>
        <w:t xml:space="preserve"> often involved in other forms of criminality (e.g</w:t>
      </w:r>
      <w:r w:rsidR="00C75E06" w:rsidRPr="00C75E06">
        <w:rPr>
          <w:rFonts w:ascii="Times New Roman" w:hAnsi="Times New Roman" w:cs="Times New Roman"/>
          <w:b/>
          <w:bCs/>
          <w:sz w:val="24"/>
          <w:szCs w:val="24"/>
        </w:rPr>
        <w:t xml:space="preserve">. acquisitive crime), and how can this inform counter-terrorism policing? </w:t>
      </w:r>
    </w:p>
    <w:p w14:paraId="579D585B" w14:textId="3DCD0488"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This paper seeks not only to identify the points of intersection between terrorist and criminal enterprises but also to explore how global political, economic, and technological shifts have reshaped the operational realities of these groups. The broadening of illicit economies, the weakening of state institutions in conflict zones, and the growing sophistication of financial and communications technologies have created conditions under which hybrid organizations can flourish. The fusion of these two spheres does not merely represent tactical convergence</w:t>
      </w:r>
      <w:r w:rsidR="00CC2713">
        <w:rPr>
          <w:rFonts w:ascii="Times New Roman" w:hAnsi="Times New Roman" w:cs="Times New Roman"/>
          <w:sz w:val="24"/>
          <w:szCs w:val="24"/>
        </w:rPr>
        <w:t xml:space="preserve">, </w:t>
      </w:r>
      <w:r w:rsidRPr="00733AB5">
        <w:rPr>
          <w:rFonts w:ascii="Times New Roman" w:hAnsi="Times New Roman" w:cs="Times New Roman"/>
          <w:sz w:val="24"/>
          <w:szCs w:val="24"/>
        </w:rPr>
        <w:t>it signifies the emergence of a new form of threat actor that exploits structural vulnerabilities in the international system.</w:t>
      </w:r>
    </w:p>
    <w:p w14:paraId="4FC8ADCD" w14:textId="155FF418" w:rsidR="002A7941" w:rsidRPr="002A7941" w:rsidRDefault="002A7941" w:rsidP="002A7941">
      <w:pPr>
        <w:jc w:val="both"/>
        <w:rPr>
          <w:rFonts w:ascii="Times New Roman" w:hAnsi="Times New Roman" w:cs="Times New Roman"/>
          <w:sz w:val="24"/>
          <w:szCs w:val="24"/>
        </w:rPr>
      </w:pPr>
      <w:r w:rsidRPr="002A7941">
        <w:rPr>
          <w:rFonts w:ascii="Times New Roman" w:hAnsi="Times New Roman" w:cs="Times New Roman"/>
          <w:sz w:val="24"/>
          <w:szCs w:val="24"/>
        </w:rPr>
        <w:t>While terrorists and criminal networks have historically operated with distinct motives</w:t>
      </w:r>
      <w:r w:rsidR="00CC2713">
        <w:rPr>
          <w:rFonts w:ascii="Times New Roman" w:hAnsi="Times New Roman" w:cs="Times New Roman"/>
          <w:sz w:val="24"/>
          <w:szCs w:val="24"/>
        </w:rPr>
        <w:t xml:space="preserve">, </w:t>
      </w:r>
      <w:r w:rsidRPr="002A7941">
        <w:rPr>
          <w:rFonts w:ascii="Times New Roman" w:hAnsi="Times New Roman" w:cs="Times New Roman"/>
          <w:sz w:val="24"/>
          <w:szCs w:val="24"/>
        </w:rPr>
        <w:t>political or ideological for the former, financial gain for the latter</w:t>
      </w:r>
      <w:r w:rsidR="00CC2713">
        <w:rPr>
          <w:rFonts w:ascii="Times New Roman" w:hAnsi="Times New Roman" w:cs="Times New Roman"/>
          <w:sz w:val="24"/>
          <w:szCs w:val="24"/>
        </w:rPr>
        <w:t xml:space="preserve">, </w:t>
      </w:r>
      <w:r w:rsidRPr="002A7941">
        <w:rPr>
          <w:rFonts w:ascii="Times New Roman" w:hAnsi="Times New Roman" w:cs="Times New Roman"/>
          <w:sz w:val="24"/>
          <w:szCs w:val="24"/>
        </w:rPr>
        <w:t>recent decades have witnessed an increasing intersection of their operations. Scholars commonly refer to this phenomenon as the crime–terror nexus. This term encapsulates the deliberate engagement of terrorist organizations in criminal acts to fund their operations, sustain social and logistical networks, and occasionally soften ideological boundaries for expediency. The blending of terrorism and organized crime presents significant challenges to traditional policing, national security frameworks, and international cooperation, requiring a reconceptualization of how states and intergovernmental bodies address evolving threat architectures.</w:t>
      </w:r>
    </w:p>
    <w:p w14:paraId="70F087F5" w14:textId="77777777" w:rsidR="002A7941" w:rsidRDefault="002A7941" w:rsidP="002A7941">
      <w:pPr>
        <w:jc w:val="both"/>
        <w:rPr>
          <w:rFonts w:ascii="Times New Roman" w:hAnsi="Times New Roman" w:cs="Times New Roman"/>
          <w:sz w:val="24"/>
          <w:szCs w:val="24"/>
        </w:rPr>
      </w:pPr>
      <w:r w:rsidRPr="002A7941">
        <w:rPr>
          <w:rFonts w:ascii="Times New Roman" w:hAnsi="Times New Roman" w:cs="Times New Roman"/>
          <w:sz w:val="24"/>
          <w:szCs w:val="24"/>
        </w:rPr>
        <w:t>This essay takes a critical lens to the motivations that drive terrorist engagement in criminal activities and examines how this understanding can inform contemporary counter-terrorism policing. Drawing from theoretical literature, empirical case studies, and policy analysis, the paper examines financial drivers, operational synergies, and the broader implications for law enforcement and counter-terrorism strategies.</w:t>
      </w:r>
    </w:p>
    <w:p w14:paraId="53EE3695" w14:textId="356C2548" w:rsidR="00BC2FCC" w:rsidRPr="00733AB5" w:rsidRDefault="00BC2FCC" w:rsidP="002A7941">
      <w:pPr>
        <w:jc w:val="both"/>
        <w:rPr>
          <w:rFonts w:ascii="Times New Roman" w:hAnsi="Times New Roman" w:cs="Times New Roman"/>
          <w:sz w:val="24"/>
          <w:szCs w:val="24"/>
        </w:rPr>
      </w:pPr>
      <w:r w:rsidRPr="00733AB5">
        <w:rPr>
          <w:rFonts w:ascii="Times New Roman" w:hAnsi="Times New Roman" w:cs="Times New Roman"/>
          <w:sz w:val="24"/>
          <w:szCs w:val="24"/>
        </w:rPr>
        <w:t>Contemporary conflict zones</w:t>
      </w:r>
      <w:r>
        <w:rPr>
          <w:rFonts w:ascii="Times New Roman" w:hAnsi="Times New Roman" w:cs="Times New Roman"/>
          <w:sz w:val="24"/>
          <w:szCs w:val="24"/>
        </w:rPr>
        <w:t xml:space="preserve">, </w:t>
      </w:r>
      <w:r w:rsidRPr="00733AB5">
        <w:rPr>
          <w:rFonts w:ascii="Times New Roman" w:hAnsi="Times New Roman" w:cs="Times New Roman"/>
          <w:sz w:val="24"/>
          <w:szCs w:val="24"/>
        </w:rPr>
        <w:t>from the Sahel to Southeast Asia</w:t>
      </w:r>
      <w:r>
        <w:rPr>
          <w:rFonts w:ascii="Times New Roman" w:hAnsi="Times New Roman" w:cs="Times New Roman"/>
          <w:sz w:val="24"/>
          <w:szCs w:val="24"/>
        </w:rPr>
        <w:t xml:space="preserve">, </w:t>
      </w:r>
      <w:r w:rsidRPr="00733AB5">
        <w:rPr>
          <w:rFonts w:ascii="Times New Roman" w:hAnsi="Times New Roman" w:cs="Times New Roman"/>
          <w:sz w:val="24"/>
          <w:szCs w:val="24"/>
        </w:rPr>
        <w:t>demonstrate how the crime-terror nexus has become institutionalized within armed groups. Theoretical frameworks such as "black hole syndrome" (Makarenko, 2004</w:t>
      </w:r>
      <w:r w:rsidR="002E3142">
        <w:rPr>
          <w:rFonts w:ascii="Times New Roman" w:hAnsi="Times New Roman" w:cs="Times New Roman"/>
          <w:sz w:val="24"/>
          <w:szCs w:val="24"/>
        </w:rPr>
        <w:t>, P-132</w:t>
      </w:r>
      <w:r w:rsidRPr="00733AB5">
        <w:rPr>
          <w:rFonts w:ascii="Times New Roman" w:hAnsi="Times New Roman" w:cs="Times New Roman"/>
          <w:sz w:val="24"/>
          <w:szCs w:val="24"/>
        </w:rPr>
        <w:t>) explain how regions experiencing governance vacuums provide fertile ground for such convergence. Similarly, the concept of “convergence spaces” (</w:t>
      </w:r>
      <w:proofErr w:type="spellStart"/>
      <w:r w:rsidRPr="00733AB5">
        <w:rPr>
          <w:rFonts w:ascii="Times New Roman" w:hAnsi="Times New Roman" w:cs="Times New Roman"/>
          <w:sz w:val="24"/>
          <w:szCs w:val="24"/>
        </w:rPr>
        <w:t>Muggah</w:t>
      </w:r>
      <w:proofErr w:type="spellEnd"/>
      <w:r w:rsidRPr="00733AB5">
        <w:rPr>
          <w:rFonts w:ascii="Times New Roman" w:hAnsi="Times New Roman" w:cs="Times New Roman"/>
          <w:sz w:val="24"/>
          <w:szCs w:val="24"/>
        </w:rPr>
        <w:t xml:space="preserve"> &amp; O’Neill, 2019) emphasizes the role of geographic zones</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borderlands, urban slums, and ports</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as intersections where criminal and terrorist economies integrate.</w:t>
      </w:r>
    </w:p>
    <w:p w14:paraId="74B0CED0" w14:textId="1C45D056"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Terrorism and organized crime have often been conceptualized as distinct threats; however, they can converge in complex ways. According to </w:t>
      </w:r>
      <w:r w:rsidR="005D4CD4">
        <w:rPr>
          <w:rFonts w:ascii="Times New Roman" w:hAnsi="Times New Roman" w:cs="Times New Roman"/>
          <w:sz w:val="24"/>
          <w:szCs w:val="24"/>
        </w:rPr>
        <w:t>(</w:t>
      </w:r>
      <w:r w:rsidRPr="00733AB5">
        <w:rPr>
          <w:rFonts w:ascii="Times New Roman" w:hAnsi="Times New Roman" w:cs="Times New Roman"/>
          <w:sz w:val="24"/>
          <w:szCs w:val="24"/>
        </w:rPr>
        <w:t>Makarenko</w:t>
      </w:r>
      <w:r w:rsidR="005D4CD4">
        <w:rPr>
          <w:rFonts w:ascii="Times New Roman" w:hAnsi="Times New Roman" w:cs="Times New Roman"/>
          <w:sz w:val="24"/>
          <w:szCs w:val="24"/>
        </w:rPr>
        <w:t xml:space="preserve">, </w:t>
      </w:r>
      <w:r w:rsidRPr="00733AB5">
        <w:rPr>
          <w:rFonts w:ascii="Times New Roman" w:hAnsi="Times New Roman" w:cs="Times New Roman"/>
          <w:sz w:val="24"/>
          <w:szCs w:val="24"/>
        </w:rPr>
        <w:t>2004), this relationship lies along a continuum. At one end, criminal organizations may adopt ideological motives, while at the other, terrorist groups may engage in organized crime purely for funding. The grey area in between represents hybrid entities that merge both purposes.</w:t>
      </w:r>
    </w:p>
    <w:p w14:paraId="3DFAF5DA"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Phil Williams (2009) reinforces this, arguing that globalization, porous borders, and technological advancement have contributed to this merger. He identifies that both terrorists and criminals exploit weak state structures, access illicit markets, and rely on clandestine networks. Understanding these overlaps is essential for effective counter-terrorism efforts.</w:t>
      </w:r>
    </w:p>
    <w:p w14:paraId="01AFF996" w14:textId="77777777" w:rsidR="008B52D1"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Financial Motivations Terrorist groups require substantial financial resources to operate</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 xml:space="preserve">funding recruitment, weapons, logistics, propaganda, and sometimes, governance. Without state sponsorship or external donors, many groups turn to illicit activities. </w:t>
      </w:r>
    </w:p>
    <w:p w14:paraId="35A98A21" w14:textId="77777777" w:rsidR="008B52D1"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lastRenderedPageBreak/>
        <w:t>These include</w:t>
      </w:r>
      <w:r w:rsidR="00AE1397">
        <w:rPr>
          <w:rFonts w:ascii="Times New Roman" w:hAnsi="Times New Roman" w:cs="Times New Roman"/>
          <w:sz w:val="24"/>
          <w:szCs w:val="24"/>
        </w:rPr>
        <w:t xml:space="preserve"> d</w:t>
      </w:r>
      <w:r w:rsidRPr="00733AB5">
        <w:rPr>
          <w:rFonts w:ascii="Times New Roman" w:hAnsi="Times New Roman" w:cs="Times New Roman"/>
          <w:sz w:val="24"/>
          <w:szCs w:val="24"/>
        </w:rPr>
        <w:t xml:space="preserve">rug trafficking (e.g., </w:t>
      </w:r>
      <w:r w:rsidR="00897F8A" w:rsidRPr="00897F8A">
        <w:rPr>
          <w:rFonts w:ascii="Times New Roman" w:hAnsi="Times New Roman" w:cs="Times New Roman"/>
          <w:sz w:val="24"/>
          <w:szCs w:val="24"/>
        </w:rPr>
        <w:t>A hallmark example is the Taliban’s dominance over Afghanistan’s opium economy. In many years, the Taliban has taxed opium producers and traffickers, raising hundreds of millions of dollars annually. This revenue fuels insurgent operations and provides critical fiscal autonomy.</w:t>
      </w:r>
      <w:r w:rsidR="00897F8A">
        <w:rPr>
          <w:rFonts w:ascii="Times New Roman" w:hAnsi="Times New Roman" w:cs="Times New Roman"/>
          <w:sz w:val="24"/>
          <w:szCs w:val="24"/>
        </w:rPr>
        <w:t xml:space="preserve">) </w:t>
      </w:r>
    </w:p>
    <w:p w14:paraId="574ED4FD" w14:textId="77777777" w:rsidR="008B52D1" w:rsidRDefault="00C8402B" w:rsidP="00BC2FCC">
      <w:pPr>
        <w:jc w:val="both"/>
        <w:rPr>
          <w:rFonts w:ascii="Times New Roman" w:hAnsi="Times New Roman" w:cs="Times New Roman"/>
          <w:sz w:val="24"/>
          <w:szCs w:val="24"/>
        </w:rPr>
      </w:pPr>
      <w:r>
        <w:rPr>
          <w:rFonts w:ascii="Times New Roman" w:hAnsi="Times New Roman" w:cs="Times New Roman"/>
          <w:sz w:val="24"/>
          <w:szCs w:val="24"/>
        </w:rPr>
        <w:t>K</w:t>
      </w:r>
      <w:r w:rsidR="00BC2FCC" w:rsidRPr="00733AB5">
        <w:rPr>
          <w:rFonts w:ascii="Times New Roman" w:hAnsi="Times New Roman" w:cs="Times New Roman"/>
          <w:sz w:val="24"/>
          <w:szCs w:val="24"/>
        </w:rPr>
        <w:t xml:space="preserve">idnapping for ransom (e.g., </w:t>
      </w:r>
      <w:r w:rsidRPr="00C8402B">
        <w:rPr>
          <w:rFonts w:ascii="Times New Roman" w:hAnsi="Times New Roman" w:cs="Times New Roman"/>
          <w:sz w:val="24"/>
          <w:szCs w:val="24"/>
        </w:rPr>
        <w:t>Groups like Boko Haram and Abu Sayyaf have at times raised tens of millions of dollars through carefully orchestrated kidnappings of locals, tourists, and foreign nationals</w:t>
      </w:r>
      <w:r w:rsidR="00BC2FCC" w:rsidRPr="00733AB5">
        <w:rPr>
          <w:rFonts w:ascii="Times New Roman" w:hAnsi="Times New Roman" w:cs="Times New Roman"/>
          <w:sz w:val="24"/>
          <w:szCs w:val="24"/>
        </w:rPr>
        <w:t>)</w:t>
      </w:r>
      <w:r>
        <w:rPr>
          <w:rFonts w:ascii="Times New Roman" w:hAnsi="Times New Roman" w:cs="Times New Roman"/>
          <w:sz w:val="24"/>
          <w:szCs w:val="24"/>
        </w:rPr>
        <w:t>.</w:t>
      </w:r>
      <w:r w:rsidR="00AE1397">
        <w:rPr>
          <w:rFonts w:ascii="Times New Roman" w:hAnsi="Times New Roman" w:cs="Times New Roman"/>
          <w:sz w:val="24"/>
          <w:szCs w:val="24"/>
        </w:rPr>
        <w:t xml:space="preserve"> </w:t>
      </w:r>
    </w:p>
    <w:p w14:paraId="7336A86D" w14:textId="77777777" w:rsidR="008B52D1" w:rsidRDefault="00C8402B" w:rsidP="00BC2FCC">
      <w:pPr>
        <w:jc w:val="both"/>
        <w:rPr>
          <w:rFonts w:ascii="Times New Roman" w:hAnsi="Times New Roman" w:cs="Times New Roman"/>
          <w:sz w:val="24"/>
          <w:szCs w:val="24"/>
        </w:rPr>
      </w:pPr>
      <w:r>
        <w:rPr>
          <w:rFonts w:ascii="Times New Roman" w:hAnsi="Times New Roman" w:cs="Times New Roman"/>
          <w:sz w:val="24"/>
          <w:szCs w:val="24"/>
        </w:rPr>
        <w:t>I</w:t>
      </w:r>
      <w:r w:rsidR="00BC2FCC" w:rsidRPr="00733AB5">
        <w:rPr>
          <w:rFonts w:ascii="Times New Roman" w:hAnsi="Times New Roman" w:cs="Times New Roman"/>
          <w:sz w:val="24"/>
          <w:szCs w:val="24"/>
        </w:rPr>
        <w:t xml:space="preserve">llegal oil smuggling (e.g., </w:t>
      </w:r>
      <w:r w:rsidR="004C3A1E" w:rsidRPr="004C3A1E">
        <w:rPr>
          <w:rFonts w:ascii="Times New Roman" w:hAnsi="Times New Roman" w:cs="Times New Roman"/>
          <w:sz w:val="24"/>
          <w:szCs w:val="24"/>
        </w:rPr>
        <w:t>During its peak (2014–2017), ISIS derived around $1 million per day from controlling and selling crude oil in Iraq and Syria, a substantial chunk of its operational budget</w:t>
      </w:r>
      <w:r w:rsidR="00BC2FCC" w:rsidRPr="00733AB5">
        <w:rPr>
          <w:rFonts w:ascii="Times New Roman" w:hAnsi="Times New Roman" w:cs="Times New Roman"/>
          <w:sz w:val="24"/>
          <w:szCs w:val="24"/>
        </w:rPr>
        <w:t>)</w:t>
      </w:r>
      <w:r w:rsidR="004C3A1E">
        <w:rPr>
          <w:rFonts w:ascii="Times New Roman" w:hAnsi="Times New Roman" w:cs="Times New Roman"/>
          <w:sz w:val="24"/>
          <w:szCs w:val="24"/>
        </w:rPr>
        <w:t>.</w:t>
      </w:r>
      <w:r w:rsidR="00AE1397">
        <w:rPr>
          <w:rFonts w:ascii="Times New Roman" w:hAnsi="Times New Roman" w:cs="Times New Roman"/>
          <w:sz w:val="24"/>
          <w:szCs w:val="24"/>
        </w:rPr>
        <w:t xml:space="preserve"> </w:t>
      </w:r>
    </w:p>
    <w:p w14:paraId="3DD2B85B" w14:textId="75EB23FE" w:rsidR="00DA2C8A" w:rsidRDefault="004C3A1E" w:rsidP="00BC2FCC">
      <w:pPr>
        <w:jc w:val="both"/>
        <w:rPr>
          <w:rFonts w:ascii="Times New Roman" w:hAnsi="Times New Roman" w:cs="Times New Roman"/>
          <w:sz w:val="24"/>
          <w:szCs w:val="24"/>
        </w:rPr>
      </w:pPr>
      <w:r>
        <w:rPr>
          <w:rFonts w:ascii="Times New Roman" w:hAnsi="Times New Roman" w:cs="Times New Roman"/>
          <w:sz w:val="24"/>
          <w:szCs w:val="24"/>
        </w:rPr>
        <w:t>H</w:t>
      </w:r>
      <w:r w:rsidR="00BC2FCC" w:rsidRPr="00733AB5">
        <w:rPr>
          <w:rFonts w:ascii="Times New Roman" w:hAnsi="Times New Roman" w:cs="Times New Roman"/>
          <w:sz w:val="24"/>
          <w:szCs w:val="24"/>
        </w:rPr>
        <w:t>uman trafficking and extortion</w:t>
      </w:r>
      <w:r w:rsidR="00AE1397">
        <w:rPr>
          <w:rFonts w:ascii="Times New Roman" w:hAnsi="Times New Roman" w:cs="Times New Roman"/>
          <w:sz w:val="24"/>
          <w:szCs w:val="24"/>
        </w:rPr>
        <w:t>.</w:t>
      </w:r>
      <w:r w:rsidR="00DA2C8A">
        <w:rPr>
          <w:rFonts w:ascii="Times New Roman" w:hAnsi="Times New Roman" w:cs="Times New Roman"/>
          <w:sz w:val="24"/>
          <w:szCs w:val="24"/>
        </w:rPr>
        <w:t xml:space="preserve"> </w:t>
      </w:r>
      <w:r w:rsidR="00971392" w:rsidRPr="00971392">
        <w:rPr>
          <w:rFonts w:ascii="Times New Roman" w:hAnsi="Times New Roman" w:cs="Times New Roman"/>
          <w:sz w:val="24"/>
          <w:szCs w:val="24"/>
        </w:rPr>
        <w:t>Terrorist groups often prey upon vulnerable populations</w:t>
      </w:r>
      <w:r w:rsidR="00971392">
        <w:rPr>
          <w:rFonts w:ascii="Times New Roman" w:hAnsi="Times New Roman" w:cs="Times New Roman"/>
          <w:sz w:val="24"/>
          <w:szCs w:val="24"/>
        </w:rPr>
        <w:t xml:space="preserve">, </w:t>
      </w:r>
      <w:r w:rsidR="00971392" w:rsidRPr="00971392">
        <w:rPr>
          <w:rFonts w:ascii="Times New Roman" w:hAnsi="Times New Roman" w:cs="Times New Roman"/>
          <w:sz w:val="24"/>
          <w:szCs w:val="24"/>
        </w:rPr>
        <w:t>such as refugees, IDPs, and migrants</w:t>
      </w:r>
      <w:r w:rsidR="00971392">
        <w:rPr>
          <w:rFonts w:ascii="Times New Roman" w:hAnsi="Times New Roman" w:cs="Times New Roman"/>
          <w:sz w:val="24"/>
          <w:szCs w:val="24"/>
        </w:rPr>
        <w:t xml:space="preserve">, </w:t>
      </w:r>
      <w:r w:rsidR="00971392" w:rsidRPr="00971392">
        <w:rPr>
          <w:rFonts w:ascii="Times New Roman" w:hAnsi="Times New Roman" w:cs="Times New Roman"/>
          <w:sz w:val="24"/>
          <w:szCs w:val="24"/>
        </w:rPr>
        <w:t>engaging in exploitative schemes that augment both finances and social control.</w:t>
      </w:r>
    </w:p>
    <w:p w14:paraId="13BFD935" w14:textId="33CB965C" w:rsidR="00BC2FCC" w:rsidRPr="00733AB5" w:rsidRDefault="00DA2C8A" w:rsidP="00BC2FCC">
      <w:pPr>
        <w:jc w:val="both"/>
        <w:rPr>
          <w:rFonts w:ascii="Times New Roman" w:hAnsi="Times New Roman" w:cs="Times New Roman"/>
          <w:sz w:val="24"/>
          <w:szCs w:val="24"/>
        </w:rPr>
      </w:pPr>
      <w:r w:rsidRPr="00DA2C8A">
        <w:rPr>
          <w:rFonts w:ascii="Times New Roman" w:hAnsi="Times New Roman" w:cs="Times New Roman"/>
          <w:sz w:val="24"/>
          <w:szCs w:val="24"/>
        </w:rPr>
        <w:t>Sustaining a terrorist campaign requires considerable resources</w:t>
      </w:r>
      <w:r w:rsidR="000C7528">
        <w:rPr>
          <w:rFonts w:ascii="Times New Roman" w:hAnsi="Times New Roman" w:cs="Times New Roman"/>
          <w:sz w:val="24"/>
          <w:szCs w:val="24"/>
        </w:rPr>
        <w:t>,</w:t>
      </w:r>
      <w:r w:rsidRPr="00DA2C8A">
        <w:rPr>
          <w:rFonts w:ascii="Times New Roman" w:hAnsi="Times New Roman" w:cs="Times New Roman"/>
          <w:sz w:val="24"/>
          <w:szCs w:val="24"/>
        </w:rPr>
        <w:t xml:space="preserve"> funding recruitment drives, procuring weaponry, maintaining logistics chains, developing propaganda, administering governance structures, and supporting leadership cadres. While ideological patrons and state sponsors may provide initial funding, the durability of chronic operations often depends on illicit income sources. Without reliable legitimate revenue streams, many terrorist organizations gravitate toward systematic criminal behaviour.</w:t>
      </w:r>
    </w:p>
    <w:p w14:paraId="41FC85B8"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Shelley and Picarelli (2005) argue that terrorist groups increasingly rely on such criminal activities, especially when isolated from legitimate financing. For example, ISIS reportedly earned over $1 million daily from oil smuggling alone in 2015 (Center for Security Studies, 2025).</w:t>
      </w:r>
    </w:p>
    <w:p w14:paraId="70765E34" w14:textId="4F834BC8"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Operational </w:t>
      </w:r>
      <w:r w:rsidR="00AE1397">
        <w:rPr>
          <w:rFonts w:ascii="Times New Roman" w:hAnsi="Times New Roman" w:cs="Times New Roman"/>
          <w:sz w:val="24"/>
          <w:szCs w:val="24"/>
        </w:rPr>
        <w:t>f</w:t>
      </w:r>
      <w:r w:rsidRPr="00733AB5">
        <w:rPr>
          <w:rFonts w:ascii="Times New Roman" w:hAnsi="Times New Roman" w:cs="Times New Roman"/>
          <w:sz w:val="24"/>
          <w:szCs w:val="24"/>
        </w:rPr>
        <w:t>lexibility</w:t>
      </w:r>
      <w:r w:rsidR="00AE1397">
        <w:rPr>
          <w:rFonts w:ascii="Times New Roman" w:hAnsi="Times New Roman" w:cs="Times New Roman"/>
          <w:sz w:val="24"/>
          <w:szCs w:val="24"/>
        </w:rPr>
        <w:t>, s</w:t>
      </w:r>
      <w:r w:rsidRPr="00733AB5">
        <w:rPr>
          <w:rFonts w:ascii="Times New Roman" w:hAnsi="Times New Roman" w:cs="Times New Roman"/>
          <w:sz w:val="24"/>
          <w:szCs w:val="24"/>
        </w:rPr>
        <w:t>hared logistics networks have also enabled terrorists to scale up operations and evade state surveillance. For example, in North Africa, routes historically used for smuggling cigarettes and contraband now serve as corridors for jihadist arms and fighters. These routes are sustained by informal economies that are deeply embedded in local cultures, making them difficult to disrupt. Moreover, many facilitators are “dual-use” actors—traders, fixers, and transporters who interact with both criminal and terrorist groups, often without ideological commitment.</w:t>
      </w:r>
    </w:p>
    <w:p w14:paraId="0808D4B3"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Criminal activities also provide logistical support. Smuggling routes used by drug cartels often double as arms trafficking corridors for terrorists. These shared resources create operational synergies between criminal and terrorist networks. According to Dishman (2005), cooperation may evolve from temporary alliances into more integrated partnerships.</w:t>
      </w:r>
    </w:p>
    <w:p w14:paraId="5581CC28" w14:textId="2AFBBD0E"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Strategic Necessity</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In areas with weak governance, terrorist groups may assume criminal roles to maintain control. For instance, Al-Shabaab in Somalia taxed local businesses and controlled trade routes to reinforce its authority, using extortion as a strategic tool (Center for Security Studies, 2025).</w:t>
      </w:r>
    </w:p>
    <w:p w14:paraId="76E2D139" w14:textId="77777777" w:rsidR="00517BF2" w:rsidRDefault="00BC2FCC" w:rsidP="00517BF2">
      <w:pPr>
        <w:jc w:val="both"/>
        <w:rPr>
          <w:rFonts w:ascii="Times New Roman" w:hAnsi="Times New Roman" w:cs="Times New Roman"/>
          <w:sz w:val="24"/>
          <w:szCs w:val="24"/>
        </w:rPr>
      </w:pPr>
      <w:r w:rsidRPr="00733AB5">
        <w:rPr>
          <w:rFonts w:ascii="Times New Roman" w:hAnsi="Times New Roman" w:cs="Times New Roman"/>
          <w:sz w:val="24"/>
          <w:szCs w:val="24"/>
        </w:rPr>
        <w:t>Islamic State (ISIS)</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 xml:space="preserve">serves as a textbook example of a hybrid terrorist-criminal organization. Though ideologically motivated, it relied heavily on oil smuggling, kidnapping, and extortion to finance its operations. According to The Guardian (2024), even large companies such as </w:t>
      </w:r>
      <w:r w:rsidRPr="00733AB5">
        <w:rPr>
          <w:rFonts w:ascii="Times New Roman" w:hAnsi="Times New Roman" w:cs="Times New Roman"/>
          <w:sz w:val="24"/>
          <w:szCs w:val="24"/>
        </w:rPr>
        <w:lastRenderedPageBreak/>
        <w:t>Lafarge made payments to ISIS to continue operations in conflict zones, indirectly funding terrorism.</w:t>
      </w:r>
      <w:r w:rsidR="00517BF2">
        <w:rPr>
          <w:rFonts w:ascii="Times New Roman" w:hAnsi="Times New Roman" w:cs="Times New Roman"/>
          <w:sz w:val="24"/>
          <w:szCs w:val="24"/>
        </w:rPr>
        <w:t xml:space="preserve"> </w:t>
      </w:r>
    </w:p>
    <w:p w14:paraId="02A8A6F1" w14:textId="0A1FEED4" w:rsidR="00517BF2" w:rsidRPr="00517BF2" w:rsidRDefault="00517BF2" w:rsidP="00517BF2">
      <w:pPr>
        <w:jc w:val="both"/>
        <w:rPr>
          <w:rFonts w:ascii="Times New Roman" w:hAnsi="Times New Roman" w:cs="Times New Roman"/>
          <w:sz w:val="24"/>
          <w:szCs w:val="24"/>
        </w:rPr>
      </w:pPr>
      <w:r w:rsidRPr="00517BF2">
        <w:rPr>
          <w:rFonts w:ascii="Times New Roman" w:hAnsi="Times New Roman" w:cs="Times New Roman"/>
          <w:sz w:val="24"/>
          <w:szCs w:val="24"/>
        </w:rPr>
        <w:t>The Islamic State exemplifies the modern convergence of terror and criminality in stark terms. By 2014, ISIS controlled vast swathes of Iraq and Syria, leveraging territorial dominion to monetize natural resources, criminal markets, and coercive governance.</w:t>
      </w:r>
      <w:r>
        <w:rPr>
          <w:rFonts w:ascii="Times New Roman" w:hAnsi="Times New Roman" w:cs="Times New Roman"/>
          <w:sz w:val="24"/>
          <w:szCs w:val="24"/>
        </w:rPr>
        <w:t xml:space="preserve"> One way is o</w:t>
      </w:r>
      <w:r w:rsidRPr="00517BF2">
        <w:rPr>
          <w:rFonts w:ascii="Times New Roman" w:hAnsi="Times New Roman" w:cs="Times New Roman"/>
          <w:sz w:val="24"/>
          <w:szCs w:val="24"/>
        </w:rPr>
        <w:t>il Smuggling</w:t>
      </w:r>
      <w:r>
        <w:rPr>
          <w:rFonts w:ascii="Times New Roman" w:hAnsi="Times New Roman" w:cs="Times New Roman"/>
          <w:sz w:val="24"/>
          <w:szCs w:val="24"/>
        </w:rPr>
        <w:t xml:space="preserve">. </w:t>
      </w:r>
      <w:r w:rsidRPr="00517BF2">
        <w:rPr>
          <w:rFonts w:ascii="Times New Roman" w:hAnsi="Times New Roman" w:cs="Times New Roman"/>
          <w:sz w:val="24"/>
          <w:szCs w:val="24"/>
        </w:rPr>
        <w:t>ISIS took control of production facilities and pipelines, selling oil via smuggling networks in Turkey and Iraq. Daily revenues during peak periods ranged from $500,000 to $3 million based on various estimates</w:t>
      </w:r>
      <w:r>
        <w:rPr>
          <w:rFonts w:ascii="Times New Roman" w:hAnsi="Times New Roman" w:cs="Times New Roman"/>
          <w:sz w:val="24"/>
          <w:szCs w:val="24"/>
        </w:rPr>
        <w:t>. Another is k</w:t>
      </w:r>
      <w:r w:rsidRPr="00517BF2">
        <w:rPr>
          <w:rFonts w:ascii="Times New Roman" w:hAnsi="Times New Roman" w:cs="Times New Roman"/>
          <w:sz w:val="24"/>
          <w:szCs w:val="24"/>
        </w:rPr>
        <w:t xml:space="preserve">idnapping and </w:t>
      </w:r>
      <w:r>
        <w:rPr>
          <w:rFonts w:ascii="Times New Roman" w:hAnsi="Times New Roman" w:cs="Times New Roman"/>
          <w:sz w:val="24"/>
          <w:szCs w:val="24"/>
        </w:rPr>
        <w:t>e</w:t>
      </w:r>
      <w:r w:rsidRPr="00517BF2">
        <w:rPr>
          <w:rFonts w:ascii="Times New Roman" w:hAnsi="Times New Roman" w:cs="Times New Roman"/>
          <w:sz w:val="24"/>
          <w:szCs w:val="24"/>
        </w:rPr>
        <w:t>xtortion</w:t>
      </w:r>
      <w:r>
        <w:rPr>
          <w:rFonts w:ascii="Times New Roman" w:hAnsi="Times New Roman" w:cs="Times New Roman"/>
          <w:sz w:val="24"/>
          <w:szCs w:val="24"/>
        </w:rPr>
        <w:t>,</w:t>
      </w:r>
      <w:r w:rsidRPr="00517BF2">
        <w:rPr>
          <w:rFonts w:ascii="Times New Roman" w:hAnsi="Times New Roman" w:cs="Times New Roman"/>
          <w:sz w:val="24"/>
          <w:szCs w:val="24"/>
        </w:rPr>
        <w:t xml:space="preserve"> ISIS exploited religious and sectarian oppression to generate ransom payments. Hostages were often sold to intermediaries, while locals were subject to forced taxation under the guise of sharia-based governance.</w:t>
      </w:r>
    </w:p>
    <w:p w14:paraId="08DD5A86" w14:textId="7D1E3CDA"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Abu Sayyaf Group (ASG)</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 xml:space="preserve">Operating in the Philippines, ASG blends ideological goals with criminal </w:t>
      </w:r>
      <w:r w:rsidR="00AE1397" w:rsidRPr="00733AB5">
        <w:rPr>
          <w:rFonts w:ascii="Times New Roman" w:hAnsi="Times New Roman" w:cs="Times New Roman"/>
          <w:sz w:val="24"/>
          <w:szCs w:val="24"/>
        </w:rPr>
        <w:t>endeavours</w:t>
      </w:r>
      <w:r w:rsidRPr="00733AB5">
        <w:rPr>
          <w:rFonts w:ascii="Times New Roman" w:hAnsi="Times New Roman" w:cs="Times New Roman"/>
          <w:sz w:val="24"/>
          <w:szCs w:val="24"/>
        </w:rPr>
        <w:t xml:space="preserve">. The group gained international notoriety for high-profile kidnappings. In the 2000 </w:t>
      </w:r>
      <w:proofErr w:type="spellStart"/>
      <w:r w:rsidRPr="00733AB5">
        <w:rPr>
          <w:rFonts w:ascii="Times New Roman" w:hAnsi="Times New Roman" w:cs="Times New Roman"/>
          <w:sz w:val="24"/>
          <w:szCs w:val="24"/>
        </w:rPr>
        <w:t>Sipadan</w:t>
      </w:r>
      <w:proofErr w:type="spellEnd"/>
      <w:r w:rsidRPr="00733AB5">
        <w:rPr>
          <w:rFonts w:ascii="Times New Roman" w:hAnsi="Times New Roman" w:cs="Times New Roman"/>
          <w:sz w:val="24"/>
          <w:szCs w:val="24"/>
        </w:rPr>
        <w:t xml:space="preserve"> and 2001 Dos Palmas incidents, tourists were abducted and released for ransom (Wikipedia, 2025). These actions generated millions of dollars and prolonged ASG's operational capacity.</w:t>
      </w:r>
    </w:p>
    <w:p w14:paraId="59429536" w14:textId="51851015"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Al-Shabaa</w:t>
      </w:r>
      <w:r w:rsidR="00AE1397">
        <w:rPr>
          <w:rFonts w:ascii="Times New Roman" w:hAnsi="Times New Roman" w:cs="Times New Roman"/>
          <w:sz w:val="24"/>
          <w:szCs w:val="24"/>
        </w:rPr>
        <w:t xml:space="preserve">b. </w:t>
      </w:r>
      <w:r w:rsidRPr="00733AB5">
        <w:rPr>
          <w:rFonts w:ascii="Times New Roman" w:hAnsi="Times New Roman" w:cs="Times New Roman"/>
          <w:sz w:val="24"/>
          <w:szCs w:val="24"/>
        </w:rPr>
        <w:t>Beyond ideological aspirations, Al-Shabaab has engaged in illegal charcoal exports despite international bans. Between 2012–2017, this trade allegedly earned them $400 million (Center for Security Studies, 2025). These profits funded operations, recruitment, and internal governance, making Al-Shabaab both a criminal cartel and an insurgent force.</w:t>
      </w:r>
    </w:p>
    <w:p w14:paraId="7A42D092" w14:textId="1E60F945"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Tren de Aragua (</w:t>
      </w:r>
      <w:proofErr w:type="spellStart"/>
      <w:r w:rsidRPr="00733AB5">
        <w:rPr>
          <w:rFonts w:ascii="Times New Roman" w:hAnsi="Times New Roman" w:cs="Times New Roman"/>
          <w:sz w:val="24"/>
          <w:szCs w:val="24"/>
        </w:rPr>
        <w:t>TdA</w:t>
      </w:r>
      <w:proofErr w:type="spellEnd"/>
      <w:r w:rsidRPr="00733AB5">
        <w:rPr>
          <w:rFonts w:ascii="Times New Roman" w:hAnsi="Times New Roman" w:cs="Times New Roman"/>
          <w:sz w:val="24"/>
          <w:szCs w:val="24"/>
        </w:rPr>
        <w:t xml:space="preserve">) transnational expansion has involved strategic alliances with local criminal syndicates in Colombia, Brazil, and Peru. Their infiltration into these regions has included deploying members with military-grade training and forming temporary pacts with insurgent or politically violent actors. Such alliances are often opportunistic and evolve based on shared enemies or market interests, particularly in illegal mining and synthetic drug production. As such, </w:t>
      </w:r>
      <w:proofErr w:type="spellStart"/>
      <w:r w:rsidRPr="00733AB5">
        <w:rPr>
          <w:rFonts w:ascii="Times New Roman" w:hAnsi="Times New Roman" w:cs="Times New Roman"/>
          <w:sz w:val="24"/>
          <w:szCs w:val="24"/>
        </w:rPr>
        <w:t>TdA</w:t>
      </w:r>
      <w:proofErr w:type="spellEnd"/>
      <w:r w:rsidRPr="00733AB5">
        <w:rPr>
          <w:rFonts w:ascii="Times New Roman" w:hAnsi="Times New Roman" w:cs="Times New Roman"/>
          <w:sz w:val="24"/>
          <w:szCs w:val="24"/>
        </w:rPr>
        <w:t xml:space="preserve"> illustrates how a purely criminal group can gradually adopt terrorist methods—intimidation, propaganda, public executions—to maintain territorial control.</w:t>
      </w:r>
    </w:p>
    <w:p w14:paraId="7048761C"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Though originally a prison gang in Venezuela, </w:t>
      </w:r>
      <w:proofErr w:type="spellStart"/>
      <w:r w:rsidRPr="00733AB5">
        <w:rPr>
          <w:rFonts w:ascii="Times New Roman" w:hAnsi="Times New Roman" w:cs="Times New Roman"/>
          <w:sz w:val="24"/>
          <w:szCs w:val="24"/>
        </w:rPr>
        <w:t>TdA</w:t>
      </w:r>
      <w:proofErr w:type="spellEnd"/>
      <w:r w:rsidRPr="00733AB5">
        <w:rPr>
          <w:rFonts w:ascii="Times New Roman" w:hAnsi="Times New Roman" w:cs="Times New Roman"/>
          <w:sz w:val="24"/>
          <w:szCs w:val="24"/>
        </w:rPr>
        <w:t xml:space="preserve"> has evolved into a transnational group engaged in drug trafficking and extortion. In 2025, the U.S. Justice Department filed its first terrorism case against a </w:t>
      </w:r>
      <w:proofErr w:type="spellStart"/>
      <w:r w:rsidRPr="00733AB5">
        <w:rPr>
          <w:rFonts w:ascii="Times New Roman" w:hAnsi="Times New Roman" w:cs="Times New Roman"/>
          <w:sz w:val="24"/>
          <w:szCs w:val="24"/>
        </w:rPr>
        <w:t>TdA</w:t>
      </w:r>
      <w:proofErr w:type="spellEnd"/>
      <w:r w:rsidRPr="00733AB5">
        <w:rPr>
          <w:rFonts w:ascii="Times New Roman" w:hAnsi="Times New Roman" w:cs="Times New Roman"/>
          <w:sz w:val="24"/>
          <w:szCs w:val="24"/>
        </w:rPr>
        <w:t xml:space="preserve"> leader, recognizing the blurred lines between organized crime and terrorism (AP News, 2025). This case signifies how modern terrorist entities increasingly resemble sophisticated criminal syndicates.</w:t>
      </w:r>
    </w:p>
    <w:p w14:paraId="26E800CA" w14:textId="241ED541"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Implications for </w:t>
      </w:r>
      <w:r w:rsidR="00AE1397" w:rsidRPr="00733AB5">
        <w:rPr>
          <w:rFonts w:ascii="Times New Roman" w:hAnsi="Times New Roman" w:cs="Times New Roman"/>
          <w:sz w:val="24"/>
          <w:szCs w:val="24"/>
        </w:rPr>
        <w:t>Counterterrorism</w:t>
      </w:r>
      <w:r w:rsidRPr="00733AB5">
        <w:rPr>
          <w:rFonts w:ascii="Times New Roman" w:hAnsi="Times New Roman" w:cs="Times New Roman"/>
          <w:sz w:val="24"/>
          <w:szCs w:val="24"/>
        </w:rPr>
        <w:t xml:space="preserve"> Policing The growing sophistication of hybrid threats also necessitates advanced data analysis tools and algorithms capable of identifying patterns in financial transactions, travel movements, and digital communications. Predictive policing models, while ethically contested, are increasingly used in efforts to anticipate and disrupt crime-terror alliances before they materialize operationally. Moreover, regional police forces must be trained not only in traditional law enforcement but also in cyber forensics, financial intelligence, and community engagement</w:t>
      </w:r>
      <w:r w:rsidR="00816AC0">
        <w:rPr>
          <w:rFonts w:ascii="Times New Roman" w:hAnsi="Times New Roman" w:cs="Times New Roman"/>
          <w:sz w:val="24"/>
          <w:szCs w:val="24"/>
        </w:rPr>
        <w:t xml:space="preserve">, </w:t>
      </w:r>
      <w:r w:rsidRPr="00733AB5">
        <w:rPr>
          <w:rFonts w:ascii="Times New Roman" w:hAnsi="Times New Roman" w:cs="Times New Roman"/>
          <w:sz w:val="24"/>
          <w:szCs w:val="24"/>
        </w:rPr>
        <w:t>creating a new professional profile of the counter-terrorism officer.</w:t>
      </w:r>
    </w:p>
    <w:p w14:paraId="348D1EDD" w14:textId="07550B5C"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Understanding the crime-terror nexus has practical and strategic implications for policing.</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 xml:space="preserve">Intelligence Sharing and Integration Traditional policing separates organized crime units from counter-terrorism divisions. However, the hybrid nature of threats necessitates inter-agency </w:t>
      </w:r>
      <w:r w:rsidRPr="00733AB5">
        <w:rPr>
          <w:rFonts w:ascii="Times New Roman" w:hAnsi="Times New Roman" w:cs="Times New Roman"/>
          <w:sz w:val="24"/>
          <w:szCs w:val="24"/>
        </w:rPr>
        <w:lastRenderedPageBreak/>
        <w:t>collaboration. Police must integrate data on financial transactions, trafficking routes, and ideological threats. Europol and Interpol already provide frameworks for this, but national implementation varies.</w:t>
      </w:r>
    </w:p>
    <w:p w14:paraId="1EFDA087"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Counter-terrorism should focus not only on the ideological aspect but also on the financial mechanisms of terror groups. This includes tracking suspicious bank transactions, dismantling money laundering networks, and seizing illicit assets. According to Levitt (2013), financial disruption has proven effective in weakening groups like Hezbollah.</w:t>
      </w:r>
    </w:p>
    <w:p w14:paraId="4F34C466"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Countries must adapt legal tools to address dual-purpose organizations. Laws that address terrorism separately from organized crime may fail to prosecute hybrid groups effectively. UNODC (2021) suggests a harmonized legal framework where criminal association and terrorist intent are jointly considered.</w:t>
      </w:r>
    </w:p>
    <w:p w14:paraId="04C31EC8" w14:textId="4777FB21"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Community Engagement</w:t>
      </w:r>
      <w:r w:rsidR="00AE1397">
        <w:rPr>
          <w:rFonts w:ascii="Times New Roman" w:hAnsi="Times New Roman" w:cs="Times New Roman"/>
          <w:sz w:val="24"/>
          <w:szCs w:val="24"/>
        </w:rPr>
        <w:t>, p</w:t>
      </w:r>
      <w:r w:rsidRPr="00733AB5">
        <w:rPr>
          <w:rFonts w:ascii="Times New Roman" w:hAnsi="Times New Roman" w:cs="Times New Roman"/>
          <w:sz w:val="24"/>
          <w:szCs w:val="24"/>
        </w:rPr>
        <w:t>reventive strategies are vital. Community policing, education programs, and deradicalization efforts must be emphasized. If communities are economically and socially resilient, they are less likely to be exploited by terrorists or criminals. Lum, Kennedy, and Sherley (2006) found that community-based approaches enhance intelligence gathering and public trust.</w:t>
      </w:r>
    </w:p>
    <w:p w14:paraId="56D673B1" w14:textId="467CA16C" w:rsidR="00BC2FCC" w:rsidRPr="00733AB5" w:rsidRDefault="00AE1397" w:rsidP="00BC2FCC">
      <w:pPr>
        <w:jc w:val="both"/>
        <w:rPr>
          <w:rFonts w:ascii="Times New Roman" w:hAnsi="Times New Roman" w:cs="Times New Roman"/>
          <w:sz w:val="24"/>
          <w:szCs w:val="24"/>
        </w:rPr>
      </w:pPr>
      <w:r>
        <w:rPr>
          <w:rFonts w:ascii="Times New Roman" w:hAnsi="Times New Roman" w:cs="Times New Roman"/>
          <w:sz w:val="24"/>
          <w:szCs w:val="24"/>
        </w:rPr>
        <w:t>There are still c</w:t>
      </w:r>
      <w:r w:rsidR="00BC2FCC" w:rsidRPr="00733AB5">
        <w:rPr>
          <w:rFonts w:ascii="Times New Roman" w:hAnsi="Times New Roman" w:cs="Times New Roman"/>
          <w:sz w:val="24"/>
          <w:szCs w:val="24"/>
        </w:rPr>
        <w:t>hallenges in Implementation</w:t>
      </w:r>
      <w:r>
        <w:rPr>
          <w:rFonts w:ascii="Times New Roman" w:hAnsi="Times New Roman" w:cs="Times New Roman"/>
          <w:sz w:val="24"/>
          <w:szCs w:val="24"/>
        </w:rPr>
        <w:t xml:space="preserve">. </w:t>
      </w:r>
      <w:r w:rsidR="00BC2FCC" w:rsidRPr="00733AB5">
        <w:rPr>
          <w:rFonts w:ascii="Times New Roman" w:hAnsi="Times New Roman" w:cs="Times New Roman"/>
          <w:sz w:val="24"/>
          <w:szCs w:val="24"/>
        </w:rPr>
        <w:t>Despite theoretical clarity, several barriers hinder effective policy execution</w:t>
      </w:r>
      <w:r>
        <w:rPr>
          <w:rFonts w:ascii="Times New Roman" w:hAnsi="Times New Roman" w:cs="Times New Roman"/>
          <w:sz w:val="24"/>
          <w:szCs w:val="24"/>
        </w:rPr>
        <w:t xml:space="preserve"> j</w:t>
      </w:r>
      <w:r w:rsidR="00BC2FCC" w:rsidRPr="00733AB5">
        <w:rPr>
          <w:rFonts w:ascii="Times New Roman" w:hAnsi="Times New Roman" w:cs="Times New Roman"/>
          <w:sz w:val="24"/>
          <w:szCs w:val="24"/>
        </w:rPr>
        <w:t>urisdictional conflicts between law enforcement bodies</w:t>
      </w:r>
      <w:r>
        <w:rPr>
          <w:rFonts w:ascii="Times New Roman" w:hAnsi="Times New Roman" w:cs="Times New Roman"/>
          <w:sz w:val="24"/>
          <w:szCs w:val="24"/>
        </w:rPr>
        <w:t>, r</w:t>
      </w:r>
      <w:r w:rsidR="00BC2FCC" w:rsidRPr="00733AB5">
        <w:rPr>
          <w:rFonts w:ascii="Times New Roman" w:hAnsi="Times New Roman" w:cs="Times New Roman"/>
          <w:sz w:val="24"/>
          <w:szCs w:val="24"/>
        </w:rPr>
        <w:t>esource constraints in developing nations</w:t>
      </w:r>
      <w:r w:rsidR="004867DD">
        <w:rPr>
          <w:rFonts w:ascii="Times New Roman" w:hAnsi="Times New Roman" w:cs="Times New Roman"/>
          <w:sz w:val="24"/>
          <w:szCs w:val="24"/>
        </w:rPr>
        <w:t>, c</w:t>
      </w:r>
      <w:r w:rsidR="00BC2FCC" w:rsidRPr="00733AB5">
        <w:rPr>
          <w:rFonts w:ascii="Times New Roman" w:hAnsi="Times New Roman" w:cs="Times New Roman"/>
          <w:sz w:val="24"/>
          <w:szCs w:val="24"/>
        </w:rPr>
        <w:t>orruption within institutions</w:t>
      </w:r>
      <w:r w:rsidR="004867DD">
        <w:rPr>
          <w:rFonts w:ascii="Times New Roman" w:hAnsi="Times New Roman" w:cs="Times New Roman"/>
          <w:sz w:val="24"/>
          <w:szCs w:val="24"/>
        </w:rPr>
        <w:t xml:space="preserve"> and r</w:t>
      </w:r>
      <w:r w:rsidR="00BC2FCC" w:rsidRPr="00733AB5">
        <w:rPr>
          <w:rFonts w:ascii="Times New Roman" w:hAnsi="Times New Roman" w:cs="Times New Roman"/>
          <w:sz w:val="24"/>
          <w:szCs w:val="24"/>
        </w:rPr>
        <w:t>apid technological change, including encrypted messaging and cryptocurrencies used by criminals Furthermore, the global nature of terrorism makes unilateral policing insufficient. Effective counter-terrorism policing must involve multilateral cooperation, such as international treaties, joint task forces, and intelligence sharing.</w:t>
      </w:r>
    </w:p>
    <w:p w14:paraId="7C21269D"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Conclusion</w:t>
      </w:r>
    </w:p>
    <w:p w14:paraId="1ED342A8" w14:textId="00984AB0"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As the threat landscape continues to evolve, a reimagining of international law enforcement cooperation is critical. This includes reforming institutions such as </w:t>
      </w:r>
      <w:r w:rsidR="007A1038" w:rsidRPr="00733AB5">
        <w:rPr>
          <w:rFonts w:ascii="Times New Roman" w:hAnsi="Times New Roman" w:cs="Times New Roman"/>
          <w:sz w:val="24"/>
          <w:szCs w:val="24"/>
        </w:rPr>
        <w:t xml:space="preserve">Interpol </w:t>
      </w:r>
      <w:r w:rsidRPr="00733AB5">
        <w:rPr>
          <w:rFonts w:ascii="Times New Roman" w:hAnsi="Times New Roman" w:cs="Times New Roman"/>
          <w:sz w:val="24"/>
          <w:szCs w:val="24"/>
        </w:rPr>
        <w:t>to facilitate more real-time intelligence sharing, promoting joint training operations, and investing in capacity-building for law enforcement in the Global South. A reactive approach will no longer suffice. Instead, a proactive, integrated, and anticipatory strategy</w:t>
      </w:r>
      <w:r w:rsidR="007A1038">
        <w:rPr>
          <w:rFonts w:ascii="Times New Roman" w:hAnsi="Times New Roman" w:cs="Times New Roman"/>
          <w:sz w:val="24"/>
          <w:szCs w:val="24"/>
        </w:rPr>
        <w:t xml:space="preserve">, </w:t>
      </w:r>
      <w:r w:rsidRPr="00733AB5">
        <w:rPr>
          <w:rFonts w:ascii="Times New Roman" w:hAnsi="Times New Roman" w:cs="Times New Roman"/>
          <w:sz w:val="24"/>
          <w:szCs w:val="24"/>
        </w:rPr>
        <w:t>built on data, partnerships, and public trust</w:t>
      </w:r>
      <w:r w:rsidR="007A1038">
        <w:rPr>
          <w:rFonts w:ascii="Times New Roman" w:hAnsi="Times New Roman" w:cs="Times New Roman"/>
          <w:sz w:val="24"/>
          <w:szCs w:val="24"/>
        </w:rPr>
        <w:t xml:space="preserve">, </w:t>
      </w:r>
      <w:r w:rsidRPr="00733AB5">
        <w:rPr>
          <w:rFonts w:ascii="Times New Roman" w:hAnsi="Times New Roman" w:cs="Times New Roman"/>
          <w:sz w:val="24"/>
          <w:szCs w:val="24"/>
        </w:rPr>
        <w:t>must guide the next generation of counter-terrorism policing.</w:t>
      </w:r>
    </w:p>
    <w:p w14:paraId="29B0F6FB"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The convergence of terrorism and criminality represents one of the most pressing security challenges of the 21st century. As terrorist groups increasingly rely on criminal activities for survival, the lines between ideology and profit are becoming blurred. This crime-terror nexus complicates traditional policing methods and requires adaptive, integrated, and informed counter-terrorism strategies.</w:t>
      </w:r>
    </w:p>
    <w:p w14:paraId="04FFCDC2"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Policing must evolve from a narrow focus on ideology to a broader analysis of the economic and operational infrastructure of terrorist groups. By integrating financial tracking, intelligence collaboration, legal innovation, and community engagement, counter-terrorism policing can effectively combat the dual threat posed by modern hybrid organizations.</w:t>
      </w:r>
    </w:p>
    <w:p w14:paraId="64854565" w14:textId="25FB7115" w:rsidR="00BC2FCC"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The case studies of ISIS, Al-Shabaab, Abu Sayyaf, and Tren de Aragua demonstrate that criminality is no longer incidental to terrorism</w:t>
      </w:r>
      <w:r w:rsidR="007A1038">
        <w:rPr>
          <w:rFonts w:ascii="Times New Roman" w:hAnsi="Times New Roman" w:cs="Times New Roman"/>
          <w:sz w:val="24"/>
          <w:szCs w:val="24"/>
        </w:rPr>
        <w:t xml:space="preserve">, </w:t>
      </w:r>
      <w:r w:rsidRPr="00733AB5">
        <w:rPr>
          <w:rFonts w:ascii="Times New Roman" w:hAnsi="Times New Roman" w:cs="Times New Roman"/>
          <w:sz w:val="24"/>
          <w:szCs w:val="24"/>
        </w:rPr>
        <w:t>it is often central. Recognizing and responding to this reality is not only prudent but essential to safeguarding national and global security.</w:t>
      </w:r>
    </w:p>
    <w:p w14:paraId="4A20991A" w14:textId="31DC9227" w:rsidR="00A61D56" w:rsidRDefault="00A61D56" w:rsidP="00BC2FCC">
      <w:pPr>
        <w:jc w:val="both"/>
        <w:rPr>
          <w:rFonts w:ascii="Times New Roman" w:hAnsi="Times New Roman" w:cs="Times New Roman"/>
          <w:sz w:val="24"/>
          <w:szCs w:val="24"/>
        </w:rPr>
      </w:pPr>
      <w:r>
        <w:rPr>
          <w:rFonts w:ascii="Times New Roman" w:hAnsi="Times New Roman" w:cs="Times New Roman"/>
          <w:sz w:val="24"/>
          <w:szCs w:val="24"/>
        </w:rPr>
        <w:lastRenderedPageBreak/>
        <w:t>Word Count = 1821</w:t>
      </w:r>
    </w:p>
    <w:p w14:paraId="356305E4" w14:textId="77777777" w:rsidR="00543548" w:rsidRPr="009501CD" w:rsidRDefault="00543548" w:rsidP="00543548">
      <w:pPr>
        <w:jc w:val="both"/>
        <w:rPr>
          <w:rFonts w:ascii="Times New Roman" w:hAnsi="Times New Roman" w:cs="Times New Roman"/>
          <w:b/>
          <w:bCs/>
          <w:sz w:val="24"/>
          <w:szCs w:val="24"/>
        </w:rPr>
      </w:pPr>
      <w:r w:rsidRPr="009501CD">
        <w:rPr>
          <w:rFonts w:ascii="Times New Roman" w:hAnsi="Times New Roman" w:cs="Times New Roman"/>
          <w:b/>
          <w:bCs/>
          <w:sz w:val="24"/>
          <w:szCs w:val="24"/>
        </w:rPr>
        <w:t xml:space="preserve">Why </w:t>
      </w:r>
      <w:proofErr w:type="gramStart"/>
      <w:r w:rsidRPr="009501CD">
        <w:rPr>
          <w:rFonts w:ascii="Times New Roman" w:hAnsi="Times New Roman" w:cs="Times New Roman"/>
          <w:b/>
          <w:bCs/>
          <w:sz w:val="24"/>
          <w:szCs w:val="24"/>
        </w:rPr>
        <w:t>is</w:t>
      </w:r>
      <w:proofErr w:type="gramEnd"/>
      <w:r w:rsidRPr="009501CD">
        <w:rPr>
          <w:rFonts w:ascii="Times New Roman" w:hAnsi="Times New Roman" w:cs="Times New Roman"/>
          <w:b/>
          <w:bCs/>
          <w:sz w:val="24"/>
          <w:szCs w:val="24"/>
        </w:rPr>
        <w:t xml:space="preserve"> a partnership approach the most effective way to reach groups or communities who are less willing to engage with police? You should consider why certain groups are reluctant to engage with police, and the ways engagement can be achieved.</w:t>
      </w:r>
    </w:p>
    <w:p w14:paraId="512E9CA2"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Trust and engagement between the police and the communities they serve are foundational to effective and legitimate policing. When public confidence in law enforcement is strong, citizens are more likely to report crimes, cooperate with investigations, and comply with the law voluntarily. However, certain communities have historically been less willing to engage with the police due to a complex interplay of sociopolitical, cultural, and historical factors. The resulting mistrust undermines both the safety of those communities and the legitimacy of the police.</w:t>
      </w:r>
    </w:p>
    <w:p w14:paraId="043BE100"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This essay examines why some groups are reluctant to engage with law enforcement and explores why a partnership approach is the most effective strategy for enhancing police-community relationships. Drawing upon academic research, governmental reports, and real-world case studies, the essay demonstrates how collaborative models lead to improved outcomes in community safety, trust, and participation. It argues that authentic partnerships—those grounded in mutual respect, shared goals, and inclusive governance—are essential to transform traditional policing into a more democratic, responsive, and equitable system.</w:t>
      </w:r>
    </w:p>
    <w:p w14:paraId="083370EE"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Research consistently shows that marginalized communities—particularly ethnic minorities, immigrants, LGBTQ+ individuals, and economically disadvantaged populations—are less likely to trust or cooperate with police (Tyler, 2005). This reluctance is neither irrational nor unfounded. It is shaped by lived experiences, intergenerational trauma, and evidence of unequal treatment.</w:t>
      </w:r>
    </w:p>
    <w:p w14:paraId="38800938"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One of the most prominent UK examples of institutional mistrust is the Stephen Lawrence case. The subsequent Macpherson Report (1999) identified “institutional racism” within the Metropolitan Police, a term that became a critical lens through which to understand systemic bias. It highlighted not only the failures of the initial investigation but also the broader cultural and procedural issues within policing institutions that disadvantaged Black and Minority Ethnic (BME) individuals. The report’s findings resonated across communities and confirmed longstanding concerns about the partiality and accountability of the police.</w:t>
      </w:r>
    </w:p>
    <w:p w14:paraId="22EE6A02"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In the United States, the killing of George Floyd in 2020, preceded by a long list of similar incidents, brought renewed international scrutiny to police practices and the enduring racial inequalities embedded within them. Chaney and Robertson (2013) examine how media coverage of such events perpetuates perceptions of police violence, especially when legal consequences for officers are rare. The global protests sparked by Floyd’s death indicate a widespread recognition that the problem is not isolated but structural.</w:t>
      </w:r>
    </w:p>
    <w:p w14:paraId="2F659F33"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LGBTQ+ communities, especially transgender individuals, report high levels of discrimination and victimization in interactions with police. According to Stotzer (2014), transgender individuals are often assumed to be involved in sex work or other criminalized behaviours, resulting in biased treatment. Many do not report crimes due to fear of mistreatment or indifference, leaving them particularly vulnerable.</w:t>
      </w:r>
    </w:p>
    <w:p w14:paraId="68994483"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lastRenderedPageBreak/>
        <w:t>For immigrant communities, especially those with precarious legal status, engagement with police is often fraught with anxiety. The Vera Institute of Justice (2008) notes that fear of deportation, language barriers, and unfamiliarity with Western legal systems reduce the likelihood of reporting crimes or cooperating with law enforcement. Even those with citizenship may carry memories or familial trauma from authoritarian regimes where police were agents of oppression, not protection.</w:t>
      </w:r>
    </w:p>
    <w:p w14:paraId="5AE63F63"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In economically disadvantaged communities, issues of under-policing and over-policing coexist. On one hand, serious crimes may be neglected due to resource limitations or stereotyping. On the other, minor infractions are disproportionately policed, reinforcing cycles of criminalization and mistrust (Girling et al., 2000).</w:t>
      </w:r>
    </w:p>
    <w:p w14:paraId="4E1AA516"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This deep-rooted alienation creates a feedback loop: low trust leads to low engagement, which reduces opportunities for dialogue and co-production, further entrenching disconnection.</w:t>
      </w:r>
    </w:p>
    <w:p w14:paraId="6F3C1AF3"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Given these complexities, it is clear that traditional top-down, enforcement-led models of policing are inadequate for building trust or maintaining public safety in diverse, complex societies. A partnership approach offers a promising alternative. It involves collaboration between police and a range of stakeholders—including local authorities, education providers, healthcare institutions, community organisations, and residents—to identify problems and develop solutions jointly.</w:t>
      </w:r>
    </w:p>
    <w:p w14:paraId="6FE2D3EF"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This model aligns with the principles of community policing, which emphasize decentralization, citizen participation, and problem-solving (</w:t>
      </w:r>
      <w:proofErr w:type="spellStart"/>
      <w:r w:rsidRPr="00A61D56">
        <w:rPr>
          <w:rFonts w:ascii="Times New Roman" w:hAnsi="Times New Roman" w:cs="Times New Roman"/>
          <w:sz w:val="24"/>
          <w:szCs w:val="24"/>
        </w:rPr>
        <w:t>Skogan</w:t>
      </w:r>
      <w:proofErr w:type="spellEnd"/>
      <w:r w:rsidRPr="00A61D56">
        <w:rPr>
          <w:rFonts w:ascii="Times New Roman" w:hAnsi="Times New Roman" w:cs="Times New Roman"/>
          <w:sz w:val="24"/>
          <w:szCs w:val="24"/>
        </w:rPr>
        <w:t>, 2006). Rather than treating crime as an isolated phenomenon, it encourages law enforcement to understand and address its social determinants. Goldstein’s (1990) framework of problem-oriented policing, which identifies underlying causes rather than symptoms of crime, supports this approach by advocating for analytical, multi-agency interventions.</w:t>
      </w:r>
    </w:p>
    <w:p w14:paraId="6BE97B2C"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Partnerships serve to expand the resources, knowledge, and legitimacy available to police. When officers collaborate with trusted community figures—such as religious leaders, youth workers, or cultural mediators—they gain access to networks and insight that improve responsiveness and reduce conflict (Myhill, 2012).</w:t>
      </w:r>
    </w:p>
    <w:p w14:paraId="772730DB"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Several mechanisms underpin the effectiveness of partnership approaches in building trust and engagement. One is cultural competence and sensitivity. One major obstacle to police-community engagement is cultural misunderstanding. Officers may misinterpret behaviours or norms due to unfamiliarity, leading to escalation or perceived disrespect. Partnerships with culturally competent organisations help bridge this gap. For instance, collaboration with Somali community leaders in London has enabled police to understand sensitivities rooted in historical trauma and authoritarian regimes (Innes, 2006). Police were able to modify their communication and engagement styles, thereby improving community relations and enhancing intelligence gathering.</w:t>
      </w:r>
    </w:p>
    <w:p w14:paraId="358A34B9"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Another is informal engagement and accessibility. Partnerships allow the police to maintain a visible but non-confrontational presence in communities. Joint events—such as public safety fairs, community barbecues, or town hall meetings—provide informal spaces for dialogue. These settings are particularly valuable for youth and marginalized groups who may not feel comfortable approaching officers in formal environments.</w:t>
      </w:r>
    </w:p>
    <w:p w14:paraId="12157E18"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lastRenderedPageBreak/>
        <w:t>Another is shared responsibility and holistic solutions. Effective partnerships acknowledge that public safety cannot be the sole responsibility of law enforcement. Crime is often rooted in socioeconomic factors—unemployment, poor housing, educational disadvantage, or health inequality. A multi-agency approach allows for interventions that address these root causes. The Home Office (2010) highlights the need for shared responsibility in tackling issues such as anti-social behaviour, radicalisation, and gang involvement, all of which require more than enforcement to resolve.</w:t>
      </w:r>
    </w:p>
    <w:p w14:paraId="5D930CE0"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Finaly, enhanced accountability and co-governance. When community members are involved in the development, implementation, and evaluation of policing strategies, the legitimacy of those strategies increases. Mechanisms such as citizen review panels, stop-and-search scrutiny groups, or participatory budgeting for safety initiatives allow for co-governance, making police more transparent and responsive (HMICFRS, 2020).</w:t>
      </w:r>
    </w:p>
    <w:p w14:paraId="6D61C304"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Several real-world examples illustrate the potential of partnership approaches to transform police-community relations. One being Manchester’s integrated neighbourhood management teams. This initiative brought together police, housing authorities, community representatives, and local services to address not just crime, but the environmental and social factors that foster it. By improving street lighting, cleaning up neglected spaces, and offering youth services, the teams reduced anti-social behaviour and improved perceptions of safety (Crawford, 1997). Importantly, community members felt that they were being listened to, which enhanced trust.</w:t>
      </w:r>
    </w:p>
    <w:p w14:paraId="5A8361E5"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Another is Glasgow’s Violence Reduction Unit (VRU). A model of innovation, the VRU treats violence not simply as a criminal justice issue, but as a public health crisis. By involving police, social workers, educators, health professionals, and former offenders, the unit has achieved significant reductions in knife crime and youth violence (Deuchar, 2013). The emphasis on prevention, rehabilitation, and social support resonates particularly with communities previously disengaged from authority figures.</w:t>
      </w:r>
    </w:p>
    <w:p w14:paraId="7D4F6854"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Camden Safe and Well Visits (London). A collaboration between police, fire services, housing officers, and social workers, this initiative focused on conducting welfare checks for vulnerable individuals. These visits provided early intervention opportunities for issues such as neglect, isolation, or mental health concerns, and helped build police legitimacy, especially among elderly and disabled residents (Camden Council, 2019).</w:t>
      </w:r>
    </w:p>
    <w:p w14:paraId="6A624C0F"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UK Prevent Strategy. Though controversial, the Prevent strategy offers lessons in partnership working. Its goal is to stop individuals from being drawn into terrorism by engaging schools, mosques, and community organisations in early intervention efforts. Thomas (2016) found that while distrust remains, those projects that included credible local voices experienced better engagement from Muslim communities.</w:t>
      </w:r>
    </w:p>
    <w:p w14:paraId="580CCADE"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Partnerships provide the infrastructure and relationships needed to implement a variety of community engagement techniques, one being Co-Production and Co-Design. Involving communities in the design of policing strategies ensures relevance and ownership. Some UK forces have introduced community scrutiny panels that review practices such as stop-and-search and use-of-force incidents, providing feedback that shapes policy and training (HMICFRS, 2020).</w:t>
      </w:r>
    </w:p>
    <w:p w14:paraId="7DCF844E"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 xml:space="preserve">Another being youth engagement. Youth engagement is crucial, as early contact with police can shape long-term attitudes. Initiatives such as police cadets, sports leagues, and school </w:t>
      </w:r>
      <w:r w:rsidRPr="00A61D56">
        <w:rPr>
          <w:rFonts w:ascii="Times New Roman" w:hAnsi="Times New Roman" w:cs="Times New Roman"/>
          <w:sz w:val="24"/>
          <w:szCs w:val="24"/>
        </w:rPr>
        <w:lastRenderedPageBreak/>
        <w:t>liaison officers offer positive, structured interaction. Hughes et al. (2002) argue that youth partnerships help prevent criminal behaviour by fostering a sense of belonging and respect.</w:t>
      </w:r>
    </w:p>
    <w:p w14:paraId="1D13A67D"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Digital Platforms and Community Forums. Partnerships also extend into digital space. Community apps, police social media accounts, and online Neighbourhood Watch groups provide avenues for two-way communication. These platforms become more effective when supported by community influencers who can disseminate information and encourage dialogue.</w:t>
      </w:r>
    </w:p>
    <w:p w14:paraId="15E6D085"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Finaly, embedded police roles. In some areas, police officers are embedded within mental health teams, housing associations, or schools. This allows them to act as consistent, approachable figures and reduces the adversarial nature of police contact. It also allows for early identification of risk and the deployment of appropriate support services.</w:t>
      </w:r>
    </w:p>
    <w:p w14:paraId="52DA4041"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Ther are still a number of barriers to effective partnership. Despite their promise, partnership approaches face significant barriers. Bureaucratic silos, differing organisational cultures, and lack of shared objectives often hinder collaboration (Berry et al., 2011). For instance, the priorities of a police force may be short-term crime reduction, while community organisations may focus on long-term social development.</w:t>
      </w:r>
    </w:p>
    <w:p w14:paraId="19DFD176"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Power imbalances can also undermine the authenticity of partnerships. When police control resources and decision-making, community involvement risks becoming tokenistic. Genuine co-production requires a redistribution of authority, which can be uncomfortable for traditional institutions.</w:t>
      </w:r>
    </w:p>
    <w:p w14:paraId="3A735929"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Funding constraints are another obstacle. Many partnerships rely on short-term project funding, which undermines sustainability and trust. Furthermore, austerity measures have depleted the capacity of many community organisations, reducing their ability to participate meaningfully.</w:t>
      </w:r>
    </w:p>
    <w:p w14:paraId="763043B2"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To overcome these challenges, several conditions must be met, such as clear governance structures. Partnerships should have defined roles, responsibilities, and decision-making processes to avoid confusion or conflict. Another is sustainable funding, long-term investment is necessary to build trust, maintain services, and evaluate outcomes effectively. Community leadership, the most effective partnerships are those in which community members, not just institutional actors, play leadership roles. This ensures that engagement is rooted in lived experience, not abstract policy.</w:t>
      </w:r>
    </w:p>
    <w:p w14:paraId="34A200A5"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Conclusion</w:t>
      </w:r>
    </w:p>
    <w:p w14:paraId="45FF92E2"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Engaging with communities that are traditionally reluctant to work with police is a complex but essential task. Decades of mistrust, inequality, and institutional failure cannot be reversed overnight. However, academic research and real-world case studies consistently demonstrate that partnership approaches are among the most effective methods to achieve this goal.</w:t>
      </w:r>
    </w:p>
    <w:p w14:paraId="78B2B2E0"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By collaborating with trusted organisations, respecting cultural nuances, and involving communities in decision-making processes, police can begin to rebuild trust, legitimacy, and effectiveness. Importantly, partnerships offer a holistic, preventative approach that addresses the social foundations of crime rather than relying solely on enforcement.</w:t>
      </w:r>
    </w:p>
    <w:p w14:paraId="0B223503" w14:textId="7A854637" w:rsidR="00543548"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 xml:space="preserve">However, partnerships must be authentic, adequately resourced, and grounded in mutual respect to truly transform community relations and public safety outcomes. Policymakers and </w:t>
      </w:r>
      <w:r w:rsidRPr="00A61D56">
        <w:rPr>
          <w:rFonts w:ascii="Times New Roman" w:hAnsi="Times New Roman" w:cs="Times New Roman"/>
          <w:sz w:val="24"/>
          <w:szCs w:val="24"/>
        </w:rPr>
        <w:lastRenderedPageBreak/>
        <w:t>law enforcement leaders must commit to long-term structural change, not temporary outreach initiatives. Only through such sustained, inclusive collaboration can the police fulfil their role as protectors, not enforcers, in the eyes of all communities.</w:t>
      </w:r>
    </w:p>
    <w:p w14:paraId="0DF7B47F" w14:textId="7C1A3B5E" w:rsidR="00A61D56" w:rsidRPr="009501CD" w:rsidRDefault="00A61D56" w:rsidP="00A61D56">
      <w:pPr>
        <w:jc w:val="both"/>
        <w:rPr>
          <w:rFonts w:ascii="Times New Roman" w:hAnsi="Times New Roman" w:cs="Times New Roman"/>
          <w:sz w:val="24"/>
          <w:szCs w:val="24"/>
        </w:rPr>
      </w:pPr>
      <w:r>
        <w:rPr>
          <w:rFonts w:ascii="Times New Roman" w:hAnsi="Times New Roman" w:cs="Times New Roman"/>
          <w:sz w:val="24"/>
          <w:szCs w:val="24"/>
        </w:rPr>
        <w:t>Word Count = 1831</w:t>
      </w:r>
    </w:p>
    <w:p w14:paraId="3A5860E6" w14:textId="77777777" w:rsidR="00543548" w:rsidRPr="009501CD" w:rsidRDefault="00543548" w:rsidP="00543548">
      <w:pPr>
        <w:jc w:val="both"/>
        <w:rPr>
          <w:rFonts w:ascii="Times New Roman" w:hAnsi="Times New Roman" w:cs="Times New Roman"/>
          <w:sz w:val="24"/>
          <w:szCs w:val="24"/>
        </w:rPr>
      </w:pPr>
    </w:p>
    <w:p w14:paraId="6B8A22DB" w14:textId="77777777" w:rsidR="00543548" w:rsidRPr="009501CD" w:rsidRDefault="00543548" w:rsidP="00543548">
      <w:pPr>
        <w:jc w:val="both"/>
        <w:rPr>
          <w:rFonts w:ascii="Times New Roman" w:hAnsi="Times New Roman" w:cs="Times New Roman"/>
          <w:sz w:val="24"/>
          <w:szCs w:val="24"/>
        </w:rPr>
      </w:pPr>
    </w:p>
    <w:p w14:paraId="2D681A74" w14:textId="77777777" w:rsidR="00543548" w:rsidRPr="009501CD" w:rsidRDefault="00543548" w:rsidP="00543548">
      <w:pPr>
        <w:jc w:val="both"/>
        <w:rPr>
          <w:rFonts w:ascii="Times New Roman" w:hAnsi="Times New Roman" w:cs="Times New Roman"/>
          <w:sz w:val="24"/>
          <w:szCs w:val="24"/>
        </w:rPr>
      </w:pPr>
    </w:p>
    <w:p w14:paraId="0DCBA764" w14:textId="77777777" w:rsidR="00543548" w:rsidRPr="009501CD" w:rsidRDefault="00543548" w:rsidP="00543548">
      <w:pPr>
        <w:jc w:val="both"/>
        <w:rPr>
          <w:rFonts w:ascii="Times New Roman" w:hAnsi="Times New Roman" w:cs="Times New Roman"/>
          <w:sz w:val="24"/>
          <w:szCs w:val="24"/>
        </w:rPr>
      </w:pPr>
    </w:p>
    <w:p w14:paraId="58E1533C" w14:textId="77777777" w:rsidR="00543548" w:rsidRPr="009501CD" w:rsidRDefault="00543548" w:rsidP="00543548">
      <w:pPr>
        <w:jc w:val="both"/>
        <w:rPr>
          <w:rFonts w:ascii="Times New Roman" w:hAnsi="Times New Roman" w:cs="Times New Roman"/>
          <w:sz w:val="24"/>
          <w:szCs w:val="24"/>
        </w:rPr>
      </w:pPr>
    </w:p>
    <w:p w14:paraId="57430F92" w14:textId="77777777" w:rsidR="00543548" w:rsidRPr="009501CD" w:rsidRDefault="00543548" w:rsidP="00543548">
      <w:pPr>
        <w:jc w:val="both"/>
        <w:rPr>
          <w:rFonts w:ascii="Times New Roman" w:hAnsi="Times New Roman" w:cs="Times New Roman"/>
          <w:sz w:val="24"/>
          <w:szCs w:val="24"/>
        </w:rPr>
      </w:pPr>
    </w:p>
    <w:p w14:paraId="42B927A9" w14:textId="77777777" w:rsidR="00543548" w:rsidRPr="009501CD" w:rsidRDefault="00543548" w:rsidP="00543548">
      <w:pPr>
        <w:jc w:val="both"/>
        <w:rPr>
          <w:rFonts w:ascii="Times New Roman" w:hAnsi="Times New Roman" w:cs="Times New Roman"/>
          <w:sz w:val="24"/>
          <w:szCs w:val="24"/>
        </w:rPr>
      </w:pPr>
    </w:p>
    <w:p w14:paraId="54334D25" w14:textId="77777777" w:rsidR="00543548" w:rsidRPr="009501CD" w:rsidRDefault="00543548" w:rsidP="00543548">
      <w:pPr>
        <w:jc w:val="both"/>
        <w:rPr>
          <w:rFonts w:ascii="Times New Roman" w:hAnsi="Times New Roman" w:cs="Times New Roman"/>
          <w:sz w:val="24"/>
          <w:szCs w:val="24"/>
        </w:rPr>
      </w:pPr>
    </w:p>
    <w:p w14:paraId="4F235A9C" w14:textId="77777777" w:rsidR="00543548" w:rsidRPr="009501CD" w:rsidRDefault="00543548" w:rsidP="00543548">
      <w:pPr>
        <w:jc w:val="both"/>
        <w:rPr>
          <w:rFonts w:ascii="Times New Roman" w:hAnsi="Times New Roman" w:cs="Times New Roman"/>
          <w:sz w:val="24"/>
          <w:szCs w:val="24"/>
        </w:rPr>
      </w:pPr>
    </w:p>
    <w:p w14:paraId="1A57E82B" w14:textId="77777777" w:rsidR="00543548" w:rsidRPr="009501CD" w:rsidRDefault="00543548" w:rsidP="00543548">
      <w:pPr>
        <w:jc w:val="both"/>
        <w:rPr>
          <w:rFonts w:ascii="Times New Roman" w:hAnsi="Times New Roman" w:cs="Times New Roman"/>
          <w:sz w:val="24"/>
          <w:szCs w:val="24"/>
        </w:rPr>
      </w:pPr>
    </w:p>
    <w:p w14:paraId="397276C3" w14:textId="77777777" w:rsidR="00543548" w:rsidRDefault="00543548" w:rsidP="00543548">
      <w:pPr>
        <w:jc w:val="both"/>
        <w:rPr>
          <w:rFonts w:ascii="Times New Roman" w:hAnsi="Times New Roman" w:cs="Times New Roman"/>
          <w:sz w:val="24"/>
          <w:szCs w:val="24"/>
        </w:rPr>
      </w:pPr>
    </w:p>
    <w:p w14:paraId="7D702D85" w14:textId="77777777" w:rsidR="006672F4" w:rsidRDefault="006672F4" w:rsidP="00543548">
      <w:pPr>
        <w:jc w:val="both"/>
        <w:rPr>
          <w:rFonts w:ascii="Times New Roman" w:hAnsi="Times New Roman" w:cs="Times New Roman"/>
          <w:sz w:val="24"/>
          <w:szCs w:val="24"/>
        </w:rPr>
      </w:pPr>
    </w:p>
    <w:p w14:paraId="38BAC208" w14:textId="77777777" w:rsidR="006672F4" w:rsidRDefault="006672F4" w:rsidP="00543548">
      <w:pPr>
        <w:jc w:val="both"/>
        <w:rPr>
          <w:rFonts w:ascii="Times New Roman" w:hAnsi="Times New Roman" w:cs="Times New Roman"/>
          <w:sz w:val="24"/>
          <w:szCs w:val="24"/>
        </w:rPr>
      </w:pPr>
    </w:p>
    <w:p w14:paraId="2B41E917" w14:textId="77777777" w:rsidR="006672F4" w:rsidRDefault="006672F4" w:rsidP="00543548">
      <w:pPr>
        <w:jc w:val="both"/>
        <w:rPr>
          <w:rFonts w:ascii="Times New Roman" w:hAnsi="Times New Roman" w:cs="Times New Roman"/>
          <w:sz w:val="24"/>
          <w:szCs w:val="24"/>
        </w:rPr>
      </w:pPr>
    </w:p>
    <w:p w14:paraId="517D234D" w14:textId="77777777" w:rsidR="006672F4" w:rsidRDefault="006672F4" w:rsidP="00543548">
      <w:pPr>
        <w:jc w:val="both"/>
        <w:rPr>
          <w:rFonts w:ascii="Times New Roman" w:hAnsi="Times New Roman" w:cs="Times New Roman"/>
          <w:sz w:val="24"/>
          <w:szCs w:val="24"/>
        </w:rPr>
      </w:pPr>
    </w:p>
    <w:p w14:paraId="0EE25771" w14:textId="77777777" w:rsidR="006672F4" w:rsidRDefault="006672F4" w:rsidP="00543548">
      <w:pPr>
        <w:jc w:val="both"/>
        <w:rPr>
          <w:rFonts w:ascii="Times New Roman" w:hAnsi="Times New Roman" w:cs="Times New Roman"/>
          <w:sz w:val="24"/>
          <w:szCs w:val="24"/>
        </w:rPr>
      </w:pPr>
    </w:p>
    <w:p w14:paraId="0F29E6FA" w14:textId="77777777" w:rsidR="006672F4" w:rsidRDefault="006672F4" w:rsidP="00543548">
      <w:pPr>
        <w:jc w:val="both"/>
        <w:rPr>
          <w:rFonts w:ascii="Times New Roman" w:hAnsi="Times New Roman" w:cs="Times New Roman"/>
          <w:sz w:val="24"/>
          <w:szCs w:val="24"/>
        </w:rPr>
      </w:pPr>
    </w:p>
    <w:p w14:paraId="5DC59E5A" w14:textId="77777777" w:rsidR="006672F4" w:rsidRDefault="006672F4" w:rsidP="00543548">
      <w:pPr>
        <w:jc w:val="both"/>
        <w:rPr>
          <w:rFonts w:ascii="Times New Roman" w:hAnsi="Times New Roman" w:cs="Times New Roman"/>
          <w:sz w:val="24"/>
          <w:szCs w:val="24"/>
        </w:rPr>
      </w:pPr>
    </w:p>
    <w:p w14:paraId="453CDA52" w14:textId="77777777" w:rsidR="006672F4" w:rsidRDefault="006672F4" w:rsidP="00543548">
      <w:pPr>
        <w:jc w:val="both"/>
        <w:rPr>
          <w:rFonts w:ascii="Times New Roman" w:hAnsi="Times New Roman" w:cs="Times New Roman"/>
          <w:sz w:val="24"/>
          <w:szCs w:val="24"/>
        </w:rPr>
      </w:pPr>
    </w:p>
    <w:p w14:paraId="1CC1EF2E" w14:textId="77777777" w:rsidR="006672F4" w:rsidRDefault="006672F4" w:rsidP="00543548">
      <w:pPr>
        <w:jc w:val="both"/>
        <w:rPr>
          <w:rFonts w:ascii="Times New Roman" w:hAnsi="Times New Roman" w:cs="Times New Roman"/>
          <w:sz w:val="24"/>
          <w:szCs w:val="24"/>
        </w:rPr>
      </w:pPr>
    </w:p>
    <w:p w14:paraId="6F84DF0F" w14:textId="77777777" w:rsidR="006672F4" w:rsidRDefault="006672F4" w:rsidP="00543548">
      <w:pPr>
        <w:jc w:val="both"/>
        <w:rPr>
          <w:rFonts w:ascii="Times New Roman" w:hAnsi="Times New Roman" w:cs="Times New Roman"/>
          <w:sz w:val="24"/>
          <w:szCs w:val="24"/>
        </w:rPr>
      </w:pPr>
    </w:p>
    <w:p w14:paraId="3B4ABA7D" w14:textId="77777777" w:rsidR="006672F4" w:rsidRDefault="006672F4" w:rsidP="00543548">
      <w:pPr>
        <w:jc w:val="both"/>
        <w:rPr>
          <w:rFonts w:ascii="Times New Roman" w:hAnsi="Times New Roman" w:cs="Times New Roman"/>
          <w:sz w:val="24"/>
          <w:szCs w:val="24"/>
        </w:rPr>
      </w:pPr>
    </w:p>
    <w:p w14:paraId="23444417" w14:textId="77777777" w:rsidR="006672F4" w:rsidRDefault="006672F4" w:rsidP="00543548">
      <w:pPr>
        <w:jc w:val="both"/>
        <w:rPr>
          <w:rFonts w:ascii="Times New Roman" w:hAnsi="Times New Roman" w:cs="Times New Roman"/>
          <w:sz w:val="24"/>
          <w:szCs w:val="24"/>
        </w:rPr>
      </w:pPr>
    </w:p>
    <w:p w14:paraId="2AB9D682" w14:textId="77777777" w:rsidR="006672F4" w:rsidRDefault="006672F4" w:rsidP="00543548">
      <w:pPr>
        <w:jc w:val="both"/>
        <w:rPr>
          <w:rFonts w:ascii="Times New Roman" w:hAnsi="Times New Roman" w:cs="Times New Roman"/>
          <w:sz w:val="24"/>
          <w:szCs w:val="24"/>
        </w:rPr>
      </w:pPr>
    </w:p>
    <w:p w14:paraId="26319FF4" w14:textId="77777777" w:rsidR="006672F4" w:rsidRDefault="006672F4" w:rsidP="00543548">
      <w:pPr>
        <w:jc w:val="both"/>
        <w:rPr>
          <w:rFonts w:ascii="Times New Roman" w:hAnsi="Times New Roman" w:cs="Times New Roman"/>
          <w:sz w:val="24"/>
          <w:szCs w:val="24"/>
        </w:rPr>
      </w:pPr>
    </w:p>
    <w:p w14:paraId="0CDDB645" w14:textId="77777777" w:rsidR="006672F4" w:rsidRDefault="006672F4" w:rsidP="00543548">
      <w:pPr>
        <w:jc w:val="both"/>
        <w:rPr>
          <w:rFonts w:ascii="Times New Roman" w:hAnsi="Times New Roman" w:cs="Times New Roman"/>
          <w:sz w:val="24"/>
          <w:szCs w:val="24"/>
        </w:rPr>
      </w:pPr>
    </w:p>
    <w:p w14:paraId="55E29695" w14:textId="77777777" w:rsidR="006672F4" w:rsidRDefault="006672F4" w:rsidP="00543548">
      <w:pPr>
        <w:jc w:val="both"/>
        <w:rPr>
          <w:rFonts w:ascii="Times New Roman" w:hAnsi="Times New Roman" w:cs="Times New Roman"/>
          <w:sz w:val="24"/>
          <w:szCs w:val="24"/>
        </w:rPr>
      </w:pPr>
    </w:p>
    <w:p w14:paraId="7742F911" w14:textId="4F06E095"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lastRenderedPageBreak/>
        <w:t xml:space="preserve">References </w:t>
      </w:r>
    </w:p>
    <w:p w14:paraId="5F5A0666"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Appendix D -Equality Impact Assessment (EQIA) Section 1: WHAT IS BEING ANALYSED? (n.d.). Available at: https://democracy.camden.gov.uk/documents/s119540/Appendix%20D%20-%20Camden%20St%20EQIA.pdf [Accessed 26 May 2025].</w:t>
      </w:r>
    </w:p>
    <w:p w14:paraId="1BB44F66"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Berry, G., Briggs, P., Erol, R. and Van Staden, L. (2011). </w:t>
      </w:r>
      <w:r w:rsidRPr="009501CD">
        <w:rPr>
          <w:rFonts w:ascii="Times New Roman" w:hAnsi="Times New Roman" w:cs="Times New Roman"/>
          <w:i/>
          <w:iCs/>
          <w:sz w:val="24"/>
          <w:szCs w:val="24"/>
        </w:rPr>
        <w:t>The Effectiveness of Partnership Working in a Crime and Disorder Context a Rapid Evidence Assessment</w:t>
      </w:r>
      <w:r w:rsidRPr="009501CD">
        <w:rPr>
          <w:rFonts w:ascii="Times New Roman" w:hAnsi="Times New Roman" w:cs="Times New Roman"/>
          <w:sz w:val="24"/>
          <w:szCs w:val="24"/>
        </w:rPr>
        <w:t>. [online] Home Office. Available at: https://assets.publishing.service.gov.uk/government/uploads/system/uploads/attachment_data/file/116549/horr52-report.pdf.</w:t>
      </w:r>
    </w:p>
    <w:p w14:paraId="6F56B572"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Center for Security Studies (2025). </w:t>
      </w:r>
      <w:r w:rsidRPr="009501CD">
        <w:rPr>
          <w:rFonts w:ascii="Times New Roman" w:hAnsi="Times New Roman" w:cs="Times New Roman"/>
          <w:i/>
          <w:iCs/>
          <w:sz w:val="24"/>
          <w:szCs w:val="24"/>
        </w:rPr>
        <w:t>Strategic Trends 2025</w:t>
      </w:r>
      <w:r w:rsidRPr="009501CD">
        <w:rPr>
          <w:rFonts w:ascii="Times New Roman" w:hAnsi="Times New Roman" w:cs="Times New Roman"/>
          <w:sz w:val="24"/>
          <w:szCs w:val="24"/>
        </w:rPr>
        <w:t>. [online] Center for Security Studies. Available at: https://css.ethz.ch/en/center/CSS-news/2025/03/strategic-trends-2025.html [Accessed 26 May 2025].</w:t>
      </w:r>
    </w:p>
    <w:p w14:paraId="6C7BDBDC"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Chaney, C. and Robertson, R.V. (2013). Racism and Police Brutality in America. </w:t>
      </w:r>
      <w:r w:rsidRPr="009501CD">
        <w:rPr>
          <w:rFonts w:ascii="Times New Roman" w:hAnsi="Times New Roman" w:cs="Times New Roman"/>
          <w:i/>
          <w:iCs/>
          <w:sz w:val="24"/>
          <w:szCs w:val="24"/>
        </w:rPr>
        <w:t>Journal of African American Studies</w:t>
      </w:r>
      <w:r w:rsidRPr="009501CD">
        <w:rPr>
          <w:rFonts w:ascii="Times New Roman" w:hAnsi="Times New Roman" w:cs="Times New Roman"/>
          <w:sz w:val="24"/>
          <w:szCs w:val="24"/>
        </w:rPr>
        <w:t>, [online] 17(4), pp.480–505. Available at: https://www.jstor.org/stable/43525523.</w:t>
      </w:r>
    </w:p>
    <w:p w14:paraId="66AE7417"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Coyle, B. (2023). Overcoming ‘Sheriff Syndrome’: Exploring Young Adults’ Experiences of Policing in Northern Ireland. </w:t>
      </w:r>
      <w:r w:rsidRPr="009501CD">
        <w:rPr>
          <w:rFonts w:ascii="Times New Roman" w:hAnsi="Times New Roman" w:cs="Times New Roman"/>
          <w:i/>
          <w:iCs/>
          <w:sz w:val="24"/>
          <w:szCs w:val="24"/>
        </w:rPr>
        <w:t>Youth Justice</w:t>
      </w:r>
      <w:r w:rsidRPr="009501CD">
        <w:rPr>
          <w:rFonts w:ascii="Times New Roman" w:hAnsi="Times New Roman" w:cs="Times New Roman"/>
          <w:sz w:val="24"/>
          <w:szCs w:val="24"/>
        </w:rPr>
        <w:t xml:space="preserve">.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://doi.org/10.1177/14732254231206811.</w:t>
      </w:r>
    </w:p>
    <w:p w14:paraId="4DA88938"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Crawford, A. (1999). The Local Governance of Crime: Appeals to Community and Partnerships.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://doi.org/10.1093/</w:t>
      </w:r>
      <w:proofErr w:type="spellStart"/>
      <w:r w:rsidRPr="009501CD">
        <w:rPr>
          <w:rFonts w:ascii="Times New Roman" w:hAnsi="Times New Roman" w:cs="Times New Roman"/>
          <w:sz w:val="24"/>
          <w:szCs w:val="24"/>
        </w:rPr>
        <w:t>acprof:oso</w:t>
      </w:r>
      <w:proofErr w:type="spellEnd"/>
      <w:r w:rsidRPr="009501CD">
        <w:rPr>
          <w:rFonts w:ascii="Times New Roman" w:hAnsi="Times New Roman" w:cs="Times New Roman"/>
          <w:sz w:val="24"/>
          <w:szCs w:val="24"/>
        </w:rPr>
        <w:t>/9780198298458.001.0001.</w:t>
      </w:r>
    </w:p>
    <w:p w14:paraId="55A514A4"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DISHMAN, C. (2005). The Leaderless Nexus: When Crime and Terror Converge. </w:t>
      </w:r>
      <w:r w:rsidRPr="009501CD">
        <w:rPr>
          <w:rFonts w:ascii="Times New Roman" w:hAnsi="Times New Roman" w:cs="Times New Roman"/>
          <w:i/>
          <w:iCs/>
          <w:sz w:val="24"/>
          <w:szCs w:val="24"/>
        </w:rPr>
        <w:t>Studies in Conflict &amp; Terrorism</w:t>
      </w:r>
      <w:r w:rsidRPr="009501CD">
        <w:rPr>
          <w:rFonts w:ascii="Times New Roman" w:hAnsi="Times New Roman" w:cs="Times New Roman"/>
          <w:sz w:val="24"/>
          <w:szCs w:val="24"/>
        </w:rPr>
        <w:t xml:space="preserve">, 28(3), pp.237–252.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://doi.org/10.1080/10576100590928124.</w:t>
      </w:r>
    </w:p>
    <w:p w14:paraId="3915B59D"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Harding, S. (2014). Policing Youth Violence: Transatlantic Connections. by Ross Deuchar (London: IOE Press, 2013, 244pp., £26.99). </w:t>
      </w:r>
      <w:r w:rsidRPr="009501CD">
        <w:rPr>
          <w:rFonts w:ascii="Times New Roman" w:hAnsi="Times New Roman" w:cs="Times New Roman"/>
          <w:i/>
          <w:iCs/>
          <w:sz w:val="24"/>
          <w:szCs w:val="24"/>
        </w:rPr>
        <w:t>British Journal of Criminology</w:t>
      </w:r>
      <w:r w:rsidRPr="009501CD">
        <w:rPr>
          <w:rFonts w:ascii="Times New Roman" w:hAnsi="Times New Roman" w:cs="Times New Roman"/>
          <w:sz w:val="24"/>
          <w:szCs w:val="24"/>
        </w:rPr>
        <w:t xml:space="preserve">, 55(2), pp.423–427.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://doi.org/10.1093/</w:t>
      </w:r>
      <w:proofErr w:type="spellStart"/>
      <w:r w:rsidRPr="009501CD">
        <w:rPr>
          <w:rFonts w:ascii="Times New Roman" w:hAnsi="Times New Roman" w:cs="Times New Roman"/>
          <w:sz w:val="24"/>
          <w:szCs w:val="24"/>
        </w:rPr>
        <w:t>bjc</w:t>
      </w:r>
      <w:proofErr w:type="spellEnd"/>
      <w:r w:rsidRPr="009501CD">
        <w:rPr>
          <w:rFonts w:ascii="Times New Roman" w:hAnsi="Times New Roman" w:cs="Times New Roman"/>
          <w:sz w:val="24"/>
          <w:szCs w:val="24"/>
        </w:rPr>
        <w:t>/azu068.</w:t>
      </w:r>
    </w:p>
    <w:p w14:paraId="10E5204E"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HM Government (2008). </w:t>
      </w:r>
      <w:r w:rsidRPr="009501CD">
        <w:rPr>
          <w:rFonts w:ascii="Times New Roman" w:hAnsi="Times New Roman" w:cs="Times New Roman"/>
          <w:i/>
          <w:iCs/>
          <w:sz w:val="24"/>
          <w:szCs w:val="24"/>
        </w:rPr>
        <w:t>Working Together to Cut Crime and Deliver Justice a Strategic Plan for HM Government</w:t>
      </w:r>
      <w:r w:rsidRPr="009501CD">
        <w:rPr>
          <w:rFonts w:ascii="Times New Roman" w:hAnsi="Times New Roman" w:cs="Times New Roman"/>
          <w:sz w:val="24"/>
          <w:szCs w:val="24"/>
        </w:rPr>
        <w:t>. [online] Available at: https://assets.publishing.service.gov.uk/media/5a7c68c340f0b62aff6c1776/7247.pdf.</w:t>
      </w:r>
    </w:p>
    <w:p w14:paraId="411502C3"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HMICFRS (2020). </w:t>
      </w:r>
      <w:r w:rsidRPr="009501CD">
        <w:rPr>
          <w:rFonts w:ascii="Times New Roman" w:hAnsi="Times New Roman" w:cs="Times New Roman"/>
          <w:i/>
          <w:iCs/>
          <w:sz w:val="24"/>
          <w:szCs w:val="24"/>
        </w:rPr>
        <w:t>HM Inspectorate of Constabulary and Fire &amp; Rescue Services</w:t>
      </w:r>
      <w:r w:rsidRPr="009501CD">
        <w:rPr>
          <w:rFonts w:ascii="Times New Roman" w:hAnsi="Times New Roman" w:cs="Times New Roman"/>
          <w:sz w:val="24"/>
          <w:szCs w:val="24"/>
        </w:rPr>
        <w:t>. [online] GOV.UK. Available at: https://www.gov.uk/government/organisations/hm-inspectorate-of-constabulary-and-fire-rescue-services.</w:t>
      </w:r>
    </w:p>
    <w:p w14:paraId="5E17D60B"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Innes, M. (2006). Policing Uncertainty: Countering Terror through Community Intelligence and Democratic Policing. </w:t>
      </w:r>
      <w:r w:rsidRPr="009501CD">
        <w:rPr>
          <w:rFonts w:ascii="Times New Roman" w:hAnsi="Times New Roman" w:cs="Times New Roman"/>
          <w:i/>
          <w:iCs/>
          <w:sz w:val="24"/>
          <w:szCs w:val="24"/>
        </w:rPr>
        <w:t>The ANNALS of the American Academy of Political and Social Science</w:t>
      </w:r>
      <w:r w:rsidRPr="009501CD">
        <w:rPr>
          <w:rFonts w:ascii="Times New Roman" w:hAnsi="Times New Roman" w:cs="Times New Roman"/>
          <w:sz w:val="24"/>
          <w:szCs w:val="24"/>
        </w:rPr>
        <w:t xml:space="preserve">, 605(1), pp.222–241.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://doi.org/10.1177/0002716206287118.</w:t>
      </w:r>
    </w:p>
    <w:p w14:paraId="537B50B7"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Levitt, M. (2013). </w:t>
      </w:r>
      <w:r w:rsidRPr="009501CD">
        <w:rPr>
          <w:rFonts w:ascii="Times New Roman" w:hAnsi="Times New Roman" w:cs="Times New Roman"/>
          <w:i/>
          <w:iCs/>
          <w:sz w:val="24"/>
          <w:szCs w:val="24"/>
        </w:rPr>
        <w:t xml:space="preserve">Hezbollah: </w:t>
      </w:r>
      <w:proofErr w:type="gramStart"/>
      <w:r w:rsidRPr="009501CD">
        <w:rPr>
          <w:rFonts w:ascii="Times New Roman" w:hAnsi="Times New Roman" w:cs="Times New Roman"/>
          <w:i/>
          <w:iCs/>
          <w:sz w:val="24"/>
          <w:szCs w:val="24"/>
        </w:rPr>
        <w:t>the</w:t>
      </w:r>
      <w:proofErr w:type="gramEnd"/>
      <w:r w:rsidRPr="009501CD">
        <w:rPr>
          <w:rFonts w:ascii="Times New Roman" w:hAnsi="Times New Roman" w:cs="Times New Roman"/>
          <w:i/>
          <w:iCs/>
          <w:sz w:val="24"/>
          <w:szCs w:val="24"/>
        </w:rPr>
        <w:t xml:space="preserve"> Global Footprint of Lebanon’s Party of God</w:t>
      </w:r>
      <w:r w:rsidRPr="009501CD">
        <w:rPr>
          <w:rFonts w:ascii="Times New Roman" w:hAnsi="Times New Roman" w:cs="Times New Roman"/>
          <w:sz w:val="24"/>
          <w:szCs w:val="24"/>
        </w:rPr>
        <w:t>. [online] The Washington Institute. Available at: https://www.washingtoninstitute.org/policy-analysis/hezbollah-global-footprint-lebanons-party-god.</w:t>
      </w:r>
    </w:p>
    <w:p w14:paraId="3CD46BD3"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lastRenderedPageBreak/>
        <w:t xml:space="preserve">Lum, C., Kennedy, L.W. and Sherley, A.J. (2006). The Effectiveness of Counter-Terrorism Strategies. </w:t>
      </w:r>
      <w:r w:rsidRPr="009501CD">
        <w:rPr>
          <w:rFonts w:ascii="Times New Roman" w:hAnsi="Times New Roman" w:cs="Times New Roman"/>
          <w:i/>
          <w:iCs/>
          <w:sz w:val="24"/>
          <w:szCs w:val="24"/>
        </w:rPr>
        <w:t>Campbell Systematic Reviews</w:t>
      </w:r>
      <w:r w:rsidRPr="009501CD">
        <w:rPr>
          <w:rFonts w:ascii="Times New Roman" w:hAnsi="Times New Roman" w:cs="Times New Roman"/>
          <w:sz w:val="24"/>
          <w:szCs w:val="24"/>
        </w:rPr>
        <w:t xml:space="preserve">, 2(1), pp.1–50.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://doi.org/10.4073/csr.2006.2.</w:t>
      </w:r>
    </w:p>
    <w:p w14:paraId="3C395458"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Macpherson (1999). </w:t>
      </w:r>
      <w:r w:rsidRPr="009501CD">
        <w:rPr>
          <w:rFonts w:ascii="Times New Roman" w:hAnsi="Times New Roman" w:cs="Times New Roman"/>
          <w:i/>
          <w:iCs/>
          <w:sz w:val="24"/>
          <w:szCs w:val="24"/>
        </w:rPr>
        <w:t>The Stephen Lawrence Inquiry</w:t>
      </w:r>
      <w:r w:rsidRPr="009501CD">
        <w:rPr>
          <w:rFonts w:ascii="Times New Roman" w:hAnsi="Times New Roman" w:cs="Times New Roman"/>
          <w:sz w:val="24"/>
          <w:szCs w:val="24"/>
        </w:rPr>
        <w:t>. [online] GOV.UK. Available at: https://www.gov.uk/government/publications/the-stephen-lawrence-inquiry.</w:t>
      </w:r>
    </w:p>
    <w:p w14:paraId="7E6593E0"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Makarenko, T. (2004). The Crime-Terror Continuum: Tracing the Interplay between Transnational Organised Crime and Terrorism. </w:t>
      </w:r>
      <w:r w:rsidRPr="009501CD">
        <w:rPr>
          <w:rFonts w:ascii="Times New Roman" w:hAnsi="Times New Roman" w:cs="Times New Roman"/>
          <w:i/>
          <w:iCs/>
          <w:sz w:val="24"/>
          <w:szCs w:val="24"/>
        </w:rPr>
        <w:t>Global Crime</w:t>
      </w:r>
      <w:r w:rsidRPr="009501CD">
        <w:rPr>
          <w:rFonts w:ascii="Times New Roman" w:hAnsi="Times New Roman" w:cs="Times New Roman"/>
          <w:sz w:val="24"/>
          <w:szCs w:val="24"/>
        </w:rPr>
        <w:t>, [online] 6(1), pp.129–145. Available at: https://www.tandfonline.com/doi/abs/10.1080/1744057042000297025.</w:t>
      </w:r>
    </w:p>
    <w:p w14:paraId="19E6E566"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Mason, L. (2007). </w:t>
      </w:r>
      <w:proofErr w:type="spellStart"/>
      <w:r w:rsidRPr="009501CD">
        <w:rPr>
          <w:rFonts w:ascii="Times New Roman" w:hAnsi="Times New Roman" w:cs="Times New Roman"/>
          <w:sz w:val="24"/>
          <w:szCs w:val="24"/>
        </w:rPr>
        <w:t>Skogan</w:t>
      </w:r>
      <w:proofErr w:type="spellEnd"/>
      <w:r w:rsidRPr="009501CD">
        <w:rPr>
          <w:rFonts w:ascii="Times New Roman" w:hAnsi="Times New Roman" w:cs="Times New Roman"/>
          <w:sz w:val="24"/>
          <w:szCs w:val="24"/>
        </w:rPr>
        <w:t xml:space="preserve">, W. G. (2006). * Police and Community in Chicago; a Tale of Three cities. </w:t>
      </w:r>
      <w:r w:rsidRPr="009501CD">
        <w:rPr>
          <w:rFonts w:ascii="Times New Roman" w:hAnsi="Times New Roman" w:cs="Times New Roman"/>
          <w:i/>
          <w:iCs/>
          <w:sz w:val="24"/>
          <w:szCs w:val="24"/>
        </w:rPr>
        <w:t>Policing</w:t>
      </w:r>
      <w:r w:rsidRPr="009501CD">
        <w:rPr>
          <w:rFonts w:ascii="Times New Roman" w:hAnsi="Times New Roman" w:cs="Times New Roman"/>
          <w:sz w:val="24"/>
          <w:szCs w:val="24"/>
        </w:rPr>
        <w:t xml:space="preserve">, 1(2), pp.244–245.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://doi.org/10.1093/police/pam034.</w:t>
      </w:r>
    </w:p>
    <w:p w14:paraId="49FB389F"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OpenLibrary.org (2025). </w:t>
      </w:r>
      <w:r w:rsidRPr="009501CD">
        <w:rPr>
          <w:rFonts w:ascii="Times New Roman" w:hAnsi="Times New Roman" w:cs="Times New Roman"/>
          <w:i/>
          <w:iCs/>
          <w:sz w:val="24"/>
          <w:szCs w:val="24"/>
        </w:rPr>
        <w:t>Problem-oriented Policing by Herman Goldstein | Open Library</w:t>
      </w:r>
      <w:r w:rsidRPr="009501CD">
        <w:rPr>
          <w:rFonts w:ascii="Times New Roman" w:hAnsi="Times New Roman" w:cs="Times New Roman"/>
          <w:sz w:val="24"/>
          <w:szCs w:val="24"/>
        </w:rPr>
        <w:t>. [online] Open Library. Available at: https://openlibrary.org/books/OL2194663M/Problem-oriented_policing.</w:t>
      </w:r>
    </w:p>
    <w:p w14:paraId="45B7F8F0"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Richer, A.D. and Tucker, E. (2025). </w:t>
      </w:r>
      <w:r w:rsidRPr="009501CD">
        <w:rPr>
          <w:rFonts w:ascii="Times New Roman" w:hAnsi="Times New Roman" w:cs="Times New Roman"/>
          <w:i/>
          <w:iCs/>
          <w:sz w:val="24"/>
          <w:szCs w:val="24"/>
        </w:rPr>
        <w:t>Pam Bondi Announces Terrorism Case against Alleged Tren De Aragua Member</w:t>
      </w:r>
      <w:r w:rsidRPr="009501CD">
        <w:rPr>
          <w:rFonts w:ascii="Times New Roman" w:hAnsi="Times New Roman" w:cs="Times New Roman"/>
          <w:sz w:val="24"/>
          <w:szCs w:val="24"/>
        </w:rPr>
        <w:t>. [online] AP News. Available at: https://apnews.com/article/pam-bondi-terrorism-tda-gang-venezuela-colombia-74d29b4e08e362bceb7439f920290c2d.</w:t>
      </w:r>
    </w:p>
    <w:p w14:paraId="3DD5EC79"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Shah, S., Rahman, I. and </w:t>
      </w:r>
      <w:proofErr w:type="spellStart"/>
      <w:r w:rsidRPr="009501CD">
        <w:rPr>
          <w:rFonts w:ascii="Times New Roman" w:hAnsi="Times New Roman" w:cs="Times New Roman"/>
          <w:sz w:val="24"/>
          <w:szCs w:val="24"/>
        </w:rPr>
        <w:t>Khashu</w:t>
      </w:r>
      <w:proofErr w:type="spellEnd"/>
      <w:r w:rsidRPr="009501CD">
        <w:rPr>
          <w:rFonts w:ascii="Times New Roman" w:hAnsi="Times New Roman" w:cs="Times New Roman"/>
          <w:sz w:val="24"/>
          <w:szCs w:val="24"/>
        </w:rPr>
        <w:t xml:space="preserve">, A. (2008). </w:t>
      </w:r>
      <w:r w:rsidRPr="009501CD">
        <w:rPr>
          <w:rFonts w:ascii="Times New Roman" w:hAnsi="Times New Roman" w:cs="Times New Roman"/>
          <w:i/>
          <w:iCs/>
          <w:sz w:val="24"/>
          <w:szCs w:val="24"/>
        </w:rPr>
        <w:t>Overcoming Language Barriers: Solutions for Law Enforcement</w:t>
      </w:r>
      <w:r w:rsidRPr="009501CD">
        <w:rPr>
          <w:rFonts w:ascii="Times New Roman" w:hAnsi="Times New Roman" w:cs="Times New Roman"/>
          <w:sz w:val="24"/>
          <w:szCs w:val="24"/>
        </w:rPr>
        <w:t xml:space="preserve">. [online] Available at: https://vera-institute.files.svdcdn.com/production/downloads/publications/Overcoming_Language_Barriers_FINAL.pdf. </w:t>
      </w:r>
    </w:p>
    <w:p w14:paraId="52DDBD44"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Stotzer, R.L. (2014). “Law Enforcement and Criminal Justice Personnel Interactions with Transgender People in the United States: A Literature Review.” Aggression and Violent </w:t>
      </w:r>
      <w:proofErr w:type="spellStart"/>
      <w:r w:rsidRPr="009501CD">
        <w:rPr>
          <w:rFonts w:ascii="Times New Roman" w:hAnsi="Times New Roman" w:cs="Times New Roman"/>
          <w:sz w:val="24"/>
          <w:szCs w:val="24"/>
        </w:rPr>
        <w:t>Behavior</w:t>
      </w:r>
      <w:proofErr w:type="spellEnd"/>
      <w:r w:rsidRPr="009501CD">
        <w:rPr>
          <w:rFonts w:ascii="Times New Roman" w:hAnsi="Times New Roman" w:cs="Times New Roman"/>
          <w:sz w:val="24"/>
          <w:szCs w:val="24"/>
        </w:rPr>
        <w:t>, 19(3), 263–277.</w:t>
      </w:r>
    </w:p>
    <w:p w14:paraId="1FB2B558"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Subramanian, S. (2024). </w:t>
      </w:r>
      <w:r w:rsidRPr="009501CD">
        <w:rPr>
          <w:rFonts w:ascii="Times New Roman" w:hAnsi="Times New Roman" w:cs="Times New Roman"/>
          <w:i/>
          <w:iCs/>
          <w:sz w:val="24"/>
          <w:szCs w:val="24"/>
        </w:rPr>
        <w:t>The Cement Company That Paid Millions to Isis: Was Lafarge Complicit in Crimes against humanity?</w:t>
      </w:r>
      <w:r w:rsidRPr="009501CD">
        <w:rPr>
          <w:rFonts w:ascii="Times New Roman" w:hAnsi="Times New Roman" w:cs="Times New Roman"/>
          <w:sz w:val="24"/>
          <w:szCs w:val="24"/>
        </w:rPr>
        <w:t xml:space="preserve"> [online] The Guardian. Available at: https://www.theguardian.com/world/2024/sep/17/french-cement-company-lafarge-paid-millions-to-islamic-state-syria.</w:t>
      </w:r>
    </w:p>
    <w:p w14:paraId="25E3AA11"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Thomas, P. (2016). Youth, Terrorism and Education: Britain’s Prevent Programme. </w:t>
      </w:r>
      <w:r w:rsidRPr="009501CD">
        <w:rPr>
          <w:rFonts w:ascii="Times New Roman" w:hAnsi="Times New Roman" w:cs="Times New Roman"/>
          <w:i/>
          <w:iCs/>
          <w:sz w:val="24"/>
          <w:szCs w:val="24"/>
        </w:rPr>
        <w:t>International Journal of Lifelong Education</w:t>
      </w:r>
      <w:r w:rsidRPr="009501CD">
        <w:rPr>
          <w:rFonts w:ascii="Times New Roman" w:hAnsi="Times New Roman" w:cs="Times New Roman"/>
          <w:sz w:val="24"/>
          <w:szCs w:val="24"/>
        </w:rPr>
        <w:t>, [online] 35(2), pp.171–187. Available at: https://www.tandfonline.com/doi/abs/10.1080/02601370.2016.1164469.</w:t>
      </w:r>
    </w:p>
    <w:p w14:paraId="2A001163"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Tyler, T.R. (2005). Policing in Black and White: Ethnic Group Differences in Trust and Confidence in the Police. </w:t>
      </w:r>
      <w:r w:rsidRPr="009501CD">
        <w:rPr>
          <w:rFonts w:ascii="Times New Roman" w:hAnsi="Times New Roman" w:cs="Times New Roman"/>
          <w:i/>
          <w:iCs/>
          <w:sz w:val="24"/>
          <w:szCs w:val="24"/>
        </w:rPr>
        <w:t>Police Quarterly</w:t>
      </w:r>
      <w:r w:rsidRPr="009501CD">
        <w:rPr>
          <w:rFonts w:ascii="Times New Roman" w:hAnsi="Times New Roman" w:cs="Times New Roman"/>
          <w:sz w:val="24"/>
          <w:szCs w:val="24"/>
        </w:rPr>
        <w:t xml:space="preserve">, [online] 8(3), pp.322–342.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://doi.org/10.1177/1098611104271105.</w:t>
      </w:r>
    </w:p>
    <w:p w14:paraId="5FA7DA2E"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United Nations (2021). </w:t>
      </w:r>
      <w:r w:rsidRPr="009501CD">
        <w:rPr>
          <w:rFonts w:ascii="Times New Roman" w:hAnsi="Times New Roman" w:cs="Times New Roman"/>
          <w:i/>
          <w:iCs/>
          <w:sz w:val="24"/>
          <w:szCs w:val="24"/>
        </w:rPr>
        <w:t>UNODC Organized Crime - Tools and Publications</w:t>
      </w:r>
      <w:r w:rsidRPr="009501CD">
        <w:rPr>
          <w:rFonts w:ascii="Times New Roman" w:hAnsi="Times New Roman" w:cs="Times New Roman"/>
          <w:sz w:val="24"/>
          <w:szCs w:val="24"/>
        </w:rPr>
        <w:t>. [online] United Nations : Office on Drugs and Crime. Available at: https://www.unodc.org/unodc/en/organized-crime/tools-and-publications.html.</w:t>
      </w:r>
    </w:p>
    <w:p w14:paraId="456A0109" w14:textId="77777777" w:rsidR="00543548" w:rsidRPr="009501CD" w:rsidRDefault="00543548" w:rsidP="00543548">
      <w:pPr>
        <w:jc w:val="both"/>
        <w:rPr>
          <w:rFonts w:ascii="Times New Roman" w:hAnsi="Times New Roman" w:cs="Times New Roman"/>
          <w:sz w:val="24"/>
          <w:szCs w:val="24"/>
        </w:rPr>
      </w:pPr>
      <w:r w:rsidRPr="009501CD">
        <w:rPr>
          <w:rFonts w:ascii="Times New Roman" w:hAnsi="Times New Roman" w:cs="Times New Roman"/>
          <w:sz w:val="24"/>
          <w:szCs w:val="24"/>
        </w:rPr>
        <w:t xml:space="preserve">Williams, P. (2009). Illicit markets, Weak States and violence: Iraq and Mexico. </w:t>
      </w:r>
      <w:r w:rsidRPr="009501CD">
        <w:rPr>
          <w:rFonts w:ascii="Times New Roman" w:hAnsi="Times New Roman" w:cs="Times New Roman"/>
          <w:i/>
          <w:iCs/>
          <w:sz w:val="24"/>
          <w:szCs w:val="24"/>
        </w:rPr>
        <w:t>Crime, Law and Social Change</w:t>
      </w:r>
      <w:r w:rsidRPr="009501CD">
        <w:rPr>
          <w:rFonts w:ascii="Times New Roman" w:hAnsi="Times New Roman" w:cs="Times New Roman"/>
          <w:sz w:val="24"/>
          <w:szCs w:val="24"/>
        </w:rPr>
        <w:t xml:space="preserve">, 52(3), pp.323–336.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://doi.org/10.1007/s10611-009-9194-0.</w:t>
      </w:r>
    </w:p>
    <w:p w14:paraId="66A31DED" w14:textId="77777777" w:rsidR="00543548" w:rsidRPr="00733AB5" w:rsidRDefault="00543548" w:rsidP="00BC2FCC">
      <w:pPr>
        <w:jc w:val="both"/>
        <w:rPr>
          <w:rFonts w:ascii="Times New Roman" w:hAnsi="Times New Roman" w:cs="Times New Roman"/>
          <w:sz w:val="24"/>
          <w:szCs w:val="24"/>
        </w:rPr>
      </w:pPr>
    </w:p>
    <w:p w14:paraId="03010020" w14:textId="116AB202" w:rsidR="007C37FF" w:rsidRPr="00BC2FCC" w:rsidRDefault="007C37FF" w:rsidP="00BC2FCC">
      <w:pPr>
        <w:jc w:val="both"/>
        <w:rPr>
          <w:rFonts w:ascii="Times New Roman" w:hAnsi="Times New Roman" w:cs="Times New Roman"/>
          <w:sz w:val="24"/>
          <w:szCs w:val="24"/>
        </w:rPr>
      </w:pPr>
    </w:p>
    <w:sectPr w:rsidR="007C37FF" w:rsidRPr="00BC2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215D9"/>
    <w:multiLevelType w:val="multilevel"/>
    <w:tmpl w:val="B3A0902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A3C48A7"/>
    <w:multiLevelType w:val="multilevel"/>
    <w:tmpl w:val="CFE87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3372FB"/>
    <w:multiLevelType w:val="multilevel"/>
    <w:tmpl w:val="AD2603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94565070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5622781">
    <w:abstractNumId w:val="1"/>
  </w:num>
  <w:num w:numId="3" w16cid:durableId="96516460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144963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890"/>
    <w:rsid w:val="00037972"/>
    <w:rsid w:val="000C7528"/>
    <w:rsid w:val="00164623"/>
    <w:rsid w:val="001D7C91"/>
    <w:rsid w:val="002A7941"/>
    <w:rsid w:val="002E3142"/>
    <w:rsid w:val="00413C62"/>
    <w:rsid w:val="004867DD"/>
    <w:rsid w:val="00493B71"/>
    <w:rsid w:val="004C3A1E"/>
    <w:rsid w:val="004E0E94"/>
    <w:rsid w:val="00517BF2"/>
    <w:rsid w:val="00543548"/>
    <w:rsid w:val="00547DB6"/>
    <w:rsid w:val="005D4CD4"/>
    <w:rsid w:val="005E0863"/>
    <w:rsid w:val="005E1C18"/>
    <w:rsid w:val="005E2908"/>
    <w:rsid w:val="006672F4"/>
    <w:rsid w:val="00710675"/>
    <w:rsid w:val="007A1038"/>
    <w:rsid w:val="007C37FF"/>
    <w:rsid w:val="00816AC0"/>
    <w:rsid w:val="00897F8A"/>
    <w:rsid w:val="008B52D1"/>
    <w:rsid w:val="008F091F"/>
    <w:rsid w:val="00913830"/>
    <w:rsid w:val="009241FB"/>
    <w:rsid w:val="009501CD"/>
    <w:rsid w:val="00955CBD"/>
    <w:rsid w:val="00971392"/>
    <w:rsid w:val="00977E0F"/>
    <w:rsid w:val="00A61D56"/>
    <w:rsid w:val="00AE1397"/>
    <w:rsid w:val="00B20BCE"/>
    <w:rsid w:val="00BC2FCC"/>
    <w:rsid w:val="00C54813"/>
    <w:rsid w:val="00C75E06"/>
    <w:rsid w:val="00C8402B"/>
    <w:rsid w:val="00C93D4D"/>
    <w:rsid w:val="00CC2713"/>
    <w:rsid w:val="00D569BD"/>
    <w:rsid w:val="00DA2C8A"/>
    <w:rsid w:val="00DE5F0D"/>
    <w:rsid w:val="00E914DB"/>
    <w:rsid w:val="00EA4890"/>
    <w:rsid w:val="00F82BF9"/>
    <w:rsid w:val="00FF7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FDC0F"/>
  <w15:chartTrackingRefBased/>
  <w15:docId w15:val="{B42C3B72-0A61-4CFC-AE04-3FC020842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FCC"/>
  </w:style>
  <w:style w:type="paragraph" w:styleId="Heading1">
    <w:name w:val="heading 1"/>
    <w:basedOn w:val="Normal"/>
    <w:next w:val="Normal"/>
    <w:link w:val="Heading1Char"/>
    <w:uiPriority w:val="9"/>
    <w:qFormat/>
    <w:rsid w:val="00EA4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4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8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8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4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890"/>
    <w:rPr>
      <w:rFonts w:eastAsiaTheme="majorEastAsia" w:cstheme="majorBidi"/>
      <w:color w:val="272727" w:themeColor="text1" w:themeTint="D8"/>
    </w:rPr>
  </w:style>
  <w:style w:type="paragraph" w:styleId="Title">
    <w:name w:val="Title"/>
    <w:basedOn w:val="Normal"/>
    <w:next w:val="Normal"/>
    <w:link w:val="TitleChar"/>
    <w:uiPriority w:val="10"/>
    <w:qFormat/>
    <w:rsid w:val="00EA4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8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890"/>
    <w:pPr>
      <w:spacing w:before="160"/>
      <w:jc w:val="center"/>
    </w:pPr>
    <w:rPr>
      <w:i/>
      <w:iCs/>
      <w:color w:val="404040" w:themeColor="text1" w:themeTint="BF"/>
    </w:rPr>
  </w:style>
  <w:style w:type="character" w:customStyle="1" w:styleId="QuoteChar">
    <w:name w:val="Quote Char"/>
    <w:basedOn w:val="DefaultParagraphFont"/>
    <w:link w:val="Quote"/>
    <w:uiPriority w:val="29"/>
    <w:rsid w:val="00EA4890"/>
    <w:rPr>
      <w:i/>
      <w:iCs/>
      <w:color w:val="404040" w:themeColor="text1" w:themeTint="BF"/>
    </w:rPr>
  </w:style>
  <w:style w:type="paragraph" w:styleId="ListParagraph">
    <w:name w:val="List Paragraph"/>
    <w:basedOn w:val="Normal"/>
    <w:uiPriority w:val="34"/>
    <w:qFormat/>
    <w:rsid w:val="00EA4890"/>
    <w:pPr>
      <w:ind w:left="720"/>
      <w:contextualSpacing/>
    </w:pPr>
  </w:style>
  <w:style w:type="character" w:styleId="IntenseEmphasis">
    <w:name w:val="Intense Emphasis"/>
    <w:basedOn w:val="DefaultParagraphFont"/>
    <w:uiPriority w:val="21"/>
    <w:qFormat/>
    <w:rsid w:val="00EA4890"/>
    <w:rPr>
      <w:i/>
      <w:iCs/>
      <w:color w:val="0F4761" w:themeColor="accent1" w:themeShade="BF"/>
    </w:rPr>
  </w:style>
  <w:style w:type="paragraph" w:styleId="IntenseQuote">
    <w:name w:val="Intense Quote"/>
    <w:basedOn w:val="Normal"/>
    <w:next w:val="Normal"/>
    <w:link w:val="IntenseQuoteChar"/>
    <w:uiPriority w:val="30"/>
    <w:qFormat/>
    <w:rsid w:val="00EA4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890"/>
    <w:rPr>
      <w:i/>
      <w:iCs/>
      <w:color w:val="0F4761" w:themeColor="accent1" w:themeShade="BF"/>
    </w:rPr>
  </w:style>
  <w:style w:type="character" w:styleId="IntenseReference">
    <w:name w:val="Intense Reference"/>
    <w:basedOn w:val="DefaultParagraphFont"/>
    <w:uiPriority w:val="32"/>
    <w:qFormat/>
    <w:rsid w:val="00EA4890"/>
    <w:rPr>
      <w:b/>
      <w:bCs/>
      <w:smallCaps/>
      <w:color w:val="0F4761" w:themeColor="accent1" w:themeShade="BF"/>
      <w:spacing w:val="5"/>
    </w:rPr>
  </w:style>
  <w:style w:type="character" w:styleId="Hyperlink">
    <w:name w:val="Hyperlink"/>
    <w:basedOn w:val="DefaultParagraphFont"/>
    <w:uiPriority w:val="99"/>
    <w:unhideWhenUsed/>
    <w:rsid w:val="00977E0F"/>
    <w:rPr>
      <w:color w:val="467886" w:themeColor="hyperlink"/>
      <w:u w:val="single"/>
    </w:rPr>
  </w:style>
  <w:style w:type="character" w:styleId="UnresolvedMention">
    <w:name w:val="Unresolved Mention"/>
    <w:basedOn w:val="DefaultParagraphFont"/>
    <w:uiPriority w:val="99"/>
    <w:semiHidden/>
    <w:unhideWhenUsed/>
    <w:rsid w:val="00977E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2383">
      <w:bodyDiv w:val="1"/>
      <w:marLeft w:val="0"/>
      <w:marRight w:val="0"/>
      <w:marTop w:val="0"/>
      <w:marBottom w:val="0"/>
      <w:divBdr>
        <w:top w:val="none" w:sz="0" w:space="0" w:color="auto"/>
        <w:left w:val="none" w:sz="0" w:space="0" w:color="auto"/>
        <w:bottom w:val="none" w:sz="0" w:space="0" w:color="auto"/>
        <w:right w:val="none" w:sz="0" w:space="0" w:color="auto"/>
      </w:divBdr>
    </w:div>
    <w:div w:id="15274824">
      <w:bodyDiv w:val="1"/>
      <w:marLeft w:val="0"/>
      <w:marRight w:val="0"/>
      <w:marTop w:val="0"/>
      <w:marBottom w:val="0"/>
      <w:divBdr>
        <w:top w:val="none" w:sz="0" w:space="0" w:color="auto"/>
        <w:left w:val="none" w:sz="0" w:space="0" w:color="auto"/>
        <w:bottom w:val="none" w:sz="0" w:space="0" w:color="auto"/>
        <w:right w:val="none" w:sz="0" w:space="0" w:color="auto"/>
      </w:divBdr>
    </w:div>
    <w:div w:id="146672747">
      <w:bodyDiv w:val="1"/>
      <w:marLeft w:val="0"/>
      <w:marRight w:val="0"/>
      <w:marTop w:val="0"/>
      <w:marBottom w:val="0"/>
      <w:divBdr>
        <w:top w:val="none" w:sz="0" w:space="0" w:color="auto"/>
        <w:left w:val="none" w:sz="0" w:space="0" w:color="auto"/>
        <w:bottom w:val="none" w:sz="0" w:space="0" w:color="auto"/>
        <w:right w:val="none" w:sz="0" w:space="0" w:color="auto"/>
      </w:divBdr>
    </w:div>
    <w:div w:id="252395287">
      <w:bodyDiv w:val="1"/>
      <w:marLeft w:val="0"/>
      <w:marRight w:val="0"/>
      <w:marTop w:val="0"/>
      <w:marBottom w:val="0"/>
      <w:divBdr>
        <w:top w:val="none" w:sz="0" w:space="0" w:color="auto"/>
        <w:left w:val="none" w:sz="0" w:space="0" w:color="auto"/>
        <w:bottom w:val="none" w:sz="0" w:space="0" w:color="auto"/>
        <w:right w:val="none" w:sz="0" w:space="0" w:color="auto"/>
      </w:divBdr>
    </w:div>
    <w:div w:id="321738802">
      <w:bodyDiv w:val="1"/>
      <w:marLeft w:val="0"/>
      <w:marRight w:val="0"/>
      <w:marTop w:val="0"/>
      <w:marBottom w:val="0"/>
      <w:divBdr>
        <w:top w:val="none" w:sz="0" w:space="0" w:color="auto"/>
        <w:left w:val="none" w:sz="0" w:space="0" w:color="auto"/>
        <w:bottom w:val="none" w:sz="0" w:space="0" w:color="auto"/>
        <w:right w:val="none" w:sz="0" w:space="0" w:color="auto"/>
      </w:divBdr>
      <w:divsChild>
        <w:div w:id="634145858">
          <w:marLeft w:val="0"/>
          <w:marRight w:val="0"/>
          <w:marTop w:val="0"/>
          <w:marBottom w:val="0"/>
          <w:divBdr>
            <w:top w:val="none" w:sz="0" w:space="0" w:color="auto"/>
            <w:left w:val="none" w:sz="0" w:space="0" w:color="auto"/>
            <w:bottom w:val="none" w:sz="0" w:space="0" w:color="auto"/>
            <w:right w:val="none" w:sz="0" w:space="0" w:color="auto"/>
          </w:divBdr>
        </w:div>
      </w:divsChild>
    </w:div>
    <w:div w:id="447505013">
      <w:bodyDiv w:val="1"/>
      <w:marLeft w:val="0"/>
      <w:marRight w:val="0"/>
      <w:marTop w:val="0"/>
      <w:marBottom w:val="0"/>
      <w:divBdr>
        <w:top w:val="none" w:sz="0" w:space="0" w:color="auto"/>
        <w:left w:val="none" w:sz="0" w:space="0" w:color="auto"/>
        <w:bottom w:val="none" w:sz="0" w:space="0" w:color="auto"/>
        <w:right w:val="none" w:sz="0" w:space="0" w:color="auto"/>
      </w:divBdr>
    </w:div>
    <w:div w:id="510528117">
      <w:bodyDiv w:val="1"/>
      <w:marLeft w:val="0"/>
      <w:marRight w:val="0"/>
      <w:marTop w:val="0"/>
      <w:marBottom w:val="0"/>
      <w:divBdr>
        <w:top w:val="none" w:sz="0" w:space="0" w:color="auto"/>
        <w:left w:val="none" w:sz="0" w:space="0" w:color="auto"/>
        <w:bottom w:val="none" w:sz="0" w:space="0" w:color="auto"/>
        <w:right w:val="none" w:sz="0" w:space="0" w:color="auto"/>
      </w:divBdr>
    </w:div>
    <w:div w:id="510919694">
      <w:bodyDiv w:val="1"/>
      <w:marLeft w:val="0"/>
      <w:marRight w:val="0"/>
      <w:marTop w:val="0"/>
      <w:marBottom w:val="0"/>
      <w:divBdr>
        <w:top w:val="none" w:sz="0" w:space="0" w:color="auto"/>
        <w:left w:val="none" w:sz="0" w:space="0" w:color="auto"/>
        <w:bottom w:val="none" w:sz="0" w:space="0" w:color="auto"/>
        <w:right w:val="none" w:sz="0" w:space="0" w:color="auto"/>
      </w:divBdr>
    </w:div>
    <w:div w:id="679502372">
      <w:bodyDiv w:val="1"/>
      <w:marLeft w:val="0"/>
      <w:marRight w:val="0"/>
      <w:marTop w:val="0"/>
      <w:marBottom w:val="0"/>
      <w:divBdr>
        <w:top w:val="none" w:sz="0" w:space="0" w:color="auto"/>
        <w:left w:val="none" w:sz="0" w:space="0" w:color="auto"/>
        <w:bottom w:val="none" w:sz="0" w:space="0" w:color="auto"/>
        <w:right w:val="none" w:sz="0" w:space="0" w:color="auto"/>
      </w:divBdr>
    </w:div>
    <w:div w:id="689063620">
      <w:bodyDiv w:val="1"/>
      <w:marLeft w:val="0"/>
      <w:marRight w:val="0"/>
      <w:marTop w:val="0"/>
      <w:marBottom w:val="0"/>
      <w:divBdr>
        <w:top w:val="none" w:sz="0" w:space="0" w:color="auto"/>
        <w:left w:val="none" w:sz="0" w:space="0" w:color="auto"/>
        <w:bottom w:val="none" w:sz="0" w:space="0" w:color="auto"/>
        <w:right w:val="none" w:sz="0" w:space="0" w:color="auto"/>
      </w:divBdr>
    </w:div>
    <w:div w:id="866915130">
      <w:bodyDiv w:val="1"/>
      <w:marLeft w:val="0"/>
      <w:marRight w:val="0"/>
      <w:marTop w:val="0"/>
      <w:marBottom w:val="0"/>
      <w:divBdr>
        <w:top w:val="none" w:sz="0" w:space="0" w:color="auto"/>
        <w:left w:val="none" w:sz="0" w:space="0" w:color="auto"/>
        <w:bottom w:val="none" w:sz="0" w:space="0" w:color="auto"/>
        <w:right w:val="none" w:sz="0" w:space="0" w:color="auto"/>
      </w:divBdr>
    </w:div>
    <w:div w:id="960837705">
      <w:bodyDiv w:val="1"/>
      <w:marLeft w:val="0"/>
      <w:marRight w:val="0"/>
      <w:marTop w:val="0"/>
      <w:marBottom w:val="0"/>
      <w:divBdr>
        <w:top w:val="none" w:sz="0" w:space="0" w:color="auto"/>
        <w:left w:val="none" w:sz="0" w:space="0" w:color="auto"/>
        <w:bottom w:val="none" w:sz="0" w:space="0" w:color="auto"/>
        <w:right w:val="none" w:sz="0" w:space="0" w:color="auto"/>
      </w:divBdr>
    </w:div>
    <w:div w:id="1020666987">
      <w:bodyDiv w:val="1"/>
      <w:marLeft w:val="0"/>
      <w:marRight w:val="0"/>
      <w:marTop w:val="0"/>
      <w:marBottom w:val="0"/>
      <w:divBdr>
        <w:top w:val="none" w:sz="0" w:space="0" w:color="auto"/>
        <w:left w:val="none" w:sz="0" w:space="0" w:color="auto"/>
        <w:bottom w:val="none" w:sz="0" w:space="0" w:color="auto"/>
        <w:right w:val="none" w:sz="0" w:space="0" w:color="auto"/>
      </w:divBdr>
    </w:div>
    <w:div w:id="1034769875">
      <w:bodyDiv w:val="1"/>
      <w:marLeft w:val="0"/>
      <w:marRight w:val="0"/>
      <w:marTop w:val="0"/>
      <w:marBottom w:val="0"/>
      <w:divBdr>
        <w:top w:val="none" w:sz="0" w:space="0" w:color="auto"/>
        <w:left w:val="none" w:sz="0" w:space="0" w:color="auto"/>
        <w:bottom w:val="none" w:sz="0" w:space="0" w:color="auto"/>
        <w:right w:val="none" w:sz="0" w:space="0" w:color="auto"/>
      </w:divBdr>
    </w:div>
    <w:div w:id="1213888562">
      <w:bodyDiv w:val="1"/>
      <w:marLeft w:val="0"/>
      <w:marRight w:val="0"/>
      <w:marTop w:val="0"/>
      <w:marBottom w:val="0"/>
      <w:divBdr>
        <w:top w:val="none" w:sz="0" w:space="0" w:color="auto"/>
        <w:left w:val="none" w:sz="0" w:space="0" w:color="auto"/>
        <w:bottom w:val="none" w:sz="0" w:space="0" w:color="auto"/>
        <w:right w:val="none" w:sz="0" w:space="0" w:color="auto"/>
      </w:divBdr>
    </w:div>
    <w:div w:id="1491751982">
      <w:bodyDiv w:val="1"/>
      <w:marLeft w:val="0"/>
      <w:marRight w:val="0"/>
      <w:marTop w:val="0"/>
      <w:marBottom w:val="0"/>
      <w:divBdr>
        <w:top w:val="none" w:sz="0" w:space="0" w:color="auto"/>
        <w:left w:val="none" w:sz="0" w:space="0" w:color="auto"/>
        <w:bottom w:val="none" w:sz="0" w:space="0" w:color="auto"/>
        <w:right w:val="none" w:sz="0" w:space="0" w:color="auto"/>
      </w:divBdr>
    </w:div>
    <w:div w:id="1971205719">
      <w:bodyDiv w:val="1"/>
      <w:marLeft w:val="0"/>
      <w:marRight w:val="0"/>
      <w:marTop w:val="0"/>
      <w:marBottom w:val="0"/>
      <w:divBdr>
        <w:top w:val="none" w:sz="0" w:space="0" w:color="auto"/>
        <w:left w:val="none" w:sz="0" w:space="0" w:color="auto"/>
        <w:bottom w:val="none" w:sz="0" w:space="0" w:color="auto"/>
        <w:right w:val="none" w:sz="0" w:space="0" w:color="auto"/>
      </w:divBdr>
      <w:divsChild>
        <w:div w:id="269356469">
          <w:marLeft w:val="0"/>
          <w:marRight w:val="0"/>
          <w:marTop w:val="0"/>
          <w:marBottom w:val="0"/>
          <w:divBdr>
            <w:top w:val="none" w:sz="0" w:space="0" w:color="auto"/>
            <w:left w:val="none" w:sz="0" w:space="0" w:color="auto"/>
            <w:bottom w:val="none" w:sz="0" w:space="0" w:color="auto"/>
            <w:right w:val="none" w:sz="0" w:space="0" w:color="auto"/>
          </w:divBdr>
        </w:div>
      </w:divsChild>
    </w:div>
    <w:div w:id="213760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718</TotalTime>
  <Pages>12</Pages>
  <Words>4991</Words>
  <Characters>28451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Wilmore, Mark</dc:creator>
  <cp:keywords/>
  <dc:description/>
  <cp:lastModifiedBy>Wilmore, Mark</cp:lastModifiedBy>
  <cp:revision>35</cp:revision>
  <dcterms:created xsi:type="dcterms:W3CDTF">2025-05-26T21:33:00Z</dcterms:created>
  <dcterms:modified xsi:type="dcterms:W3CDTF">2025-06-30T21:15:00Z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2025-05-26T17:37:14Z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b6e53348-be6a-40ea-91a0-624db3b73ca1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