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26DC8" w14:textId="5185DAC1" w:rsidR="00531C75" w:rsidRPr="00B26BEA" w:rsidRDefault="00D148E9" w:rsidP="00B26BEA">
      <w:pPr>
        <w:spacing w:line="480" w:lineRule="auto"/>
        <w:rPr>
          <w:b/>
        </w:rPr>
      </w:pPr>
      <w:r w:rsidRPr="00191D35">
        <w:rPr>
          <w:b/>
        </w:rPr>
        <w:t>How Complete was the Norman Conquest and Colonisation England by 1100?</w:t>
      </w:r>
    </w:p>
    <w:p w14:paraId="59CA9FA9" w14:textId="40DDFFAA" w:rsidR="00D46AF8" w:rsidRPr="0096620C" w:rsidRDefault="0096620C" w:rsidP="00B26BEA">
      <w:pPr>
        <w:spacing w:line="480" w:lineRule="auto"/>
      </w:pPr>
      <w:r>
        <w:t>The conquest of the Anglo-Saxon England in 1066 is widely regarded as one of the great turning points of British history. Hundreds of books have been written on the topic, and it still provokes debate amongst historians today. Various schools of thought about the conquest have risen and fallen throughout English and British history, these debates often having as deeply a political nature as the conquest did at the time: even as far back as the English Civil War, the cultural stereotypes of invading, aristocratic Normans became part of the political landscape once more.</w:t>
      </w:r>
      <w:r>
        <w:rPr>
          <w:rStyle w:val="FootnoteReference"/>
        </w:rPr>
        <w:footnoteReference w:id="1"/>
      </w:r>
      <w:r w:rsidR="00117764">
        <w:t xml:space="preserve"> </w:t>
      </w:r>
      <w:r w:rsidR="005C786F">
        <w:t xml:space="preserve">As this essay will investigate, </w:t>
      </w:r>
      <w:r w:rsidR="00117764">
        <w:t xml:space="preserve">it is evident that William I </w:t>
      </w:r>
      <w:r w:rsidR="00C133DD">
        <w:t xml:space="preserve">(r. 1066-87) </w:t>
      </w:r>
      <w:r w:rsidR="00117764">
        <w:t>and William Rufus</w:t>
      </w:r>
      <w:r w:rsidR="00C133DD">
        <w:t xml:space="preserve"> (r. 1087-1100)</w:t>
      </w:r>
      <w:r w:rsidR="005C786F">
        <w:t xml:space="preserve"> faced a great deal of uncertainty and struggle in the </w:t>
      </w:r>
      <w:r w:rsidR="00117764">
        <w:t>34 years following their conquest of England, and that by 1100 the conquest and colonisation of Eng</w:t>
      </w:r>
      <w:r w:rsidR="00C133DD">
        <w:t>land was not entirely complete.</w:t>
      </w:r>
      <w:r w:rsidR="00687F65">
        <w:t xml:space="preserve"> </w:t>
      </w:r>
    </w:p>
    <w:p w14:paraId="253C335D" w14:textId="77777777" w:rsidR="0061139E" w:rsidRDefault="0061139E" w:rsidP="00B26BEA">
      <w:pPr>
        <w:spacing w:line="480" w:lineRule="auto"/>
      </w:pPr>
    </w:p>
    <w:p w14:paraId="0AB23546" w14:textId="3F1BB6AF" w:rsidR="00816BD7" w:rsidRPr="00B723B6" w:rsidRDefault="00B723B6" w:rsidP="00B26BEA">
      <w:pPr>
        <w:spacing w:line="480" w:lineRule="auto"/>
      </w:pPr>
      <w:r>
        <w:t>As</w:t>
      </w:r>
      <w:r w:rsidR="001E7798">
        <w:t xml:space="preserve"> was </w:t>
      </w:r>
      <w:r>
        <w:t xml:space="preserve">summarized by Clanchy, </w:t>
      </w:r>
      <w:r w:rsidR="001E7798">
        <w:t>the Norman conquest remains a divisive issue amongst historians: “those who favour those who favour authority and military discipline can recognise these traits in the Normans, while liberals and democrats feel some kinship for the Anglo-Saxons</w:t>
      </w:r>
      <w:r w:rsidR="00531C75">
        <w:t>.</w:t>
      </w:r>
      <w:r w:rsidR="001E7798">
        <w:t>”</w:t>
      </w:r>
      <w:r w:rsidR="001E7798">
        <w:rPr>
          <w:rStyle w:val="FootnoteReference"/>
        </w:rPr>
        <w:footnoteReference w:id="2"/>
      </w:r>
      <w:r w:rsidR="00531C75">
        <w:t xml:space="preserve"> </w:t>
      </w:r>
      <w:r w:rsidR="0096620C">
        <w:t xml:space="preserve">As </w:t>
      </w:r>
      <w:r w:rsidR="00531C75">
        <w:t>Clanchy points out</w:t>
      </w:r>
      <w:r w:rsidR="0096620C">
        <w:t>,</w:t>
      </w:r>
      <w:r w:rsidR="00531C75">
        <w:t xml:space="preserve"> the politicization o</w:t>
      </w:r>
      <w:r w:rsidR="00E22972">
        <w:t>f the historiographical debate and</w:t>
      </w:r>
      <w:r w:rsidR="00531C75">
        <w:t xml:space="preserve"> discussion around the qualities of the Anglo-Saxon and Norman cultures has appeared multiple times </w:t>
      </w:r>
      <w:r w:rsidR="0096620C">
        <w:t xml:space="preserve">throughout history. </w:t>
      </w:r>
      <w:r w:rsidR="00E22972">
        <w:t xml:space="preserve">Struggles with national </w:t>
      </w:r>
      <w:r w:rsidR="003836A2">
        <w:t>identity and a refutation of traditional aristocracy of the English Civil war saw the association of the Normans with the supporters of Charles I,</w:t>
      </w:r>
      <w:r w:rsidR="003836A2">
        <w:rPr>
          <w:rStyle w:val="FootnoteReference"/>
        </w:rPr>
        <w:footnoteReference w:id="3"/>
      </w:r>
      <w:r w:rsidR="003836A2">
        <w:t xml:space="preserve"> while Victorian nationalism and revisionism saw a renewed interest in the Anglo-Saxons as being more “English.”  </w:t>
      </w:r>
      <w:r w:rsidR="009106BC">
        <w:t xml:space="preserve">Xenophobic </w:t>
      </w:r>
      <w:r w:rsidR="009106BC">
        <w:lastRenderedPageBreak/>
        <w:t>appropriation of the Anglo-Saxons has even been a feature of far-right and fascist theories of the 20</w:t>
      </w:r>
      <w:r w:rsidR="009106BC" w:rsidRPr="009106BC">
        <w:rPr>
          <w:vertAlign w:val="superscript"/>
        </w:rPr>
        <w:t>th</w:t>
      </w:r>
      <w:r w:rsidR="009106BC">
        <w:t xml:space="preserve"> century and beyond.</w:t>
      </w:r>
      <w:r w:rsidR="009106BC">
        <w:rPr>
          <w:rStyle w:val="FootnoteReference"/>
        </w:rPr>
        <w:footnoteReference w:id="4"/>
      </w:r>
      <w:r w:rsidR="00B26BEA">
        <w:t xml:space="preserve"> </w:t>
      </w:r>
    </w:p>
    <w:p w14:paraId="050C7767" w14:textId="3B5C5AAD" w:rsidR="00094D0C" w:rsidRDefault="00850FD4" w:rsidP="00B26BEA">
      <w:pPr>
        <w:spacing w:line="480" w:lineRule="auto"/>
      </w:pPr>
      <w:r>
        <w:t xml:space="preserve">Analysis of contemporary records such as the </w:t>
      </w:r>
      <w:r w:rsidR="007A6197">
        <w:rPr>
          <w:i/>
        </w:rPr>
        <w:t>Anglo-Saxon Chronicles</w:t>
      </w:r>
      <w:r w:rsidR="007A6197">
        <w:t xml:space="preserve"> reveals a kingdom on the precipice of disaster throughout the reigns of William the Conqueror and William Rufus. The continuance of writing in the Anglo-Saxon vernacular, combined with the tone of the authors indicate an overall disapproval of their new overlords</w:t>
      </w:r>
      <w:r w:rsidR="00094D0C">
        <w:t>. For example, the poem written as eulogy for William I found within the Peterborough manuscript spoke harshly of the king, with phrases such as “he was fallen into avarice, and he loved greediness above all</w:t>
      </w:r>
      <w:r w:rsidR="007A6197">
        <w:t>.</w:t>
      </w:r>
      <w:r w:rsidR="00094D0C">
        <w:t>”</w:t>
      </w:r>
      <w:r w:rsidR="00B26BEA">
        <w:rPr>
          <w:rStyle w:val="FootnoteReference"/>
        </w:rPr>
        <w:footnoteReference w:id="5"/>
      </w:r>
      <w:r w:rsidR="007A6197">
        <w:t xml:space="preserve"> </w:t>
      </w:r>
      <w:r w:rsidR="00094D0C">
        <w:t xml:space="preserve">The </w:t>
      </w:r>
      <w:r w:rsidR="003836A2">
        <w:t>Anglo-Saxon chronicles are not the only surviving i</w:t>
      </w:r>
      <w:r w:rsidR="00714CDD">
        <w:t>mpressions of the time. The concept of the “Norman Yoke” is derived from the writings of Orderic Vitalis</w:t>
      </w:r>
      <w:r w:rsidR="00B26BEA">
        <w:t>.</w:t>
      </w:r>
      <w:r w:rsidR="000066E5">
        <w:t xml:space="preserve"> The Norman Yoke views the Normans as oppressors.</w:t>
      </w:r>
    </w:p>
    <w:p w14:paraId="46CC664C" w14:textId="77777777" w:rsidR="0061139E" w:rsidRDefault="0061139E" w:rsidP="00B26BEA">
      <w:pPr>
        <w:spacing w:line="480" w:lineRule="auto"/>
      </w:pPr>
    </w:p>
    <w:p w14:paraId="37A89CBF" w14:textId="076EF57D" w:rsidR="00761846" w:rsidRDefault="00761846" w:rsidP="00B26BEA">
      <w:pPr>
        <w:spacing w:line="480" w:lineRule="auto"/>
      </w:pPr>
      <w:r>
        <w:t>The Norman Conquest was very much a ‘top-down’ affair. Lands were p</w:t>
      </w:r>
      <w:r w:rsidR="0031192E">
        <w:t xml:space="preserve">arcelled out to Norman nobles, while the more political positions within the clergy from Bishops down to Abbots were swiftly replaced with Normans as well. </w:t>
      </w:r>
      <w:r w:rsidR="00687F65">
        <w:t>B</w:t>
      </w:r>
      <w:r w:rsidR="00B26BEA">
        <w:t>y the end of William I’s reign, roughly 92% of England was directly under the control of people originating from across the channel.</w:t>
      </w:r>
      <w:r w:rsidR="00B26BEA">
        <w:rPr>
          <w:rStyle w:val="FootnoteReference"/>
        </w:rPr>
        <w:footnoteReference w:id="6"/>
      </w:r>
    </w:p>
    <w:p w14:paraId="012F71A7" w14:textId="77777777" w:rsidR="0061139E" w:rsidRDefault="0061139E" w:rsidP="00B26BEA">
      <w:pPr>
        <w:spacing w:line="480" w:lineRule="auto"/>
      </w:pPr>
    </w:p>
    <w:p w14:paraId="7ED77F03" w14:textId="2B9B5598" w:rsidR="00613765" w:rsidRDefault="00F108E7" w:rsidP="00B26BEA">
      <w:pPr>
        <w:spacing w:line="480" w:lineRule="auto"/>
      </w:pPr>
      <w:r>
        <w:t xml:space="preserve">Prior to the conquest, the Normans were not strangers to the British Isles by any means. Not only was William I’s claim to the throne of England in place due close political relations with Edward the Confessor, who not only took refuge there but saw the Normans as valuable allies against the threat of the </w:t>
      </w:r>
      <w:r w:rsidR="00613765">
        <w:t>Scandinavians.</w:t>
      </w:r>
      <w:r w:rsidR="00613765">
        <w:rPr>
          <w:rStyle w:val="FootnoteReference"/>
        </w:rPr>
        <w:footnoteReference w:id="7"/>
      </w:r>
      <w:r w:rsidR="00613765">
        <w:t xml:space="preserve"> According to Gravett &amp; Nicolle, “many Norman warriors, administrators and </w:t>
      </w:r>
      <w:r w:rsidR="00613765">
        <w:lastRenderedPageBreak/>
        <w:t>churchmen had served in England under Edward the Confessor. Some responsible for reorganizing the English defences along the Welsh borders around 1055.”</w:t>
      </w:r>
      <w:r w:rsidR="00613765">
        <w:rPr>
          <w:rStyle w:val="FootnoteReference"/>
        </w:rPr>
        <w:footnoteReference w:id="8"/>
      </w:r>
      <w:r w:rsidR="00613765">
        <w:t xml:space="preserve"> This indicates a pre-existing familiarity with Anglo-Saxon administrative and military practices, which would have had extremely beneficial effects for the colonisation of England only 11 years later.</w:t>
      </w:r>
    </w:p>
    <w:p w14:paraId="51EF34E6" w14:textId="77777777" w:rsidR="0061139E" w:rsidRDefault="0061139E" w:rsidP="00B26BEA">
      <w:pPr>
        <w:spacing w:line="480" w:lineRule="auto"/>
      </w:pPr>
    </w:p>
    <w:p w14:paraId="5B59FFB3" w14:textId="37CE210A" w:rsidR="0061139E" w:rsidRDefault="00391674" w:rsidP="00B26BEA">
      <w:pPr>
        <w:spacing w:line="480" w:lineRule="auto"/>
      </w:pPr>
      <w:r>
        <w:t xml:space="preserve">The Normans seem to have taken care to keep many of the pre-existing institutions of England in place. </w:t>
      </w:r>
      <w:r w:rsidR="00FC4035">
        <w:t xml:space="preserve">This was wide ranging, spanning numerous legalistic practices and tax infrastructure to the militia levy of the fyrd (itself Normanized as </w:t>
      </w:r>
      <w:r w:rsidR="00FC4035" w:rsidRPr="00FC4035">
        <w:rPr>
          <w:i/>
        </w:rPr>
        <w:t>ferd</w:t>
      </w:r>
      <w:r w:rsidR="00FC4035">
        <w:t xml:space="preserve">). The </w:t>
      </w:r>
      <w:r w:rsidR="00FC4035">
        <w:rPr>
          <w:i/>
        </w:rPr>
        <w:t xml:space="preserve">ferd </w:t>
      </w:r>
      <w:r w:rsidR="00FC4035">
        <w:t xml:space="preserve">levy became associated with richer peasantry, with urban militias such as the one originating from London gaining particular renown, and was often called upon as an emergency supplement to the Normans </w:t>
      </w:r>
      <w:r w:rsidR="00A17929">
        <w:t>military forces. In the years following the conquest, it may even had greater importance with the numerous almost simultaneous threats from Wales, Scotland or Scandinavia.</w:t>
      </w:r>
      <w:r w:rsidR="00A17929">
        <w:rPr>
          <w:rStyle w:val="FootnoteReference"/>
        </w:rPr>
        <w:footnoteReference w:id="9"/>
      </w:r>
      <w:r w:rsidR="00A17929">
        <w:t xml:space="preserve"> </w:t>
      </w:r>
    </w:p>
    <w:p w14:paraId="79D65F76" w14:textId="77777777" w:rsidR="00F87091" w:rsidRDefault="00F87091" w:rsidP="00B26BEA">
      <w:pPr>
        <w:spacing w:line="480" w:lineRule="auto"/>
      </w:pPr>
    </w:p>
    <w:p w14:paraId="30CDF4B9" w14:textId="22A97E2B" w:rsidR="00893368" w:rsidRDefault="006539AD" w:rsidP="00B26BEA">
      <w:pPr>
        <w:spacing w:line="480" w:lineRule="auto"/>
      </w:pPr>
      <w:r>
        <w:t>The Normans were early-adopters of the castle, preceding contemporaries in the rest of France and the Holy Roman Empire alike.</w:t>
      </w:r>
      <w:r w:rsidR="009106BC">
        <w:rPr>
          <w:rStyle w:val="FootnoteReference"/>
        </w:rPr>
        <w:footnoteReference w:id="10"/>
      </w:r>
      <w:r w:rsidR="006079AC">
        <w:t xml:space="preserve"> Castles held multiple roles in the Normanized English </w:t>
      </w:r>
      <w:r w:rsidR="009106BC">
        <w:t>political and social landscape. The Norman castle was both settlement and military base</w:t>
      </w:r>
      <w:r w:rsidR="0052170C">
        <w:t>, serving as base of operations for the military of a noble in charge of an area, homes and local administrative centres</w:t>
      </w:r>
      <w:r w:rsidR="009106BC">
        <w:t xml:space="preserve">. Therefore, they </w:t>
      </w:r>
      <w:r w:rsidR="0052170C">
        <w:t>were simultaneously signifiers of conquest</w:t>
      </w:r>
      <w:r w:rsidR="009106BC">
        <w:t xml:space="preserve"> </w:t>
      </w:r>
      <w:r w:rsidR="0052170C">
        <w:t>and colonisation.</w:t>
      </w:r>
    </w:p>
    <w:p w14:paraId="51315FB1" w14:textId="77777777" w:rsidR="0061139E" w:rsidRDefault="0061139E" w:rsidP="00B26BEA">
      <w:pPr>
        <w:spacing w:line="480" w:lineRule="auto"/>
      </w:pPr>
    </w:p>
    <w:p w14:paraId="68321F4B" w14:textId="1737C29B" w:rsidR="002122D8" w:rsidRDefault="00893368" w:rsidP="00B26BEA">
      <w:pPr>
        <w:spacing w:line="480" w:lineRule="auto"/>
      </w:pPr>
      <w:r>
        <w:t xml:space="preserve">There is a correlation between the Norman conquerors of England </w:t>
      </w:r>
      <w:r w:rsidR="00014597">
        <w:t>and</w:t>
      </w:r>
      <w:r>
        <w:t xml:space="preserve"> modern</w:t>
      </w:r>
      <w:r w:rsidR="00014597">
        <w:t xml:space="preserve"> asymmetrical</w:t>
      </w:r>
      <w:r>
        <w:t xml:space="preserve"> wars where a populous can be considered hostile. 20</w:t>
      </w:r>
      <w:r w:rsidRPr="00893368">
        <w:rPr>
          <w:vertAlign w:val="superscript"/>
        </w:rPr>
        <w:t>th</w:t>
      </w:r>
      <w:r>
        <w:t xml:space="preserve"> and 21</w:t>
      </w:r>
      <w:r w:rsidRPr="00893368">
        <w:rPr>
          <w:vertAlign w:val="superscript"/>
        </w:rPr>
        <w:t>st</w:t>
      </w:r>
      <w:r>
        <w:t xml:space="preserve"> century </w:t>
      </w:r>
      <w:r w:rsidR="00014597">
        <w:t>asymmetrical warfare</w:t>
      </w:r>
      <w:r>
        <w:t xml:space="preserve"> such as Vietnam or Afghanistan has proven to be characterized by the </w:t>
      </w:r>
      <w:r w:rsidR="00014597">
        <w:t xml:space="preserve">invading </w:t>
      </w:r>
      <w:r>
        <w:t xml:space="preserve">force settling down into </w:t>
      </w:r>
      <w:r>
        <w:lastRenderedPageBreak/>
        <w:t xml:space="preserve">relatively safe “firebases” or other militarized camps </w:t>
      </w:r>
      <w:r w:rsidR="00014597">
        <w:t xml:space="preserve">whilst making forays into a hostile country. In a similar vein, post-conquest, the Normans found themselves a numerically inferior invader, attempting to leverage control over a populous that was largely hostile, especially if excerpts from the </w:t>
      </w:r>
      <w:r w:rsidR="00014597">
        <w:rPr>
          <w:i/>
        </w:rPr>
        <w:t>Anglo-Saxon Chronicles</w:t>
      </w:r>
      <w:r w:rsidR="00014597">
        <w:t xml:space="preserve"> and other contemporary chroniclers are to be believed.</w:t>
      </w:r>
      <w:r w:rsidR="004427A4">
        <w:t xml:space="preserve"> Post-conquest, according to Clanchy, “the Normans were obliged to behave as an army of occupation, fortified in their new castles and sallying out in groups to interrogate people and cow them into submission.”</w:t>
      </w:r>
      <w:r w:rsidR="004427A4">
        <w:rPr>
          <w:rStyle w:val="FootnoteReference"/>
        </w:rPr>
        <w:footnoteReference w:id="11"/>
      </w:r>
    </w:p>
    <w:p w14:paraId="61D9F3C2" w14:textId="77777777" w:rsidR="0061139E" w:rsidRDefault="0061139E" w:rsidP="00B26BEA">
      <w:pPr>
        <w:spacing w:line="480" w:lineRule="auto"/>
        <w:rPr>
          <w:b/>
        </w:rPr>
      </w:pPr>
    </w:p>
    <w:p w14:paraId="4DF543F9" w14:textId="76DB9B19" w:rsidR="008D0088" w:rsidRDefault="001A227D" w:rsidP="00B26BEA">
      <w:pPr>
        <w:spacing w:line="480" w:lineRule="auto"/>
      </w:pPr>
      <w:r>
        <w:t xml:space="preserve">The laws of William the Conqueror </w:t>
      </w:r>
      <w:r w:rsidR="001109C3">
        <w:t>reflect a clash of cultures</w:t>
      </w:r>
      <w:r w:rsidR="00CB4B65">
        <w:t xml:space="preserve">, yet also attempts to ease transition from one administration to another. </w:t>
      </w:r>
      <w:r w:rsidR="00665A44">
        <w:t>Much is made of the Norman usage of existing Anglo-Saxon administrative infrastructure after the conquest, although there were many alterations made</w:t>
      </w:r>
      <w:r w:rsidR="009457A7">
        <w:t>. A law instituting fines for the sale of cattle outside of cities had a two-fold effect: both encouraging the growth of towns by ensuring increased commerce within</w:t>
      </w:r>
      <w:r w:rsidR="008D0088">
        <w:t xml:space="preserve"> and </w:t>
      </w:r>
      <w:r w:rsidR="00BD5829">
        <w:t>ensuring that</w:t>
      </w:r>
      <w:r w:rsidR="008D0088">
        <w:t xml:space="preserve"> crown authority could more easily track the movement of wealth around their new territory.</w:t>
      </w:r>
      <w:r w:rsidR="008D0088">
        <w:rPr>
          <w:rStyle w:val="FootnoteReference"/>
        </w:rPr>
        <w:footnoteReference w:id="12"/>
      </w:r>
      <w:r w:rsidR="008D0088">
        <w:t xml:space="preserve"> Other laws attempted to maintain a modicum of equality in treatment between the Anglo-Saxons and Frenchmen by ensuring the continuance of the laws of Edward the Confessor</w:t>
      </w:r>
      <w:r w:rsidR="008D0088">
        <w:rPr>
          <w:rStyle w:val="FootnoteReference"/>
        </w:rPr>
        <w:footnoteReference w:id="13"/>
      </w:r>
      <w:r w:rsidR="008D0088">
        <w:t>, or by granting trial by ordeal.</w:t>
      </w:r>
      <w:r w:rsidR="008D0088">
        <w:rPr>
          <w:rStyle w:val="FootnoteReference"/>
        </w:rPr>
        <w:footnoteReference w:id="14"/>
      </w:r>
      <w:r w:rsidR="008D0088">
        <w:t xml:space="preserve"> Some of the most interesting laws instituted by William I, however, were those relating to the murder of a fellow Norman: </w:t>
      </w:r>
    </w:p>
    <w:p w14:paraId="2056D0F9" w14:textId="17003E0D" w:rsidR="008D0088" w:rsidRDefault="008D0088" w:rsidP="00B26BEA">
      <w:pPr>
        <w:spacing w:line="480" w:lineRule="auto"/>
        <w:rPr>
          <w:i/>
        </w:rPr>
      </w:pPr>
      <w:r w:rsidRPr="008D0088">
        <w:rPr>
          <w:i/>
        </w:rPr>
        <w:t xml:space="preserve">“…all the men I have brought with me, or who have come after me, shall be protected by my peace and shall dwell in quiet. And if any one of them shall be slain, let the lord of his murderer seize him within five days, if he can; but if he cannot, let him pay me 46 marks of silver so long as his substance </w:t>
      </w:r>
      <w:r w:rsidRPr="008D0088">
        <w:rPr>
          <w:i/>
        </w:rPr>
        <w:lastRenderedPageBreak/>
        <w:t>avails. And when his substance is exhausted, let the whole hundred in which the murder took place pay what remains in common.”</w:t>
      </w:r>
      <w:r>
        <w:rPr>
          <w:rStyle w:val="FootnoteReference"/>
          <w:i/>
        </w:rPr>
        <w:footnoteReference w:id="15"/>
      </w:r>
    </w:p>
    <w:p w14:paraId="7F592DFE" w14:textId="593FA636" w:rsidR="00B2143E" w:rsidRDefault="00B2143E" w:rsidP="00B26BEA">
      <w:pPr>
        <w:spacing w:line="480" w:lineRule="auto"/>
      </w:pPr>
      <w:r>
        <w:t xml:space="preserve">By essentially </w:t>
      </w:r>
      <w:r w:rsidR="00033429">
        <w:t>punishing</w:t>
      </w:r>
      <w:r>
        <w:t xml:space="preserve"> entire communities en-masse</w:t>
      </w:r>
      <w:r w:rsidR="00033429">
        <w:t xml:space="preserve"> for a murder of a Norman</w:t>
      </w:r>
      <w:r>
        <w:t xml:space="preserve">, </w:t>
      </w:r>
      <w:r w:rsidR="00033429">
        <w:t>dominance was emphasised and a potentially crippling financial burden was leveraged upon the populace, ultimately discouraging popular revolt. With promises of increased freedoms combined with often draconian (to our eyes) punishments for crimes, it would have seemed to many that they would have more to lose than to gain from open revolt against their new</w:t>
      </w:r>
      <w:r w:rsidR="00840ACC">
        <w:t xml:space="preserve"> King</w:t>
      </w:r>
      <w:r w:rsidR="00033429">
        <w:t xml:space="preserve">. </w:t>
      </w:r>
    </w:p>
    <w:p w14:paraId="4CA47C37" w14:textId="77777777" w:rsidR="0061139E" w:rsidRDefault="0061139E" w:rsidP="00B26BEA">
      <w:pPr>
        <w:spacing w:line="480" w:lineRule="auto"/>
      </w:pPr>
    </w:p>
    <w:p w14:paraId="0B5881D7" w14:textId="75B922A1" w:rsidR="00DB037F" w:rsidRDefault="00DB037F" w:rsidP="00B26BEA">
      <w:pPr>
        <w:spacing w:line="480" w:lineRule="auto"/>
      </w:pPr>
      <w:r>
        <w:t>According to Stenton, “the cardinal principle of the Conqueror’s government was the wish to rule, and to be accepted by Englishmen, as King Edward’s legitimate successor.”</w:t>
      </w:r>
      <w:r>
        <w:rPr>
          <w:rStyle w:val="FootnoteReference"/>
        </w:rPr>
        <w:footnoteReference w:id="16"/>
      </w:r>
      <w:r>
        <w:t xml:space="preserve"> Elements of the laws of William I do support this view, for the two preambular laws explicitly support and state this</w:t>
      </w:r>
      <w:r>
        <w:rPr>
          <w:rStyle w:val="FootnoteReference"/>
        </w:rPr>
        <w:footnoteReference w:id="17"/>
      </w:r>
      <w:r>
        <w:t xml:space="preserve">, but Stenton’s view is but one interpretation. The recorded actions of the Normans do not indicate a “hearts-and-minds” approach to rulership, but rather rule by mailed-fist. </w:t>
      </w:r>
      <w:r w:rsidR="007F4759">
        <w:t>Legitimization of rulership</w:t>
      </w:r>
      <w:r w:rsidR="00CC5629">
        <w:t xml:space="preserve">, then as now, is of prime importance </w:t>
      </w:r>
      <w:r w:rsidR="00174C84">
        <w:t xml:space="preserve">to a new regime. The struggle to assert legitimacy </w:t>
      </w:r>
      <w:r w:rsidR="00A825AD">
        <w:t>was by no means a unique feature of the immediate post-conquest monarchy of England, as virtually every medieval English monarch faced internal threats to their rule</w:t>
      </w:r>
      <w:r w:rsidR="0061139E">
        <w:t>.</w:t>
      </w:r>
    </w:p>
    <w:p w14:paraId="5A7275BE" w14:textId="77777777" w:rsidR="00862159" w:rsidRPr="00B2143E" w:rsidRDefault="00862159" w:rsidP="00B26BEA">
      <w:pPr>
        <w:spacing w:line="480" w:lineRule="auto"/>
      </w:pPr>
    </w:p>
    <w:p w14:paraId="3DF49871" w14:textId="17AB3C2D" w:rsidR="00A97720" w:rsidRPr="00A97720" w:rsidRDefault="00A97720" w:rsidP="00B26BEA">
      <w:pPr>
        <w:spacing w:line="480" w:lineRule="auto"/>
      </w:pPr>
      <w:r>
        <w:t xml:space="preserve">Almost immediately after the conquest, William the Conqueror was faced with any number of external threats. The Welsh and Scottish alike saw opportunity with the collapse of the Anglo-Saxons, and attempted to expand their own spheres of influence leading to a number of conflicts </w:t>
      </w:r>
      <w:r>
        <w:lastRenderedPageBreak/>
        <w:t>throughout the years following the conquest.</w:t>
      </w:r>
      <w:r>
        <w:rPr>
          <w:rStyle w:val="FootnoteReference"/>
        </w:rPr>
        <w:footnoteReference w:id="18"/>
      </w:r>
      <w:r>
        <w:t xml:space="preserve"> Nor did the Scandinavians consider their claims to the throne of England to have lapsed after their defeat at the battle of Stamford Bridge, </w:t>
      </w:r>
      <w:r w:rsidR="00816BD7">
        <w:t>as there were numerous raids and even counter-invasions originating from Scandinavian territory in Ireland and Denmark.</w:t>
      </w:r>
      <w:r w:rsidR="00816BD7">
        <w:rPr>
          <w:rStyle w:val="FootnoteReference"/>
        </w:rPr>
        <w:footnoteReference w:id="19"/>
      </w:r>
      <w:r w:rsidR="0061139E">
        <w:t xml:space="preserve"> Even Normandy was not safe, as the nature of 11</w:t>
      </w:r>
      <w:r w:rsidR="0061139E" w:rsidRPr="0061139E">
        <w:rPr>
          <w:vertAlign w:val="superscript"/>
        </w:rPr>
        <w:t>th</w:t>
      </w:r>
      <w:r w:rsidR="0061139E">
        <w:t xml:space="preserve"> century politics caused numerous threats to the rule of William I from the various constituent states of France. William I’s later reign can be characterized as one of almost constant warfare, racing around the British Isles and the North of France alike quashing rebellions and expanding his rule through conquest. This is indicative of a need to assert authority. </w:t>
      </w:r>
    </w:p>
    <w:p w14:paraId="7DE1ABE6" w14:textId="77777777" w:rsidR="0061139E" w:rsidRDefault="0061139E" w:rsidP="00B26BEA">
      <w:pPr>
        <w:spacing w:line="480" w:lineRule="auto"/>
        <w:rPr>
          <w:b/>
        </w:rPr>
      </w:pPr>
    </w:p>
    <w:p w14:paraId="32A7F0EE" w14:textId="61B53650" w:rsidR="001F6511" w:rsidRDefault="001F6511" w:rsidP="00B26BEA">
      <w:pPr>
        <w:spacing w:line="480" w:lineRule="auto"/>
      </w:pPr>
      <w:r>
        <w:t xml:space="preserve">Perhaps one of the finest examples of the success of the Norman conquest and colonization of England </w:t>
      </w:r>
      <w:r w:rsidR="00DE7960">
        <w:t>was</w:t>
      </w:r>
      <w:r>
        <w:t xml:space="preserve"> the colonisation </w:t>
      </w:r>
      <w:r w:rsidR="00DE7960">
        <w:t>of</w:t>
      </w:r>
      <w:r>
        <w:t xml:space="preserve"> language. Modern English is a hybrid of multiple origins. Yet post-conquest England was a polyglot state. </w:t>
      </w:r>
      <w:r w:rsidR="0056142A">
        <w:t xml:space="preserve">Alfred the Great had encouraged </w:t>
      </w:r>
      <w:r w:rsidR="00D817F9">
        <w:t>the development of a written Anglo-Saxon language, complete with the translation of books from Latin into English. By 1066, the language had the prestige of being a language of law and cultural expression,</w:t>
      </w:r>
      <w:r w:rsidR="00D817F9">
        <w:rPr>
          <w:rStyle w:val="FootnoteReference"/>
        </w:rPr>
        <w:footnoteReference w:id="20"/>
      </w:r>
      <w:r w:rsidR="00D817F9">
        <w:t xml:space="preserve"> but with the coming of the Normans </w:t>
      </w:r>
      <w:r w:rsidR="00985C1C">
        <w:t>this changed rapidly. Simply put, the language of law and nobility was French, the language of worship remained Latin, whilst Anglo-Saxon became the domain of the peasantry.</w:t>
      </w:r>
      <w:r w:rsidR="00985C1C">
        <w:rPr>
          <w:rStyle w:val="FootnoteReference"/>
        </w:rPr>
        <w:footnoteReference w:id="21"/>
      </w:r>
      <w:r w:rsidR="00985C1C">
        <w:t xml:space="preserve"> This is acutely visible in various manuscripts of post-conquest England</w:t>
      </w:r>
      <w:r w:rsidR="00DE7960">
        <w:t xml:space="preserve"> (both political and apolitical). O</w:t>
      </w:r>
      <w:r w:rsidR="00985C1C">
        <w:t>ne richly illuminated example</w:t>
      </w:r>
      <w:r w:rsidR="00AF63DD">
        <w:t xml:space="preserve"> even depicts lower class people talking in Anglo-Saxon English, whilst the text is written in Latin. </w:t>
      </w:r>
      <w:r w:rsidR="00DE7960">
        <w:t xml:space="preserve">The cosmopolitan nature of the realm </w:t>
      </w:r>
      <w:r w:rsidR="00985C1C">
        <w:t>is telling, as new languages developed from this: Anglo-Norman differed linguistica</w:t>
      </w:r>
      <w:r w:rsidR="00DE7960">
        <w:t>lly from continental French, while the emergent Middle-English also displayed diverse linguistic roots.</w:t>
      </w:r>
      <w:r w:rsidR="00DE7960">
        <w:rPr>
          <w:rStyle w:val="FootnoteReference"/>
        </w:rPr>
        <w:footnoteReference w:id="22"/>
      </w:r>
      <w:r w:rsidR="00B949E9">
        <w:t xml:space="preserve"> A consultation of a modern English dictionary shows the linguistic colonisation of England even now, for there are </w:t>
      </w:r>
      <w:r w:rsidR="00B949E9">
        <w:lastRenderedPageBreak/>
        <w:t>numerous cases where the words for food on the table have French roots, whilst the words for the hapless animal the food originated from often have Anglo-Saxon roots. “Beef”</w:t>
      </w:r>
      <w:r w:rsidR="00347683">
        <w:t xml:space="preserve"> (“B</w:t>
      </w:r>
      <w:r w:rsidR="001348E7">
        <w:t>oe</w:t>
      </w:r>
      <w:r w:rsidR="00347683">
        <w:t>f”) and “cow</w:t>
      </w:r>
      <w:r w:rsidR="00B949E9">
        <w:t>”</w:t>
      </w:r>
      <w:r w:rsidR="00347683">
        <w:t xml:space="preserve"> (“Cu”),</w:t>
      </w:r>
      <w:r w:rsidR="00C133DD">
        <w:rPr>
          <w:rStyle w:val="FootnoteReference"/>
        </w:rPr>
        <w:footnoteReference w:id="23"/>
      </w:r>
      <w:r w:rsidR="00B949E9">
        <w:t xml:space="preserve"> for instance.</w:t>
      </w:r>
      <w:r w:rsidR="000C5068">
        <w:t xml:space="preserve"> This phenomenon extends throughout the English language, </w:t>
      </w:r>
      <w:r w:rsidR="006B10A1">
        <w:t>with words used today that are more formal deriving from French, whilst less formal words such as insults and curses derive from Anglo-Saxon, as this excerpt from a 15</w:t>
      </w:r>
      <w:r w:rsidR="006B10A1" w:rsidRPr="006B10A1">
        <w:rPr>
          <w:vertAlign w:val="superscript"/>
        </w:rPr>
        <w:t>th</w:t>
      </w:r>
      <w:r w:rsidR="006B10A1">
        <w:t xml:space="preserve"> century</w:t>
      </w:r>
      <w:r w:rsidR="00347683">
        <w:t xml:space="preserve"> medical</w:t>
      </w:r>
      <w:r w:rsidR="006B10A1">
        <w:t xml:space="preserve"> document highlights:</w:t>
      </w:r>
    </w:p>
    <w:p w14:paraId="44EEEB74" w14:textId="1B279B2A" w:rsidR="006B10A1" w:rsidRPr="006B10A1" w:rsidRDefault="006B10A1" w:rsidP="00B26BEA">
      <w:pPr>
        <w:spacing w:line="480" w:lineRule="auto"/>
        <w:rPr>
          <w:i/>
        </w:rPr>
      </w:pPr>
      <w:r w:rsidRPr="006B10A1">
        <w:rPr>
          <w:i/>
        </w:rPr>
        <w:t>“If he may not schite oones a day, help him</w:t>
      </w:r>
      <w:r>
        <w:rPr>
          <w:i/>
        </w:rPr>
        <w:t xml:space="preserve"> </w:t>
      </w:r>
      <w:r w:rsidRPr="006B10A1">
        <w:rPr>
          <w:bCs/>
          <w:i/>
        </w:rPr>
        <w:t>þ</w:t>
      </w:r>
      <w:r>
        <w:rPr>
          <w:bCs/>
          <w:i/>
        </w:rPr>
        <w:t>erto.”</w:t>
      </w:r>
      <w:r w:rsidR="00347683">
        <w:rPr>
          <w:rStyle w:val="FootnoteReference"/>
          <w:bCs/>
          <w:i/>
        </w:rPr>
        <w:footnoteReference w:id="24"/>
      </w:r>
    </w:p>
    <w:p w14:paraId="076A3694" w14:textId="77777777" w:rsidR="00862159" w:rsidRDefault="00862159" w:rsidP="00B26BEA">
      <w:pPr>
        <w:spacing w:line="480" w:lineRule="auto"/>
        <w:rPr>
          <w:b/>
        </w:rPr>
      </w:pPr>
    </w:p>
    <w:p w14:paraId="5634FEDC" w14:textId="34CB9758" w:rsidR="006539AD" w:rsidRPr="00117764" w:rsidRDefault="00895663" w:rsidP="00B26BEA">
      <w:pPr>
        <w:spacing w:line="480" w:lineRule="auto"/>
      </w:pPr>
      <w:r>
        <w:t>Even with the struggles the first Norman monarchs faced to secure thei</w:t>
      </w:r>
      <w:r w:rsidR="00094D0C">
        <w:t>r rule England and assert their legitimacy,</w:t>
      </w:r>
      <w:r w:rsidR="00F108E7">
        <w:t xml:space="preserve"> they were extremely effective in their goals</w:t>
      </w:r>
      <w:r w:rsidR="00687F65">
        <w:t xml:space="preserve">. In consideration of the long-term effects of the reign of William I, from legislation to castle </w:t>
      </w:r>
      <w:r w:rsidR="00174370">
        <w:t>construction, Norman rule of England appears to have been</w:t>
      </w:r>
      <w:r w:rsidR="003222CB">
        <w:t xml:space="preserve"> effective and secure. Yet the internal and external threats the Normans faced, especially in consideration of the tone of outrage from contemporary chroniclers and even those from centuries later paint a very different picture indeed. Cultural change takes far longer than political change, and the gradual nature of integration of English and Norman cultures elicits images of a</w:t>
      </w:r>
      <w:r w:rsidR="00AE2A3F">
        <w:t>n extremely awkward political situation</w:t>
      </w:r>
      <w:r w:rsidR="009C63FF">
        <w:t>.</w:t>
      </w:r>
    </w:p>
    <w:p w14:paraId="7BB9BE5C" w14:textId="2D8E31A1" w:rsidR="00E22AD4" w:rsidRDefault="00E22AD4" w:rsidP="00B26BEA">
      <w:pPr>
        <w:spacing w:line="480" w:lineRule="auto"/>
      </w:pPr>
      <w:r>
        <w:br w:type="page"/>
      </w:r>
    </w:p>
    <w:p w14:paraId="4A221CA2" w14:textId="77777777" w:rsidR="00D148E9" w:rsidRPr="00191D35" w:rsidRDefault="00D148E9" w:rsidP="00B26BEA">
      <w:pPr>
        <w:spacing w:line="480" w:lineRule="auto"/>
        <w:rPr>
          <w:b/>
        </w:rPr>
      </w:pPr>
      <w:r w:rsidRPr="00191D35">
        <w:rPr>
          <w:b/>
        </w:rPr>
        <w:lastRenderedPageBreak/>
        <w:t>Bibliography</w:t>
      </w:r>
    </w:p>
    <w:p w14:paraId="19B13D1C" w14:textId="4AB2DCDE" w:rsidR="00D148E9" w:rsidRDefault="00D148E9" w:rsidP="00B26BEA">
      <w:pPr>
        <w:spacing w:line="480" w:lineRule="auto"/>
        <w:rPr>
          <w:b/>
        </w:rPr>
      </w:pPr>
      <w:r w:rsidRPr="00191D35">
        <w:rPr>
          <w:b/>
        </w:rPr>
        <w:t>Printed Primary</w:t>
      </w:r>
    </w:p>
    <w:p w14:paraId="3076B2E0" w14:textId="77777777" w:rsidR="00D01B3F" w:rsidRDefault="00D01B3F" w:rsidP="00D01B3F">
      <w:pPr>
        <w:spacing w:line="480" w:lineRule="auto"/>
      </w:pPr>
      <w:r>
        <w:t>Internet History Sourcebooks Project, Fordham University [online</w:t>
      </w:r>
      <w:r>
        <w:t xml:space="preserve">] Available at: </w:t>
      </w:r>
      <w:hyperlink r:id="rId8" w:history="1">
        <w:r w:rsidRPr="00A5639B">
          <w:rPr>
            <w:rStyle w:val="Hyperlink"/>
          </w:rPr>
          <w:t>https://sourcebooks.fordham.edu</w:t>
        </w:r>
      </w:hyperlink>
      <w:r>
        <w:t xml:space="preserve"> </w:t>
      </w:r>
      <w:r>
        <w:t>(accessed: 27/03/2018).</w:t>
      </w:r>
    </w:p>
    <w:p w14:paraId="57A41C5D" w14:textId="77777777" w:rsidR="00D01B3F" w:rsidRPr="005B1BC8" w:rsidRDefault="00D01B3F" w:rsidP="00B26BEA">
      <w:pPr>
        <w:spacing w:line="480" w:lineRule="auto"/>
      </w:pPr>
      <w:r>
        <w:t xml:space="preserve">Lanfrank, </w:t>
      </w:r>
      <w:r>
        <w:rPr>
          <w:i/>
        </w:rPr>
        <w:t xml:space="preserve">Science of Cirurgie, </w:t>
      </w:r>
      <w:r>
        <w:t>ed. &amp; trans. R. von Fleischacker (London: Kegan Paul, Trench, Tr</w:t>
      </w:r>
      <w:r>
        <w:rPr>
          <w:rFonts w:cstheme="minorHAnsi"/>
        </w:rPr>
        <w:t>ü</w:t>
      </w:r>
      <w:r>
        <w:t>bber &amp; co., 1891).</w:t>
      </w:r>
    </w:p>
    <w:p w14:paraId="4DE10103" w14:textId="77777777" w:rsidR="00D01B3F" w:rsidRDefault="00D01B3F" w:rsidP="00D01B3F">
      <w:pPr>
        <w:spacing w:line="480" w:lineRule="auto"/>
      </w:pPr>
      <w:r>
        <w:t>Medieval Sourcebook: Laws of William the Conqueror,</w:t>
      </w:r>
      <w:r>
        <w:t>Internet History Sourcebooks Project, Fordham University [online]</w:t>
      </w:r>
      <w:r>
        <w:t xml:space="preserve"> Available at:</w:t>
      </w:r>
      <w:r>
        <w:t xml:space="preserve"> </w:t>
      </w:r>
      <w:hyperlink r:id="rId9" w:history="1">
        <w:r w:rsidRPr="00D01B3F">
          <w:rPr>
            <w:rStyle w:val="Hyperlink"/>
          </w:rPr>
          <w:t>https://sourcebooks.fordham.edu/Halsall/source/w</w:t>
        </w:r>
        <w:r w:rsidRPr="00D01B3F">
          <w:rPr>
            <w:rStyle w:val="Hyperlink"/>
          </w:rPr>
          <w:t>i</w:t>
        </w:r>
        <w:r w:rsidRPr="00D01B3F">
          <w:rPr>
            <w:rStyle w:val="Hyperlink"/>
          </w:rPr>
          <w:t>ll1-lawsb.asp</w:t>
        </w:r>
      </w:hyperlink>
      <w:r w:rsidRPr="00D01B3F">
        <w:t xml:space="preserve"> </w:t>
      </w:r>
      <w:r>
        <w:t xml:space="preserve"> (accessed 27/03/2018).</w:t>
      </w:r>
    </w:p>
    <w:p w14:paraId="4BF0B924" w14:textId="77777777" w:rsidR="00D01B3F" w:rsidRDefault="00D01B3F" w:rsidP="00B26BEA">
      <w:pPr>
        <w:spacing w:line="480" w:lineRule="auto"/>
        <w:ind w:left="720" w:hanging="720"/>
      </w:pPr>
      <w:r>
        <w:t xml:space="preserve">Open Domesday Project, [online]. Available at: </w:t>
      </w:r>
      <w:hyperlink r:id="rId10" w:history="1">
        <w:r w:rsidRPr="00D01B3F">
          <w:rPr>
            <w:rStyle w:val="Hyperlink"/>
          </w:rPr>
          <w:t>http://opendomesday.org/</w:t>
        </w:r>
      </w:hyperlink>
      <w:r w:rsidRPr="00D01B3F">
        <w:rPr>
          <w:rStyle w:val="Hyperlink"/>
        </w:rPr>
        <w:t xml:space="preserve"> </w:t>
      </w:r>
      <w:r w:rsidRPr="00D01B3F">
        <w:t>(accessed:</w:t>
      </w:r>
      <w:r>
        <w:t xml:space="preserve"> 27/03/2018).</w:t>
      </w:r>
    </w:p>
    <w:p w14:paraId="6CFB66E1" w14:textId="77777777" w:rsidR="00D01B3F" w:rsidRDefault="00D01B3F" w:rsidP="00B26BEA">
      <w:pPr>
        <w:spacing w:line="480" w:lineRule="auto"/>
        <w:ind w:left="720" w:hanging="720"/>
      </w:pPr>
      <w:r>
        <w:rPr>
          <w:i/>
        </w:rPr>
        <w:t>The Anglo-Saxon Chronicles</w:t>
      </w:r>
      <w:r>
        <w:t>, trans. &amp; ed. by Michael Swanton (London: Phoenix Press, 2000).</w:t>
      </w:r>
    </w:p>
    <w:p w14:paraId="19099455" w14:textId="77777777" w:rsidR="00D148E9" w:rsidRPr="00191D35" w:rsidRDefault="00D148E9" w:rsidP="00B26BEA">
      <w:pPr>
        <w:spacing w:line="480" w:lineRule="auto"/>
        <w:rPr>
          <w:b/>
        </w:rPr>
      </w:pPr>
      <w:r w:rsidRPr="00191D35">
        <w:rPr>
          <w:b/>
        </w:rPr>
        <w:t>Secondary</w:t>
      </w:r>
    </w:p>
    <w:p w14:paraId="21A915A9" w14:textId="77777777" w:rsidR="00E636EE" w:rsidRDefault="00E636EE" w:rsidP="00B26BEA">
      <w:pPr>
        <w:spacing w:line="480" w:lineRule="auto"/>
      </w:pPr>
      <w:r>
        <w:t xml:space="preserve">Barlow, F., </w:t>
      </w:r>
      <w:r w:rsidRPr="003A238A">
        <w:rPr>
          <w:i/>
        </w:rPr>
        <w:t>The Feudal Kingdom of England 1042-1216, 4</w:t>
      </w:r>
      <w:r w:rsidRPr="003A238A">
        <w:rPr>
          <w:i/>
          <w:vertAlign w:val="superscript"/>
        </w:rPr>
        <w:t>th</w:t>
      </w:r>
      <w:r w:rsidRPr="003A238A">
        <w:rPr>
          <w:i/>
        </w:rPr>
        <w:t xml:space="preserve"> </w:t>
      </w:r>
      <w:r>
        <w:t>edn. (New York: Longman Group, 1988).</w:t>
      </w:r>
    </w:p>
    <w:p w14:paraId="6EB0C8C3" w14:textId="77777777" w:rsidR="00E636EE" w:rsidRDefault="00E636EE" w:rsidP="00B26BEA">
      <w:pPr>
        <w:spacing w:line="480" w:lineRule="auto"/>
      </w:pPr>
      <w:r>
        <w:t xml:space="preserve">Bartlett, R., </w:t>
      </w:r>
      <w:r w:rsidRPr="003A238A">
        <w:rPr>
          <w:i/>
        </w:rPr>
        <w:t>England Under the Norman and Angevin Kings: 1075-1225</w:t>
      </w:r>
      <w:r>
        <w:t xml:space="preserve"> (Oxford: Oxford University Press, 2000). </w:t>
      </w:r>
    </w:p>
    <w:p w14:paraId="0F12CEEA" w14:textId="77777777" w:rsidR="00E636EE" w:rsidRDefault="00E636EE" w:rsidP="00B26BEA">
      <w:pPr>
        <w:spacing w:line="480" w:lineRule="auto"/>
      </w:pPr>
      <w:r>
        <w:t xml:space="preserve">Clanchy, M. T., </w:t>
      </w:r>
      <w:r w:rsidRPr="003A238A">
        <w:rPr>
          <w:i/>
        </w:rPr>
        <w:t xml:space="preserve">England and its Rulers, </w:t>
      </w:r>
      <w:r>
        <w:t>4</w:t>
      </w:r>
      <w:r w:rsidRPr="003A238A">
        <w:rPr>
          <w:vertAlign w:val="superscript"/>
        </w:rPr>
        <w:t>th</w:t>
      </w:r>
      <w:r>
        <w:t xml:space="preserve"> edn. (Chichester: John Wiley &amp; Sons, 2014).</w:t>
      </w:r>
    </w:p>
    <w:p w14:paraId="5F98940A" w14:textId="77777777" w:rsidR="00E636EE" w:rsidRPr="00C918DD" w:rsidRDefault="00E636EE" w:rsidP="00B26BEA">
      <w:pPr>
        <w:spacing w:line="480" w:lineRule="auto"/>
      </w:pPr>
      <w:r>
        <w:t xml:space="preserve">Gravett, C., Nicolle, D., </w:t>
      </w:r>
      <w:r w:rsidRPr="003A238A">
        <w:rPr>
          <w:i/>
        </w:rPr>
        <w:t>The Normans: Warrior Knights and their Castles</w:t>
      </w:r>
      <w:r>
        <w:t xml:space="preserve"> (Oxford: Osprey Publishing, 2006).</w:t>
      </w:r>
    </w:p>
    <w:p w14:paraId="7B7423D6" w14:textId="77777777" w:rsidR="00E636EE" w:rsidRDefault="00E636EE" w:rsidP="00B26BEA">
      <w:pPr>
        <w:spacing w:line="480" w:lineRule="auto"/>
      </w:pPr>
      <w:r w:rsidRPr="00F87091">
        <w:t xml:space="preserve">Hannan, D., </w:t>
      </w:r>
      <w:r w:rsidRPr="00F87091">
        <w:rPr>
          <w:i/>
        </w:rPr>
        <w:t>“The Norman Conquest was a disaster for England. We should celebrate Naseby, not Hastings</w:t>
      </w:r>
      <w:r w:rsidRPr="00F87091">
        <w:t xml:space="preserve">,” The Telegraph (2016) [online]. Available at: </w:t>
      </w:r>
      <w:hyperlink r:id="rId11" w:history="1">
        <w:r w:rsidRPr="00F87091">
          <w:rPr>
            <w:rStyle w:val="Hyperlink"/>
          </w:rPr>
          <w:t>https://www.telegraph.co.uk/news/2016/10/14/the-norman-conquest-was-a-disaster-for-england-we-should-celebra/</w:t>
        </w:r>
      </w:hyperlink>
      <w:r w:rsidRPr="00F87091">
        <w:t xml:space="preserve"> (accessed: 27/03/2018).</w:t>
      </w:r>
    </w:p>
    <w:p w14:paraId="318FD1A3" w14:textId="77777777" w:rsidR="00E636EE" w:rsidRDefault="00E636EE" w:rsidP="00B26BEA">
      <w:pPr>
        <w:spacing w:line="480" w:lineRule="auto"/>
      </w:pPr>
      <w:r>
        <w:lastRenderedPageBreak/>
        <w:t xml:space="preserve">Jordan, W. C., </w:t>
      </w:r>
      <w:r w:rsidRPr="003A238A">
        <w:rPr>
          <w:i/>
        </w:rPr>
        <w:t xml:space="preserve">Europe in the High Middle Ages </w:t>
      </w:r>
      <w:r>
        <w:t>(London: The Penguin Group, 2002).</w:t>
      </w:r>
    </w:p>
    <w:p w14:paraId="756A2EA8" w14:textId="77777777" w:rsidR="00E636EE" w:rsidRDefault="00E636EE" w:rsidP="00B26BEA">
      <w:pPr>
        <w:spacing w:line="480" w:lineRule="auto"/>
      </w:pPr>
      <w:r>
        <w:t xml:space="preserve">Lacey, R., Danziger, D., </w:t>
      </w:r>
      <w:r w:rsidRPr="003A238A">
        <w:rPr>
          <w:i/>
        </w:rPr>
        <w:t>The Year 1000, What Life Was Like at The Turn of The First Millennium, an Englishman’s</w:t>
      </w:r>
      <w:r>
        <w:t xml:space="preserve"> </w:t>
      </w:r>
      <w:r w:rsidRPr="003A238A">
        <w:rPr>
          <w:i/>
        </w:rPr>
        <w:t>World</w:t>
      </w:r>
      <w:r>
        <w:t xml:space="preserve"> (London: Little, Brown and Company, 1999).</w:t>
      </w:r>
    </w:p>
    <w:p w14:paraId="058CD813" w14:textId="77777777" w:rsidR="00E636EE" w:rsidRDefault="00E636EE" w:rsidP="00B26BEA">
      <w:pPr>
        <w:spacing w:line="480" w:lineRule="auto"/>
      </w:pPr>
      <w:r w:rsidRPr="003A238A">
        <w:rPr>
          <w:i/>
        </w:rPr>
        <w:t>Medieval Warfare: A History</w:t>
      </w:r>
      <w:r>
        <w:t>, ed. Maurice Keen (Oxford: Oxford University Press, 1999).</w:t>
      </w:r>
    </w:p>
    <w:p w14:paraId="0749F9E4" w14:textId="77777777" w:rsidR="00E636EE" w:rsidRDefault="00E636EE" w:rsidP="00B26BEA">
      <w:pPr>
        <w:spacing w:line="480" w:lineRule="auto"/>
      </w:pPr>
      <w:r>
        <w:t>Oxford Dictionaries, [online]. Available at</w:t>
      </w:r>
      <w:r w:rsidRPr="008F6826">
        <w:t xml:space="preserve">: </w:t>
      </w:r>
      <w:hyperlink r:id="rId12" w:history="1">
        <w:r w:rsidRPr="008F6826">
          <w:rPr>
            <w:rStyle w:val="Hyperlink"/>
          </w:rPr>
          <w:t>https://en.oxforddictionaries.com/</w:t>
        </w:r>
      </w:hyperlink>
      <w:r>
        <w:t xml:space="preserve"> (accessed: 27/03/2018).</w:t>
      </w:r>
    </w:p>
    <w:p w14:paraId="3C046104" w14:textId="77777777" w:rsidR="00E636EE" w:rsidRDefault="00E636EE" w:rsidP="00B26BEA">
      <w:pPr>
        <w:spacing w:line="480" w:lineRule="auto"/>
      </w:pPr>
      <w:r>
        <w:t>Stenton, F.</w:t>
      </w:r>
      <w:r w:rsidRPr="003A238A">
        <w:rPr>
          <w:i/>
        </w:rPr>
        <w:t xml:space="preserve"> Anglo-Saxon England</w:t>
      </w:r>
      <w:r w:rsidRPr="00647FDA">
        <w:t>, 3</w:t>
      </w:r>
      <w:r w:rsidRPr="003A238A">
        <w:rPr>
          <w:vertAlign w:val="superscript"/>
        </w:rPr>
        <w:t>rd</w:t>
      </w:r>
      <w:r w:rsidRPr="00647FDA">
        <w:t xml:space="preserve"> edn. (</w:t>
      </w:r>
      <w:r>
        <w:t>Oxford: Oxford University Press, 2001).</w:t>
      </w:r>
    </w:p>
    <w:p w14:paraId="0F0AB158" w14:textId="77777777" w:rsidR="00E636EE" w:rsidRPr="008F6826" w:rsidRDefault="00E636EE" w:rsidP="00B26BEA">
      <w:pPr>
        <w:spacing w:line="480" w:lineRule="auto"/>
      </w:pPr>
      <w:r>
        <w:rPr>
          <w:i/>
        </w:rPr>
        <w:t>The Culture of Fascism: Visions of the Far Right In Britain</w:t>
      </w:r>
      <w:r>
        <w:t>, ed. J. V. Gottlieb, T. P. Linehan (London, Tauris &amp; Co. Ltd., 2004).</w:t>
      </w:r>
    </w:p>
    <w:p w14:paraId="28423D1C" w14:textId="77777777" w:rsidR="00E636EE" w:rsidRDefault="00E636EE" w:rsidP="00B26BEA">
      <w:pPr>
        <w:spacing w:line="480" w:lineRule="auto"/>
      </w:pPr>
      <w:r w:rsidRPr="00B26BEA">
        <w:rPr>
          <w:i/>
        </w:rPr>
        <w:t>The Domesday Book: England’s Heritage, Then &amp; Now</w:t>
      </w:r>
      <w:r w:rsidRPr="00B26BEA">
        <w:t>, ed. Thomas Hinde (Godalming: Coombe Books, 1996).</w:t>
      </w:r>
    </w:p>
    <w:p w14:paraId="102F213C" w14:textId="77777777" w:rsidR="00E636EE" w:rsidRDefault="00E636EE" w:rsidP="00B26BEA">
      <w:pPr>
        <w:spacing w:line="480" w:lineRule="auto"/>
      </w:pPr>
      <w:r w:rsidRPr="003A238A">
        <w:rPr>
          <w:i/>
        </w:rPr>
        <w:t>The Oxford Illustrated History of Medieval England</w:t>
      </w:r>
      <w:r>
        <w:t>, ed. Nigel Saul (Oxford: Oxford University Press: 1997).</w:t>
      </w:r>
    </w:p>
    <w:p w14:paraId="7B1AA7E7" w14:textId="77777777" w:rsidR="00E636EE" w:rsidRDefault="00E636EE" w:rsidP="00B26BEA">
      <w:pPr>
        <w:spacing w:line="480" w:lineRule="auto"/>
      </w:pPr>
      <w:r w:rsidRPr="003A238A">
        <w:rPr>
          <w:i/>
        </w:rPr>
        <w:t>The Oxford Illustrated History of Medieval Europe</w:t>
      </w:r>
      <w:r>
        <w:t>, ed. George Holmes (Oxford: Oxford University Press, 1992).</w:t>
      </w:r>
    </w:p>
    <w:p w14:paraId="48A83018" w14:textId="77777777" w:rsidR="00E636EE" w:rsidRDefault="00E636EE" w:rsidP="00B26BEA">
      <w:pPr>
        <w:spacing w:line="480" w:lineRule="auto"/>
      </w:pPr>
      <w:bookmarkStart w:id="1" w:name="_Hlk509956429"/>
      <w:r>
        <w:t xml:space="preserve">Vincent, N., </w:t>
      </w:r>
      <w:r w:rsidRPr="003A238A">
        <w:rPr>
          <w:i/>
        </w:rPr>
        <w:t>A Brief History of Britain: 1066-1485</w:t>
      </w:r>
      <w:r>
        <w:t xml:space="preserve"> (London: Robinson, 2011).</w:t>
      </w:r>
    </w:p>
    <w:p w14:paraId="7749E733" w14:textId="77777777" w:rsidR="00E636EE" w:rsidRDefault="00E636EE" w:rsidP="00B26BEA">
      <w:pPr>
        <w:spacing w:line="480" w:lineRule="auto"/>
      </w:pPr>
      <w:r>
        <w:t xml:space="preserve">Whitelock, D., </w:t>
      </w:r>
      <w:r w:rsidRPr="003A238A">
        <w:rPr>
          <w:i/>
        </w:rPr>
        <w:t xml:space="preserve">The Beginnings of English Society </w:t>
      </w:r>
      <w:r>
        <w:t>(London: Penguin Books, 1991).</w:t>
      </w:r>
    </w:p>
    <w:bookmarkEnd w:id="1"/>
    <w:p w14:paraId="6937919A" w14:textId="77777777" w:rsidR="00E636EE" w:rsidRPr="003A238A" w:rsidRDefault="00E636EE" w:rsidP="00B26BEA">
      <w:pPr>
        <w:spacing w:line="480" w:lineRule="auto"/>
      </w:pPr>
      <w:r w:rsidRPr="003A238A">
        <w:rPr>
          <w:i/>
        </w:rPr>
        <w:t>Women and Gender in Me</w:t>
      </w:r>
      <w:r>
        <w:rPr>
          <w:i/>
        </w:rPr>
        <w:t xml:space="preserve">dieval Europe: An Encyclopaedia, </w:t>
      </w:r>
      <w:r>
        <w:t>ed. Margaret Schaus (New York: Routledge, 2015).</w:t>
      </w:r>
    </w:p>
    <w:p w14:paraId="2E7182BC" w14:textId="3E698AEF" w:rsidR="00F87091" w:rsidRDefault="00F87091" w:rsidP="00B26BEA">
      <w:pPr>
        <w:spacing w:line="480" w:lineRule="auto"/>
      </w:pPr>
    </w:p>
    <w:p w14:paraId="7203CCA9" w14:textId="0151E6CC" w:rsidR="00F87091" w:rsidRDefault="00F87091" w:rsidP="00B26BEA">
      <w:pPr>
        <w:spacing w:line="480" w:lineRule="auto"/>
      </w:pPr>
    </w:p>
    <w:sectPr w:rsidR="00F8709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17A12" w14:textId="77777777" w:rsidR="00505B94" w:rsidRDefault="00505B94" w:rsidP="00D148E9">
      <w:pPr>
        <w:spacing w:after="0" w:line="240" w:lineRule="auto"/>
      </w:pPr>
      <w:r>
        <w:separator/>
      </w:r>
    </w:p>
  </w:endnote>
  <w:endnote w:type="continuationSeparator" w:id="0">
    <w:p w14:paraId="7EDF656F" w14:textId="77777777" w:rsidR="00505B94" w:rsidRDefault="00505B94" w:rsidP="00D14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50018"/>
      <w:docPartObj>
        <w:docPartGallery w:val="Page Numbers (Bottom of Page)"/>
        <w:docPartUnique/>
      </w:docPartObj>
    </w:sdtPr>
    <w:sdtEndPr>
      <w:rPr>
        <w:noProof/>
      </w:rPr>
    </w:sdtEndPr>
    <w:sdtContent>
      <w:p w14:paraId="2858766D" w14:textId="6542AEFA" w:rsidR="000F71EF" w:rsidRDefault="000F71EF">
        <w:pPr>
          <w:pStyle w:val="Footer"/>
          <w:jc w:val="right"/>
        </w:pPr>
        <w:r>
          <w:fldChar w:fldCharType="begin"/>
        </w:r>
        <w:r>
          <w:instrText xml:space="preserve"> PAGE   \* MERGEFORMAT </w:instrText>
        </w:r>
        <w:r>
          <w:fldChar w:fldCharType="separate"/>
        </w:r>
        <w:r w:rsidR="00F728CD">
          <w:rPr>
            <w:noProof/>
          </w:rPr>
          <w:t>9</w:t>
        </w:r>
        <w:r>
          <w:rPr>
            <w:noProof/>
          </w:rPr>
          <w:fldChar w:fldCharType="end"/>
        </w:r>
      </w:p>
    </w:sdtContent>
  </w:sdt>
  <w:p w14:paraId="64C3FB27" w14:textId="77777777" w:rsidR="000F71EF" w:rsidRDefault="000F7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754F9" w14:textId="77777777" w:rsidR="00505B94" w:rsidRDefault="00505B94" w:rsidP="00D148E9">
      <w:pPr>
        <w:spacing w:after="0" w:line="240" w:lineRule="auto"/>
      </w:pPr>
      <w:r>
        <w:separator/>
      </w:r>
    </w:p>
  </w:footnote>
  <w:footnote w:type="continuationSeparator" w:id="0">
    <w:p w14:paraId="5824840E" w14:textId="77777777" w:rsidR="00505B94" w:rsidRDefault="00505B94" w:rsidP="00D148E9">
      <w:pPr>
        <w:spacing w:after="0" w:line="240" w:lineRule="auto"/>
      </w:pPr>
      <w:r>
        <w:continuationSeparator/>
      </w:r>
    </w:p>
  </w:footnote>
  <w:footnote w:id="1">
    <w:p w14:paraId="134F669E" w14:textId="40F8B20C" w:rsidR="000F71EF" w:rsidRDefault="000F71EF">
      <w:pPr>
        <w:pStyle w:val="FootnoteText"/>
      </w:pPr>
      <w:r>
        <w:rPr>
          <w:rStyle w:val="FootnoteReference"/>
        </w:rPr>
        <w:footnoteRef/>
      </w:r>
      <w:r>
        <w:t xml:space="preserve"> </w:t>
      </w:r>
      <w:r w:rsidRPr="00F87091">
        <w:t xml:space="preserve">Hannan, D., </w:t>
      </w:r>
      <w:r w:rsidRPr="00F87091">
        <w:rPr>
          <w:i/>
        </w:rPr>
        <w:t>“The Norman Conquest was a disaster for England. We should celebrate Naseby, not Hastings</w:t>
      </w:r>
      <w:r w:rsidRPr="00F87091">
        <w:t xml:space="preserve">,” The Telegraph (2016) [online]. Available at: </w:t>
      </w:r>
      <w:hyperlink r:id="rId1" w:history="1">
        <w:r w:rsidRPr="00F87091">
          <w:rPr>
            <w:rStyle w:val="Hyperlink"/>
          </w:rPr>
          <w:t>https://www.telegraph.co.uk/news/2016/10/14/the-norman-conquest-was-a-disaster-for-england-we-should-celebra/</w:t>
        </w:r>
      </w:hyperlink>
      <w:r w:rsidRPr="00F87091">
        <w:t xml:space="preserve"> (accessed: 27/03/2018)</w:t>
      </w:r>
      <w:r>
        <w:t>.</w:t>
      </w:r>
    </w:p>
  </w:footnote>
  <w:footnote w:id="2">
    <w:p w14:paraId="27148D51" w14:textId="77777777" w:rsidR="000F71EF" w:rsidRDefault="000F71EF">
      <w:pPr>
        <w:pStyle w:val="FootnoteText"/>
      </w:pPr>
      <w:r>
        <w:rPr>
          <w:rStyle w:val="FootnoteReference"/>
        </w:rPr>
        <w:footnoteRef/>
      </w:r>
      <w:r>
        <w:t xml:space="preserve"> M. T. Clanchy, </w:t>
      </w:r>
      <w:r w:rsidRPr="003A238A">
        <w:rPr>
          <w:i/>
        </w:rPr>
        <w:t xml:space="preserve">England and its Rulers, </w:t>
      </w:r>
      <w:r>
        <w:t>4</w:t>
      </w:r>
      <w:r w:rsidRPr="003A238A">
        <w:rPr>
          <w:vertAlign w:val="superscript"/>
        </w:rPr>
        <w:t>th</w:t>
      </w:r>
      <w:r>
        <w:t xml:space="preserve"> edn. (Chichester: John Wiley &amp; Sons, 2014), p. 35.</w:t>
      </w:r>
    </w:p>
  </w:footnote>
  <w:footnote w:id="3">
    <w:p w14:paraId="346FAB16" w14:textId="67770299" w:rsidR="000F71EF" w:rsidRDefault="000F71EF">
      <w:pPr>
        <w:pStyle w:val="FootnoteText"/>
      </w:pPr>
      <w:r>
        <w:rPr>
          <w:rStyle w:val="FootnoteReference"/>
        </w:rPr>
        <w:footnoteRef/>
      </w:r>
      <w:r>
        <w:t xml:space="preserve"> </w:t>
      </w:r>
      <w:r w:rsidRPr="00F87091">
        <w:t xml:space="preserve">Hannan, D., </w:t>
      </w:r>
      <w:r w:rsidRPr="00F87091">
        <w:rPr>
          <w:i/>
        </w:rPr>
        <w:t>“The Norman Conquest was a disaster for England. We should celebrate Naseby, not Hastings</w:t>
      </w:r>
      <w:r w:rsidRPr="00F87091">
        <w:t xml:space="preserve">,” The Telegraph (2016) [online]. Available at: </w:t>
      </w:r>
      <w:hyperlink r:id="rId2" w:history="1">
        <w:r w:rsidRPr="00F87091">
          <w:rPr>
            <w:rStyle w:val="Hyperlink"/>
          </w:rPr>
          <w:t>https://www.telegraph.co.uk/news/2016/10/14/the-norman-conquest-was-a-disaster-for-england-we-should-celebra/</w:t>
        </w:r>
      </w:hyperlink>
      <w:r w:rsidRPr="00F87091">
        <w:t xml:space="preserve"> (accessed: 27/03/2018)</w:t>
      </w:r>
      <w:r>
        <w:t>.</w:t>
      </w:r>
    </w:p>
  </w:footnote>
  <w:footnote w:id="4">
    <w:p w14:paraId="2D05DDB9" w14:textId="05B720B6" w:rsidR="000F71EF" w:rsidRDefault="000F71EF">
      <w:pPr>
        <w:pStyle w:val="FootnoteText"/>
      </w:pPr>
      <w:r>
        <w:rPr>
          <w:rStyle w:val="FootnoteReference"/>
        </w:rPr>
        <w:footnoteRef/>
      </w:r>
      <w:r>
        <w:t xml:space="preserve"> </w:t>
      </w:r>
      <w:r w:rsidRPr="008F6826">
        <w:t>The Culture of Fascism: Visions of the Far Right In Britain, ed. J. V. Gottlieb, T. P. Linehan (L</w:t>
      </w:r>
      <w:r>
        <w:t>ondon, Tauris &amp; Co. Ltd., 2004), pp. 71-2.</w:t>
      </w:r>
    </w:p>
  </w:footnote>
  <w:footnote w:id="5">
    <w:p w14:paraId="236D7040" w14:textId="7261BC03" w:rsidR="000F71EF" w:rsidRDefault="000F71EF">
      <w:pPr>
        <w:pStyle w:val="FootnoteText"/>
      </w:pPr>
      <w:r>
        <w:rPr>
          <w:rStyle w:val="FootnoteReference"/>
        </w:rPr>
        <w:footnoteRef/>
      </w:r>
      <w:r>
        <w:t xml:space="preserve"> </w:t>
      </w:r>
      <w:r>
        <w:rPr>
          <w:i/>
        </w:rPr>
        <w:t>The Anglo-Saxon Chronicles</w:t>
      </w:r>
      <w:r>
        <w:t>, trans. &amp; ed. by Michael Swanton (London: Phoenix Press, 2000), p 221.</w:t>
      </w:r>
    </w:p>
  </w:footnote>
  <w:footnote w:id="6">
    <w:p w14:paraId="68C1132C" w14:textId="484A6A12" w:rsidR="000F71EF" w:rsidRDefault="000F71EF">
      <w:pPr>
        <w:pStyle w:val="FootnoteText"/>
      </w:pPr>
      <w:r>
        <w:rPr>
          <w:rStyle w:val="FootnoteReference"/>
        </w:rPr>
        <w:footnoteRef/>
      </w:r>
      <w:r>
        <w:t xml:space="preserve"> </w:t>
      </w:r>
      <w:r w:rsidRPr="00F87091">
        <w:t xml:space="preserve">Hannan, D., </w:t>
      </w:r>
      <w:r w:rsidRPr="00F87091">
        <w:rPr>
          <w:i/>
        </w:rPr>
        <w:t>“The Norman Conquest was a disaster for England. We should celebrate Naseby, not Hastings</w:t>
      </w:r>
      <w:r w:rsidRPr="00F87091">
        <w:t xml:space="preserve">,” The Telegraph (2016) [online]. Available at: </w:t>
      </w:r>
      <w:hyperlink r:id="rId3" w:history="1">
        <w:r w:rsidRPr="00F87091">
          <w:rPr>
            <w:rStyle w:val="Hyperlink"/>
          </w:rPr>
          <w:t>https://www.telegraph.co.uk/news/2016/10/14/the-norman-conquest-was-a-disaster-for-england-we-should-celebra/</w:t>
        </w:r>
      </w:hyperlink>
      <w:r w:rsidRPr="00F87091">
        <w:t xml:space="preserve"> (accessed: 27/03/2018)</w:t>
      </w:r>
      <w:r>
        <w:t>.</w:t>
      </w:r>
    </w:p>
  </w:footnote>
  <w:footnote w:id="7">
    <w:p w14:paraId="0C3A4567" w14:textId="4B99E98F" w:rsidR="000F71EF" w:rsidRDefault="000F71EF">
      <w:pPr>
        <w:pStyle w:val="FootnoteText"/>
      </w:pPr>
      <w:r>
        <w:rPr>
          <w:rStyle w:val="FootnoteReference"/>
        </w:rPr>
        <w:footnoteRef/>
      </w:r>
      <w:r>
        <w:t xml:space="preserve"> C. Gravett, Nicolle D., </w:t>
      </w:r>
      <w:r w:rsidRPr="00613765">
        <w:rPr>
          <w:i/>
        </w:rPr>
        <w:t>The Normans: Warrior Knights and their Castles</w:t>
      </w:r>
      <w:r w:rsidRPr="00613765">
        <w:t xml:space="preserve"> (Oxford: Osprey Publishing, 2006)</w:t>
      </w:r>
      <w:r>
        <w:t>, p. 27.</w:t>
      </w:r>
    </w:p>
  </w:footnote>
  <w:footnote w:id="8">
    <w:p w14:paraId="32622A16" w14:textId="4824FDE3" w:rsidR="000F71EF" w:rsidRPr="00613765" w:rsidRDefault="000F71EF">
      <w:pPr>
        <w:pStyle w:val="FootnoteText"/>
      </w:pPr>
      <w:r>
        <w:rPr>
          <w:rStyle w:val="FootnoteReference"/>
        </w:rPr>
        <w:footnoteRef/>
      </w:r>
      <w:r>
        <w:t xml:space="preserve"> </w:t>
      </w:r>
      <w:r>
        <w:rPr>
          <w:i/>
        </w:rPr>
        <w:t>Ibid.</w:t>
      </w:r>
      <w:r>
        <w:t xml:space="preserve"> p. 27.</w:t>
      </w:r>
    </w:p>
  </w:footnote>
  <w:footnote w:id="9">
    <w:p w14:paraId="2A0A632B" w14:textId="0B47D20D" w:rsidR="000F71EF" w:rsidRPr="00A17929" w:rsidRDefault="000F71EF">
      <w:pPr>
        <w:pStyle w:val="FootnoteText"/>
      </w:pPr>
      <w:r>
        <w:rPr>
          <w:rStyle w:val="FootnoteReference"/>
        </w:rPr>
        <w:footnoteRef/>
      </w:r>
      <w:r>
        <w:t xml:space="preserve"> </w:t>
      </w:r>
      <w:r>
        <w:rPr>
          <w:i/>
        </w:rPr>
        <w:t xml:space="preserve">Ibid. </w:t>
      </w:r>
      <w:r>
        <w:t>p. 36-7.</w:t>
      </w:r>
    </w:p>
  </w:footnote>
  <w:footnote w:id="10">
    <w:p w14:paraId="3B2C37F8" w14:textId="7E5E1BF4" w:rsidR="000F71EF" w:rsidRDefault="000F71EF">
      <w:pPr>
        <w:pStyle w:val="FootnoteText"/>
      </w:pPr>
      <w:r>
        <w:rPr>
          <w:rStyle w:val="FootnoteReference"/>
        </w:rPr>
        <w:footnoteRef/>
      </w:r>
      <w:r>
        <w:t xml:space="preserve"> ????</w:t>
      </w:r>
    </w:p>
  </w:footnote>
  <w:footnote w:id="11">
    <w:p w14:paraId="5A7E1119" w14:textId="77777777" w:rsidR="000F71EF" w:rsidRPr="00D01B3F" w:rsidRDefault="000F71EF">
      <w:pPr>
        <w:pStyle w:val="FootnoteText"/>
      </w:pPr>
      <w:r w:rsidRPr="00D01B3F">
        <w:rPr>
          <w:rStyle w:val="FootnoteReference"/>
        </w:rPr>
        <w:footnoteRef/>
      </w:r>
      <w:r w:rsidRPr="00D01B3F">
        <w:t xml:space="preserve"> M. T. Clanchy, </w:t>
      </w:r>
      <w:r w:rsidRPr="00D01B3F">
        <w:rPr>
          <w:i/>
        </w:rPr>
        <w:t xml:space="preserve">England and its Rulers, </w:t>
      </w:r>
      <w:r w:rsidRPr="00D01B3F">
        <w:t>4</w:t>
      </w:r>
      <w:r w:rsidRPr="00D01B3F">
        <w:rPr>
          <w:vertAlign w:val="superscript"/>
        </w:rPr>
        <w:t>th</w:t>
      </w:r>
      <w:r w:rsidRPr="00D01B3F">
        <w:t xml:space="preserve"> edn. (Chichester: John Wiley &amp; Sons, 2014), p. 29.</w:t>
      </w:r>
    </w:p>
  </w:footnote>
  <w:footnote w:id="12">
    <w:p w14:paraId="30FD9ED9" w14:textId="6A207829" w:rsidR="000F71EF" w:rsidRPr="00D01B3F" w:rsidRDefault="000F71EF">
      <w:pPr>
        <w:pStyle w:val="FootnoteText"/>
      </w:pPr>
      <w:r w:rsidRPr="00D01B3F">
        <w:rPr>
          <w:rStyle w:val="FootnoteReference"/>
        </w:rPr>
        <w:footnoteRef/>
      </w:r>
      <w:r w:rsidRPr="00D01B3F">
        <w:t xml:space="preserve"> </w:t>
      </w:r>
      <w:r w:rsidR="00D01B3F" w:rsidRPr="00D01B3F">
        <w:t xml:space="preserve">Medieval Sourcebook: Laws of William the Conqueror,Internet History Sourcebooks Project, Fordham University [online] Available at: https://sourcebooks.fordham.edu/Halsall/source/will1-lawsb.asp  (accessed 27/03/2018). </w:t>
      </w:r>
      <w:r w:rsidRPr="00D01B3F">
        <w:t>(article 5)</w:t>
      </w:r>
    </w:p>
  </w:footnote>
  <w:footnote w:id="13">
    <w:p w14:paraId="229F1E6B" w14:textId="20983285" w:rsidR="000F71EF" w:rsidRPr="00D01B3F" w:rsidRDefault="000F71EF">
      <w:pPr>
        <w:pStyle w:val="FootnoteText"/>
      </w:pPr>
      <w:r w:rsidRPr="00D01B3F">
        <w:rPr>
          <w:rStyle w:val="FootnoteReference"/>
        </w:rPr>
        <w:footnoteRef/>
      </w:r>
      <w:r w:rsidRPr="00D01B3F">
        <w:t xml:space="preserve"> </w:t>
      </w:r>
      <w:r w:rsidR="00D01B3F" w:rsidRPr="00D01B3F">
        <w:rPr>
          <w:i/>
        </w:rPr>
        <w:t>Ibid.</w:t>
      </w:r>
      <w:r w:rsidRPr="00D01B3F">
        <w:t xml:space="preserve"> (article 4)</w:t>
      </w:r>
    </w:p>
  </w:footnote>
  <w:footnote w:id="14">
    <w:p w14:paraId="4AC3B38D" w14:textId="050C4306" w:rsidR="000F71EF" w:rsidRPr="00DB037F" w:rsidRDefault="000F71EF">
      <w:pPr>
        <w:pStyle w:val="FootnoteText"/>
        <w:rPr>
          <w:highlight w:val="yellow"/>
        </w:rPr>
      </w:pPr>
      <w:r w:rsidRPr="00D01B3F">
        <w:rPr>
          <w:rStyle w:val="FootnoteReference"/>
        </w:rPr>
        <w:footnoteRef/>
      </w:r>
      <w:r w:rsidRPr="00D01B3F">
        <w:t xml:space="preserve"> </w:t>
      </w:r>
      <w:r w:rsidR="00D01B3F" w:rsidRPr="00D01B3F">
        <w:rPr>
          <w:i/>
        </w:rPr>
        <w:t>Ibid.</w:t>
      </w:r>
      <w:r w:rsidRPr="00D01B3F">
        <w:t xml:space="preserve"> (article 6)</w:t>
      </w:r>
    </w:p>
  </w:footnote>
  <w:footnote w:id="15">
    <w:p w14:paraId="05A34C7A" w14:textId="70D1BC25" w:rsidR="000F71EF" w:rsidRPr="00D01B3F" w:rsidRDefault="000F71EF">
      <w:pPr>
        <w:pStyle w:val="FootnoteText"/>
      </w:pPr>
      <w:r w:rsidRPr="00D01B3F">
        <w:rPr>
          <w:rStyle w:val="FootnoteReference"/>
        </w:rPr>
        <w:footnoteRef/>
      </w:r>
      <w:r w:rsidRPr="00D01B3F">
        <w:t xml:space="preserve"> </w:t>
      </w:r>
      <w:r w:rsidR="00D01B3F" w:rsidRPr="00D01B3F">
        <w:t>Medieval Sourcebook: Laws of William the Conqueror,Internet History Sourcebooks Project, Fordham University [online] Available at: https://sourcebooks.fordham.edu/Halsall/source/will1-lawsb.asp  (accessed 27/03/2018).</w:t>
      </w:r>
      <w:r w:rsidRPr="00D01B3F">
        <w:t xml:space="preserve"> (article 3)</w:t>
      </w:r>
    </w:p>
  </w:footnote>
  <w:footnote w:id="16">
    <w:p w14:paraId="123DE8E0" w14:textId="04C78BF5" w:rsidR="000F71EF" w:rsidRPr="00D01B3F" w:rsidRDefault="000F71EF">
      <w:pPr>
        <w:pStyle w:val="FootnoteText"/>
      </w:pPr>
      <w:r w:rsidRPr="00D01B3F">
        <w:rPr>
          <w:rStyle w:val="FootnoteReference"/>
        </w:rPr>
        <w:footnoteRef/>
      </w:r>
      <w:r w:rsidRPr="00D01B3F">
        <w:t xml:space="preserve"> F. Stenton,</w:t>
      </w:r>
      <w:r w:rsidRPr="00D01B3F">
        <w:rPr>
          <w:i/>
        </w:rPr>
        <w:t xml:space="preserve"> Anglo-Saxon England</w:t>
      </w:r>
      <w:r w:rsidRPr="00D01B3F">
        <w:t>, 3</w:t>
      </w:r>
      <w:r w:rsidRPr="00D01B3F">
        <w:rPr>
          <w:vertAlign w:val="superscript"/>
        </w:rPr>
        <w:t>rd</w:t>
      </w:r>
      <w:r w:rsidRPr="00D01B3F">
        <w:t xml:space="preserve"> edn. (Oxford: Oxford University Press, 2001), p. 621.</w:t>
      </w:r>
    </w:p>
  </w:footnote>
  <w:footnote w:id="17">
    <w:p w14:paraId="3CD91FBA" w14:textId="18501C01" w:rsidR="000F71EF" w:rsidRDefault="000F71EF">
      <w:pPr>
        <w:pStyle w:val="FootnoteText"/>
      </w:pPr>
      <w:r w:rsidRPr="00D01B3F">
        <w:rPr>
          <w:rStyle w:val="FootnoteReference"/>
        </w:rPr>
        <w:footnoteRef/>
      </w:r>
      <w:r w:rsidRPr="00D01B3F">
        <w:t xml:space="preserve"> </w:t>
      </w:r>
      <w:r w:rsidR="00D01B3F" w:rsidRPr="00D01B3F">
        <w:t xml:space="preserve">Medieval Sourcebook: Laws of William the Conqueror,Internet History Sourcebooks Project, Fordham University [online] Available at: https://sourcebooks.fordham.edu/Halsall/source/will1-lawsb.asp  (accessed 27/03/2018). </w:t>
      </w:r>
      <w:r w:rsidRPr="00D01B3F">
        <w:t>(article 1, 2)</w:t>
      </w:r>
    </w:p>
  </w:footnote>
  <w:footnote w:id="18">
    <w:p w14:paraId="4A4E7F20" w14:textId="04E309EA" w:rsidR="000F71EF" w:rsidRPr="00F728CD" w:rsidRDefault="000F71EF">
      <w:pPr>
        <w:pStyle w:val="FootnoteText"/>
        <w:rPr>
          <w:highlight w:val="yellow"/>
        </w:rPr>
      </w:pPr>
      <w:r w:rsidRPr="00F728CD">
        <w:rPr>
          <w:rStyle w:val="FootnoteReference"/>
          <w:highlight w:val="yellow"/>
        </w:rPr>
        <w:footnoteRef/>
      </w:r>
      <w:r w:rsidRPr="00F728CD">
        <w:rPr>
          <w:highlight w:val="yellow"/>
        </w:rPr>
        <w:t xml:space="preserve"> CHRONICLE REF, AND A BOOK</w:t>
      </w:r>
    </w:p>
  </w:footnote>
  <w:footnote w:id="19">
    <w:p w14:paraId="6DD9EF28" w14:textId="4E9F80FB" w:rsidR="000F71EF" w:rsidRDefault="000F71EF">
      <w:pPr>
        <w:pStyle w:val="FootnoteText"/>
      </w:pPr>
      <w:r w:rsidRPr="00F728CD">
        <w:rPr>
          <w:rStyle w:val="FootnoteReference"/>
          <w:highlight w:val="yellow"/>
        </w:rPr>
        <w:footnoteRef/>
      </w:r>
      <w:r w:rsidRPr="00F728CD">
        <w:rPr>
          <w:highlight w:val="yellow"/>
        </w:rPr>
        <w:t xml:space="preserve"> CHRONICLE REF, AND A BOOK</w:t>
      </w:r>
    </w:p>
  </w:footnote>
  <w:footnote w:id="20">
    <w:p w14:paraId="3C6B73DF" w14:textId="0E456E06" w:rsidR="000F71EF" w:rsidRDefault="000F71EF">
      <w:pPr>
        <w:pStyle w:val="FootnoteText"/>
      </w:pPr>
      <w:r>
        <w:rPr>
          <w:rStyle w:val="FootnoteReference"/>
        </w:rPr>
        <w:footnoteRef/>
      </w:r>
      <w:r>
        <w:t xml:space="preserve"> Carol M. Meale, “Literature, Modern English,” </w:t>
      </w:r>
      <w:r w:rsidRPr="003A238A">
        <w:rPr>
          <w:i/>
        </w:rPr>
        <w:t xml:space="preserve">Women and Gender in Medieval Europe: An Encyclopaedia </w:t>
      </w:r>
      <w:r>
        <w:t>(New York: Routledge, 2015), p. 487.</w:t>
      </w:r>
    </w:p>
  </w:footnote>
  <w:footnote w:id="21">
    <w:p w14:paraId="66CEF25B" w14:textId="30BFB079" w:rsidR="000F71EF" w:rsidRPr="00985C1C" w:rsidRDefault="000F71EF">
      <w:pPr>
        <w:pStyle w:val="FootnoteText"/>
      </w:pPr>
      <w:r>
        <w:rPr>
          <w:rStyle w:val="FootnoteReference"/>
        </w:rPr>
        <w:footnoteRef/>
      </w:r>
      <w:r>
        <w:t xml:space="preserve"> Carol M. Meale. “Literature, Modern English” </w:t>
      </w:r>
      <w:r>
        <w:rPr>
          <w:i/>
        </w:rPr>
        <w:t>Women and Gender in Medieval Europe</w:t>
      </w:r>
      <w:r>
        <w:t>, p.487.</w:t>
      </w:r>
    </w:p>
  </w:footnote>
  <w:footnote w:id="22">
    <w:p w14:paraId="1DD97D26" w14:textId="4055459F" w:rsidR="000F71EF" w:rsidRPr="00DE7960" w:rsidRDefault="000F71EF">
      <w:pPr>
        <w:pStyle w:val="FootnoteText"/>
      </w:pPr>
      <w:r>
        <w:rPr>
          <w:rStyle w:val="FootnoteReference"/>
        </w:rPr>
        <w:footnoteRef/>
      </w:r>
      <w:r>
        <w:t xml:space="preserve"> </w:t>
      </w:r>
      <w:r>
        <w:rPr>
          <w:i/>
        </w:rPr>
        <w:t>Ibid.</w:t>
      </w:r>
      <w:r>
        <w:t xml:space="preserve"> p. 487.</w:t>
      </w:r>
      <w:bookmarkStart w:id="0" w:name="_GoBack"/>
      <w:bookmarkEnd w:id="0"/>
    </w:p>
  </w:footnote>
  <w:footnote w:id="23">
    <w:p w14:paraId="0F2A2872" w14:textId="194646C4" w:rsidR="000F71EF" w:rsidRDefault="000F71EF">
      <w:pPr>
        <w:pStyle w:val="FootnoteText"/>
      </w:pPr>
      <w:r>
        <w:rPr>
          <w:rStyle w:val="FootnoteReference"/>
        </w:rPr>
        <w:footnoteRef/>
      </w:r>
      <w:r>
        <w:t xml:space="preserve"> </w:t>
      </w:r>
      <w:r w:rsidRPr="00F87091">
        <w:t xml:space="preserve">Oxford Dictionaries, [online]. Available at: </w:t>
      </w:r>
      <w:hyperlink r:id="rId4" w:history="1">
        <w:r w:rsidRPr="00F87091">
          <w:rPr>
            <w:rStyle w:val="Hyperlink"/>
          </w:rPr>
          <w:t>https://en.oxforddictionaries.com/</w:t>
        </w:r>
      </w:hyperlink>
      <w:r w:rsidRPr="00F87091">
        <w:t xml:space="preserve">  (accessed: 27/03/2018)</w:t>
      </w:r>
    </w:p>
  </w:footnote>
  <w:footnote w:id="24">
    <w:p w14:paraId="52A3CC4A" w14:textId="12B663BA" w:rsidR="000F71EF" w:rsidRDefault="000F71EF">
      <w:pPr>
        <w:pStyle w:val="FootnoteText"/>
      </w:pPr>
      <w:r>
        <w:rPr>
          <w:rStyle w:val="FootnoteReference"/>
        </w:rPr>
        <w:footnoteRef/>
      </w:r>
      <w:r>
        <w:t xml:space="preserve"> Lanfrank, </w:t>
      </w:r>
      <w:r>
        <w:rPr>
          <w:i/>
        </w:rPr>
        <w:t xml:space="preserve">Science of Cirurgie, </w:t>
      </w:r>
      <w:r>
        <w:t>ed. &amp; trans. R. von Fleischacker (London: Kegan Paul, Trench, Tr</w:t>
      </w:r>
      <w:r>
        <w:rPr>
          <w:rFonts w:cstheme="minorHAnsi"/>
        </w:rPr>
        <w:t>ü</w:t>
      </w:r>
      <w:r>
        <w:t>bber &amp; co., 1891).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733AC" w14:textId="77777777" w:rsidR="000F71EF" w:rsidRDefault="000F71EF">
    <w:pPr>
      <w:pStyle w:val="Header"/>
    </w:pPr>
    <w:r>
      <w:t>Benjamin Dale</w:t>
    </w:r>
    <w:r>
      <w:tab/>
    </w:r>
    <w:r>
      <w:ptab w:relativeTo="margin" w:alignment="center" w:leader="none"/>
    </w:r>
    <w:r>
      <w:ptab w:relativeTo="margin" w:alignment="right" w:leader="none"/>
    </w:r>
    <w:r>
      <w:t>1502041</w:t>
    </w:r>
  </w:p>
  <w:p w14:paraId="4396169D" w14:textId="77777777" w:rsidR="000F71EF" w:rsidRDefault="000F71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D7E55"/>
    <w:multiLevelType w:val="hybridMultilevel"/>
    <w:tmpl w:val="AFDC1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B32316"/>
    <w:multiLevelType w:val="hybridMultilevel"/>
    <w:tmpl w:val="5C6CF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F06B9"/>
    <w:multiLevelType w:val="hybridMultilevel"/>
    <w:tmpl w:val="4614F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617E4"/>
    <w:multiLevelType w:val="hybridMultilevel"/>
    <w:tmpl w:val="5686E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8D1E43"/>
    <w:multiLevelType w:val="hybridMultilevel"/>
    <w:tmpl w:val="59265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7E1E50"/>
    <w:multiLevelType w:val="hybridMultilevel"/>
    <w:tmpl w:val="3622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0946F1"/>
    <w:multiLevelType w:val="hybridMultilevel"/>
    <w:tmpl w:val="A87E8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8E9"/>
    <w:rsid w:val="000066E5"/>
    <w:rsid w:val="00014597"/>
    <w:rsid w:val="00033429"/>
    <w:rsid w:val="000337AB"/>
    <w:rsid w:val="00094D0C"/>
    <w:rsid w:val="0009502F"/>
    <w:rsid w:val="000C5068"/>
    <w:rsid w:val="000F71EF"/>
    <w:rsid w:val="001109C3"/>
    <w:rsid w:val="00117764"/>
    <w:rsid w:val="001348E7"/>
    <w:rsid w:val="0014505E"/>
    <w:rsid w:val="00174370"/>
    <w:rsid w:val="00174C84"/>
    <w:rsid w:val="00191D35"/>
    <w:rsid w:val="001A227D"/>
    <w:rsid w:val="001B6641"/>
    <w:rsid w:val="001E0CCD"/>
    <w:rsid w:val="001E70A1"/>
    <w:rsid w:val="001E7798"/>
    <w:rsid w:val="001F6511"/>
    <w:rsid w:val="0020060B"/>
    <w:rsid w:val="002122D8"/>
    <w:rsid w:val="00252327"/>
    <w:rsid w:val="0031192E"/>
    <w:rsid w:val="003222CB"/>
    <w:rsid w:val="00347683"/>
    <w:rsid w:val="003836A2"/>
    <w:rsid w:val="00391674"/>
    <w:rsid w:val="003A238A"/>
    <w:rsid w:val="004427A4"/>
    <w:rsid w:val="00494C3D"/>
    <w:rsid w:val="004F7A42"/>
    <w:rsid w:val="00505B94"/>
    <w:rsid w:val="0052170C"/>
    <w:rsid w:val="00531C75"/>
    <w:rsid w:val="00551A34"/>
    <w:rsid w:val="0056142A"/>
    <w:rsid w:val="005A3AFF"/>
    <w:rsid w:val="005B1BC8"/>
    <w:rsid w:val="005C786F"/>
    <w:rsid w:val="005E1FCF"/>
    <w:rsid w:val="006079AC"/>
    <w:rsid w:val="0061139E"/>
    <w:rsid w:val="00613765"/>
    <w:rsid w:val="0063581E"/>
    <w:rsid w:val="00646EAF"/>
    <w:rsid w:val="00647FDA"/>
    <w:rsid w:val="006539AD"/>
    <w:rsid w:val="00665A44"/>
    <w:rsid w:val="00687F65"/>
    <w:rsid w:val="006B10A1"/>
    <w:rsid w:val="00714CDD"/>
    <w:rsid w:val="00761846"/>
    <w:rsid w:val="007A6197"/>
    <w:rsid w:val="007E6A52"/>
    <w:rsid w:val="007F4759"/>
    <w:rsid w:val="00816BD7"/>
    <w:rsid w:val="00834242"/>
    <w:rsid w:val="00840ACC"/>
    <w:rsid w:val="00844334"/>
    <w:rsid w:val="00850FD4"/>
    <w:rsid w:val="00862159"/>
    <w:rsid w:val="00892544"/>
    <w:rsid w:val="00893368"/>
    <w:rsid w:val="00895663"/>
    <w:rsid w:val="008B033A"/>
    <w:rsid w:val="008D0088"/>
    <w:rsid w:val="008F6826"/>
    <w:rsid w:val="00901A26"/>
    <w:rsid w:val="009106BC"/>
    <w:rsid w:val="00913A73"/>
    <w:rsid w:val="009457A7"/>
    <w:rsid w:val="0096620C"/>
    <w:rsid w:val="0097607E"/>
    <w:rsid w:val="00984FFC"/>
    <w:rsid w:val="00985C1C"/>
    <w:rsid w:val="009C63FF"/>
    <w:rsid w:val="00A17929"/>
    <w:rsid w:val="00A46B46"/>
    <w:rsid w:val="00A825AD"/>
    <w:rsid w:val="00A97720"/>
    <w:rsid w:val="00AE2A3F"/>
    <w:rsid w:val="00AF4053"/>
    <w:rsid w:val="00AF63DD"/>
    <w:rsid w:val="00B146D8"/>
    <w:rsid w:val="00B2143E"/>
    <w:rsid w:val="00B26BEA"/>
    <w:rsid w:val="00B429AB"/>
    <w:rsid w:val="00B723B6"/>
    <w:rsid w:val="00B949E9"/>
    <w:rsid w:val="00B96C68"/>
    <w:rsid w:val="00BA2477"/>
    <w:rsid w:val="00BD2358"/>
    <w:rsid w:val="00BD5829"/>
    <w:rsid w:val="00BF4CEA"/>
    <w:rsid w:val="00C133DD"/>
    <w:rsid w:val="00C356AA"/>
    <w:rsid w:val="00C918DD"/>
    <w:rsid w:val="00CB4B65"/>
    <w:rsid w:val="00CC5629"/>
    <w:rsid w:val="00D01B3F"/>
    <w:rsid w:val="00D148E9"/>
    <w:rsid w:val="00D46AF8"/>
    <w:rsid w:val="00D817F9"/>
    <w:rsid w:val="00D87482"/>
    <w:rsid w:val="00DB037F"/>
    <w:rsid w:val="00DD4654"/>
    <w:rsid w:val="00DE7960"/>
    <w:rsid w:val="00E22972"/>
    <w:rsid w:val="00E22AD4"/>
    <w:rsid w:val="00E465CE"/>
    <w:rsid w:val="00E636EE"/>
    <w:rsid w:val="00F108E7"/>
    <w:rsid w:val="00F728CD"/>
    <w:rsid w:val="00F87091"/>
    <w:rsid w:val="00F872D2"/>
    <w:rsid w:val="00FA7C09"/>
    <w:rsid w:val="00FC3902"/>
    <w:rsid w:val="00FC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09775"/>
  <w15:chartTrackingRefBased/>
  <w15:docId w15:val="{0B4823EF-84B2-4BC5-B996-64F0F67AD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8E9"/>
  </w:style>
  <w:style w:type="paragraph" w:styleId="Footer">
    <w:name w:val="footer"/>
    <w:basedOn w:val="Normal"/>
    <w:link w:val="FooterChar"/>
    <w:uiPriority w:val="99"/>
    <w:unhideWhenUsed/>
    <w:rsid w:val="00D14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8E9"/>
  </w:style>
  <w:style w:type="character" w:styleId="Hyperlink">
    <w:name w:val="Hyperlink"/>
    <w:basedOn w:val="DefaultParagraphFont"/>
    <w:uiPriority w:val="99"/>
    <w:unhideWhenUsed/>
    <w:rsid w:val="0063581E"/>
    <w:rPr>
      <w:color w:val="0563C1" w:themeColor="hyperlink"/>
      <w:u w:val="single"/>
    </w:rPr>
  </w:style>
  <w:style w:type="character" w:styleId="UnresolvedMention">
    <w:name w:val="Unresolved Mention"/>
    <w:basedOn w:val="DefaultParagraphFont"/>
    <w:uiPriority w:val="99"/>
    <w:semiHidden/>
    <w:unhideWhenUsed/>
    <w:rsid w:val="0063581E"/>
    <w:rPr>
      <w:color w:val="808080"/>
      <w:shd w:val="clear" w:color="auto" w:fill="E6E6E6"/>
    </w:rPr>
  </w:style>
  <w:style w:type="paragraph" w:styleId="NoSpacing">
    <w:name w:val="No Spacing"/>
    <w:uiPriority w:val="1"/>
    <w:qFormat/>
    <w:rsid w:val="00C918DD"/>
    <w:pPr>
      <w:spacing w:after="0" w:line="240" w:lineRule="auto"/>
    </w:pPr>
  </w:style>
  <w:style w:type="paragraph" w:styleId="ListParagraph">
    <w:name w:val="List Paragraph"/>
    <w:basedOn w:val="Normal"/>
    <w:uiPriority w:val="34"/>
    <w:qFormat/>
    <w:rsid w:val="003A238A"/>
    <w:pPr>
      <w:ind w:left="720"/>
      <w:contextualSpacing/>
    </w:pPr>
  </w:style>
  <w:style w:type="paragraph" w:styleId="FootnoteText">
    <w:name w:val="footnote text"/>
    <w:basedOn w:val="Normal"/>
    <w:link w:val="FootnoteTextChar"/>
    <w:uiPriority w:val="99"/>
    <w:semiHidden/>
    <w:unhideWhenUsed/>
    <w:rsid w:val="001E77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7798"/>
    <w:rPr>
      <w:sz w:val="20"/>
      <w:szCs w:val="20"/>
    </w:rPr>
  </w:style>
  <w:style w:type="character" w:styleId="FootnoteReference">
    <w:name w:val="footnote reference"/>
    <w:basedOn w:val="DefaultParagraphFont"/>
    <w:uiPriority w:val="99"/>
    <w:semiHidden/>
    <w:unhideWhenUsed/>
    <w:rsid w:val="001E7798"/>
    <w:rPr>
      <w:vertAlign w:val="superscript"/>
    </w:rPr>
  </w:style>
  <w:style w:type="character" w:styleId="CommentReference">
    <w:name w:val="annotation reference"/>
    <w:basedOn w:val="DefaultParagraphFont"/>
    <w:uiPriority w:val="99"/>
    <w:semiHidden/>
    <w:unhideWhenUsed/>
    <w:rsid w:val="009457A7"/>
    <w:rPr>
      <w:sz w:val="16"/>
      <w:szCs w:val="16"/>
    </w:rPr>
  </w:style>
  <w:style w:type="paragraph" w:styleId="CommentText">
    <w:name w:val="annotation text"/>
    <w:basedOn w:val="Normal"/>
    <w:link w:val="CommentTextChar"/>
    <w:uiPriority w:val="99"/>
    <w:semiHidden/>
    <w:unhideWhenUsed/>
    <w:rsid w:val="009457A7"/>
    <w:pPr>
      <w:spacing w:line="240" w:lineRule="auto"/>
    </w:pPr>
    <w:rPr>
      <w:sz w:val="20"/>
      <w:szCs w:val="20"/>
    </w:rPr>
  </w:style>
  <w:style w:type="character" w:customStyle="1" w:styleId="CommentTextChar">
    <w:name w:val="Comment Text Char"/>
    <w:basedOn w:val="DefaultParagraphFont"/>
    <w:link w:val="CommentText"/>
    <w:uiPriority w:val="99"/>
    <w:semiHidden/>
    <w:rsid w:val="009457A7"/>
    <w:rPr>
      <w:sz w:val="20"/>
      <w:szCs w:val="20"/>
    </w:rPr>
  </w:style>
  <w:style w:type="paragraph" w:styleId="CommentSubject">
    <w:name w:val="annotation subject"/>
    <w:basedOn w:val="CommentText"/>
    <w:next w:val="CommentText"/>
    <w:link w:val="CommentSubjectChar"/>
    <w:uiPriority w:val="99"/>
    <w:semiHidden/>
    <w:unhideWhenUsed/>
    <w:rsid w:val="009457A7"/>
    <w:rPr>
      <w:b/>
      <w:bCs/>
    </w:rPr>
  </w:style>
  <w:style w:type="character" w:customStyle="1" w:styleId="CommentSubjectChar">
    <w:name w:val="Comment Subject Char"/>
    <w:basedOn w:val="CommentTextChar"/>
    <w:link w:val="CommentSubject"/>
    <w:uiPriority w:val="99"/>
    <w:semiHidden/>
    <w:rsid w:val="009457A7"/>
    <w:rPr>
      <w:b/>
      <w:bCs/>
      <w:sz w:val="20"/>
      <w:szCs w:val="20"/>
    </w:rPr>
  </w:style>
  <w:style w:type="paragraph" w:styleId="BalloonText">
    <w:name w:val="Balloon Text"/>
    <w:basedOn w:val="Normal"/>
    <w:link w:val="BalloonTextChar"/>
    <w:uiPriority w:val="99"/>
    <w:semiHidden/>
    <w:unhideWhenUsed/>
    <w:rsid w:val="009457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57A7"/>
    <w:rPr>
      <w:rFonts w:ascii="Segoe UI" w:hAnsi="Segoe UI" w:cs="Segoe UI"/>
      <w:sz w:val="18"/>
      <w:szCs w:val="18"/>
    </w:rPr>
  </w:style>
  <w:style w:type="character" w:styleId="FollowedHyperlink">
    <w:name w:val="FollowedHyperlink"/>
    <w:basedOn w:val="DefaultParagraphFont"/>
    <w:uiPriority w:val="99"/>
    <w:semiHidden/>
    <w:unhideWhenUsed/>
    <w:rsid w:val="00984F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oxforddictionarie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news/2016/10/14/the-norman-conquest-was-a-disaster-for-england-we-should-celebr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opendomesday.org/" TargetMode="External"/><Relationship Id="rId4" Type="http://schemas.openxmlformats.org/officeDocument/2006/relationships/settings" Target="settings.xml"/><Relationship Id="rId9" Type="http://schemas.openxmlformats.org/officeDocument/2006/relationships/hyperlink" Target="https://sourcebooks.fordham.edu/Halsall/source/will1-lawsb.asp"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telegraph.co.uk/news/2016/10/14/the-norman-conquest-was-a-disaster-for-england-we-should-celebra/" TargetMode="External"/><Relationship Id="rId2" Type="http://schemas.openxmlformats.org/officeDocument/2006/relationships/hyperlink" Target="https://www.telegraph.co.uk/news/2016/10/14/the-norman-conquest-was-a-disaster-for-england-we-should-celebra/" TargetMode="External"/><Relationship Id="rId1" Type="http://schemas.openxmlformats.org/officeDocument/2006/relationships/hyperlink" Target="https://www.telegraph.co.uk/news/2016/10/14/the-norman-conquest-was-a-disaster-for-england-we-should-celebra/" TargetMode="External"/><Relationship Id="rId4" Type="http://schemas.openxmlformats.org/officeDocument/2006/relationships/hyperlink" Target="https://en.oxforddictionar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9F8B5-0263-4FAA-8D0B-1B7882483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2201</Words>
  <Characters>12482</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6</cp:revision>
  <dcterms:created xsi:type="dcterms:W3CDTF">2018-03-27T22:54:00Z</dcterms:created>
  <dcterms:modified xsi:type="dcterms:W3CDTF">2018-03-27T23:05:00Z</dcterms:modified>
</cp:coreProperties>
</file>