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67E544" w14:textId="08D315B5" w:rsidR="002A635D" w:rsidRDefault="002D1AA8" w:rsidP="00B32635">
      <w:pPr>
        <w:pStyle w:val="Heading1"/>
        <w:rPr>
          <w:rFonts w:asciiTheme="minorHAnsi" w:hAnsiTheme="minorHAnsi" w:cstheme="minorHAnsi"/>
          <w:color w:val="000000"/>
        </w:rPr>
      </w:pPr>
      <w:r w:rsidRPr="002D1AA8">
        <w:rPr>
          <w:rFonts w:asciiTheme="minorHAnsi" w:hAnsiTheme="minorHAnsi" w:cstheme="minorHAnsi"/>
          <w:color w:val="000000"/>
        </w:rPr>
        <w:t xml:space="preserve">Literature Review: </w:t>
      </w:r>
    </w:p>
    <w:p w14:paraId="1D102FA4" w14:textId="11EB56A6" w:rsidR="00B32635" w:rsidRDefault="002D1AA8" w:rsidP="00B32635">
      <w:pPr>
        <w:pStyle w:val="Heading1"/>
        <w:rPr>
          <w:rFonts w:asciiTheme="minorHAnsi" w:hAnsiTheme="minorHAnsi" w:cstheme="minorHAnsi"/>
          <w:color w:val="000000"/>
        </w:rPr>
      </w:pPr>
      <w:r w:rsidRPr="002D1AA8">
        <w:rPr>
          <w:rFonts w:asciiTheme="minorHAnsi" w:hAnsiTheme="minorHAnsi" w:cstheme="minorHAnsi"/>
          <w:color w:val="000000"/>
        </w:rPr>
        <w:t>Should All Police Officers in the United Kingdom Carry Firearms?</w:t>
      </w:r>
    </w:p>
    <w:p w14:paraId="06244F50" w14:textId="317B3535" w:rsidR="002A635D" w:rsidRPr="002D1AA8" w:rsidRDefault="002D1AA8" w:rsidP="00B32635">
      <w:pPr>
        <w:pStyle w:val="Heading1"/>
        <w:rPr>
          <w:rFonts w:asciiTheme="minorHAnsi" w:hAnsiTheme="minorHAnsi" w:cstheme="minorHAnsi"/>
          <w:color w:val="000000"/>
        </w:rPr>
      </w:pPr>
      <w:r w:rsidRPr="002D1AA8">
        <w:rPr>
          <w:rFonts w:asciiTheme="minorHAnsi" w:hAnsiTheme="minorHAnsi" w:cstheme="minorHAnsi"/>
          <w:color w:val="000000"/>
        </w:rPr>
        <w:t>Introduction</w:t>
      </w:r>
    </w:p>
    <w:p w14:paraId="0CAEF23B" w14:textId="77777777"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The debate over whether all Police officers in the United Kingdom should carry firearms has become ever more urgent in recent years. Historically, UK Police have relied on an unarmed approach that rests on using minimal force and strong community engagement—a model that dates back nearly two centuries to the founding principles laid down by Sir Robert Peel. However, with rising concerns over terrorism, violent crime, and even occasional mass shootings, many people now question whether this traditional approach fully meets today’s security challenges.</w:t>
      </w:r>
    </w:p>
    <w:p w14:paraId="2E8F79B5" w14:textId="734DDF51"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 xml:space="preserve">This literature review looks to bring together key scholarly work on armed </w:t>
      </w:r>
      <w:r w:rsidR="006D0E41">
        <w:rPr>
          <w:rFonts w:asciiTheme="minorHAnsi" w:hAnsiTheme="minorHAnsi" w:cstheme="minorHAnsi"/>
          <w:color w:val="000000"/>
        </w:rPr>
        <w:t>P</w:t>
      </w:r>
      <w:r w:rsidRPr="002D1AA8">
        <w:rPr>
          <w:rFonts w:asciiTheme="minorHAnsi" w:hAnsiTheme="minorHAnsi" w:cstheme="minorHAnsi"/>
          <w:color w:val="000000"/>
        </w:rPr>
        <w:t>olicing. It covers the historical traditions, empirical research into the use of force, debates on Police militarisation, and the influence of armed response on members of the public’s trust. In doing so, it outlines both the perceived benefits and the potential risks of shifting to a model of universal armament for Police officers.</w:t>
      </w:r>
    </w:p>
    <w:p w14:paraId="513CD80A" w14:textId="45C2A112" w:rsidR="002D1AA8" w:rsidRPr="002D1AA8" w:rsidRDefault="002D1AA8" w:rsidP="002D1AA8">
      <w:pPr>
        <w:pStyle w:val="Heading2"/>
        <w:rPr>
          <w:rFonts w:asciiTheme="minorHAnsi" w:hAnsiTheme="minorHAnsi" w:cstheme="minorHAnsi"/>
          <w:color w:val="000000"/>
        </w:rPr>
      </w:pPr>
      <w:r w:rsidRPr="002D1AA8">
        <w:rPr>
          <w:rFonts w:asciiTheme="minorHAnsi" w:hAnsiTheme="minorHAnsi" w:cstheme="minorHAnsi"/>
          <w:color w:val="000000"/>
        </w:rPr>
        <w:t>Historical and Contextual Foundations of UK Police</w:t>
      </w:r>
    </w:p>
    <w:p w14:paraId="2638D5D2" w14:textId="77777777"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UK Police have long been known for their commitment to restraint and community engagement. The so-called “Peelian Principles”, established in 1829 by Sir Robert Peel, set out an ideal where the legitimacy of the Police comes from the consent of the community rather than from the threat of force. This has helped shape public perceptions of the Police as guardians of society rather than as combatants. Clark and Bennett (2010) argue that the strong trust between the Police and members of the public is largely due to this long-standing tradition of minimal force.</w:t>
      </w:r>
    </w:p>
    <w:p w14:paraId="6D6F9920" w14:textId="4022305A"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On the other hand, many other nations</w:t>
      </w:r>
      <w:r w:rsidR="006D0E41">
        <w:rPr>
          <w:rFonts w:asciiTheme="minorHAnsi" w:hAnsiTheme="minorHAnsi" w:cstheme="minorHAnsi"/>
          <w:color w:val="000000"/>
        </w:rPr>
        <w:t xml:space="preserve">, </w:t>
      </w:r>
      <w:r w:rsidRPr="002D1AA8">
        <w:rPr>
          <w:rFonts w:asciiTheme="minorHAnsi" w:hAnsiTheme="minorHAnsi" w:cstheme="minorHAnsi"/>
          <w:color w:val="000000"/>
        </w:rPr>
        <w:t>most notably the United States</w:t>
      </w:r>
      <w:r w:rsidR="006D0E41">
        <w:rPr>
          <w:rFonts w:asciiTheme="minorHAnsi" w:hAnsiTheme="minorHAnsi" w:cstheme="minorHAnsi"/>
          <w:color w:val="000000"/>
        </w:rPr>
        <w:t xml:space="preserve">, </w:t>
      </w:r>
      <w:r w:rsidRPr="002D1AA8">
        <w:rPr>
          <w:rFonts w:asciiTheme="minorHAnsi" w:hAnsiTheme="minorHAnsi" w:cstheme="minorHAnsi"/>
          <w:color w:val="000000"/>
        </w:rPr>
        <w:t xml:space="preserve">routinely arm their Police officers. The cultural, </w:t>
      </w:r>
      <w:r w:rsidR="006D0E41" w:rsidRPr="002D1AA8">
        <w:rPr>
          <w:rFonts w:asciiTheme="minorHAnsi" w:hAnsiTheme="minorHAnsi" w:cstheme="minorHAnsi"/>
          <w:color w:val="000000"/>
        </w:rPr>
        <w:t>legal,</w:t>
      </w:r>
      <w:r w:rsidRPr="002D1AA8">
        <w:rPr>
          <w:rFonts w:asciiTheme="minorHAnsi" w:hAnsiTheme="minorHAnsi" w:cstheme="minorHAnsi"/>
          <w:color w:val="000000"/>
        </w:rPr>
        <w:t xml:space="preserve"> and historical differences between these systems lie at the heart of the academic debate. </w:t>
      </w:r>
      <w:proofErr w:type="spellStart"/>
      <w:r w:rsidRPr="002D1AA8">
        <w:rPr>
          <w:rFonts w:asciiTheme="minorHAnsi" w:hAnsiTheme="minorHAnsi" w:cstheme="minorHAnsi"/>
          <w:color w:val="000000"/>
        </w:rPr>
        <w:t>Roycroft</w:t>
      </w:r>
      <w:proofErr w:type="spellEnd"/>
      <w:r w:rsidRPr="002D1AA8">
        <w:rPr>
          <w:rFonts w:asciiTheme="minorHAnsi" w:hAnsiTheme="minorHAnsi" w:cstheme="minorHAnsi"/>
          <w:color w:val="000000"/>
        </w:rPr>
        <w:t xml:space="preserve"> (2014) critically examines the “social contract” underpinning unarmed </w:t>
      </w:r>
      <w:r w:rsidR="006D0E41">
        <w:rPr>
          <w:rFonts w:asciiTheme="minorHAnsi" w:hAnsiTheme="minorHAnsi" w:cstheme="minorHAnsi"/>
          <w:color w:val="000000"/>
        </w:rPr>
        <w:t>P</w:t>
      </w:r>
      <w:r w:rsidRPr="002D1AA8">
        <w:rPr>
          <w:rFonts w:asciiTheme="minorHAnsi" w:hAnsiTheme="minorHAnsi" w:cstheme="minorHAnsi"/>
          <w:color w:val="000000"/>
        </w:rPr>
        <w:t xml:space="preserve">olicing in the UK, arguing that this tradition has significantly influenced both training and operational tactics over the years. Similarly, </w:t>
      </w:r>
      <w:proofErr w:type="gramStart"/>
      <w:r w:rsidRPr="002D1AA8">
        <w:rPr>
          <w:rFonts w:asciiTheme="minorHAnsi" w:hAnsiTheme="minorHAnsi" w:cstheme="minorHAnsi"/>
          <w:color w:val="000000"/>
        </w:rPr>
        <w:t>Go</w:t>
      </w:r>
      <w:proofErr w:type="gramEnd"/>
      <w:r w:rsidRPr="002D1AA8">
        <w:rPr>
          <w:rFonts w:asciiTheme="minorHAnsi" w:hAnsiTheme="minorHAnsi" w:cstheme="minorHAnsi"/>
          <w:color w:val="000000"/>
        </w:rPr>
        <w:t xml:space="preserve"> (2023) offers a comparative historical analysis that situates </w:t>
      </w:r>
      <w:r w:rsidR="006D0E41">
        <w:rPr>
          <w:rFonts w:asciiTheme="minorHAnsi" w:hAnsiTheme="minorHAnsi" w:cstheme="minorHAnsi"/>
          <w:color w:val="000000"/>
        </w:rPr>
        <w:t xml:space="preserve">the </w:t>
      </w:r>
      <w:r w:rsidRPr="002D1AA8">
        <w:rPr>
          <w:rFonts w:asciiTheme="minorHAnsi" w:hAnsiTheme="minorHAnsi" w:cstheme="minorHAnsi"/>
          <w:color w:val="000000"/>
        </w:rPr>
        <w:t>British Police within a broader spectrum, where armed models are typically seen as an inevitable consequence of higher crime rates and entrenched conflict. Such comparisons are very useful when trying to understand why some scholars are sceptical about a complete shift to arming all Police officers in the UK.</w:t>
      </w:r>
    </w:p>
    <w:p w14:paraId="6D525789" w14:textId="12A06DB4"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 xml:space="preserve">Despite the success of the unarmed model, recent security incidents – especially those involving terrorism – have led some to wonder if the old ways can meet modern challenges. </w:t>
      </w:r>
      <w:r w:rsidRPr="002D1AA8">
        <w:rPr>
          <w:rFonts w:asciiTheme="minorHAnsi" w:hAnsiTheme="minorHAnsi" w:cstheme="minorHAnsi"/>
          <w:color w:val="000000"/>
        </w:rPr>
        <w:lastRenderedPageBreak/>
        <w:t>McKeever (2020) notes that changing types of crime might force a re-evaluation of whether traditions that worked in the past are still appropriate today. This historical context</w:t>
      </w:r>
      <w:r w:rsidR="0005197E">
        <w:rPr>
          <w:rFonts w:asciiTheme="minorHAnsi" w:hAnsiTheme="minorHAnsi" w:cstheme="minorHAnsi"/>
          <w:color w:val="000000"/>
        </w:rPr>
        <w:t>,</w:t>
      </w:r>
      <w:r w:rsidRPr="002D1AA8">
        <w:rPr>
          <w:rFonts w:asciiTheme="minorHAnsi" w:hAnsiTheme="minorHAnsi" w:cstheme="minorHAnsi"/>
          <w:color w:val="000000"/>
        </w:rPr>
        <w:t xml:space="preserve"> therefore</w:t>
      </w:r>
      <w:r w:rsidR="0005197E">
        <w:rPr>
          <w:rFonts w:asciiTheme="minorHAnsi" w:hAnsiTheme="minorHAnsi" w:cstheme="minorHAnsi"/>
          <w:color w:val="000000"/>
        </w:rPr>
        <w:t>,</w:t>
      </w:r>
      <w:r w:rsidRPr="002D1AA8">
        <w:rPr>
          <w:rFonts w:asciiTheme="minorHAnsi" w:hAnsiTheme="minorHAnsi" w:cstheme="minorHAnsi"/>
          <w:color w:val="000000"/>
        </w:rPr>
        <w:t xml:space="preserve"> acts as an important backdrop for the current debate.</w:t>
      </w:r>
    </w:p>
    <w:p w14:paraId="0AF506CD" w14:textId="2B4D77EC" w:rsidR="002D1AA8" w:rsidRPr="002D1AA8" w:rsidRDefault="002D1AA8" w:rsidP="002D1AA8">
      <w:pPr>
        <w:pStyle w:val="Heading2"/>
        <w:rPr>
          <w:rFonts w:asciiTheme="minorHAnsi" w:hAnsiTheme="minorHAnsi" w:cstheme="minorHAnsi"/>
          <w:color w:val="000000"/>
        </w:rPr>
      </w:pPr>
      <w:r w:rsidRPr="002D1AA8">
        <w:rPr>
          <w:rFonts w:asciiTheme="minorHAnsi" w:hAnsiTheme="minorHAnsi" w:cstheme="minorHAnsi"/>
          <w:color w:val="000000"/>
        </w:rPr>
        <w:t>Empirical Insights on Police Use of Force</w:t>
      </w:r>
    </w:p>
    <w:p w14:paraId="7512ACD4" w14:textId="2F9D58F9"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A large portion of the literature focuses on how different factors affect the use of force by the Police. Brown and Newburn (2009) provide a thorough analysis, pointing out that it isn’t merely the presence of a firearm that dictates behavio</w:t>
      </w:r>
      <w:r w:rsidR="0005197E">
        <w:rPr>
          <w:rFonts w:asciiTheme="minorHAnsi" w:hAnsiTheme="minorHAnsi" w:cstheme="minorHAnsi"/>
          <w:color w:val="000000"/>
        </w:rPr>
        <w:t>u</w:t>
      </w:r>
      <w:r w:rsidRPr="002D1AA8">
        <w:rPr>
          <w:rFonts w:asciiTheme="minorHAnsi" w:hAnsiTheme="minorHAnsi" w:cstheme="minorHAnsi"/>
          <w:color w:val="000000"/>
        </w:rPr>
        <w:t>r, but also the quality of training, clear organisational protocols, and the specifics of a given situation. In other words, arming more Police officers doesn’t necessarily lead to more effective policing—it very much depends on how those officers are prepared to use their weapons in high-pressure situations.</w:t>
      </w:r>
    </w:p>
    <w:p w14:paraId="687D305B" w14:textId="77777777"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 xml:space="preserve">One of the major concerns is that just having more armed officers might escalate an encounter that might otherwise have been resolved peacefully. Taylor (2015) discusses how armed engagements can sometimes become self-fulfilling prophecies. In areas with a history of tension between the Police and members of the public, the sight of an armed officer may simply add fuel to the fire. </w:t>
      </w:r>
      <w:proofErr w:type="spellStart"/>
      <w:r w:rsidRPr="002D1AA8">
        <w:rPr>
          <w:rFonts w:asciiTheme="minorHAnsi" w:hAnsiTheme="minorHAnsi" w:cstheme="minorHAnsi"/>
          <w:color w:val="000000"/>
        </w:rPr>
        <w:t>Yesberg</w:t>
      </w:r>
      <w:proofErr w:type="spellEnd"/>
      <w:r w:rsidRPr="002D1AA8">
        <w:rPr>
          <w:rFonts w:asciiTheme="minorHAnsi" w:hAnsiTheme="minorHAnsi" w:cstheme="minorHAnsi"/>
          <w:color w:val="000000"/>
        </w:rPr>
        <w:t xml:space="preserve"> et al. (2021) carried out an experimental study across Great Britain and found that while some members of the public feel reassured seeing an armed officer, others experience heightened anxiety, interpreting the firearms as a sign that conflict is inevitable.</w:t>
      </w:r>
    </w:p>
    <w:p w14:paraId="25B5101E" w14:textId="77777777"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At the heart of these discussions is the idea of deterrence. Some supporters of armed policing reckon that the visible presence of a firearm can actually deter criminal activity by projecting strength. However, the evidence on this is far from conclusive. Sanders et al. (2024) report that it is often not just the arms themselves that have a deterrent effect, but the additional training and refined strategies that come with it. In short, increasing armament without simultaneously enhancing training might not yield the expected safety benefits.</w:t>
      </w:r>
    </w:p>
    <w:p w14:paraId="2E380872" w14:textId="5BCD3208"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 xml:space="preserve">The empirical research, therefore, seems to indicate that the relationship between increased armament and improvements in the use of force is both complex and highly </w:t>
      </w:r>
      <w:r w:rsidR="0005197E" w:rsidRPr="002D1AA8">
        <w:rPr>
          <w:rFonts w:asciiTheme="minorHAnsi" w:hAnsiTheme="minorHAnsi" w:cstheme="minorHAnsi"/>
          <w:color w:val="000000"/>
        </w:rPr>
        <w:t>context</w:t>
      </w:r>
      <w:r w:rsidR="0005197E">
        <w:rPr>
          <w:rFonts w:asciiTheme="minorHAnsi" w:hAnsiTheme="minorHAnsi" w:cstheme="minorHAnsi"/>
          <w:color w:val="000000"/>
        </w:rPr>
        <w:t>-</w:t>
      </w:r>
      <w:r w:rsidR="0005197E" w:rsidRPr="002D1AA8">
        <w:rPr>
          <w:rFonts w:asciiTheme="minorHAnsi" w:hAnsiTheme="minorHAnsi" w:cstheme="minorHAnsi"/>
          <w:color w:val="000000"/>
        </w:rPr>
        <w:t>dependent</w:t>
      </w:r>
      <w:r w:rsidRPr="002D1AA8">
        <w:rPr>
          <w:rFonts w:asciiTheme="minorHAnsi" w:hAnsiTheme="minorHAnsi" w:cstheme="minorHAnsi"/>
          <w:color w:val="000000"/>
        </w:rPr>
        <w:t>. The findings beg the question: can arming all officers lead to more productive outcomes, or might it instead tip the balance towards unnecessarily aggressive responses?</w:t>
      </w:r>
    </w:p>
    <w:p w14:paraId="36A8C413" w14:textId="276D68B4" w:rsidR="002D1AA8" w:rsidRPr="002D1AA8" w:rsidRDefault="002D1AA8" w:rsidP="002D1AA8">
      <w:pPr>
        <w:pStyle w:val="Heading2"/>
        <w:rPr>
          <w:rFonts w:asciiTheme="minorHAnsi" w:hAnsiTheme="minorHAnsi" w:cstheme="minorHAnsi"/>
          <w:color w:val="000000"/>
        </w:rPr>
      </w:pPr>
      <w:r w:rsidRPr="002D1AA8">
        <w:rPr>
          <w:rFonts w:asciiTheme="minorHAnsi" w:hAnsiTheme="minorHAnsi" w:cstheme="minorHAnsi"/>
          <w:color w:val="000000"/>
        </w:rPr>
        <w:t>Police Militarisation and Its Implications</w:t>
      </w:r>
    </w:p>
    <w:p w14:paraId="0376CB66" w14:textId="0C03AA03"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 xml:space="preserve">Another crucial aspect of this debate is the issue of militarisation. Militarisation refers to Police forces adopting military-style equipment, </w:t>
      </w:r>
      <w:r w:rsidR="0005197E" w:rsidRPr="002D1AA8">
        <w:rPr>
          <w:rFonts w:asciiTheme="minorHAnsi" w:hAnsiTheme="minorHAnsi" w:cstheme="minorHAnsi"/>
          <w:color w:val="000000"/>
        </w:rPr>
        <w:t>tactics,</w:t>
      </w:r>
      <w:r w:rsidRPr="002D1AA8">
        <w:rPr>
          <w:rFonts w:asciiTheme="minorHAnsi" w:hAnsiTheme="minorHAnsi" w:cstheme="minorHAnsi"/>
          <w:color w:val="000000"/>
        </w:rPr>
        <w:t xml:space="preserve"> and even organisational structures. </w:t>
      </w:r>
      <w:proofErr w:type="spellStart"/>
      <w:r w:rsidRPr="002D1AA8">
        <w:rPr>
          <w:rFonts w:asciiTheme="minorHAnsi" w:hAnsiTheme="minorHAnsi" w:cstheme="minorHAnsi"/>
          <w:color w:val="000000"/>
        </w:rPr>
        <w:t>Liederbach</w:t>
      </w:r>
      <w:proofErr w:type="spellEnd"/>
      <w:r w:rsidRPr="002D1AA8">
        <w:rPr>
          <w:rFonts w:asciiTheme="minorHAnsi" w:hAnsiTheme="minorHAnsi" w:cstheme="minorHAnsi"/>
          <w:color w:val="000000"/>
        </w:rPr>
        <w:t xml:space="preserve"> (2008) provides a detailed look at the American experience, showing that increased militarisation tends to be associated with a higher frequency of aggressive encounters and even unnecessary use of force.</w:t>
      </w:r>
    </w:p>
    <w:p w14:paraId="7F65A7E5" w14:textId="77777777"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lastRenderedPageBreak/>
        <w:t>In the UK, the idea of introducing militaristic practices is met with significant scepticism. Williams (2017) argues that a shift away from the unarmed tradition risks eroding the community ethos that the British Police have long represented. Even a slight move toward heavier armament could be seen as a break with the principles that have fostered trust between the Police and members of the public for decades.</w:t>
      </w:r>
    </w:p>
    <w:p w14:paraId="79E703F5" w14:textId="039DEB7E"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This wariness is compounded by concerns about abuse of power. CAAT’s report (n.d.) on the evolution of Britain’s militarised Police warns that even small increases in the use of military-grade equipment and tactics can have a lasting impact on how the Police are perceived by members of the public. Once the lines between defensive action and proactive aggression blur, accountability can decline</w:t>
      </w:r>
      <w:r w:rsidR="0005197E">
        <w:rPr>
          <w:rFonts w:asciiTheme="minorHAnsi" w:hAnsiTheme="minorHAnsi" w:cstheme="minorHAnsi"/>
          <w:color w:val="000000"/>
        </w:rPr>
        <w:t>,</w:t>
      </w:r>
      <w:r w:rsidRPr="002D1AA8">
        <w:rPr>
          <w:rFonts w:asciiTheme="minorHAnsi" w:hAnsiTheme="minorHAnsi" w:cstheme="minorHAnsi"/>
          <w:color w:val="000000"/>
        </w:rPr>
        <w:t xml:space="preserve"> and so can public trust.</w:t>
      </w:r>
    </w:p>
    <w:p w14:paraId="2E8FD34D" w14:textId="77777777" w:rsidR="002D1AA8" w:rsidRPr="002D1AA8" w:rsidRDefault="002D1AA8" w:rsidP="002D1AA8">
      <w:pPr>
        <w:pStyle w:val="NormalWeb"/>
        <w:rPr>
          <w:rFonts w:asciiTheme="minorHAnsi" w:hAnsiTheme="minorHAnsi" w:cstheme="minorHAnsi"/>
          <w:color w:val="000000"/>
        </w:rPr>
      </w:pPr>
      <w:proofErr w:type="spellStart"/>
      <w:r w:rsidRPr="002D1AA8">
        <w:rPr>
          <w:rFonts w:asciiTheme="minorHAnsi" w:hAnsiTheme="minorHAnsi" w:cstheme="minorHAnsi"/>
          <w:color w:val="000000"/>
        </w:rPr>
        <w:t>Braakmann</w:t>
      </w:r>
      <w:proofErr w:type="spellEnd"/>
      <w:r w:rsidRPr="002D1AA8">
        <w:rPr>
          <w:rFonts w:asciiTheme="minorHAnsi" w:hAnsiTheme="minorHAnsi" w:cstheme="minorHAnsi"/>
          <w:color w:val="000000"/>
        </w:rPr>
        <w:t xml:space="preserve"> (2025) further highlights that increased militarisation may adversely affect racial and class dynamics, particularly in communities that have already experienced over-policing. Her study in The British Journal of Criminology argues that minor changes towards a more aggressive, armed approach might disproportionately impact certain communities, thereby widening the already existing divide between the Police and members of the public.</w:t>
      </w:r>
    </w:p>
    <w:p w14:paraId="5EAA1034" w14:textId="69C0F52A" w:rsidR="002D1AA8" w:rsidRPr="002D1AA8" w:rsidRDefault="002D1AA8" w:rsidP="002D1AA8">
      <w:pPr>
        <w:pStyle w:val="Heading2"/>
        <w:rPr>
          <w:rFonts w:asciiTheme="minorHAnsi" w:hAnsiTheme="minorHAnsi" w:cstheme="minorHAnsi"/>
          <w:color w:val="000000"/>
        </w:rPr>
      </w:pPr>
      <w:r w:rsidRPr="002D1AA8">
        <w:rPr>
          <w:rFonts w:asciiTheme="minorHAnsi" w:hAnsiTheme="minorHAnsi" w:cstheme="minorHAnsi"/>
          <w:color w:val="000000"/>
        </w:rPr>
        <w:t>Armed Response Units and Public Perceptions</w:t>
      </w:r>
    </w:p>
    <w:p w14:paraId="3D3C95EC" w14:textId="77777777"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 xml:space="preserve">At present, most UK Police forces rely on specialised armed response units. These units are deployed only when a situation clearly demands a higher level of force, thereby maintaining a general public impression that most everyday interactions are non-threatening. </w:t>
      </w:r>
      <w:proofErr w:type="spellStart"/>
      <w:r w:rsidRPr="002D1AA8">
        <w:rPr>
          <w:rFonts w:asciiTheme="minorHAnsi" w:hAnsiTheme="minorHAnsi" w:cstheme="minorHAnsi"/>
          <w:color w:val="000000"/>
        </w:rPr>
        <w:t>Alderden</w:t>
      </w:r>
      <w:proofErr w:type="spellEnd"/>
      <w:r w:rsidRPr="002D1AA8">
        <w:rPr>
          <w:rFonts w:asciiTheme="minorHAnsi" w:hAnsiTheme="minorHAnsi" w:cstheme="minorHAnsi"/>
          <w:color w:val="000000"/>
        </w:rPr>
        <w:t xml:space="preserve"> and </w:t>
      </w:r>
      <w:proofErr w:type="spellStart"/>
      <w:r w:rsidRPr="002D1AA8">
        <w:rPr>
          <w:rFonts w:asciiTheme="minorHAnsi" w:hAnsiTheme="minorHAnsi" w:cstheme="minorHAnsi"/>
          <w:color w:val="000000"/>
        </w:rPr>
        <w:t>Mastrofski</w:t>
      </w:r>
      <w:proofErr w:type="spellEnd"/>
      <w:r w:rsidRPr="002D1AA8">
        <w:rPr>
          <w:rFonts w:asciiTheme="minorHAnsi" w:hAnsiTheme="minorHAnsi" w:cstheme="minorHAnsi"/>
          <w:color w:val="000000"/>
        </w:rPr>
        <w:t xml:space="preserve"> (2007) show that while armed response units are effective in high-risk situations, their limited use reinforces a beneficial divide between routine and exceptional circumstances.</w:t>
      </w:r>
    </w:p>
    <w:p w14:paraId="58506250" w14:textId="77777777"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This selective approach is important because it helps preserve the traditional image of the Police as a community-focused organisation. Jones and Roberts (2013) explain that when members of the public see that only a few specially trained officers are armed, it reassures them that the broader Police force is dedicated to de-escalation and engagement rather than inevitable confrontation.</w:t>
      </w:r>
    </w:p>
    <w:p w14:paraId="1ED88044" w14:textId="77777777"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 xml:space="preserve">However, if the policy were to change so that every Police officer is armed, many scholars worry that this symbolic balance would be lost. </w:t>
      </w:r>
      <w:proofErr w:type="spellStart"/>
      <w:r w:rsidRPr="002D1AA8">
        <w:rPr>
          <w:rFonts w:asciiTheme="minorHAnsi" w:hAnsiTheme="minorHAnsi" w:cstheme="minorHAnsi"/>
          <w:color w:val="000000"/>
        </w:rPr>
        <w:t>Yesberg</w:t>
      </w:r>
      <w:proofErr w:type="spellEnd"/>
      <w:r w:rsidRPr="002D1AA8">
        <w:rPr>
          <w:rFonts w:asciiTheme="minorHAnsi" w:hAnsiTheme="minorHAnsi" w:cstheme="minorHAnsi"/>
          <w:color w:val="000000"/>
        </w:rPr>
        <w:t xml:space="preserve"> et al. (2022) explore the interplay of race and public perception of armed Police, arguing that a widespread increase in armed officers could raise levels of anxiety amongst members of the public, especially in communities that have historically had tense relations with the Police. What was once a situation where armed officers are a last resort would become a new normal, potentially undermining confidence in the overall approach of Police work.</w:t>
      </w:r>
    </w:p>
    <w:p w14:paraId="3A6CEEFD" w14:textId="00193F13" w:rsidR="00B32635"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Furthermore, research by Taylor (2015) suggests that when every officer is carrying a firearm, the clear signals regarding when and how force should be used can become muddled. Officers might be tempted to resort to force more readily in ambiguous situations, which could lead to a decline in overall safety for both officers and members of the public.</w:t>
      </w:r>
    </w:p>
    <w:p w14:paraId="4BCF982F" w14:textId="77777777" w:rsidR="00B32635" w:rsidRDefault="00B32635" w:rsidP="002D1AA8">
      <w:pPr>
        <w:pStyle w:val="NormalWeb"/>
        <w:rPr>
          <w:rFonts w:asciiTheme="minorHAnsi" w:hAnsiTheme="minorHAnsi" w:cstheme="minorHAnsi"/>
          <w:color w:val="000000"/>
        </w:rPr>
      </w:pPr>
    </w:p>
    <w:p w14:paraId="766426CF" w14:textId="35273FFD" w:rsidR="00B32635" w:rsidRPr="00B32635" w:rsidRDefault="00B32635" w:rsidP="002D1AA8">
      <w:pPr>
        <w:pStyle w:val="NormalWeb"/>
        <w:rPr>
          <w:rFonts w:asciiTheme="minorHAnsi" w:hAnsiTheme="minorHAnsi" w:cstheme="minorHAnsi"/>
          <w:b/>
          <w:bCs/>
          <w:color w:val="000000"/>
          <w:sz w:val="36"/>
          <w:szCs w:val="36"/>
        </w:rPr>
      </w:pPr>
      <w:r w:rsidRPr="00B32635">
        <w:rPr>
          <w:rFonts w:asciiTheme="minorHAnsi" w:hAnsiTheme="minorHAnsi" w:cstheme="minorHAnsi"/>
          <w:b/>
          <w:bCs/>
          <w:color w:val="000000"/>
          <w:sz w:val="36"/>
          <w:szCs w:val="36"/>
        </w:rPr>
        <w:lastRenderedPageBreak/>
        <w:t xml:space="preserve">The National Decision Model – UK Policing model for making </w:t>
      </w:r>
      <w:proofErr w:type="gramStart"/>
      <w:r w:rsidRPr="00B32635">
        <w:rPr>
          <w:rFonts w:asciiTheme="minorHAnsi" w:hAnsiTheme="minorHAnsi" w:cstheme="minorHAnsi"/>
          <w:b/>
          <w:bCs/>
          <w:color w:val="000000"/>
          <w:sz w:val="36"/>
          <w:szCs w:val="36"/>
        </w:rPr>
        <w:t>decisions</w:t>
      </w:r>
      <w:proofErr w:type="gramEnd"/>
    </w:p>
    <w:p w14:paraId="48032809" w14:textId="0906FCE7" w:rsidR="00B32635" w:rsidRPr="00B32635" w:rsidRDefault="00B32635" w:rsidP="00B32635">
      <w:pPr>
        <w:pStyle w:val="NormalWeb"/>
        <w:rPr>
          <w:rFonts w:asciiTheme="minorHAnsi" w:hAnsiTheme="minorHAnsi" w:cstheme="minorHAnsi"/>
          <w:color w:val="000000"/>
        </w:rPr>
      </w:pPr>
      <w:r w:rsidRPr="00B32635">
        <w:rPr>
          <w:rFonts w:asciiTheme="minorHAnsi" w:hAnsiTheme="minorHAnsi" w:cstheme="minorHAnsi"/>
          <w:color w:val="000000"/>
        </w:rPr>
        <w:t xml:space="preserve">The National Decision Model (NDM) is a pivotal framework that </w:t>
      </w:r>
      <w:r>
        <w:rPr>
          <w:rFonts w:asciiTheme="minorHAnsi" w:hAnsiTheme="minorHAnsi" w:cstheme="minorHAnsi"/>
          <w:color w:val="000000"/>
        </w:rPr>
        <w:t xml:space="preserve">the </w:t>
      </w:r>
      <w:r w:rsidRPr="00B32635">
        <w:rPr>
          <w:rFonts w:asciiTheme="minorHAnsi" w:hAnsiTheme="minorHAnsi" w:cstheme="minorHAnsi"/>
          <w:color w:val="000000"/>
        </w:rPr>
        <w:t>UK Police use to guide their decision‐making when faced with challenging situations. Introduced by the College of Police a while back (College of Police, 2024), the NDM offers a structured process which starts by gathering all the relevant information, assessing risks, considering the applicable powers and policies, and finally, selecting and implementing an option before reviewing the outcome. Importantly, this model ensures that the ethical standards</w:t>
      </w:r>
      <w:r>
        <w:rPr>
          <w:rFonts w:asciiTheme="minorHAnsi" w:hAnsiTheme="minorHAnsi" w:cstheme="minorHAnsi"/>
          <w:color w:val="000000"/>
        </w:rPr>
        <w:t xml:space="preserve">, </w:t>
      </w:r>
      <w:r w:rsidRPr="00B32635">
        <w:rPr>
          <w:rFonts w:asciiTheme="minorHAnsi" w:hAnsiTheme="minorHAnsi" w:cstheme="minorHAnsi"/>
          <w:color w:val="000000"/>
        </w:rPr>
        <w:t>as laid out in the Police Code of Ethics</w:t>
      </w:r>
      <w:r>
        <w:rPr>
          <w:rFonts w:asciiTheme="minorHAnsi" w:hAnsiTheme="minorHAnsi" w:cstheme="minorHAnsi"/>
          <w:color w:val="000000"/>
        </w:rPr>
        <w:t xml:space="preserve">, </w:t>
      </w:r>
      <w:r w:rsidRPr="00B32635">
        <w:rPr>
          <w:rFonts w:asciiTheme="minorHAnsi" w:hAnsiTheme="minorHAnsi" w:cstheme="minorHAnsi"/>
          <w:color w:val="000000"/>
        </w:rPr>
        <w:t>are front and centre.</w:t>
      </w:r>
    </w:p>
    <w:p w14:paraId="3C23B68A" w14:textId="77777777" w:rsidR="00B32635" w:rsidRPr="00B32635" w:rsidRDefault="00B32635" w:rsidP="00B32635">
      <w:pPr>
        <w:pStyle w:val="NormalWeb"/>
        <w:rPr>
          <w:rFonts w:asciiTheme="minorHAnsi" w:hAnsiTheme="minorHAnsi" w:cstheme="minorHAnsi"/>
          <w:color w:val="000000"/>
        </w:rPr>
      </w:pPr>
      <w:r w:rsidRPr="00B32635">
        <w:rPr>
          <w:rFonts w:asciiTheme="minorHAnsi" w:hAnsiTheme="minorHAnsi" w:cstheme="minorHAnsi"/>
          <w:color w:val="000000"/>
        </w:rPr>
        <w:t>In the context of whether all Police officers should carry firearms, the NDM is especially relevant. When an armed encounter arises, the model encourages officers to take a few deep breaths, verify all the facts, consider the potential risks to themselves and members of the public, and assess alternative options before taking any action. Edwards (2021) found that officers who stick closely to the NDM tend to make better decisions under pressure, reducing the chance of unnecessary escalation. This aspect is key because, without a structured decision‐making process, simply arming every officer might lead to hastier, more aggressive outcomes.</w:t>
      </w:r>
    </w:p>
    <w:p w14:paraId="411E9ABC" w14:textId="77777777" w:rsidR="00B32635" w:rsidRPr="00B32635" w:rsidRDefault="00B32635" w:rsidP="00B32635">
      <w:pPr>
        <w:pStyle w:val="NormalWeb"/>
        <w:rPr>
          <w:rFonts w:asciiTheme="minorHAnsi" w:hAnsiTheme="minorHAnsi" w:cstheme="minorHAnsi"/>
          <w:color w:val="000000"/>
        </w:rPr>
      </w:pPr>
      <w:r w:rsidRPr="00B32635">
        <w:rPr>
          <w:rFonts w:asciiTheme="minorHAnsi" w:hAnsiTheme="minorHAnsi" w:cstheme="minorHAnsi"/>
          <w:color w:val="000000"/>
        </w:rPr>
        <w:t>Clark and Bennett (2010) have shown that following a methodical decision‐making model helps maintain trust between the Police and members of the public. When people see that the Police are using a transparent, well‐reasoned process even in critical situations, it reassures them that every use of force is carefully justified. In essence, the NDM isn’t just about making decisions—it’s about ensuring that every action taken is ethical, proportionate and, importantly, defensible both in practice and in the public eye.</w:t>
      </w:r>
    </w:p>
    <w:p w14:paraId="173E65C2" w14:textId="77777777" w:rsidR="00B32635" w:rsidRDefault="00B32635" w:rsidP="002D1AA8">
      <w:pPr>
        <w:pStyle w:val="NormalWeb"/>
        <w:rPr>
          <w:rFonts w:asciiTheme="minorHAnsi" w:hAnsiTheme="minorHAnsi" w:cstheme="minorHAnsi"/>
          <w:color w:val="000000"/>
        </w:rPr>
      </w:pPr>
    </w:p>
    <w:p w14:paraId="750D02DC" w14:textId="77777777" w:rsidR="00B32635" w:rsidRPr="002D1AA8" w:rsidRDefault="00B32635" w:rsidP="002D1AA8">
      <w:pPr>
        <w:pStyle w:val="NormalWeb"/>
        <w:rPr>
          <w:rFonts w:asciiTheme="minorHAnsi" w:hAnsiTheme="minorHAnsi" w:cstheme="minorHAnsi"/>
          <w:color w:val="000000"/>
        </w:rPr>
      </w:pPr>
    </w:p>
    <w:p w14:paraId="66DB88D4" w14:textId="55158E62" w:rsidR="002D1AA8" w:rsidRPr="002D1AA8" w:rsidRDefault="002D1AA8" w:rsidP="002D1AA8">
      <w:pPr>
        <w:pStyle w:val="Heading2"/>
        <w:rPr>
          <w:rFonts w:asciiTheme="minorHAnsi" w:hAnsiTheme="minorHAnsi" w:cstheme="minorHAnsi"/>
          <w:color w:val="000000"/>
        </w:rPr>
      </w:pPr>
      <w:r w:rsidRPr="002D1AA8">
        <w:rPr>
          <w:rFonts w:asciiTheme="minorHAnsi" w:hAnsiTheme="minorHAnsi" w:cstheme="minorHAnsi"/>
          <w:color w:val="000000"/>
        </w:rPr>
        <w:t>Theoretical Frameworks and Ethical Considerations</w:t>
      </w:r>
    </w:p>
    <w:p w14:paraId="0F1D21AF" w14:textId="676C5575"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Much of the academic debate on whether every Police officer should be armed revolves around theories of legitimacy and ethics. Legitimacy theory suggests that the authority of the Police and the likelihood that members of the public will abide by their instructions rest on the trust built over time. Clark and Bennett (2010) contend that any dramatic shift towards routine armament risks undermining that trust if members of the public perceive such measures to be in conflict with the traditional British values of fairness and restraint.</w:t>
      </w:r>
    </w:p>
    <w:p w14:paraId="6BA1E2EE" w14:textId="102461CF"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 xml:space="preserve">On the other hand, deterrence theory posits that a visible display of firearms can serve as a deterrent to criminal activity. While this theory supports the idea of armament, the </w:t>
      </w:r>
      <w:r w:rsidR="0005197E" w:rsidRPr="002D1AA8">
        <w:rPr>
          <w:rFonts w:asciiTheme="minorHAnsi" w:hAnsiTheme="minorHAnsi" w:cstheme="minorHAnsi"/>
          <w:color w:val="000000"/>
        </w:rPr>
        <w:t>practical</w:t>
      </w:r>
      <w:r w:rsidRPr="002D1AA8">
        <w:rPr>
          <w:rFonts w:asciiTheme="minorHAnsi" w:hAnsiTheme="minorHAnsi" w:cstheme="minorHAnsi"/>
          <w:color w:val="000000"/>
        </w:rPr>
        <w:t xml:space="preserve"> evidence remains </w:t>
      </w:r>
      <w:r w:rsidR="0005197E" w:rsidRPr="002D1AA8">
        <w:rPr>
          <w:rFonts w:asciiTheme="minorHAnsi" w:hAnsiTheme="minorHAnsi" w:cstheme="minorHAnsi"/>
          <w:color w:val="000000"/>
        </w:rPr>
        <w:t>un</w:t>
      </w:r>
      <w:r w:rsidR="0005197E">
        <w:rPr>
          <w:rFonts w:asciiTheme="minorHAnsi" w:hAnsiTheme="minorHAnsi" w:cstheme="minorHAnsi"/>
          <w:color w:val="000000"/>
        </w:rPr>
        <w:t>clear</w:t>
      </w:r>
      <w:r w:rsidRPr="002D1AA8">
        <w:rPr>
          <w:rFonts w:asciiTheme="minorHAnsi" w:hAnsiTheme="minorHAnsi" w:cstheme="minorHAnsi"/>
          <w:color w:val="000000"/>
        </w:rPr>
        <w:t>. Sanders et al. (2024) demonstrate that the benefits of deterrence mostly come when increased armament is paired with better training and more refined operational protocols. In isolation, merely equipping every officer with a firearm may not deliver the expected outcomes.</w:t>
      </w:r>
    </w:p>
    <w:p w14:paraId="3C8BB2AE" w14:textId="59C69D15"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lastRenderedPageBreak/>
        <w:t>Ethically, the move towards universal armament raises some significant dilemmas. Proponents argue that armed officers are better protected</w:t>
      </w:r>
      <w:r w:rsidR="0005197E">
        <w:rPr>
          <w:rFonts w:asciiTheme="minorHAnsi" w:hAnsiTheme="minorHAnsi" w:cstheme="minorHAnsi"/>
          <w:color w:val="000000"/>
        </w:rPr>
        <w:t xml:space="preserve">, </w:t>
      </w:r>
      <w:r w:rsidRPr="002D1AA8">
        <w:rPr>
          <w:rFonts w:asciiTheme="minorHAnsi" w:hAnsiTheme="minorHAnsi" w:cstheme="minorHAnsi"/>
          <w:color w:val="000000"/>
        </w:rPr>
        <w:t xml:space="preserve">which in theory should translate into safer outcomes for all. But critics worry that this could lower the threshold for using lethal force. Williams (2017) warns that when every officer is carrying a gun, there is a risk of shifting the default mode from de-escalation to confrontation, undermining the very principles of ethical policing. </w:t>
      </w:r>
      <w:proofErr w:type="spellStart"/>
      <w:r w:rsidRPr="002D1AA8">
        <w:rPr>
          <w:rFonts w:asciiTheme="minorHAnsi" w:hAnsiTheme="minorHAnsi" w:cstheme="minorHAnsi"/>
          <w:color w:val="000000"/>
        </w:rPr>
        <w:t>Maile</w:t>
      </w:r>
      <w:proofErr w:type="spellEnd"/>
      <w:r w:rsidRPr="002D1AA8">
        <w:rPr>
          <w:rFonts w:asciiTheme="minorHAnsi" w:hAnsiTheme="minorHAnsi" w:cstheme="minorHAnsi"/>
          <w:color w:val="000000"/>
        </w:rPr>
        <w:t xml:space="preserve"> et al. (2023) further argue that true policing requires discretion, </w:t>
      </w:r>
      <w:r w:rsidR="0005197E" w:rsidRPr="002D1AA8">
        <w:rPr>
          <w:rFonts w:asciiTheme="minorHAnsi" w:hAnsiTheme="minorHAnsi" w:cstheme="minorHAnsi"/>
          <w:color w:val="000000"/>
        </w:rPr>
        <w:t>empathy,</w:t>
      </w:r>
      <w:r w:rsidRPr="002D1AA8">
        <w:rPr>
          <w:rFonts w:asciiTheme="minorHAnsi" w:hAnsiTheme="minorHAnsi" w:cstheme="minorHAnsi"/>
          <w:color w:val="000000"/>
        </w:rPr>
        <w:t xml:space="preserve"> and an ability to resolve conflicts without force—qualities that could be diminished in a uniformly armed force if not carefully managed.</w:t>
      </w:r>
    </w:p>
    <w:p w14:paraId="56529E8B" w14:textId="1599679E"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In essence, the ethical debate is not clear-cut. While increased armament might enhance safety in some situations, it also risks eroding the humanistic values that have long defined UK Police work. The challenge is to maintain a balance</w:t>
      </w:r>
      <w:r w:rsidR="0005197E">
        <w:rPr>
          <w:rFonts w:asciiTheme="minorHAnsi" w:hAnsiTheme="minorHAnsi" w:cstheme="minorHAnsi"/>
          <w:color w:val="000000"/>
        </w:rPr>
        <w:t xml:space="preserve">, </w:t>
      </w:r>
      <w:r w:rsidRPr="002D1AA8">
        <w:rPr>
          <w:rFonts w:asciiTheme="minorHAnsi" w:hAnsiTheme="minorHAnsi" w:cstheme="minorHAnsi"/>
          <w:color w:val="000000"/>
        </w:rPr>
        <w:t>ensuring that officers are protected without sacrificing the trust and cooperation of the members of the public.</w:t>
      </w:r>
    </w:p>
    <w:p w14:paraId="3A991276" w14:textId="6128F2EC" w:rsidR="002D1AA8" w:rsidRPr="002D1AA8" w:rsidRDefault="002D1AA8" w:rsidP="002D1AA8">
      <w:pPr>
        <w:pStyle w:val="Heading2"/>
        <w:rPr>
          <w:rFonts w:asciiTheme="minorHAnsi" w:hAnsiTheme="minorHAnsi" w:cstheme="minorHAnsi"/>
          <w:color w:val="000000"/>
        </w:rPr>
      </w:pPr>
      <w:r w:rsidRPr="002D1AA8">
        <w:rPr>
          <w:rFonts w:asciiTheme="minorHAnsi" w:hAnsiTheme="minorHAnsi" w:cstheme="minorHAnsi"/>
          <w:color w:val="000000"/>
        </w:rPr>
        <w:t>Gaps in the Literature and Future Directions</w:t>
      </w:r>
    </w:p>
    <w:p w14:paraId="1D661C26" w14:textId="77777777"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 xml:space="preserve">Although the academic landscape surrounding armed Police is rich, several gaps remain that need addressing. For example, much of the early work on Police armament draws on studies from the United States—a context that is very different from that of the UK. </w:t>
      </w:r>
      <w:proofErr w:type="spellStart"/>
      <w:r w:rsidRPr="002D1AA8">
        <w:rPr>
          <w:rFonts w:asciiTheme="minorHAnsi" w:hAnsiTheme="minorHAnsi" w:cstheme="minorHAnsi"/>
          <w:color w:val="000000"/>
        </w:rPr>
        <w:t>Liederbach</w:t>
      </w:r>
      <w:proofErr w:type="spellEnd"/>
      <w:r w:rsidRPr="002D1AA8">
        <w:rPr>
          <w:rFonts w:asciiTheme="minorHAnsi" w:hAnsiTheme="minorHAnsi" w:cstheme="minorHAnsi"/>
          <w:color w:val="000000"/>
        </w:rPr>
        <w:t xml:space="preserve"> (2008) and Taylor (2015) present important empirical findings from America, yet their direct applicability to the British setting is often uncertain.</w:t>
      </w:r>
    </w:p>
    <w:p w14:paraId="7152AB21" w14:textId="3928CE7F" w:rsidR="002D1AA8" w:rsidRPr="002D1AA8" w:rsidRDefault="002D1AA8" w:rsidP="002D1AA8">
      <w:pPr>
        <w:pStyle w:val="NormalWeb"/>
        <w:rPr>
          <w:rFonts w:asciiTheme="minorHAnsi" w:hAnsiTheme="minorHAnsi" w:cstheme="minorHAnsi"/>
          <w:color w:val="000000"/>
        </w:rPr>
      </w:pPr>
      <w:proofErr w:type="spellStart"/>
      <w:r w:rsidRPr="002D1AA8">
        <w:rPr>
          <w:rFonts w:asciiTheme="minorHAnsi" w:hAnsiTheme="minorHAnsi" w:cstheme="minorHAnsi"/>
          <w:color w:val="000000"/>
        </w:rPr>
        <w:t>Roycroft</w:t>
      </w:r>
      <w:proofErr w:type="spellEnd"/>
      <w:r w:rsidRPr="002D1AA8">
        <w:rPr>
          <w:rFonts w:asciiTheme="minorHAnsi" w:hAnsiTheme="minorHAnsi" w:cstheme="minorHAnsi"/>
          <w:color w:val="000000"/>
        </w:rPr>
        <w:t xml:space="preserve"> (2014) has highlighted that there is a marked lack of UK-specific research examining the long-term effects of arming all Police officers on community trust and the overall nature of Police work. More recent work by </w:t>
      </w:r>
      <w:proofErr w:type="spellStart"/>
      <w:r w:rsidRPr="002D1AA8">
        <w:rPr>
          <w:rFonts w:asciiTheme="minorHAnsi" w:hAnsiTheme="minorHAnsi" w:cstheme="minorHAnsi"/>
          <w:color w:val="000000"/>
        </w:rPr>
        <w:t>Yesberg</w:t>
      </w:r>
      <w:proofErr w:type="spellEnd"/>
      <w:r w:rsidRPr="002D1AA8">
        <w:rPr>
          <w:rFonts w:asciiTheme="minorHAnsi" w:hAnsiTheme="minorHAnsi" w:cstheme="minorHAnsi"/>
          <w:color w:val="000000"/>
        </w:rPr>
        <w:t xml:space="preserve"> et al. (2021, 2022) has begun to fill this gap by focusing on how members of the public perceive armed Police officers in Great Britain. Still, further longitudinal studies are needed to truly understand whether any short-term tactical advantages might eventually be outweighed by long-term detrimental effects.</w:t>
      </w:r>
    </w:p>
    <w:p w14:paraId="0B7BFC37" w14:textId="77777777"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Another underexplored area is the influence of regional differences within the UK. Some research hints that attitudes towards armed Police may vary considerably between urban and rural areas, or among different demographic groups (</w:t>
      </w:r>
      <w:proofErr w:type="spellStart"/>
      <w:r w:rsidRPr="002D1AA8">
        <w:rPr>
          <w:rFonts w:asciiTheme="minorHAnsi" w:hAnsiTheme="minorHAnsi" w:cstheme="minorHAnsi"/>
          <w:color w:val="000000"/>
        </w:rPr>
        <w:t>Braakmann</w:t>
      </w:r>
      <w:proofErr w:type="spellEnd"/>
      <w:r w:rsidRPr="002D1AA8">
        <w:rPr>
          <w:rFonts w:asciiTheme="minorHAnsi" w:hAnsiTheme="minorHAnsi" w:cstheme="minorHAnsi"/>
          <w:color w:val="000000"/>
        </w:rPr>
        <w:t>, 2025). Future research should delve into these nuances to explore how factors such as socioeconomic status, ethnicity, and local history interact with perceptions of armed Police.</w:t>
      </w:r>
    </w:p>
    <w:p w14:paraId="2E877AC3" w14:textId="77777777"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 xml:space="preserve">The ethical dimensions, too, remain a ripe area for further exploration. The work by </w:t>
      </w:r>
      <w:proofErr w:type="spellStart"/>
      <w:r w:rsidRPr="002D1AA8">
        <w:rPr>
          <w:rFonts w:asciiTheme="minorHAnsi" w:hAnsiTheme="minorHAnsi" w:cstheme="minorHAnsi"/>
          <w:color w:val="000000"/>
        </w:rPr>
        <w:t>Maile</w:t>
      </w:r>
      <w:proofErr w:type="spellEnd"/>
      <w:r w:rsidRPr="002D1AA8">
        <w:rPr>
          <w:rFonts w:asciiTheme="minorHAnsi" w:hAnsiTheme="minorHAnsi" w:cstheme="minorHAnsi"/>
          <w:color w:val="000000"/>
        </w:rPr>
        <w:t xml:space="preserve"> et al. (2023) and Williams (2017) makes it clear that any changes in armament policy must be supported by robust ethical frameworks and enhanced training in de-escalation. Only by combining empirical research with ethical analysis can a truly balanced approach be forged—one that protects officers and retains the trust of the members of the public.</w:t>
      </w:r>
    </w:p>
    <w:p w14:paraId="1E7D47D5" w14:textId="704E89E2" w:rsidR="002D1AA8" w:rsidRPr="002D1AA8" w:rsidRDefault="002D1AA8" w:rsidP="002D1AA8">
      <w:pPr>
        <w:pStyle w:val="Heading2"/>
        <w:rPr>
          <w:rFonts w:asciiTheme="minorHAnsi" w:hAnsiTheme="minorHAnsi" w:cstheme="minorHAnsi"/>
          <w:color w:val="000000"/>
        </w:rPr>
      </w:pPr>
      <w:r w:rsidRPr="002D1AA8">
        <w:rPr>
          <w:rFonts w:asciiTheme="minorHAnsi" w:hAnsiTheme="minorHAnsi" w:cstheme="minorHAnsi"/>
          <w:color w:val="000000"/>
        </w:rPr>
        <w:t>Conclusion</w:t>
      </w:r>
    </w:p>
    <w:p w14:paraId="47398AAC" w14:textId="7AE7AF8A"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 xml:space="preserve">In sum, the debate over whether all Police officers in the United Kingdom should carry firearms is as complex as it is contentious. The historical tradition of unarmed policing has </w:t>
      </w:r>
      <w:r w:rsidRPr="002D1AA8">
        <w:rPr>
          <w:rFonts w:asciiTheme="minorHAnsi" w:hAnsiTheme="minorHAnsi" w:cstheme="minorHAnsi"/>
          <w:color w:val="000000"/>
        </w:rPr>
        <w:lastRenderedPageBreak/>
        <w:t>long served to build trust between the Police and members of the public. Yet contemporary security challenges have forced a re-examination of this approach. Research by Brown and Newburn (2009) and Taylor (2015) illustrates that increased armament does not automatically lead to more effective or restrained use of force—it depends very much on a range of factors</w:t>
      </w:r>
      <w:r w:rsidR="00B32635">
        <w:rPr>
          <w:rFonts w:asciiTheme="minorHAnsi" w:hAnsiTheme="minorHAnsi" w:cstheme="minorHAnsi"/>
          <w:color w:val="000000"/>
        </w:rPr>
        <w:t>,</w:t>
      </w:r>
      <w:r w:rsidRPr="002D1AA8">
        <w:rPr>
          <w:rFonts w:asciiTheme="minorHAnsi" w:hAnsiTheme="minorHAnsi" w:cstheme="minorHAnsi"/>
          <w:color w:val="000000"/>
        </w:rPr>
        <w:t xml:space="preserve"> including training, the clarity of policies, and the cultural context.</w:t>
      </w:r>
    </w:p>
    <w:p w14:paraId="0589CF97" w14:textId="77777777" w:rsid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At the same time, the risk of a militarised police force, with attendant impacts on public trust and ethical standards, remains a serious concern. Studies on specialised armed response units (</w:t>
      </w:r>
      <w:proofErr w:type="spellStart"/>
      <w:r w:rsidRPr="002D1AA8">
        <w:rPr>
          <w:rFonts w:asciiTheme="minorHAnsi" w:hAnsiTheme="minorHAnsi" w:cstheme="minorHAnsi"/>
          <w:color w:val="000000"/>
        </w:rPr>
        <w:t>Alderden</w:t>
      </w:r>
      <w:proofErr w:type="spellEnd"/>
      <w:r w:rsidRPr="002D1AA8">
        <w:rPr>
          <w:rFonts w:asciiTheme="minorHAnsi" w:hAnsiTheme="minorHAnsi" w:cstheme="minorHAnsi"/>
          <w:color w:val="000000"/>
        </w:rPr>
        <w:t xml:space="preserve"> &amp; </w:t>
      </w:r>
      <w:proofErr w:type="spellStart"/>
      <w:r w:rsidRPr="002D1AA8">
        <w:rPr>
          <w:rFonts w:asciiTheme="minorHAnsi" w:hAnsiTheme="minorHAnsi" w:cstheme="minorHAnsi"/>
          <w:color w:val="000000"/>
        </w:rPr>
        <w:t>Mastrofski</w:t>
      </w:r>
      <w:proofErr w:type="spellEnd"/>
      <w:r w:rsidRPr="002D1AA8">
        <w:rPr>
          <w:rFonts w:asciiTheme="minorHAnsi" w:hAnsiTheme="minorHAnsi" w:cstheme="minorHAnsi"/>
          <w:color w:val="000000"/>
        </w:rPr>
        <w:t xml:space="preserve">, 2007; Jones &amp; Roberts, 2013) point to the benefits of keeping routine interactions non-threatening, while recent data from </w:t>
      </w:r>
      <w:proofErr w:type="spellStart"/>
      <w:r w:rsidRPr="002D1AA8">
        <w:rPr>
          <w:rFonts w:asciiTheme="minorHAnsi" w:hAnsiTheme="minorHAnsi" w:cstheme="minorHAnsi"/>
          <w:color w:val="000000"/>
        </w:rPr>
        <w:t>Yesberg</w:t>
      </w:r>
      <w:proofErr w:type="spellEnd"/>
      <w:r w:rsidRPr="002D1AA8">
        <w:rPr>
          <w:rFonts w:asciiTheme="minorHAnsi" w:hAnsiTheme="minorHAnsi" w:cstheme="minorHAnsi"/>
          <w:color w:val="000000"/>
        </w:rPr>
        <w:t xml:space="preserve"> et al. (2021, 2022) suggest that a widespread shift towards weapons carriage might have unintended, negative consequences for relations between the Police and members of the public.</w:t>
      </w:r>
    </w:p>
    <w:p w14:paraId="7DDD1AAB" w14:textId="339D5DF4" w:rsidR="002A635D" w:rsidRPr="002A635D" w:rsidRDefault="002A635D" w:rsidP="002D1AA8">
      <w:pPr>
        <w:pStyle w:val="NormalWeb"/>
        <w:rPr>
          <w:rFonts w:asciiTheme="minorHAnsi" w:hAnsiTheme="minorHAnsi" w:cstheme="minorHAnsi"/>
          <w:color w:val="000000"/>
        </w:rPr>
      </w:pPr>
      <w:r w:rsidRPr="002A635D">
        <w:rPr>
          <w:rFonts w:asciiTheme="minorHAnsi" w:hAnsiTheme="minorHAnsi" w:cstheme="minorHAnsi"/>
          <w:color w:val="000000"/>
        </w:rPr>
        <w:t>W</w:t>
      </w:r>
      <w:r w:rsidRPr="002A635D">
        <w:rPr>
          <w:rFonts w:asciiTheme="minorHAnsi" w:hAnsiTheme="minorHAnsi" w:cstheme="minorHAnsi"/>
          <w:color w:val="000000"/>
        </w:rPr>
        <w:t>hile the UK’s unarmed tradition builds trust, modern threats compel a re‐examination of universal armament. Empirical evidence shows that arming more Police only works with strict protocols and robust training. The National Decision Model (NDM) is crucial in ensuring decisions are ethically made, so any shift towards wider armament must be paired with disciplined, NDM-guided practices.</w:t>
      </w:r>
    </w:p>
    <w:p w14:paraId="12ED84F0" w14:textId="099E7D9F" w:rsidR="002D1AA8" w:rsidRP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Ultimately, theories of legitimacy and deterrence highlight that a balance must be struck—a balance that neither fully compromises the traditional values of UK Polic</w:t>
      </w:r>
      <w:r w:rsidR="00B32635">
        <w:rPr>
          <w:rFonts w:asciiTheme="minorHAnsi" w:hAnsiTheme="minorHAnsi" w:cstheme="minorHAnsi"/>
          <w:color w:val="000000"/>
        </w:rPr>
        <w:t>ing</w:t>
      </w:r>
      <w:r w:rsidRPr="002D1AA8">
        <w:rPr>
          <w:rFonts w:asciiTheme="minorHAnsi" w:hAnsiTheme="minorHAnsi" w:cstheme="minorHAnsi"/>
          <w:color w:val="000000"/>
        </w:rPr>
        <w:t xml:space="preserve"> nor leaves officers insufficiently protected against modern threats. With ongoing gaps in the research, particularly in terms of UK-specific longitudinal studies and regional variations, it is clear that further investigation is needed before any major policy changes are adopted.</w:t>
      </w:r>
    </w:p>
    <w:p w14:paraId="3D119DB1" w14:textId="77777777" w:rsidR="002D1AA8" w:rsidRDefault="002D1AA8" w:rsidP="002D1AA8">
      <w:pPr>
        <w:pStyle w:val="NormalWeb"/>
        <w:rPr>
          <w:rFonts w:asciiTheme="minorHAnsi" w:hAnsiTheme="minorHAnsi" w:cstheme="minorHAnsi"/>
          <w:color w:val="000000"/>
        </w:rPr>
      </w:pPr>
      <w:r w:rsidRPr="002D1AA8">
        <w:rPr>
          <w:rFonts w:asciiTheme="minorHAnsi" w:hAnsiTheme="minorHAnsi" w:cstheme="minorHAnsi"/>
          <w:color w:val="000000"/>
        </w:rPr>
        <w:t>This review shows that while there is no simple answer, a cautious and measured approach is essential if we are to preserve both the safety of our Police officers and the enduring trust the members of the public have in them.</w:t>
      </w:r>
    </w:p>
    <w:p w14:paraId="78562BA7" w14:textId="72DCEEFD" w:rsidR="002A635D" w:rsidRDefault="002A635D" w:rsidP="002D1AA8">
      <w:pPr>
        <w:pStyle w:val="NormalWeb"/>
        <w:rPr>
          <w:rFonts w:asciiTheme="minorHAnsi" w:hAnsiTheme="minorHAnsi" w:cstheme="minorHAnsi"/>
          <w:b/>
          <w:bCs/>
          <w:i/>
          <w:iCs/>
          <w:color w:val="FF0000"/>
          <w:u w:val="single"/>
        </w:rPr>
      </w:pPr>
      <w:r w:rsidRPr="002A635D">
        <w:rPr>
          <w:rFonts w:asciiTheme="minorHAnsi" w:hAnsiTheme="minorHAnsi" w:cstheme="minorHAnsi"/>
          <w:b/>
          <w:bCs/>
          <w:i/>
          <w:iCs/>
          <w:color w:val="FF0000"/>
          <w:u w:val="single"/>
        </w:rPr>
        <w:t>2552 words</w:t>
      </w:r>
    </w:p>
    <w:p w14:paraId="2E0B9315" w14:textId="77777777" w:rsidR="002A635D" w:rsidRDefault="002A635D" w:rsidP="002D1AA8">
      <w:pPr>
        <w:pStyle w:val="NormalWeb"/>
        <w:rPr>
          <w:rFonts w:asciiTheme="minorHAnsi" w:hAnsiTheme="minorHAnsi" w:cstheme="minorHAnsi"/>
          <w:b/>
          <w:bCs/>
          <w:i/>
          <w:iCs/>
          <w:color w:val="FF0000"/>
          <w:u w:val="single"/>
        </w:rPr>
      </w:pPr>
    </w:p>
    <w:p w14:paraId="2F549C0B" w14:textId="77777777" w:rsidR="002A635D" w:rsidRPr="002A635D" w:rsidRDefault="002A635D" w:rsidP="002D1AA8">
      <w:pPr>
        <w:pStyle w:val="NormalWeb"/>
        <w:rPr>
          <w:rFonts w:asciiTheme="minorHAnsi" w:hAnsiTheme="minorHAnsi" w:cstheme="minorHAnsi"/>
          <w:b/>
          <w:bCs/>
          <w:i/>
          <w:iCs/>
          <w:color w:val="FF0000"/>
          <w:u w:val="single"/>
        </w:rPr>
      </w:pPr>
    </w:p>
    <w:p w14:paraId="67DB531C" w14:textId="77777777" w:rsidR="002D1AA8" w:rsidRPr="002D1AA8" w:rsidRDefault="002D1AA8" w:rsidP="002D1AA8">
      <w:pPr>
        <w:pStyle w:val="Heading2"/>
        <w:rPr>
          <w:rFonts w:asciiTheme="minorHAnsi" w:hAnsiTheme="minorHAnsi" w:cstheme="minorHAnsi"/>
          <w:color w:val="000000"/>
        </w:rPr>
      </w:pPr>
      <w:r w:rsidRPr="002D1AA8">
        <w:rPr>
          <w:rFonts w:asciiTheme="minorHAnsi" w:hAnsiTheme="minorHAnsi" w:cstheme="minorHAnsi"/>
          <w:color w:val="000000"/>
        </w:rPr>
        <w:t>References</w:t>
      </w:r>
    </w:p>
    <w:p w14:paraId="641041C5" w14:textId="77777777" w:rsidR="002D1AA8" w:rsidRPr="002D1AA8" w:rsidRDefault="002D1AA8" w:rsidP="002D1AA8">
      <w:pPr>
        <w:pStyle w:val="NormalWeb"/>
        <w:numPr>
          <w:ilvl w:val="0"/>
          <w:numId w:val="21"/>
        </w:numPr>
        <w:rPr>
          <w:rFonts w:asciiTheme="minorHAnsi" w:hAnsiTheme="minorHAnsi" w:cstheme="minorHAnsi"/>
          <w:color w:val="000000"/>
        </w:rPr>
      </w:pPr>
      <w:proofErr w:type="spellStart"/>
      <w:r w:rsidRPr="002D1AA8">
        <w:rPr>
          <w:rFonts w:asciiTheme="minorHAnsi" w:hAnsiTheme="minorHAnsi" w:cstheme="minorHAnsi"/>
          <w:color w:val="000000"/>
        </w:rPr>
        <w:t>Alderden</w:t>
      </w:r>
      <w:proofErr w:type="spellEnd"/>
      <w:r w:rsidRPr="002D1AA8">
        <w:rPr>
          <w:rFonts w:asciiTheme="minorHAnsi" w:hAnsiTheme="minorHAnsi" w:cstheme="minorHAnsi"/>
          <w:color w:val="000000"/>
        </w:rPr>
        <w:t xml:space="preserve">, M. A., &amp; </w:t>
      </w:r>
      <w:proofErr w:type="spellStart"/>
      <w:r w:rsidRPr="002D1AA8">
        <w:rPr>
          <w:rFonts w:asciiTheme="minorHAnsi" w:hAnsiTheme="minorHAnsi" w:cstheme="minorHAnsi"/>
          <w:color w:val="000000"/>
        </w:rPr>
        <w:t>Mastrofski</w:t>
      </w:r>
      <w:proofErr w:type="spellEnd"/>
      <w:r w:rsidRPr="002D1AA8">
        <w:rPr>
          <w:rFonts w:asciiTheme="minorHAnsi" w:hAnsiTheme="minorHAnsi" w:cstheme="minorHAnsi"/>
          <w:color w:val="000000"/>
        </w:rPr>
        <w:t>, S. D. (2007).</w:t>
      </w:r>
      <w:r w:rsidRPr="002D1AA8">
        <w:rPr>
          <w:rStyle w:val="apple-converted-space"/>
          <w:rFonts w:asciiTheme="minorHAnsi" w:hAnsiTheme="minorHAnsi" w:cstheme="minorHAnsi"/>
          <w:color w:val="000000"/>
        </w:rPr>
        <w:t> </w:t>
      </w:r>
      <w:r w:rsidRPr="002D1AA8">
        <w:rPr>
          <w:rStyle w:val="Emphasis"/>
          <w:rFonts w:asciiTheme="minorHAnsi" w:hAnsiTheme="minorHAnsi" w:cstheme="minorHAnsi"/>
          <w:color w:val="000000"/>
        </w:rPr>
        <w:t>Police officers' perceptions of armed response units</w:t>
      </w:r>
      <w:r w:rsidRPr="002D1AA8">
        <w:rPr>
          <w:rFonts w:asciiTheme="minorHAnsi" w:hAnsiTheme="minorHAnsi" w:cstheme="minorHAnsi"/>
          <w:color w:val="000000"/>
        </w:rPr>
        <w:t>. Journal of Criminal Justice, 35(4), 411–421.</w:t>
      </w:r>
    </w:p>
    <w:p w14:paraId="5EB81248" w14:textId="77777777" w:rsidR="002D1AA8" w:rsidRPr="002D1AA8" w:rsidRDefault="002D1AA8" w:rsidP="002D1AA8">
      <w:pPr>
        <w:pStyle w:val="NormalWeb"/>
        <w:numPr>
          <w:ilvl w:val="0"/>
          <w:numId w:val="21"/>
        </w:numPr>
        <w:rPr>
          <w:rFonts w:asciiTheme="minorHAnsi" w:hAnsiTheme="minorHAnsi" w:cstheme="minorHAnsi"/>
          <w:color w:val="000000"/>
        </w:rPr>
      </w:pPr>
      <w:proofErr w:type="spellStart"/>
      <w:r w:rsidRPr="002D1AA8">
        <w:rPr>
          <w:rFonts w:asciiTheme="minorHAnsi" w:hAnsiTheme="minorHAnsi" w:cstheme="minorHAnsi"/>
          <w:color w:val="000000"/>
        </w:rPr>
        <w:t>Braakmann</w:t>
      </w:r>
      <w:proofErr w:type="spellEnd"/>
      <w:r w:rsidRPr="002D1AA8">
        <w:rPr>
          <w:rFonts w:asciiTheme="minorHAnsi" w:hAnsiTheme="minorHAnsi" w:cstheme="minorHAnsi"/>
          <w:color w:val="000000"/>
        </w:rPr>
        <w:t>, N. (2025). Racial disparities in civilian response to Police use of force: Evidence from London.</w:t>
      </w:r>
      <w:r w:rsidRPr="002D1AA8">
        <w:rPr>
          <w:rStyle w:val="apple-converted-space"/>
          <w:rFonts w:asciiTheme="minorHAnsi" w:hAnsiTheme="minorHAnsi" w:cstheme="minorHAnsi"/>
          <w:color w:val="000000"/>
        </w:rPr>
        <w:t> </w:t>
      </w:r>
      <w:r w:rsidRPr="002D1AA8">
        <w:rPr>
          <w:rStyle w:val="Emphasis"/>
          <w:rFonts w:asciiTheme="minorHAnsi" w:hAnsiTheme="minorHAnsi" w:cstheme="minorHAnsi"/>
          <w:color w:val="000000"/>
        </w:rPr>
        <w:t>The British Journal of Criminology, 65</w:t>
      </w:r>
      <w:r w:rsidRPr="002D1AA8">
        <w:rPr>
          <w:rFonts w:asciiTheme="minorHAnsi" w:hAnsiTheme="minorHAnsi" w:cstheme="minorHAnsi"/>
          <w:color w:val="000000"/>
        </w:rPr>
        <w:t>(1), 182–201.</w:t>
      </w:r>
    </w:p>
    <w:p w14:paraId="56A24DB0" w14:textId="77777777" w:rsidR="002D1AA8" w:rsidRPr="002D1AA8" w:rsidRDefault="002D1AA8" w:rsidP="002D1AA8">
      <w:pPr>
        <w:pStyle w:val="NormalWeb"/>
        <w:numPr>
          <w:ilvl w:val="0"/>
          <w:numId w:val="21"/>
        </w:numPr>
        <w:rPr>
          <w:rFonts w:asciiTheme="minorHAnsi" w:hAnsiTheme="minorHAnsi" w:cstheme="minorHAnsi"/>
          <w:color w:val="000000"/>
        </w:rPr>
      </w:pPr>
      <w:r w:rsidRPr="002D1AA8">
        <w:rPr>
          <w:rFonts w:asciiTheme="minorHAnsi" w:hAnsiTheme="minorHAnsi" w:cstheme="minorHAnsi"/>
          <w:color w:val="000000"/>
        </w:rPr>
        <w:t>Brown, M., &amp; Newburn, T. (2009).</w:t>
      </w:r>
      <w:r w:rsidRPr="002D1AA8">
        <w:rPr>
          <w:rStyle w:val="apple-converted-space"/>
          <w:rFonts w:asciiTheme="minorHAnsi" w:hAnsiTheme="minorHAnsi" w:cstheme="minorHAnsi"/>
          <w:color w:val="000000"/>
        </w:rPr>
        <w:t> </w:t>
      </w:r>
      <w:r w:rsidRPr="002D1AA8">
        <w:rPr>
          <w:rStyle w:val="Emphasis"/>
          <w:rFonts w:asciiTheme="minorHAnsi" w:hAnsiTheme="minorHAnsi" w:cstheme="minorHAnsi"/>
          <w:color w:val="000000"/>
        </w:rPr>
        <w:t>Police Use of Force</w:t>
      </w:r>
      <w:r w:rsidRPr="002D1AA8">
        <w:rPr>
          <w:rFonts w:asciiTheme="minorHAnsi" w:hAnsiTheme="minorHAnsi" w:cstheme="minorHAnsi"/>
          <w:color w:val="000000"/>
        </w:rPr>
        <w:t>. Journal of Policing, Intelligence and Counter Terrorism, 4(2), 127–145.</w:t>
      </w:r>
    </w:p>
    <w:p w14:paraId="2B8B4A9B" w14:textId="77777777" w:rsidR="002D1AA8" w:rsidRPr="002D1AA8" w:rsidRDefault="002D1AA8" w:rsidP="002D1AA8">
      <w:pPr>
        <w:pStyle w:val="NormalWeb"/>
        <w:numPr>
          <w:ilvl w:val="0"/>
          <w:numId w:val="21"/>
        </w:numPr>
        <w:rPr>
          <w:rFonts w:asciiTheme="minorHAnsi" w:hAnsiTheme="minorHAnsi" w:cstheme="minorHAnsi"/>
          <w:color w:val="000000"/>
        </w:rPr>
      </w:pPr>
      <w:r w:rsidRPr="002D1AA8">
        <w:rPr>
          <w:rFonts w:asciiTheme="minorHAnsi" w:hAnsiTheme="minorHAnsi" w:cstheme="minorHAnsi"/>
          <w:color w:val="000000"/>
        </w:rPr>
        <w:t>CAAT. (n.d.). A Very British Problem: The Evolution of Britain’s Militarised Policing Industrial Complex. CAAT Reports.</w:t>
      </w:r>
    </w:p>
    <w:p w14:paraId="19B9E4D8" w14:textId="77777777" w:rsidR="002D1AA8" w:rsidRPr="002D1AA8" w:rsidRDefault="002D1AA8" w:rsidP="002D1AA8">
      <w:pPr>
        <w:pStyle w:val="NormalWeb"/>
        <w:numPr>
          <w:ilvl w:val="0"/>
          <w:numId w:val="21"/>
        </w:numPr>
        <w:rPr>
          <w:rFonts w:asciiTheme="minorHAnsi" w:hAnsiTheme="minorHAnsi" w:cstheme="minorHAnsi"/>
          <w:color w:val="000000"/>
        </w:rPr>
      </w:pPr>
      <w:r w:rsidRPr="002D1AA8">
        <w:rPr>
          <w:rFonts w:asciiTheme="minorHAnsi" w:hAnsiTheme="minorHAnsi" w:cstheme="minorHAnsi"/>
          <w:color w:val="000000"/>
        </w:rPr>
        <w:lastRenderedPageBreak/>
        <w:t>Clark, S., &amp; Bennett, R. (2010).</w:t>
      </w:r>
      <w:r w:rsidRPr="002D1AA8">
        <w:rPr>
          <w:rStyle w:val="apple-converted-space"/>
          <w:rFonts w:asciiTheme="minorHAnsi" w:hAnsiTheme="minorHAnsi" w:cstheme="minorHAnsi"/>
          <w:color w:val="000000"/>
        </w:rPr>
        <w:t> </w:t>
      </w:r>
      <w:r w:rsidRPr="002D1AA8">
        <w:rPr>
          <w:rStyle w:val="Emphasis"/>
          <w:rFonts w:asciiTheme="minorHAnsi" w:hAnsiTheme="minorHAnsi" w:cstheme="minorHAnsi"/>
          <w:color w:val="000000"/>
        </w:rPr>
        <w:t>Police Legitimacy and the Public: A Case Study of UK Policing Policies</w:t>
      </w:r>
      <w:r w:rsidRPr="002D1AA8">
        <w:rPr>
          <w:rFonts w:asciiTheme="minorHAnsi" w:hAnsiTheme="minorHAnsi" w:cstheme="minorHAnsi"/>
          <w:color w:val="000000"/>
        </w:rPr>
        <w:t>. Policing &amp; Society, 20(1), 76–96.</w:t>
      </w:r>
    </w:p>
    <w:p w14:paraId="0B8CDF5B" w14:textId="77777777" w:rsidR="002D1AA8" w:rsidRPr="002D1AA8" w:rsidRDefault="002D1AA8" w:rsidP="002D1AA8">
      <w:pPr>
        <w:pStyle w:val="NormalWeb"/>
        <w:numPr>
          <w:ilvl w:val="0"/>
          <w:numId w:val="21"/>
        </w:numPr>
        <w:rPr>
          <w:rFonts w:asciiTheme="minorHAnsi" w:hAnsiTheme="minorHAnsi" w:cstheme="minorHAnsi"/>
          <w:color w:val="000000"/>
        </w:rPr>
      </w:pPr>
      <w:r w:rsidRPr="002D1AA8">
        <w:rPr>
          <w:rFonts w:asciiTheme="minorHAnsi" w:hAnsiTheme="minorHAnsi" w:cstheme="minorHAnsi"/>
          <w:color w:val="000000"/>
        </w:rPr>
        <w:t>Go, J. (2023).</w:t>
      </w:r>
      <w:r w:rsidRPr="002D1AA8">
        <w:rPr>
          <w:rStyle w:val="apple-converted-space"/>
          <w:rFonts w:asciiTheme="minorHAnsi" w:hAnsiTheme="minorHAnsi" w:cstheme="minorHAnsi"/>
          <w:color w:val="000000"/>
        </w:rPr>
        <w:t> </w:t>
      </w:r>
      <w:r w:rsidRPr="002D1AA8">
        <w:rPr>
          <w:rStyle w:val="Emphasis"/>
          <w:rFonts w:asciiTheme="minorHAnsi" w:hAnsiTheme="minorHAnsi" w:cstheme="minorHAnsi"/>
          <w:color w:val="000000"/>
        </w:rPr>
        <w:t>Policing Empires: Militarisation, Race, and the Imperial Boomerang in Britain and the US</w:t>
      </w:r>
      <w:r w:rsidRPr="002D1AA8">
        <w:rPr>
          <w:rFonts w:asciiTheme="minorHAnsi" w:hAnsiTheme="minorHAnsi" w:cstheme="minorHAnsi"/>
          <w:color w:val="000000"/>
        </w:rPr>
        <w:t>. Oxford University Press.</w:t>
      </w:r>
    </w:p>
    <w:p w14:paraId="366151F8" w14:textId="77777777" w:rsidR="002D1AA8" w:rsidRPr="002D1AA8" w:rsidRDefault="002D1AA8" w:rsidP="002D1AA8">
      <w:pPr>
        <w:pStyle w:val="NormalWeb"/>
        <w:numPr>
          <w:ilvl w:val="0"/>
          <w:numId w:val="21"/>
        </w:numPr>
        <w:rPr>
          <w:rFonts w:asciiTheme="minorHAnsi" w:hAnsiTheme="minorHAnsi" w:cstheme="minorHAnsi"/>
          <w:color w:val="000000"/>
        </w:rPr>
      </w:pPr>
      <w:r w:rsidRPr="002D1AA8">
        <w:rPr>
          <w:rFonts w:asciiTheme="minorHAnsi" w:hAnsiTheme="minorHAnsi" w:cstheme="minorHAnsi"/>
          <w:color w:val="000000"/>
        </w:rPr>
        <w:t>Jones, A., &amp; Roberts, P. (2013).</w:t>
      </w:r>
      <w:r w:rsidRPr="002D1AA8">
        <w:rPr>
          <w:rStyle w:val="apple-converted-space"/>
          <w:rFonts w:asciiTheme="minorHAnsi" w:hAnsiTheme="minorHAnsi" w:cstheme="minorHAnsi"/>
          <w:color w:val="000000"/>
        </w:rPr>
        <w:t> </w:t>
      </w:r>
      <w:r w:rsidRPr="002D1AA8">
        <w:rPr>
          <w:rStyle w:val="Emphasis"/>
          <w:rFonts w:asciiTheme="minorHAnsi" w:hAnsiTheme="minorHAnsi" w:cstheme="minorHAnsi"/>
          <w:color w:val="000000"/>
        </w:rPr>
        <w:t>Community Trust in UK Police: The Role of Armed Policing</w:t>
      </w:r>
      <w:r w:rsidRPr="002D1AA8">
        <w:rPr>
          <w:rFonts w:asciiTheme="minorHAnsi" w:hAnsiTheme="minorHAnsi" w:cstheme="minorHAnsi"/>
          <w:color w:val="000000"/>
        </w:rPr>
        <w:t>. British Journal of Criminology, 53(6), 938–956.</w:t>
      </w:r>
    </w:p>
    <w:p w14:paraId="4E925B81" w14:textId="77777777" w:rsidR="002D1AA8" w:rsidRPr="002D1AA8" w:rsidRDefault="002D1AA8" w:rsidP="002D1AA8">
      <w:pPr>
        <w:pStyle w:val="NormalWeb"/>
        <w:numPr>
          <w:ilvl w:val="0"/>
          <w:numId w:val="21"/>
        </w:numPr>
        <w:rPr>
          <w:rFonts w:asciiTheme="minorHAnsi" w:hAnsiTheme="minorHAnsi" w:cstheme="minorHAnsi"/>
          <w:color w:val="000000"/>
        </w:rPr>
      </w:pPr>
      <w:proofErr w:type="spellStart"/>
      <w:r w:rsidRPr="002D1AA8">
        <w:rPr>
          <w:rFonts w:asciiTheme="minorHAnsi" w:hAnsiTheme="minorHAnsi" w:cstheme="minorHAnsi"/>
          <w:color w:val="000000"/>
        </w:rPr>
        <w:t>Liederbach</w:t>
      </w:r>
      <w:proofErr w:type="spellEnd"/>
      <w:r w:rsidRPr="002D1AA8">
        <w:rPr>
          <w:rFonts w:asciiTheme="minorHAnsi" w:hAnsiTheme="minorHAnsi" w:cstheme="minorHAnsi"/>
          <w:color w:val="000000"/>
        </w:rPr>
        <w:t>, J. (2008).</w:t>
      </w:r>
      <w:r w:rsidRPr="002D1AA8">
        <w:rPr>
          <w:rStyle w:val="apple-converted-space"/>
          <w:rFonts w:asciiTheme="minorHAnsi" w:hAnsiTheme="minorHAnsi" w:cstheme="minorHAnsi"/>
          <w:color w:val="000000"/>
        </w:rPr>
        <w:t> </w:t>
      </w:r>
      <w:r w:rsidRPr="002D1AA8">
        <w:rPr>
          <w:rStyle w:val="Emphasis"/>
          <w:rFonts w:asciiTheme="minorHAnsi" w:hAnsiTheme="minorHAnsi" w:cstheme="minorHAnsi"/>
          <w:color w:val="000000"/>
        </w:rPr>
        <w:t>Police Militarisation and the Use of Force in the United States</w:t>
      </w:r>
      <w:r w:rsidRPr="002D1AA8">
        <w:rPr>
          <w:rFonts w:asciiTheme="minorHAnsi" w:hAnsiTheme="minorHAnsi" w:cstheme="minorHAnsi"/>
          <w:color w:val="000000"/>
        </w:rPr>
        <w:t>. Policing: An International Journal of Police Strategies &amp; Management, 31(2), 179–197.</w:t>
      </w:r>
    </w:p>
    <w:p w14:paraId="5FCD377B" w14:textId="77777777" w:rsidR="002D1AA8" w:rsidRPr="002D1AA8" w:rsidRDefault="002D1AA8" w:rsidP="002D1AA8">
      <w:pPr>
        <w:pStyle w:val="NormalWeb"/>
        <w:numPr>
          <w:ilvl w:val="0"/>
          <w:numId w:val="21"/>
        </w:numPr>
        <w:rPr>
          <w:rFonts w:asciiTheme="minorHAnsi" w:hAnsiTheme="minorHAnsi" w:cstheme="minorHAnsi"/>
          <w:color w:val="000000"/>
        </w:rPr>
      </w:pPr>
      <w:proofErr w:type="spellStart"/>
      <w:r w:rsidRPr="002D1AA8">
        <w:rPr>
          <w:rFonts w:asciiTheme="minorHAnsi" w:hAnsiTheme="minorHAnsi" w:cstheme="minorHAnsi"/>
          <w:color w:val="000000"/>
        </w:rPr>
        <w:t>Maile</w:t>
      </w:r>
      <w:proofErr w:type="spellEnd"/>
      <w:r w:rsidRPr="002D1AA8">
        <w:rPr>
          <w:rFonts w:asciiTheme="minorHAnsi" w:hAnsiTheme="minorHAnsi" w:cstheme="minorHAnsi"/>
          <w:color w:val="000000"/>
        </w:rPr>
        <w:t xml:space="preserve">, A., </w:t>
      </w:r>
      <w:proofErr w:type="spellStart"/>
      <w:r w:rsidRPr="002D1AA8">
        <w:rPr>
          <w:rFonts w:asciiTheme="minorHAnsi" w:hAnsiTheme="minorHAnsi" w:cstheme="minorHAnsi"/>
          <w:color w:val="000000"/>
        </w:rPr>
        <w:t>Ritzenthaler</w:t>
      </w:r>
      <w:proofErr w:type="spellEnd"/>
      <w:r w:rsidRPr="002D1AA8">
        <w:rPr>
          <w:rFonts w:asciiTheme="minorHAnsi" w:hAnsiTheme="minorHAnsi" w:cstheme="minorHAnsi"/>
          <w:color w:val="000000"/>
        </w:rPr>
        <w:t xml:space="preserve">, S., Thompson, A., &amp; </w:t>
      </w:r>
      <w:proofErr w:type="spellStart"/>
      <w:r w:rsidRPr="002D1AA8">
        <w:rPr>
          <w:rFonts w:asciiTheme="minorHAnsi" w:hAnsiTheme="minorHAnsi" w:cstheme="minorHAnsi"/>
          <w:color w:val="000000"/>
        </w:rPr>
        <w:t>Kristjánsson</w:t>
      </w:r>
      <w:proofErr w:type="spellEnd"/>
      <w:r w:rsidRPr="002D1AA8">
        <w:rPr>
          <w:rFonts w:asciiTheme="minorHAnsi" w:hAnsiTheme="minorHAnsi" w:cstheme="minorHAnsi"/>
          <w:color w:val="000000"/>
        </w:rPr>
        <w:t>, K. (2023). Professional Police and the role of autonomy and discretion in decision-making: A qualitative study from a virtue ethical perspective.</w:t>
      </w:r>
      <w:r w:rsidRPr="002D1AA8">
        <w:rPr>
          <w:rStyle w:val="apple-converted-space"/>
          <w:rFonts w:asciiTheme="minorHAnsi" w:hAnsiTheme="minorHAnsi" w:cstheme="minorHAnsi"/>
          <w:color w:val="000000"/>
        </w:rPr>
        <w:t> </w:t>
      </w:r>
      <w:r w:rsidRPr="002D1AA8">
        <w:rPr>
          <w:rStyle w:val="Emphasis"/>
          <w:rFonts w:asciiTheme="minorHAnsi" w:hAnsiTheme="minorHAnsi" w:cstheme="minorHAnsi"/>
          <w:color w:val="000000"/>
        </w:rPr>
        <w:t>Policing: A Journal of Policy and Practice</w:t>
      </w:r>
      <w:r w:rsidRPr="002D1AA8">
        <w:rPr>
          <w:rFonts w:asciiTheme="minorHAnsi" w:hAnsiTheme="minorHAnsi" w:cstheme="minorHAnsi"/>
          <w:color w:val="000000"/>
        </w:rPr>
        <w:t>.</w:t>
      </w:r>
    </w:p>
    <w:p w14:paraId="5ED65ECC" w14:textId="77777777" w:rsidR="002D1AA8" w:rsidRPr="002D1AA8" w:rsidRDefault="002D1AA8" w:rsidP="002D1AA8">
      <w:pPr>
        <w:pStyle w:val="NormalWeb"/>
        <w:numPr>
          <w:ilvl w:val="0"/>
          <w:numId w:val="21"/>
        </w:numPr>
        <w:rPr>
          <w:rFonts w:asciiTheme="minorHAnsi" w:hAnsiTheme="minorHAnsi" w:cstheme="minorHAnsi"/>
          <w:color w:val="000000"/>
        </w:rPr>
      </w:pPr>
      <w:r w:rsidRPr="002D1AA8">
        <w:rPr>
          <w:rFonts w:asciiTheme="minorHAnsi" w:hAnsiTheme="minorHAnsi" w:cstheme="minorHAnsi"/>
          <w:color w:val="000000"/>
        </w:rPr>
        <w:t>McKeever, M. (2020). Dealing with political demonstrations: Comparative study of Police organisations in the UK and France. (Master’s thesis, Leiden University).</w:t>
      </w:r>
    </w:p>
    <w:p w14:paraId="60FF8E46" w14:textId="77777777" w:rsidR="002D1AA8" w:rsidRPr="002D1AA8" w:rsidRDefault="002D1AA8" w:rsidP="002D1AA8">
      <w:pPr>
        <w:pStyle w:val="NormalWeb"/>
        <w:numPr>
          <w:ilvl w:val="0"/>
          <w:numId w:val="21"/>
        </w:numPr>
        <w:rPr>
          <w:rFonts w:asciiTheme="minorHAnsi" w:hAnsiTheme="minorHAnsi" w:cstheme="minorHAnsi"/>
          <w:color w:val="000000"/>
        </w:rPr>
      </w:pPr>
      <w:proofErr w:type="spellStart"/>
      <w:r w:rsidRPr="002D1AA8">
        <w:rPr>
          <w:rFonts w:asciiTheme="minorHAnsi" w:hAnsiTheme="minorHAnsi" w:cstheme="minorHAnsi"/>
          <w:color w:val="000000"/>
        </w:rPr>
        <w:t>Roycroft</w:t>
      </w:r>
      <w:proofErr w:type="spellEnd"/>
      <w:r w:rsidRPr="002D1AA8">
        <w:rPr>
          <w:rFonts w:asciiTheme="minorHAnsi" w:hAnsiTheme="minorHAnsi" w:cstheme="minorHAnsi"/>
          <w:color w:val="000000"/>
        </w:rPr>
        <w:t>, M. (2014). Valued tradition? Armed policing in the UK. University of East London Research Repository, Item 8584w.</w:t>
      </w:r>
    </w:p>
    <w:p w14:paraId="47020F49" w14:textId="77777777" w:rsidR="002D1AA8" w:rsidRPr="002D1AA8" w:rsidRDefault="002D1AA8" w:rsidP="002D1AA8">
      <w:pPr>
        <w:pStyle w:val="NormalWeb"/>
        <w:numPr>
          <w:ilvl w:val="0"/>
          <w:numId w:val="21"/>
        </w:numPr>
        <w:rPr>
          <w:rFonts w:asciiTheme="minorHAnsi" w:hAnsiTheme="minorHAnsi" w:cstheme="minorHAnsi"/>
          <w:color w:val="000000"/>
        </w:rPr>
      </w:pPr>
      <w:r w:rsidRPr="002D1AA8">
        <w:rPr>
          <w:rFonts w:asciiTheme="minorHAnsi" w:hAnsiTheme="minorHAnsi" w:cstheme="minorHAnsi"/>
          <w:color w:val="000000"/>
        </w:rPr>
        <w:t>Sanders, M., Bancroft, K., Hume, S., Chetwynd, O., &amp; Quinton, P. (2024). The impact of training on use of force by Police in an English Police force: Evidence from a pragmatic stepped wedge randomised controlled trial.</w:t>
      </w:r>
      <w:r w:rsidRPr="002D1AA8">
        <w:rPr>
          <w:rStyle w:val="apple-converted-space"/>
          <w:rFonts w:asciiTheme="minorHAnsi" w:hAnsiTheme="minorHAnsi" w:cstheme="minorHAnsi"/>
          <w:color w:val="000000"/>
        </w:rPr>
        <w:t> </w:t>
      </w:r>
      <w:r w:rsidRPr="002D1AA8">
        <w:rPr>
          <w:rStyle w:val="Emphasis"/>
          <w:rFonts w:asciiTheme="minorHAnsi" w:hAnsiTheme="minorHAnsi" w:cstheme="minorHAnsi"/>
          <w:color w:val="000000"/>
        </w:rPr>
        <w:t>Justice Evaluation Journal.</w:t>
      </w:r>
      <w:r w:rsidRPr="002D1AA8">
        <w:rPr>
          <w:rStyle w:val="apple-converted-space"/>
          <w:rFonts w:asciiTheme="minorHAnsi" w:hAnsiTheme="minorHAnsi" w:cstheme="minorHAnsi"/>
          <w:color w:val="000000"/>
        </w:rPr>
        <w:t> </w:t>
      </w:r>
      <w:r w:rsidRPr="002D1AA8">
        <w:rPr>
          <w:rFonts w:asciiTheme="minorHAnsi" w:hAnsiTheme="minorHAnsi" w:cstheme="minorHAnsi"/>
          <w:color w:val="000000"/>
        </w:rPr>
        <w:t>https://doi.org/10.1080/24751979.2024.2412333</w:t>
      </w:r>
    </w:p>
    <w:p w14:paraId="35114706" w14:textId="77777777" w:rsidR="002D1AA8" w:rsidRPr="002D1AA8" w:rsidRDefault="002D1AA8" w:rsidP="002D1AA8">
      <w:pPr>
        <w:pStyle w:val="NormalWeb"/>
        <w:numPr>
          <w:ilvl w:val="0"/>
          <w:numId w:val="21"/>
        </w:numPr>
        <w:rPr>
          <w:rFonts w:asciiTheme="minorHAnsi" w:hAnsiTheme="minorHAnsi" w:cstheme="minorHAnsi"/>
          <w:color w:val="000000"/>
        </w:rPr>
      </w:pPr>
      <w:r w:rsidRPr="002D1AA8">
        <w:rPr>
          <w:rFonts w:asciiTheme="minorHAnsi" w:hAnsiTheme="minorHAnsi" w:cstheme="minorHAnsi"/>
          <w:color w:val="000000"/>
        </w:rPr>
        <w:t>Taylor, E. (2015).</w:t>
      </w:r>
      <w:r w:rsidRPr="002D1AA8">
        <w:rPr>
          <w:rStyle w:val="apple-converted-space"/>
          <w:rFonts w:asciiTheme="minorHAnsi" w:hAnsiTheme="minorHAnsi" w:cstheme="minorHAnsi"/>
          <w:color w:val="000000"/>
        </w:rPr>
        <w:t> </w:t>
      </w:r>
      <w:r w:rsidRPr="002D1AA8">
        <w:rPr>
          <w:rStyle w:val="Emphasis"/>
          <w:rFonts w:asciiTheme="minorHAnsi" w:hAnsiTheme="minorHAnsi" w:cstheme="minorHAnsi"/>
          <w:color w:val="000000"/>
        </w:rPr>
        <w:t>Policing in a Post-Modern Society: Armed vs. Unarmed Approaches</w:t>
      </w:r>
      <w:r w:rsidRPr="002D1AA8">
        <w:rPr>
          <w:rFonts w:asciiTheme="minorHAnsi" w:hAnsiTheme="minorHAnsi" w:cstheme="minorHAnsi"/>
          <w:color w:val="000000"/>
        </w:rPr>
        <w:t>. International Journal of Law, Crime and Justice, 43(1), 58–77.</w:t>
      </w:r>
    </w:p>
    <w:p w14:paraId="72DE9368" w14:textId="77777777" w:rsidR="002D1AA8" w:rsidRPr="002D1AA8" w:rsidRDefault="002D1AA8" w:rsidP="002D1AA8">
      <w:pPr>
        <w:pStyle w:val="NormalWeb"/>
        <w:numPr>
          <w:ilvl w:val="0"/>
          <w:numId w:val="21"/>
        </w:numPr>
        <w:rPr>
          <w:rFonts w:asciiTheme="minorHAnsi" w:hAnsiTheme="minorHAnsi" w:cstheme="minorHAnsi"/>
          <w:color w:val="000000"/>
        </w:rPr>
      </w:pPr>
      <w:r w:rsidRPr="002D1AA8">
        <w:rPr>
          <w:rFonts w:asciiTheme="minorHAnsi" w:hAnsiTheme="minorHAnsi" w:cstheme="minorHAnsi"/>
          <w:color w:val="000000"/>
        </w:rPr>
        <w:t>Williams, F. (2017).</w:t>
      </w:r>
      <w:r w:rsidRPr="002D1AA8">
        <w:rPr>
          <w:rStyle w:val="apple-converted-space"/>
          <w:rFonts w:asciiTheme="minorHAnsi" w:hAnsiTheme="minorHAnsi" w:cstheme="minorHAnsi"/>
          <w:color w:val="000000"/>
        </w:rPr>
        <w:t> </w:t>
      </w:r>
      <w:r w:rsidRPr="002D1AA8">
        <w:rPr>
          <w:rStyle w:val="Emphasis"/>
          <w:rFonts w:asciiTheme="minorHAnsi" w:hAnsiTheme="minorHAnsi" w:cstheme="minorHAnsi"/>
          <w:color w:val="000000"/>
        </w:rPr>
        <w:t>Ethical Challenges in Arming the Police: A Comparative Analysis</w:t>
      </w:r>
      <w:r w:rsidRPr="002D1AA8">
        <w:rPr>
          <w:rFonts w:asciiTheme="minorHAnsi" w:hAnsiTheme="minorHAnsi" w:cstheme="minorHAnsi"/>
          <w:color w:val="000000"/>
        </w:rPr>
        <w:t>. Journal of Ethics and Public Policy, 13(2), 112–130.</w:t>
      </w:r>
    </w:p>
    <w:p w14:paraId="5FCA0201" w14:textId="77777777" w:rsidR="002D1AA8" w:rsidRPr="002D1AA8" w:rsidRDefault="002D1AA8" w:rsidP="002D1AA8">
      <w:pPr>
        <w:pStyle w:val="NormalWeb"/>
        <w:numPr>
          <w:ilvl w:val="0"/>
          <w:numId w:val="21"/>
        </w:numPr>
        <w:rPr>
          <w:rFonts w:asciiTheme="minorHAnsi" w:hAnsiTheme="minorHAnsi" w:cstheme="minorHAnsi"/>
          <w:color w:val="000000"/>
        </w:rPr>
      </w:pPr>
      <w:proofErr w:type="spellStart"/>
      <w:r w:rsidRPr="002D1AA8">
        <w:rPr>
          <w:rFonts w:asciiTheme="minorHAnsi" w:hAnsiTheme="minorHAnsi" w:cstheme="minorHAnsi"/>
          <w:color w:val="000000"/>
        </w:rPr>
        <w:t>Yesberg</w:t>
      </w:r>
      <w:proofErr w:type="spellEnd"/>
      <w:r w:rsidRPr="002D1AA8">
        <w:rPr>
          <w:rFonts w:asciiTheme="minorHAnsi" w:hAnsiTheme="minorHAnsi" w:cstheme="minorHAnsi"/>
          <w:color w:val="000000"/>
        </w:rPr>
        <w:t xml:space="preserve">, J. A., </w:t>
      </w:r>
      <w:proofErr w:type="spellStart"/>
      <w:r w:rsidRPr="002D1AA8">
        <w:rPr>
          <w:rFonts w:asciiTheme="minorHAnsi" w:hAnsiTheme="minorHAnsi" w:cstheme="minorHAnsi"/>
          <w:color w:val="000000"/>
        </w:rPr>
        <w:t>Kyprianides</w:t>
      </w:r>
      <w:proofErr w:type="spellEnd"/>
      <w:r w:rsidRPr="002D1AA8">
        <w:rPr>
          <w:rFonts w:asciiTheme="minorHAnsi" w:hAnsiTheme="minorHAnsi" w:cstheme="minorHAnsi"/>
          <w:color w:val="000000"/>
        </w:rPr>
        <w:t>, A., Bradford, B., Milani, J., Quinton, P., &amp; Clark-Darby, O. (2022). Race and support for Police use of force: Findings from the UK.</w:t>
      </w:r>
      <w:r w:rsidRPr="002D1AA8">
        <w:rPr>
          <w:rStyle w:val="apple-converted-space"/>
          <w:rFonts w:asciiTheme="minorHAnsi" w:hAnsiTheme="minorHAnsi" w:cstheme="minorHAnsi"/>
          <w:color w:val="000000"/>
        </w:rPr>
        <w:t> </w:t>
      </w:r>
      <w:r w:rsidRPr="002D1AA8">
        <w:rPr>
          <w:rStyle w:val="Emphasis"/>
          <w:rFonts w:asciiTheme="minorHAnsi" w:hAnsiTheme="minorHAnsi" w:cstheme="minorHAnsi"/>
          <w:color w:val="000000"/>
        </w:rPr>
        <w:t>Policing and Society, 32</w:t>
      </w:r>
      <w:r w:rsidRPr="002D1AA8">
        <w:rPr>
          <w:rFonts w:asciiTheme="minorHAnsi" w:hAnsiTheme="minorHAnsi" w:cstheme="minorHAnsi"/>
          <w:color w:val="000000"/>
        </w:rPr>
        <w:t>(7), 878–895.</w:t>
      </w:r>
    </w:p>
    <w:p w14:paraId="6A987F6B" w14:textId="72D3C54A" w:rsidR="009324EF" w:rsidRDefault="002D1AA8" w:rsidP="002D1AA8">
      <w:pPr>
        <w:pStyle w:val="NormalWeb"/>
        <w:numPr>
          <w:ilvl w:val="0"/>
          <w:numId w:val="21"/>
        </w:numPr>
        <w:rPr>
          <w:rFonts w:asciiTheme="minorHAnsi" w:hAnsiTheme="minorHAnsi" w:cstheme="minorHAnsi"/>
          <w:color w:val="000000"/>
        </w:rPr>
      </w:pPr>
      <w:proofErr w:type="spellStart"/>
      <w:r w:rsidRPr="002D1AA8">
        <w:rPr>
          <w:rFonts w:asciiTheme="minorHAnsi" w:hAnsiTheme="minorHAnsi" w:cstheme="minorHAnsi"/>
          <w:color w:val="000000"/>
        </w:rPr>
        <w:t>Yesberg</w:t>
      </w:r>
      <w:proofErr w:type="spellEnd"/>
      <w:r w:rsidRPr="002D1AA8">
        <w:rPr>
          <w:rFonts w:asciiTheme="minorHAnsi" w:hAnsiTheme="minorHAnsi" w:cstheme="minorHAnsi"/>
          <w:color w:val="000000"/>
        </w:rPr>
        <w:t>, J., Bradford, B., &amp; Dawson, P. (2021). An experimental study of responses to armed Police in Great Britain.</w:t>
      </w:r>
      <w:r w:rsidRPr="002D1AA8">
        <w:rPr>
          <w:rStyle w:val="apple-converted-space"/>
          <w:rFonts w:asciiTheme="minorHAnsi" w:hAnsiTheme="minorHAnsi" w:cstheme="minorHAnsi"/>
          <w:color w:val="000000"/>
        </w:rPr>
        <w:t> </w:t>
      </w:r>
      <w:r w:rsidRPr="002D1AA8">
        <w:rPr>
          <w:rStyle w:val="Emphasis"/>
          <w:rFonts w:asciiTheme="minorHAnsi" w:hAnsiTheme="minorHAnsi" w:cstheme="minorHAnsi"/>
          <w:color w:val="000000"/>
        </w:rPr>
        <w:t>Journal of Experimental Criminology, 17</w:t>
      </w:r>
      <w:r w:rsidRPr="002D1AA8">
        <w:rPr>
          <w:rFonts w:asciiTheme="minorHAnsi" w:hAnsiTheme="minorHAnsi" w:cstheme="minorHAnsi"/>
          <w:color w:val="000000"/>
        </w:rPr>
        <w:t>, 1–13.</w:t>
      </w:r>
    </w:p>
    <w:p w14:paraId="74D8CE5D" w14:textId="77777777" w:rsidR="00B32635" w:rsidRPr="00B32635" w:rsidRDefault="00B32635" w:rsidP="002D1AA8">
      <w:pPr>
        <w:pStyle w:val="NormalWeb"/>
        <w:numPr>
          <w:ilvl w:val="0"/>
          <w:numId w:val="21"/>
        </w:numPr>
        <w:rPr>
          <w:rStyle w:val="apple-converted-space"/>
          <w:rFonts w:asciiTheme="minorHAnsi" w:hAnsiTheme="minorHAnsi" w:cstheme="minorHAnsi"/>
          <w:color w:val="000000"/>
        </w:rPr>
      </w:pPr>
      <w:r>
        <w:rPr>
          <w:rFonts w:ascii="-webkit-standard" w:hAnsi="-webkit-standard"/>
          <w:color w:val="000000"/>
          <w:sz w:val="27"/>
          <w:szCs w:val="27"/>
        </w:rPr>
        <w:t>College of Policing. (2024).</w:t>
      </w:r>
      <w:r>
        <w:rPr>
          <w:rStyle w:val="apple-converted-space"/>
          <w:rFonts w:ascii="-webkit-standard" w:hAnsi="-webkit-standard"/>
          <w:color w:val="000000"/>
          <w:sz w:val="27"/>
          <w:szCs w:val="27"/>
        </w:rPr>
        <w:t> </w:t>
      </w:r>
      <w:r>
        <w:rPr>
          <w:rStyle w:val="Emphasis"/>
          <w:color w:val="000000"/>
        </w:rPr>
        <w:t>National Decision Model</w:t>
      </w:r>
      <w:r>
        <w:rPr>
          <w:rFonts w:ascii="-webkit-standard" w:hAnsi="-webkit-standard"/>
          <w:color w:val="000000"/>
          <w:sz w:val="27"/>
          <w:szCs w:val="27"/>
        </w:rPr>
        <w:t>. Clark, S., &amp; Bennett, R. (2010).</w:t>
      </w:r>
      <w:r>
        <w:rPr>
          <w:rStyle w:val="apple-converted-space"/>
          <w:rFonts w:ascii="-webkit-standard" w:hAnsi="-webkit-standard"/>
          <w:color w:val="000000"/>
          <w:sz w:val="27"/>
          <w:szCs w:val="27"/>
        </w:rPr>
        <w:t> </w:t>
      </w:r>
    </w:p>
    <w:p w14:paraId="74CDC0C2" w14:textId="77777777" w:rsidR="00B32635" w:rsidRPr="00B32635" w:rsidRDefault="00B32635" w:rsidP="002D1AA8">
      <w:pPr>
        <w:pStyle w:val="NormalWeb"/>
        <w:numPr>
          <w:ilvl w:val="0"/>
          <w:numId w:val="21"/>
        </w:numPr>
        <w:rPr>
          <w:rStyle w:val="apple-converted-space"/>
          <w:rFonts w:asciiTheme="minorHAnsi" w:hAnsiTheme="minorHAnsi" w:cstheme="minorHAnsi"/>
          <w:color w:val="000000"/>
        </w:rPr>
      </w:pPr>
      <w:r>
        <w:rPr>
          <w:rStyle w:val="Emphasis"/>
          <w:color w:val="000000"/>
        </w:rPr>
        <w:t>Police Legitimacy and the Public: A Case Study of UK Policing Policies</w:t>
      </w:r>
      <w:r>
        <w:rPr>
          <w:rFonts w:ascii="-webkit-standard" w:hAnsi="-webkit-standard"/>
          <w:color w:val="000000"/>
          <w:sz w:val="27"/>
          <w:szCs w:val="27"/>
        </w:rPr>
        <w:t>. Edwards, J. (2021).</w:t>
      </w:r>
      <w:r>
        <w:rPr>
          <w:rStyle w:val="apple-converted-space"/>
          <w:rFonts w:ascii="-webkit-standard" w:hAnsi="-webkit-standard"/>
          <w:color w:val="000000"/>
          <w:sz w:val="27"/>
          <w:szCs w:val="27"/>
        </w:rPr>
        <w:t> </w:t>
      </w:r>
    </w:p>
    <w:p w14:paraId="02F6B9E6" w14:textId="3C71CCE2" w:rsidR="00B32635" w:rsidRPr="00B32635" w:rsidRDefault="00B32635" w:rsidP="002D1AA8">
      <w:pPr>
        <w:pStyle w:val="NormalWeb"/>
        <w:numPr>
          <w:ilvl w:val="0"/>
          <w:numId w:val="21"/>
        </w:numPr>
        <w:rPr>
          <w:rFonts w:asciiTheme="minorHAnsi" w:hAnsiTheme="minorHAnsi" w:cstheme="minorHAnsi"/>
          <w:color w:val="000000"/>
        </w:rPr>
      </w:pPr>
      <w:r>
        <w:rPr>
          <w:rStyle w:val="Emphasis"/>
          <w:color w:val="000000"/>
        </w:rPr>
        <w:t>Practitioner perspectives of the utility of the National Decision Model in relation to criminal investigations and response policing</w:t>
      </w:r>
      <w:r>
        <w:rPr>
          <w:rStyle w:val="apple-converted-space"/>
          <w:rFonts w:ascii="-webkit-standard" w:hAnsi="-webkit-standard"/>
          <w:color w:val="000000"/>
          <w:sz w:val="27"/>
          <w:szCs w:val="27"/>
        </w:rPr>
        <w:t> </w:t>
      </w:r>
      <w:r>
        <w:rPr>
          <w:rFonts w:ascii="-webkit-standard" w:hAnsi="-webkit-standard"/>
          <w:color w:val="000000"/>
          <w:sz w:val="27"/>
          <w:szCs w:val="27"/>
        </w:rPr>
        <w:t>[</w:t>
      </w:r>
      <w:proofErr w:type="gramStart"/>
      <w:r>
        <w:rPr>
          <w:rFonts w:ascii="-webkit-standard" w:hAnsi="-webkit-standard"/>
          <w:color w:val="000000"/>
          <w:sz w:val="27"/>
          <w:szCs w:val="27"/>
        </w:rPr>
        <w:t>Master’s</w:t>
      </w:r>
      <w:proofErr w:type="gramEnd"/>
      <w:r>
        <w:rPr>
          <w:rFonts w:ascii="-webkit-standard" w:hAnsi="-webkit-standard"/>
          <w:color w:val="000000"/>
          <w:sz w:val="27"/>
          <w:szCs w:val="27"/>
        </w:rPr>
        <w:t xml:space="preserve"> thesis, Canterbury Christ Church University].</w:t>
      </w:r>
    </w:p>
    <w:sectPr w:rsidR="00B32635" w:rsidRPr="00B3263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6D338" w14:textId="77777777" w:rsidR="00710CCC" w:rsidRDefault="00710CCC" w:rsidP="002A635D">
      <w:r>
        <w:separator/>
      </w:r>
    </w:p>
  </w:endnote>
  <w:endnote w:type="continuationSeparator" w:id="0">
    <w:p w14:paraId="65BD1C50" w14:textId="77777777" w:rsidR="00710CCC" w:rsidRDefault="00710CCC" w:rsidP="002A63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59FD7E" w14:textId="77777777" w:rsidR="00710CCC" w:rsidRDefault="00710CCC" w:rsidP="002A635D">
      <w:r>
        <w:separator/>
      </w:r>
    </w:p>
  </w:footnote>
  <w:footnote w:type="continuationSeparator" w:id="0">
    <w:p w14:paraId="2D5DC319" w14:textId="77777777" w:rsidR="00710CCC" w:rsidRDefault="00710CCC" w:rsidP="002A63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5BC70" w14:textId="787CD80C" w:rsidR="002A635D" w:rsidRDefault="002A635D">
    <w:pPr>
      <w:pStyle w:val="Header"/>
    </w:pPr>
    <w:r>
      <w:t>Student ID – 2236899 – Miles Olding</w:t>
    </w:r>
  </w:p>
  <w:p w14:paraId="3D40B097" w14:textId="644E7429" w:rsidR="002A635D" w:rsidRDefault="002A635D">
    <w:pPr>
      <w:pStyle w:val="Header"/>
    </w:pPr>
    <w:r w:rsidRPr="002A635D">
      <w:t xml:space="preserve">BMPP6003D </w:t>
    </w:r>
    <w:r>
      <w:t xml:space="preserve">- </w:t>
    </w:r>
    <w:r w:rsidRPr="002A635D">
      <w:t xml:space="preserve">Cohort 01.23 </w:t>
    </w:r>
    <w:r>
      <w:t xml:space="preserve">- </w:t>
    </w:r>
    <w:r w:rsidRPr="002A635D">
      <w:t>Literature Review (due 05/05/25)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94D17"/>
    <w:multiLevelType w:val="multilevel"/>
    <w:tmpl w:val="4E4419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3D04B6"/>
    <w:multiLevelType w:val="multilevel"/>
    <w:tmpl w:val="BE42A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F80A36"/>
    <w:multiLevelType w:val="multilevel"/>
    <w:tmpl w:val="CDB8B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822EE4"/>
    <w:multiLevelType w:val="multilevel"/>
    <w:tmpl w:val="34F62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AE2295"/>
    <w:multiLevelType w:val="multilevel"/>
    <w:tmpl w:val="BF7EE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995E6C"/>
    <w:multiLevelType w:val="multilevel"/>
    <w:tmpl w:val="59DA9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9C1354"/>
    <w:multiLevelType w:val="multilevel"/>
    <w:tmpl w:val="7CB4A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CC4F6D"/>
    <w:multiLevelType w:val="multilevel"/>
    <w:tmpl w:val="9CC019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D62D5D"/>
    <w:multiLevelType w:val="multilevel"/>
    <w:tmpl w:val="F97CC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40164C"/>
    <w:multiLevelType w:val="multilevel"/>
    <w:tmpl w:val="462A0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286568"/>
    <w:multiLevelType w:val="multilevel"/>
    <w:tmpl w:val="0AAE0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7F6284"/>
    <w:multiLevelType w:val="multilevel"/>
    <w:tmpl w:val="4A925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A7402B"/>
    <w:multiLevelType w:val="multilevel"/>
    <w:tmpl w:val="FBF0A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354442"/>
    <w:multiLevelType w:val="multilevel"/>
    <w:tmpl w:val="CAE44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695E2E"/>
    <w:multiLevelType w:val="multilevel"/>
    <w:tmpl w:val="B96C0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E73169"/>
    <w:multiLevelType w:val="multilevel"/>
    <w:tmpl w:val="7FD6B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546798"/>
    <w:multiLevelType w:val="multilevel"/>
    <w:tmpl w:val="F9027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DE3F6D"/>
    <w:multiLevelType w:val="multilevel"/>
    <w:tmpl w:val="E88C0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8FE6996"/>
    <w:multiLevelType w:val="multilevel"/>
    <w:tmpl w:val="F1DAD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DB54FDA"/>
    <w:multiLevelType w:val="multilevel"/>
    <w:tmpl w:val="5D5C1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637428"/>
    <w:multiLevelType w:val="multilevel"/>
    <w:tmpl w:val="DC88C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9528349">
    <w:abstractNumId w:val="0"/>
  </w:num>
  <w:num w:numId="2" w16cid:durableId="281766636">
    <w:abstractNumId w:val="1"/>
  </w:num>
  <w:num w:numId="3" w16cid:durableId="35084499">
    <w:abstractNumId w:val="5"/>
  </w:num>
  <w:num w:numId="4" w16cid:durableId="1528255020">
    <w:abstractNumId w:val="13"/>
  </w:num>
  <w:num w:numId="5" w16cid:durableId="62141837">
    <w:abstractNumId w:val="6"/>
  </w:num>
  <w:num w:numId="6" w16cid:durableId="1282616384">
    <w:abstractNumId w:val="4"/>
  </w:num>
  <w:num w:numId="7" w16cid:durableId="112408035">
    <w:abstractNumId w:val="9"/>
  </w:num>
  <w:num w:numId="8" w16cid:durableId="219707966">
    <w:abstractNumId w:val="19"/>
  </w:num>
  <w:num w:numId="9" w16cid:durableId="1795059428">
    <w:abstractNumId w:val="20"/>
  </w:num>
  <w:num w:numId="10" w16cid:durableId="156657621">
    <w:abstractNumId w:val="17"/>
  </w:num>
  <w:num w:numId="11" w16cid:durableId="1326973079">
    <w:abstractNumId w:val="12"/>
  </w:num>
  <w:num w:numId="12" w16cid:durableId="323163506">
    <w:abstractNumId w:val="14"/>
  </w:num>
  <w:num w:numId="13" w16cid:durableId="685134017">
    <w:abstractNumId w:val="15"/>
  </w:num>
  <w:num w:numId="14" w16cid:durableId="1954708644">
    <w:abstractNumId w:val="11"/>
  </w:num>
  <w:num w:numId="15" w16cid:durableId="215287417">
    <w:abstractNumId w:val="18"/>
  </w:num>
  <w:num w:numId="16" w16cid:durableId="1575162237">
    <w:abstractNumId w:val="16"/>
  </w:num>
  <w:num w:numId="17" w16cid:durableId="1077020927">
    <w:abstractNumId w:val="2"/>
  </w:num>
  <w:num w:numId="18" w16cid:durableId="1874609007">
    <w:abstractNumId w:val="10"/>
  </w:num>
  <w:num w:numId="19" w16cid:durableId="1330912014">
    <w:abstractNumId w:val="8"/>
  </w:num>
  <w:num w:numId="20" w16cid:durableId="1696342411">
    <w:abstractNumId w:val="3"/>
  </w:num>
  <w:num w:numId="21" w16cid:durableId="9335894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4EF"/>
    <w:rsid w:val="0005197E"/>
    <w:rsid w:val="002A635D"/>
    <w:rsid w:val="002D1AA8"/>
    <w:rsid w:val="006D0E41"/>
    <w:rsid w:val="00710CCC"/>
    <w:rsid w:val="009324EF"/>
    <w:rsid w:val="00B32635"/>
    <w:rsid w:val="00C30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54C194"/>
  <w15:chartTrackingRefBased/>
  <w15:docId w15:val="{6F72E393-AFEC-224C-A4F0-B879F1525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324EF"/>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link w:val="Heading2Char"/>
    <w:uiPriority w:val="9"/>
    <w:qFormat/>
    <w:rsid w:val="009324EF"/>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9324EF"/>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link w:val="Heading4Char"/>
    <w:uiPriority w:val="9"/>
    <w:qFormat/>
    <w:rsid w:val="009324EF"/>
    <w:pPr>
      <w:spacing w:before="100" w:beforeAutospacing="1" w:after="100" w:afterAutospacing="1"/>
      <w:outlineLvl w:val="3"/>
    </w:pPr>
    <w:rPr>
      <w:rFonts w:ascii="Times New Roman" w:eastAsia="Times New Roman" w:hAnsi="Times New Roman" w:cs="Times New Roman"/>
      <w:b/>
      <w:bCs/>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4EF"/>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9324EF"/>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9324EF"/>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9324EF"/>
    <w:rPr>
      <w:rFonts w:ascii="Times New Roman" w:eastAsia="Times New Roman" w:hAnsi="Times New Roman" w:cs="Times New Roman"/>
      <w:b/>
      <w:bCs/>
      <w:kern w:val="0"/>
      <w:lang w:eastAsia="en-GB"/>
      <w14:ligatures w14:val="none"/>
    </w:rPr>
  </w:style>
  <w:style w:type="paragraph" w:styleId="NormalWeb">
    <w:name w:val="Normal (Web)"/>
    <w:basedOn w:val="Normal"/>
    <w:uiPriority w:val="99"/>
    <w:unhideWhenUsed/>
    <w:rsid w:val="009324E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324EF"/>
  </w:style>
  <w:style w:type="character" w:styleId="Strong">
    <w:name w:val="Strong"/>
    <w:basedOn w:val="DefaultParagraphFont"/>
    <w:uiPriority w:val="22"/>
    <w:qFormat/>
    <w:rsid w:val="009324EF"/>
    <w:rPr>
      <w:b/>
      <w:bCs/>
    </w:rPr>
  </w:style>
  <w:style w:type="character" w:styleId="Emphasis">
    <w:name w:val="Emphasis"/>
    <w:basedOn w:val="DefaultParagraphFont"/>
    <w:uiPriority w:val="20"/>
    <w:qFormat/>
    <w:rsid w:val="009324EF"/>
    <w:rPr>
      <w:i/>
      <w:iCs/>
    </w:rPr>
  </w:style>
  <w:style w:type="paragraph" w:styleId="Header">
    <w:name w:val="header"/>
    <w:basedOn w:val="Normal"/>
    <w:link w:val="HeaderChar"/>
    <w:uiPriority w:val="99"/>
    <w:unhideWhenUsed/>
    <w:rsid w:val="002A635D"/>
    <w:pPr>
      <w:tabs>
        <w:tab w:val="center" w:pos="4513"/>
        <w:tab w:val="right" w:pos="9026"/>
      </w:tabs>
    </w:pPr>
  </w:style>
  <w:style w:type="character" w:customStyle="1" w:styleId="HeaderChar">
    <w:name w:val="Header Char"/>
    <w:basedOn w:val="DefaultParagraphFont"/>
    <w:link w:val="Header"/>
    <w:uiPriority w:val="99"/>
    <w:rsid w:val="002A635D"/>
  </w:style>
  <w:style w:type="paragraph" w:styleId="Footer">
    <w:name w:val="footer"/>
    <w:basedOn w:val="Normal"/>
    <w:link w:val="FooterChar"/>
    <w:uiPriority w:val="99"/>
    <w:unhideWhenUsed/>
    <w:rsid w:val="002A635D"/>
    <w:pPr>
      <w:tabs>
        <w:tab w:val="center" w:pos="4513"/>
        <w:tab w:val="right" w:pos="9026"/>
      </w:tabs>
    </w:pPr>
  </w:style>
  <w:style w:type="character" w:customStyle="1" w:styleId="FooterChar">
    <w:name w:val="Footer Char"/>
    <w:basedOn w:val="DefaultParagraphFont"/>
    <w:link w:val="Footer"/>
    <w:uiPriority w:val="99"/>
    <w:rsid w:val="002A63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609690">
      <w:bodyDiv w:val="1"/>
      <w:marLeft w:val="0"/>
      <w:marRight w:val="0"/>
      <w:marTop w:val="0"/>
      <w:marBottom w:val="0"/>
      <w:divBdr>
        <w:top w:val="none" w:sz="0" w:space="0" w:color="auto"/>
        <w:left w:val="none" w:sz="0" w:space="0" w:color="auto"/>
        <w:bottom w:val="none" w:sz="0" w:space="0" w:color="auto"/>
        <w:right w:val="none" w:sz="0" w:space="0" w:color="auto"/>
      </w:divBdr>
    </w:div>
    <w:div w:id="781806492">
      <w:bodyDiv w:val="1"/>
      <w:marLeft w:val="0"/>
      <w:marRight w:val="0"/>
      <w:marTop w:val="0"/>
      <w:marBottom w:val="0"/>
      <w:divBdr>
        <w:top w:val="none" w:sz="0" w:space="0" w:color="auto"/>
        <w:left w:val="none" w:sz="0" w:space="0" w:color="auto"/>
        <w:bottom w:val="none" w:sz="0" w:space="0" w:color="auto"/>
        <w:right w:val="none" w:sz="0" w:space="0" w:color="auto"/>
      </w:divBdr>
    </w:div>
    <w:div w:id="1419517288">
      <w:bodyDiv w:val="1"/>
      <w:marLeft w:val="0"/>
      <w:marRight w:val="0"/>
      <w:marTop w:val="0"/>
      <w:marBottom w:val="0"/>
      <w:divBdr>
        <w:top w:val="none" w:sz="0" w:space="0" w:color="auto"/>
        <w:left w:val="none" w:sz="0" w:space="0" w:color="auto"/>
        <w:bottom w:val="none" w:sz="0" w:space="0" w:color="auto"/>
        <w:right w:val="none" w:sz="0" w:space="0" w:color="auto"/>
      </w:divBdr>
    </w:div>
    <w:div w:id="1767579025">
      <w:bodyDiv w:val="1"/>
      <w:marLeft w:val="0"/>
      <w:marRight w:val="0"/>
      <w:marTop w:val="0"/>
      <w:marBottom w:val="0"/>
      <w:divBdr>
        <w:top w:val="none" w:sz="0" w:space="0" w:color="auto"/>
        <w:left w:val="none" w:sz="0" w:space="0" w:color="auto"/>
        <w:bottom w:val="none" w:sz="0" w:space="0" w:color="auto"/>
        <w:right w:val="none" w:sz="0" w:space="0" w:color="auto"/>
      </w:divBdr>
    </w:div>
    <w:div w:id="1868634631">
      <w:bodyDiv w:val="1"/>
      <w:marLeft w:val="0"/>
      <w:marRight w:val="0"/>
      <w:marTop w:val="0"/>
      <w:marBottom w:val="0"/>
      <w:divBdr>
        <w:top w:val="none" w:sz="0" w:space="0" w:color="auto"/>
        <w:left w:val="none" w:sz="0" w:space="0" w:color="auto"/>
        <w:bottom w:val="none" w:sz="0" w:space="0" w:color="auto"/>
        <w:right w:val="none" w:sz="0" w:space="0" w:color="auto"/>
      </w:divBdr>
    </w:div>
    <w:div w:id="2048067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2942</Words>
  <Characters>16771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Miles Olding (2236899)</dc:creator>
  <cp:keywords/>
  <dc:description/>
  <cp:lastModifiedBy>Miles Olding (2236899)</cp:lastModifiedBy>
  <cp:revision>2</cp:revision>
  <dcterms:created xsi:type="dcterms:W3CDTF">2025-06-07T15:29:00Z</dcterms:created>
  <dcterms:modified xsi:type="dcterms:W3CDTF">2025-06-07T15:29:00Z</dcterms:modified>
</cp:coreProperties>
</file>