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Individual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Dipak Modhavadiya</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Module Name:</w:t>
      </w:r>
      <w:r>
        <w:rPr>
          <w:rFonts w:eastAsia="Times New Roman" w:cs="Times New Roman"/>
          <w:b w:val="false"/>
          <w:bCs w:val="false"/>
          <w:sz w:val="24"/>
          <w:szCs w:val="24"/>
        </w:rPr>
        <w:t xml:space="preserve"> Strategic Management</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w:t>
      </w:r>
      <w:r>
        <w:rPr>
          <w:rFonts w:eastAsia="Times New Roman" w:cs="Times New Roman"/>
          <w:b w:val="false"/>
          <w:bCs w:val="false"/>
          <w:sz w:val="24"/>
          <w:szCs w:val="24"/>
        </w:rPr>
        <w:t>03</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Amare Desta</w:t>
      </w:r>
    </w:p>
    <w:p>
      <w:pPr>
        <w:pStyle w:val="Normal"/>
        <w:spacing w:lineRule="auto" w:line="276" w:before="0" w:after="200"/>
        <w:jc w:val="center"/>
        <w:rPr>
          <w:rFonts w:ascii="Arial" w:hAnsi="Arial"/>
          <w:sz w:val="24"/>
          <w:szCs w:val="24"/>
        </w:rPr>
      </w:pPr>
      <w:r>
        <w:rPr>
          <w:sz w:val="24"/>
          <w:szCs w:val="24"/>
        </w:rPr>
        <w:t xml:space="preserve">Zulf Khan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11"/>
            <w:tabs>
              <w:tab w:val="clear" w:pos="720"/>
              <w:tab w:val="right" w:pos="9350" w:leader="dot"/>
            </w:tabs>
            <w:spacing w:lineRule="auto" w:line="360" w:before="0" w:after="100"/>
            <w:jc w:val="both"/>
            <w:rPr>
              <w:color w:val="000000"/>
              <w:sz w:val="24"/>
              <w:szCs w:val="24"/>
              <w:lang w:val="en-GB"/>
            </w:rPr>
          </w:pPr>
          <w:r>
            <w:fldChar w:fldCharType="begin"/>
          </w:r>
          <w:r>
            <w:rPr>
              <w:rStyle w:val="IndexLink"/>
              <w:vanish w:val="false"/>
              <w:webHidden/>
              <w:color w:val="000000"/>
              <w:sz w:val="24"/>
              <w:szCs w:val="24"/>
              <w:lang w:val="en-GB"/>
            </w:rPr>
            <w:instrText xml:space="preserve"> TOC \z \o "1-9" \u \t "heading 1,1,heading 2,2,heading 3,3,heading 4,4,heading 5,5,heading 6,6" \h</w:instrText>
          </w:r>
          <w:r>
            <w:rPr>
              <w:rStyle w:val="IndexLink"/>
              <w:vanish w:val="false"/>
              <w:webHidden/>
              <w:color w:val="000000"/>
              <w:sz w:val="24"/>
              <w:szCs w:val="24"/>
              <w:lang w:val="en-GB"/>
            </w:rPr>
            <w:fldChar w:fldCharType="separate"/>
          </w:r>
          <w:hyperlink w:anchor="_heading=h.23tgpdk0faao">
            <w:r>
              <w:rPr>
                <w:rStyle w:val="IndexLink"/>
                <w:vanish w:val="false"/>
                <w:webHidden/>
                <w:color w:val="000000"/>
                <w:sz w:val="24"/>
                <w:szCs w:val="24"/>
                <w:lang w:val="en-GB"/>
              </w:rPr>
              <w:t xml:space="preserve">Section 1: Industry and company analysis …………………………………………….... </w:t>
            </w:r>
          </w:hyperlink>
          <w:r>
            <w:rPr>
              <w:color w:val="000000"/>
              <w:sz w:val="24"/>
              <w:szCs w:val="24"/>
              <w:lang w:val="en-GB"/>
            </w:rPr>
            <w:t>3</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ntzrut26mc3g">
            <w:r>
              <w:rPr>
                <w:rStyle w:val="IndexLink"/>
                <w:vanish w:val="false"/>
                <w:webHidden/>
                <w:color w:val="000000"/>
                <w:sz w:val="24"/>
                <w:szCs w:val="24"/>
                <w:lang w:val="en-GB"/>
              </w:rPr>
              <w:t xml:space="preserve">1. Introduction to the report ………………………………………….……………….  </w:t>
            </w:r>
          </w:hyperlink>
          <w:r>
            <w:rPr>
              <w:color w:val="000000"/>
              <w:sz w:val="24"/>
              <w:szCs w:val="24"/>
              <w:lang w:val="en-GB"/>
            </w:rPr>
            <w:t>3</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wc075hldb4ve">
            <w:r>
              <w:rPr>
                <w:rStyle w:val="IndexLink"/>
                <w:vanish w:val="false"/>
                <w:webHidden/>
                <w:color w:val="000000"/>
                <w:sz w:val="24"/>
                <w:szCs w:val="24"/>
                <w:lang w:val="en-GB"/>
              </w:rPr>
              <w:t>2. Industry and Country Overview ……………………………………………………. 4</w:t>
            </w:r>
          </w:hyperlink>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tultvegvrez5">
            <w:r>
              <w:rPr>
                <w:rStyle w:val="IndexLink"/>
                <w:vanish w:val="false"/>
                <w:webHidden/>
                <w:color w:val="000000"/>
                <w:sz w:val="24"/>
                <w:szCs w:val="24"/>
                <w:lang w:val="en-GB"/>
              </w:rPr>
              <w:t xml:space="preserve">3. Michael Porter’s Diamond Model of National Advantage ………………………... </w:t>
            </w:r>
          </w:hyperlink>
          <w:r>
            <w:rPr>
              <w:color w:val="000000"/>
              <w:sz w:val="24"/>
              <w:szCs w:val="24"/>
              <w:lang w:val="en-GB"/>
            </w:rPr>
            <w:t>10</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e8aimxcb9j6b">
            <w:r>
              <w:rPr>
                <w:rStyle w:val="IndexLink"/>
                <w:vanish w:val="false"/>
                <w:webHidden/>
                <w:color w:val="000000"/>
                <w:sz w:val="24"/>
                <w:szCs w:val="24"/>
                <w:lang w:val="en-GB"/>
              </w:rPr>
              <w:t xml:space="preserve">4. One of the major foreign MNCs/TNCs operating in the country-industry pair …… </w:t>
            </w:r>
          </w:hyperlink>
          <w:r>
            <w:rPr>
              <w:color w:val="000000"/>
              <w:sz w:val="24"/>
              <w:szCs w:val="24"/>
              <w:lang w:val="en-GB"/>
            </w:rPr>
            <w:t>15</w:t>
          </w:r>
        </w:p>
        <w:p>
          <w:pPr>
            <w:pStyle w:val="Normal11"/>
            <w:tabs>
              <w:tab w:val="clear" w:pos="720"/>
              <w:tab w:val="right" w:pos="9350" w:leader="dot"/>
            </w:tabs>
            <w:spacing w:lineRule="auto" w:line="360" w:before="0" w:after="100"/>
            <w:ind w:start="220"/>
            <w:jc w:val="both"/>
            <w:rPr>
              <w:color w:val="000000"/>
              <w:sz w:val="24"/>
              <w:szCs w:val="24"/>
              <w:lang w:val="en-GB"/>
            </w:rPr>
          </w:pPr>
          <w:r>
            <w:rPr>
              <w:color w:val="000000"/>
              <w:sz w:val="24"/>
              <w:szCs w:val="24"/>
              <w:lang w:val="en-GB"/>
            </w:rPr>
            <w:t xml:space="preserve">    </w:t>
          </w:r>
          <w:r>
            <w:rPr>
              <w:color w:val="000000"/>
              <w:sz w:val="24"/>
              <w:szCs w:val="24"/>
              <w:lang w:val="en-GB"/>
            </w:rPr>
            <w:t>Cultural Framework: Hofstede’s Dimensions ……………………………………… 22</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a96r9wgnxjjq">
            <w:r>
              <w:rPr>
                <w:rStyle w:val="IndexLink"/>
                <w:vanish w:val="false"/>
                <w:webHidden/>
                <w:color w:val="000000"/>
                <w:sz w:val="24"/>
                <w:szCs w:val="24"/>
                <w:lang w:val="en-GB"/>
              </w:rPr>
              <w:t>5. Conclusion to the report ……………………………………………………………</w:t>
            </w:r>
          </w:hyperlink>
          <w:r>
            <w:rPr>
              <w:color w:val="000000"/>
              <w:sz w:val="24"/>
              <w:szCs w:val="24"/>
              <w:lang w:val="en-GB"/>
            </w:rPr>
            <w:t>.. 24</w:t>
          </w:r>
        </w:p>
        <w:p>
          <w:pPr>
            <w:pStyle w:val="Normal11"/>
            <w:tabs>
              <w:tab w:val="clear" w:pos="720"/>
              <w:tab w:val="right" w:pos="9350" w:leader="dot"/>
            </w:tabs>
            <w:spacing w:lineRule="auto" w:line="360" w:before="0" w:after="100"/>
            <w:jc w:val="both"/>
            <w:rPr>
              <w:color w:val="000000"/>
              <w:sz w:val="24"/>
              <w:szCs w:val="24"/>
              <w:lang w:val="en-GB"/>
            </w:rPr>
          </w:pPr>
          <w:hyperlink w:anchor="_heading=h.p1je4oq0evuy">
            <w:r>
              <w:rPr>
                <w:rStyle w:val="IndexLink"/>
                <w:vanish w:val="false"/>
                <w:webHidden/>
                <w:color w:val="000000"/>
                <w:sz w:val="24"/>
                <w:szCs w:val="24"/>
                <w:lang w:val="en-GB"/>
              </w:rPr>
              <w:t xml:space="preserve">Section 2: Reflection  …………………………………………………………..……….. </w:t>
            </w:r>
            <w:r>
              <w:rPr>
                <w:rStyle w:val="IndexLink"/>
                <w:color w:val="000000"/>
                <w:sz w:val="24"/>
                <w:szCs w:val="24"/>
                <w:lang w:val="en-GB"/>
              </w:rPr>
              <w:t>2</w:t>
            </w:r>
          </w:hyperlink>
          <w:r>
            <w:rPr>
              <w:color w:val="000000"/>
              <w:sz w:val="24"/>
              <w:szCs w:val="24"/>
              <w:lang w:val="en-GB"/>
            </w:rPr>
            <w:t>6</w:t>
          </w:r>
        </w:p>
        <w:p>
          <w:pPr>
            <w:pStyle w:val="Normal11"/>
            <w:tabs>
              <w:tab w:val="clear" w:pos="720"/>
              <w:tab w:val="right" w:pos="9350" w:leader="dot"/>
            </w:tabs>
            <w:spacing w:lineRule="auto" w:line="360" w:before="0" w:after="100"/>
            <w:jc w:val="both"/>
            <w:rPr>
              <w:color w:val="000000"/>
              <w:sz w:val="24"/>
              <w:szCs w:val="24"/>
              <w:lang w:val="en-GB"/>
            </w:rPr>
          </w:pPr>
          <w:hyperlink w:anchor="_heading=h.9awbb0qu0ons">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lang w:val="en-GB"/>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 xml:space="preserve"> 30</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fldChar w:fldCharType="end"/>
          </w:r>
        </w:p>
      </w:sdtContent>
    </w:sdt>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r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 xml:space="preserve">a </w:t>
      </w:r>
      <w:r>
        <w:rPr>
          <w:rFonts w:eastAsia="Arial" w:cs="Arial" w:ascii="Arial" w:hAnsi="Arial"/>
          <w:b w:val="false"/>
          <w:i w:val="false"/>
          <w:caps w:val="false"/>
          <w:smallCaps w:val="false"/>
          <w:strike w:val="false"/>
          <w:dstrike w:val="false"/>
          <w:color w:val="000000"/>
          <w:sz w:val="24"/>
          <w:szCs w:val="24"/>
          <w:u w:val="none"/>
          <w:shd w:fill="auto" w:val="clear"/>
        </w:rPr>
        <w:t>w</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 xml:space="preserve">l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f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g</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d</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 xml:space="preserve">G </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k</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t. In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 xml:space="preserve">macroeconomic environment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k</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y, an organization’s ability to sustain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competitive advantage relies on continuous strategic realignment and structural agility.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d</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a deep analy</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 xml:space="preserve"> Unilever’s internal strengths and external external environment within the global FMCG domain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 xml:space="preserve">y </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strategic management practices</w:t>
      </w:r>
      <w:r>
        <w:rPr>
          <w:rFonts w:eastAsia="Arial" w:cs="Arial" w:ascii="Arial" w:hAnsi="Arial"/>
          <w:b w:val="false"/>
          <w:i w:val="false"/>
          <w:caps w:val="false"/>
          <w:smallCaps w:val="false"/>
          <w:strike w:val="false"/>
          <w:dstrike w:val="false"/>
          <w:color w:val="000000"/>
          <w:sz w:val="24"/>
          <w:szCs w:val="24"/>
          <w:u w:val="none"/>
          <w:shd w:fill="auto" w:val="clear"/>
        </w:rPr>
        <w:t xml:space="preserve">. Unilever is transitioning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o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 ruthless, performance-driven operational model under its ‘ 2024–2025 Growth Action Plan’.</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o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 xml:space="preserve">y </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j</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r </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g</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c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x</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y</w:t>
      </w:r>
      <w:r>
        <w:rPr>
          <w:rFonts w:eastAsia="Arial" w:cs="Arial" w:ascii="Arial" w:hAnsi="Arial"/>
          <w:b w:val="false"/>
          <w:i w:val="false"/>
          <w:caps w:val="false"/>
          <w:smallCaps w:val="false"/>
          <w:strike w:val="false"/>
          <w:dstrike w:val="false"/>
          <w:color w:val="000000"/>
          <w:sz w:val="24"/>
          <w:szCs w:val="24"/>
          <w:u w:val="none"/>
          <w:shd w:fill="auto" w:val="clear"/>
        </w:rPr>
        <w:t>’</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g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g</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c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w</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k</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 xml:space="preserve">h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O,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r </w:t>
      </w:r>
      <w:r>
        <w:rPr>
          <w:rFonts w:eastAsia="Arial" w:cs="Arial" w:ascii="Arial" w:hAnsi="Arial"/>
          <w:b w:val="false"/>
          <w:i w:val="false"/>
          <w:caps w:val="false"/>
          <w:smallCaps w:val="false"/>
          <w:strike w:val="false"/>
          <w:dstrike w:val="false"/>
          <w:color w:val="000000"/>
          <w:sz w:val="24"/>
          <w:szCs w:val="24"/>
          <w:u w:val="none"/>
          <w:shd w:fill="auto" w:val="clear"/>
        </w:rPr>
        <w:t xml:space="preserve">examines the realignment of the company's Corporate Social Responsibility (CSR) objectives, translates its turnaround strategy into actionable metrics via the Balanced Scorecard, and utilises Ansoff’s Matrix and theories of corporate parenting to evaluate its recent strategic choices.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 xml:space="preserve">y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d</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justified recommendations for </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future growth.</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r>
        <w:br w:type="page"/>
      </w:r>
    </w:p>
    <w:p>
      <w:pPr>
        <w:pStyle w:val="Heading1"/>
        <w:spacing w:lineRule="auto" w:line="360" w:before="0" w:after="200"/>
        <w:jc w:val="both"/>
        <w:rPr>
          <w:rFonts w:ascii="Arial" w:hAnsi="Arial"/>
          <w:sz w:val="24"/>
          <w:szCs w:val="24"/>
        </w:rPr>
      </w:pPr>
      <w:r>
        <w:rPr>
          <w:rFonts w:ascii="Arial" w:hAnsi="Arial"/>
          <w:sz w:val="24"/>
          <w:szCs w:val="24"/>
        </w:rPr>
        <w:t xml:space="preserve">1.0. </w:t>
      </w:r>
      <w:r>
        <w:rPr>
          <w:rFonts w:ascii="Arial" w:hAnsi="Arial"/>
          <w:b/>
          <w:bCs/>
          <w:sz w:val="24"/>
          <w:szCs w:val="24"/>
        </w:rPr>
        <w:t>Organisational Context and Overview</w:t>
      </w:r>
    </w:p>
    <w:p>
      <w:pPr>
        <w:pStyle w:val="Normal"/>
        <w:spacing w:lineRule="auto" w:line="360" w:before="0" w:after="200"/>
        <w:jc w:val="both"/>
        <w:rPr>
          <w:rFonts w:ascii="Arial" w:hAnsi="Arial"/>
          <w:b/>
          <w:bCs/>
          <w:sz w:val="24"/>
          <w:szCs w:val="24"/>
        </w:rPr>
      </w:pPr>
      <w:r>
        <w:rPr>
          <w:b/>
          <w:bCs/>
          <w:sz w:val="24"/>
          <w:szCs w:val="24"/>
        </w:rPr>
        <w:t>Introduction and History</w:t>
      </w:r>
    </w:p>
    <w:p>
      <w:pPr>
        <w:pStyle w:val="Normal"/>
        <w:bidi w:val="0"/>
        <w:spacing w:lineRule="auto" w:line="360" w:before="0" w:after="200"/>
        <w:jc w:val="both"/>
        <w:rPr>
          <w:rFonts w:ascii="Arial" w:hAnsi="Arial"/>
          <w:sz w:val="24"/>
          <w:szCs w:val="24"/>
        </w:rPr>
      </w:pPr>
      <w:r>
        <w:rPr>
          <w:sz w:val="24"/>
          <w:szCs w:val="24"/>
        </w:rPr>
        <w:t>Strategic mangement is the process of analyzing and implementing long term plans to achieve sustainable competitive advantage and organizational goals by aligning internal resources with external market analysis (e.g. SWOT analysis).  This report’s core focus is on Unilever - one of the world’s largest Fast-Moving Consumer Goods (FMCG) corporations with an estimated 3.4 to 3.7 billion consumers daily. It is operating across the personal care, home care and nutrition sectors in over 190 countries from it’s global headquaters in London, UK. The organisation operates a massive global business model that includes regional supply chains and deep distribution networks (IE University, 2026). Historically Unilever is built upon a highly diversified, matrix-style corporate structure; but currently it is undergoing a massive strategic transformation to address it’s recent corporate problems of market stagnation and inflationary pressures.</w:t>
      </w:r>
    </w:p>
    <w:p>
      <w:pPr>
        <w:pStyle w:val="Normal"/>
        <w:spacing w:lineRule="auto" w:line="360" w:before="0" w:after="200"/>
        <w:jc w:val="center"/>
        <w:rPr>
          <w:sz w:val="24"/>
          <w:szCs w:val="24"/>
        </w:rPr>
      </w:pPr>
      <w:r>
        <w:drawing>
          <wp:anchor distT="0" distB="0" distL="0" distR="0" simplePos="0" relativeHeight="30" behindDoc="0" locked="0" layoutInCell="0" allowOverlap="1">
            <wp:simplePos x="0" y="0"/>
            <wp:positionH relativeFrom="column">
              <wp:align>center</wp:align>
            </wp:positionH>
            <wp:positionV relativeFrom="paragraph">
              <wp:posOffset>635</wp:posOffset>
            </wp:positionV>
            <wp:extent cx="5731510" cy="3475990"/>
            <wp:effectExtent l="0" t="0" r="0" b="0"/>
            <wp:wrapTopAndBottom/>
            <wp:docPr id="1"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
                    <pic:cNvPicPr>
                      <a:picLocks noChangeAspect="1" noChangeArrowheads="1"/>
                    </pic:cNvPicPr>
                  </pic:nvPicPr>
                  <pic:blipFill>
                    <a:blip r:embed="rId2"/>
                    <a:stretch>
                      <a:fillRect/>
                    </a:stretch>
                  </pic:blipFill>
                  <pic:spPr bwMode="auto">
                    <a:xfrm>
                      <a:off x="0" y="0"/>
                      <a:ext cx="5731510" cy="3475990"/>
                    </a:xfrm>
                    <a:prstGeom prst="rect">
                      <a:avLst/>
                    </a:prstGeom>
                    <a:noFill/>
                  </pic:spPr>
                </pic:pic>
              </a:graphicData>
            </a:graphic>
          </wp:anchor>
        </w:drawing>
      </w:r>
      <w:r>
        <w:rPr>
          <w:sz w:val="20"/>
          <w:szCs w:val="20"/>
        </w:rPr>
        <w:t xml:space="preserve">(Source: </w:t>
      </w:r>
      <w:hyperlink r:id="rId3">
        <w:r>
          <w:rPr>
            <w:rStyle w:val="Hyperlink"/>
            <w:sz w:val="20"/>
            <w:szCs w:val="20"/>
          </w:rPr>
          <w:t>https://matrixbcg.com/blogs/how-it-works/unilever</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Mission, Vision, and Market Position</w:t>
      </w:r>
    </w:p>
    <w:p>
      <w:pPr>
        <w:pStyle w:val="Normal"/>
        <w:spacing w:lineRule="auto" w:line="360" w:before="0" w:after="200"/>
        <w:jc w:val="both"/>
        <w:rPr>
          <w:rFonts w:ascii="Arial" w:hAnsi="Arial"/>
          <w:sz w:val="24"/>
          <w:szCs w:val="24"/>
        </w:rPr>
      </w:pPr>
      <w:r>
        <w:rPr>
          <w:sz w:val="24"/>
          <w:szCs w:val="24"/>
        </w:rPr>
        <w:t>Unilever’s enduring corporate vision of "make sustainable living a commonplace" aligns its ethical purpose with it’s commercial objectives (Unilever, 2024). Its mission focuses on 2 objectives : meeting everyday consumer needs for nutrition, hygiene and personal care while reducing its environmental footprint at the same time. Unilever is maintaining a dominant market position globally against stronng rivals such as Procter &amp; Gamble and  Nestlé  in FMCG sector, which is highly saturated and competitive sector (IE University, 2026). While competitors like P&amp;G have traditionally maintained tight and highly focused brand portfolios, Unilever has historically operated a broader and more complex brand ecosystem.</w:t>
      </w:r>
    </w:p>
    <w:p>
      <w:pPr>
        <w:pStyle w:val="Normal"/>
        <w:spacing w:lineRule="auto" w:line="360" w:before="0" w:after="200"/>
        <w:jc w:val="center"/>
        <w:rPr>
          <w:sz w:val="20"/>
          <w:szCs w:val="20"/>
        </w:rPr>
      </w:pPr>
      <w:r>
        <w:drawing>
          <wp:anchor distT="0" distB="0" distL="0" distR="0" simplePos="0" relativeHeight="33" behindDoc="0" locked="0" layoutInCell="0" allowOverlap="1">
            <wp:simplePos x="0" y="0"/>
            <wp:positionH relativeFrom="column">
              <wp:align>center</wp:align>
            </wp:positionH>
            <wp:positionV relativeFrom="paragraph">
              <wp:posOffset>635</wp:posOffset>
            </wp:positionV>
            <wp:extent cx="4416425" cy="4879975"/>
            <wp:effectExtent l="0" t="0" r="0" b="0"/>
            <wp:wrapTopAndBottom/>
            <wp:docPr id="2"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pic:cNvPicPr>
                      <a:picLocks noChangeAspect="1" noChangeArrowheads="1"/>
                    </pic:cNvPicPr>
                  </pic:nvPicPr>
                  <pic:blipFill>
                    <a:blip r:embed="rId4"/>
                    <a:stretch>
                      <a:fillRect/>
                    </a:stretch>
                  </pic:blipFill>
                  <pic:spPr bwMode="auto">
                    <a:xfrm>
                      <a:off x="0" y="0"/>
                      <a:ext cx="4416425" cy="4879975"/>
                    </a:xfrm>
                    <a:prstGeom prst="rect">
                      <a:avLst/>
                    </a:prstGeom>
                    <a:noFill/>
                  </pic:spPr>
                </pic:pic>
              </a:graphicData>
            </a:graphic>
          </wp:anchor>
        </w:drawing>
      </w:r>
      <w:r>
        <w:rPr>
          <w:sz w:val="20"/>
          <w:szCs w:val="20"/>
        </w:rPr>
        <w:t xml:space="preserve">(Source: </w:t>
      </w:r>
      <w:hyperlink r:id="rId5">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Current Business Model and Strategic Shift</w:t>
      </w:r>
    </w:p>
    <w:p>
      <w:pPr>
        <w:pStyle w:val="Normal"/>
        <w:spacing w:lineRule="auto" w:line="360" w:before="0" w:after="200"/>
        <w:jc w:val="both"/>
        <w:rPr>
          <w:rFonts w:ascii="Arial" w:hAnsi="Arial"/>
          <w:sz w:val="24"/>
          <w:szCs w:val="24"/>
        </w:rPr>
      </w:pPr>
      <w:r>
        <w:rPr>
          <w:sz w:val="24"/>
          <w:szCs w:val="24"/>
        </w:rPr>
        <w:t>Unilever recently recognised that its bloated brand portfolio was causing strategic drift, and as the theoretical strategic management frameworks for dynamic capabilities and portfolio management emphasise : ‘an organisation must continually reconfigure its internal asset base to adapt to rapidly shifting external environments’ (Teece, Pisano and Shuen, 1997). Hence, Unilever has launched its 'Growth Action Plan' (GAP) to radically streamline its business model under CEO Hein Schumacher (Unilever, 2024; Unilever, 2025).</w:t>
      </w:r>
    </w:p>
    <w:p>
      <w:pPr>
        <w:pStyle w:val="Normal"/>
        <w:spacing w:lineRule="auto" w:line="360" w:before="0" w:after="200"/>
        <w:jc w:val="center"/>
        <w:rPr>
          <w:sz w:val="20"/>
          <w:szCs w:val="20"/>
        </w:rPr>
      </w:pPr>
      <w:r>
        <w:drawing>
          <wp:anchor distT="0" distB="0" distL="0" distR="0" simplePos="0" relativeHeight="32" behindDoc="0" locked="0" layoutInCell="0" allowOverlap="1">
            <wp:simplePos x="0" y="0"/>
            <wp:positionH relativeFrom="column">
              <wp:align>center</wp:align>
            </wp:positionH>
            <wp:positionV relativeFrom="paragraph">
              <wp:posOffset>635</wp:posOffset>
            </wp:positionV>
            <wp:extent cx="5051425" cy="3615055"/>
            <wp:effectExtent l="0" t="0" r="0" b="0"/>
            <wp:wrapTopAndBottom/>
            <wp:docPr id="3"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4"/>
                    <pic:cNvPicPr>
                      <a:picLocks noChangeAspect="1" noChangeArrowheads="1"/>
                    </pic:cNvPicPr>
                  </pic:nvPicPr>
                  <pic:blipFill>
                    <a:blip r:embed="rId6"/>
                    <a:stretch>
                      <a:fillRect/>
                    </a:stretch>
                  </pic:blipFill>
                  <pic:spPr bwMode="auto">
                    <a:xfrm>
                      <a:off x="0" y="0"/>
                      <a:ext cx="5051425" cy="3615055"/>
                    </a:xfrm>
                    <a:prstGeom prst="rect">
                      <a:avLst/>
                    </a:prstGeom>
                    <a:noFill/>
                  </pic:spPr>
                </pic:pic>
              </a:graphicData>
            </a:graphic>
          </wp:anchor>
        </w:drawing>
      </w:r>
      <w:r>
        <w:rPr>
          <w:sz w:val="20"/>
          <w:szCs w:val="20"/>
        </w:rPr>
        <w:t xml:space="preserve">(Source: </w:t>
      </w:r>
      <w:hyperlink r:id="rId7">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sz w:val="24"/>
          <w:szCs w:val="24"/>
        </w:rPr>
      </w:pPr>
      <w:r>
        <w:rPr>
          <w:sz w:val="24"/>
          <w:szCs w:val="24"/>
        </w:rPr>
        <w:t>Unilever’s new business is prioritising it’s best 30 power brands including Dove, Hellmann's and Magnum, rather than diluting capital across hundreds of smaller products. These brands account for over 75% of the company's total turnover (Unilever, 2024). Furthermore, the company is separating its low-margin, capital-intensive ice cream division by the end of 2025 – which shows aggressive corporate-level portfolio rationalisation by Unilever (MatrixBCG, 2026). Essentially the company is shifting from a volume-heavy, highly diversified conglomerate to a leaner, margin-focused enterprise; it highlights a crucial pivot in their organisational strategy.  In response to current volatility in the global economy, Unilever aims to  maintain its competitive advantage by consolidating its operations into five distinct business groups (Beauty and Wellbeing, Personal Care, Home Care, Nutrition and Ice Cream); This will  combine Unilever’s historical scale with the newfound divisional agility (MatrixBCG, 2026).</w:t>
      </w:r>
    </w:p>
    <w:p>
      <w:pPr>
        <w:pStyle w:val="Normal"/>
        <w:spacing w:lineRule="auto" w:line="360" w:before="0" w:after="200"/>
        <w:jc w:val="center"/>
        <w:rPr>
          <w:sz w:val="20"/>
          <w:szCs w:val="20"/>
        </w:rPr>
      </w:pPr>
      <w:r>
        <w:drawing>
          <wp:anchor distT="0" distB="0" distL="0" distR="0" simplePos="0" relativeHeight="31" behindDoc="0" locked="0" layoutInCell="0" allowOverlap="1">
            <wp:simplePos x="0" y="0"/>
            <wp:positionH relativeFrom="column">
              <wp:align>center</wp:align>
            </wp:positionH>
            <wp:positionV relativeFrom="paragraph">
              <wp:posOffset>635</wp:posOffset>
            </wp:positionV>
            <wp:extent cx="5535930" cy="2980055"/>
            <wp:effectExtent l="0" t="0" r="0" b="0"/>
            <wp:wrapTopAndBottom/>
            <wp:docPr id="4"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pic:cNvPicPr>
                      <a:picLocks noChangeAspect="1" noChangeArrowheads="1"/>
                    </pic:cNvPicPr>
                  </pic:nvPicPr>
                  <pic:blipFill>
                    <a:blip r:embed="rId8"/>
                    <a:stretch>
                      <a:fillRect/>
                    </a:stretch>
                  </pic:blipFill>
                  <pic:spPr bwMode="auto">
                    <a:xfrm>
                      <a:off x="0" y="0"/>
                      <a:ext cx="5535930" cy="2980055"/>
                    </a:xfrm>
                    <a:prstGeom prst="rect">
                      <a:avLst/>
                    </a:prstGeom>
                    <a:noFill/>
                  </pic:spPr>
                </pic:pic>
              </a:graphicData>
            </a:graphic>
          </wp:anchor>
        </w:drawing>
      </w:r>
      <w:r>
        <w:rPr>
          <w:sz w:val="20"/>
          <w:szCs w:val="20"/>
        </w:rPr>
        <w:t xml:space="preserve">(Source: </w:t>
      </w:r>
      <w:hyperlink r:id="rId9">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t>2. External and Internal Environment Analysis</w:t>
      </w:r>
    </w:p>
    <w:p>
      <w:pPr>
        <w:pStyle w:val="Normal"/>
        <w:spacing w:lineRule="auto" w:line="360" w:before="0" w:after="200"/>
        <w:jc w:val="both"/>
        <w:rPr>
          <w:b/>
          <w:bCs/>
          <w:sz w:val="24"/>
          <w:szCs w:val="24"/>
        </w:rPr>
      </w:pPr>
      <w:r>
        <w:rPr>
          <w:b/>
          <w:bCs/>
          <w:sz w:val="24"/>
          <w:szCs w:val="24"/>
        </w:rPr>
        <w:t>The Macro-Environment and PESTEL Factors</w:t>
      </w:r>
    </w:p>
    <w:p>
      <w:pPr>
        <w:pStyle w:val="Normal"/>
        <w:spacing w:lineRule="auto" w:line="360" w:before="0" w:after="200"/>
        <w:jc w:val="both"/>
        <w:rPr>
          <w:rFonts w:ascii="Arial" w:hAnsi="Arial"/>
          <w:sz w:val="24"/>
          <w:szCs w:val="24"/>
        </w:rPr>
      </w:pPr>
      <w:r>
        <w:rPr>
          <w:sz w:val="24"/>
          <w:szCs w:val="24"/>
        </w:rPr>
        <w:t>Unilever operates in FMCG domain, which is affected by numerous macro-environmental factors. It must systemetically evaluate these external factors and adapt accordingly in advance to sustain its competitive advantage. The PESTEL (Political, Economic, Sociocultural, Technological, Environmental, Legal) framework is a critical analytical tool for identifying these macro level threats and opportunities (Whittington et al., 2020). Unilever specifically requires acute strategic responsiveness regarding Economic, Environmental and Technological pressures because of it’s new vision.</w:t>
      </w:r>
    </w:p>
    <w:p>
      <w:pPr>
        <w:pStyle w:val="Normal"/>
        <w:spacing w:lineRule="auto" w:line="360" w:before="0" w:after="200"/>
        <w:jc w:val="center"/>
        <w:rPr>
          <w:sz w:val="20"/>
          <w:szCs w:val="20"/>
        </w:rPr>
      </w:pPr>
      <w:r>
        <w:drawing>
          <wp:anchor distT="0" distB="0" distL="0" distR="0" simplePos="0" relativeHeight="39" behindDoc="0" locked="0" layoutInCell="0" allowOverlap="1">
            <wp:simplePos x="0" y="0"/>
            <wp:positionH relativeFrom="column">
              <wp:align>center</wp:align>
            </wp:positionH>
            <wp:positionV relativeFrom="paragraph">
              <wp:posOffset>635</wp:posOffset>
            </wp:positionV>
            <wp:extent cx="3088640" cy="2922905"/>
            <wp:effectExtent l="0" t="0" r="0" b="0"/>
            <wp:wrapTopAndBottom/>
            <wp:docPr id="5"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1"/>
                    <pic:cNvPicPr>
                      <a:picLocks noChangeAspect="1" noChangeArrowheads="1"/>
                    </pic:cNvPicPr>
                  </pic:nvPicPr>
                  <pic:blipFill>
                    <a:blip r:embed="rId10"/>
                    <a:stretch>
                      <a:fillRect/>
                    </a:stretch>
                  </pic:blipFill>
                  <pic:spPr bwMode="auto">
                    <a:xfrm>
                      <a:off x="0" y="0"/>
                      <a:ext cx="3088640" cy="2922905"/>
                    </a:xfrm>
                    <a:prstGeom prst="rect">
                      <a:avLst/>
                    </a:prstGeom>
                    <a:noFill/>
                  </pic:spPr>
                </pic:pic>
              </a:graphicData>
            </a:graphic>
          </wp:anchor>
        </w:drawing>
      </w:r>
      <w:r>
        <w:rPr>
          <w:sz w:val="20"/>
          <w:szCs w:val="20"/>
        </w:rPr>
        <w:t xml:space="preserve">(Source: </w:t>
      </w:r>
      <w:hyperlink r:id="rId11">
        <w:r>
          <w:rPr>
            <w:rStyle w:val="Hyperlink"/>
            <w:sz w:val="20"/>
            <w:szCs w:val="20"/>
          </w:rPr>
          <w:t>https://medium.com/techno-preneurship/pestle-analysis-the-ceos-guide-to-future-proofing-a-business-877e6c4e20ea</w:t>
        </w:r>
      </w:hyperlink>
      <w:r>
        <w:rPr>
          <w:sz w:val="20"/>
          <w:szCs w:val="20"/>
        </w:rPr>
        <w:t>)</w:t>
      </w:r>
    </w:p>
    <w:p>
      <w:pPr>
        <w:pStyle w:val="Normal"/>
        <w:spacing w:lineRule="auto" w:line="360" w:before="0" w:after="200"/>
        <w:jc w:val="center"/>
        <w:rPr>
          <w:sz w:val="20"/>
          <w:szCs w:val="20"/>
        </w:rPr>
      </w:pPr>
      <w:r>
        <w:rPr>
          <w:sz w:val="20"/>
          <w:szCs w:val="20"/>
        </w:rPr>
      </w:r>
    </w:p>
    <w:p>
      <w:pPr>
        <w:pStyle w:val="Normal"/>
        <w:spacing w:lineRule="auto" w:line="360" w:before="0" w:after="200"/>
        <w:jc w:val="both"/>
        <w:rPr>
          <w:rFonts w:ascii="Arial" w:hAnsi="Arial"/>
          <w:sz w:val="24"/>
          <w:szCs w:val="24"/>
        </w:rPr>
      </w:pPr>
      <w:r>
        <w:rPr>
          <w:b/>
          <w:bCs/>
          <w:sz w:val="24"/>
          <w:szCs w:val="24"/>
        </w:rPr>
        <w:t>Political Factors:</w:t>
      </w:r>
      <w:r>
        <w:rPr>
          <w:sz w:val="24"/>
          <w:szCs w:val="24"/>
        </w:rPr>
        <w:t xml:space="preserve"> Unilever operates in 190+ countries, this vast global footprint heavily exposes the organization to geopolitical fragmentation and trade policy shifts such as protectionist trade policies and tariffs that can significantly effect supplychain and distribution strategies; particularly between Western markets and the emerging economies in recent times  (The Strategy Story, 2024). Furthermore,Severely disrupted global supply routes force Unilever to have agile and localized sourcing strategies to maintain political compliance and operational continuity.</w:t>
      </w:r>
    </w:p>
    <w:tbl>
      <w:tblPr>
        <w:tblW w:w="5000" w:type="pct"/>
        <w:jc w:val="start"/>
        <w:tblInd w:w="-5" w:type="dxa"/>
        <w:tblLayout w:type="fixed"/>
        <w:tblCellMar>
          <w:top w:w="55" w:type="dxa"/>
          <w:start w:w="55" w:type="dxa"/>
          <w:bottom w:w="55" w:type="dxa"/>
          <w:end w:w="55" w:type="dxa"/>
        </w:tblCellMar>
      </w:tblPr>
      <w:tblGrid>
        <w:gridCol w:w="2842"/>
        <w:gridCol w:w="6184"/>
      </w:tblGrid>
      <w:tr>
        <w:trPr>
          <w:trHeight w:val="947" w:hRule="atLeast"/>
        </w:trPr>
        <w:tc>
          <w:tcPr>
            <w:tcW w:w="2842" w:type="dxa"/>
            <w:tcBorders>
              <w:top w:val="single" w:sz="4" w:space="0" w:color="000000"/>
              <w:start w:val="single" w:sz="4" w:space="0" w:color="000000"/>
              <w:bottom w:val="single" w:sz="4" w:space="0" w:color="000000"/>
            </w:tcBorders>
          </w:tcPr>
          <w:p>
            <w:pPr>
              <w:pStyle w:val="TableContents"/>
              <w:rPr/>
            </w:pPr>
            <w:r>
              <w:rPr/>
              <w:t>Government Policies</w:t>
            </w:r>
          </w:p>
        </w:tc>
        <w:tc>
          <w:tcPr>
            <w:tcW w:w="6184" w:type="dxa"/>
            <w:tcBorders>
              <w:top w:val="single" w:sz="4" w:space="0" w:color="000000"/>
              <w:start w:val="single" w:sz="4" w:space="0" w:color="000000"/>
              <w:bottom w:val="single" w:sz="4" w:space="0" w:color="000000"/>
              <w:end w:val="single" w:sz="4" w:space="0" w:color="000000"/>
            </w:tcBorders>
          </w:tcPr>
          <w:p>
            <w:pPr>
              <w:pStyle w:val="TableContents"/>
              <w:rPr/>
            </w:pPr>
            <w:r>
              <w:rPr/>
              <w:t>Governmental policies related to health, safety, and quality standards can impact Unilever’s product formulations</w:t>
            </w:r>
          </w:p>
        </w:tc>
      </w:tr>
      <w:tr>
        <w:trPr>
          <w:trHeight w:val="959" w:hRule="atLeast"/>
        </w:trPr>
        <w:tc>
          <w:tcPr>
            <w:tcW w:w="2842" w:type="dxa"/>
            <w:tcBorders>
              <w:start w:val="single" w:sz="4" w:space="0" w:color="000000"/>
              <w:bottom w:val="single" w:sz="4" w:space="0" w:color="000000"/>
            </w:tcBorders>
          </w:tcPr>
          <w:p>
            <w:pPr>
              <w:pStyle w:val="TableContents"/>
              <w:rPr/>
            </w:pPr>
            <w:r>
              <w:rPr/>
              <w:t>Geopolitical Issues</w:t>
            </w:r>
          </w:p>
        </w:tc>
        <w:tc>
          <w:tcPr>
            <w:tcW w:w="6184" w:type="dxa"/>
            <w:tcBorders>
              <w:start w:val="single" w:sz="4" w:space="0" w:color="000000"/>
              <w:bottom w:val="single" w:sz="4" w:space="0" w:color="000000"/>
              <w:end w:val="single" w:sz="4" w:space="0" w:color="000000"/>
            </w:tcBorders>
          </w:tcPr>
          <w:p>
            <w:pPr>
              <w:pStyle w:val="TableContents"/>
              <w:rPr/>
            </w:pPr>
            <w:r>
              <w:rPr/>
              <w:t>Political relationships between countries can affect Unilever’s operations and even force complex exits from the markets</w:t>
            </w:r>
          </w:p>
        </w:tc>
      </w:tr>
      <w:tr>
        <w:trPr>
          <w:trHeight w:val="706" w:hRule="atLeast"/>
        </w:trPr>
        <w:tc>
          <w:tcPr>
            <w:tcW w:w="2842" w:type="dxa"/>
            <w:tcBorders>
              <w:start w:val="single" w:sz="4" w:space="0" w:color="000000"/>
              <w:bottom w:val="single" w:sz="4" w:space="0" w:color="000000"/>
            </w:tcBorders>
          </w:tcPr>
          <w:p>
            <w:pPr>
              <w:pStyle w:val="TableContents"/>
              <w:rPr/>
            </w:pPr>
            <w:r>
              <w:rPr/>
              <w:t>Regulations on International Investment</w:t>
            </w:r>
          </w:p>
        </w:tc>
        <w:tc>
          <w:tcPr>
            <w:tcW w:w="6184" w:type="dxa"/>
            <w:tcBorders>
              <w:start w:val="single" w:sz="4" w:space="0" w:color="000000"/>
              <w:bottom w:val="single" w:sz="4" w:space="0" w:color="000000"/>
              <w:end w:val="single" w:sz="4" w:space="0" w:color="000000"/>
            </w:tcBorders>
          </w:tcPr>
          <w:p>
            <w:pPr>
              <w:pStyle w:val="TableContents"/>
              <w:rPr/>
            </w:pPr>
            <w:r>
              <w:rPr/>
              <w:t>Influence critical decisions to set up factories and distribution networks</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Economic Factors:</w:t>
      </w:r>
      <w:r>
        <w:rPr>
          <w:sz w:val="24"/>
          <w:szCs w:val="24"/>
        </w:rPr>
        <w:t xml:space="preserve"> The most severe external factor for Unilever is macroeconomic volatility. The global cost-of-living crisis and persistent inflation have severely impacted consumer purchasing power, as a result market has shifted towards cheaper ‘private label brands often owned by supermarket chains (Technavio, 2026). During such economic downturns, FMCG giants face immense pressure on their premium branded products, requiring them to aggressively leverage their scale to defend gross margins without resorting to destructive price wars (The Strategy Story, 2024).</w:t>
      </w:r>
    </w:p>
    <w:tbl>
      <w:tblPr>
        <w:tblW w:w="5000" w:type="pct"/>
        <w:jc w:val="start"/>
        <w:tblInd w:w="-5" w:type="dxa"/>
        <w:tblLayout w:type="fixed"/>
        <w:tblCellMar>
          <w:top w:w="55" w:type="dxa"/>
          <w:start w:w="55" w:type="dxa"/>
          <w:bottom w:w="55" w:type="dxa"/>
          <w:end w:w="55" w:type="dxa"/>
        </w:tblCellMar>
      </w:tblPr>
      <w:tblGrid>
        <w:gridCol w:w="2658"/>
        <w:gridCol w:w="6368"/>
      </w:tblGrid>
      <w:tr>
        <w:trPr>
          <w:trHeight w:val="947" w:hRule="atLeast"/>
        </w:trPr>
        <w:tc>
          <w:tcPr>
            <w:tcW w:w="2658" w:type="dxa"/>
            <w:tcBorders>
              <w:top w:val="single" w:sz="4" w:space="0" w:color="000000"/>
              <w:start w:val="single" w:sz="4" w:space="0" w:color="000000"/>
              <w:bottom w:val="single" w:sz="4" w:space="0" w:color="000000"/>
            </w:tcBorders>
          </w:tcPr>
          <w:p>
            <w:pPr>
              <w:pStyle w:val="TableContents"/>
              <w:rPr/>
            </w:pPr>
            <w:r>
              <w:rPr/>
              <w:t>Currency Exchange Rates</w:t>
            </w:r>
          </w:p>
        </w:tc>
        <w:tc>
          <w:tcPr>
            <w:tcW w:w="6368" w:type="dxa"/>
            <w:tcBorders>
              <w:top w:val="single" w:sz="4" w:space="0" w:color="000000"/>
              <w:start w:val="single" w:sz="4" w:space="0" w:color="000000"/>
              <w:bottom w:val="single" w:sz="4" w:space="0" w:color="000000"/>
              <w:end w:val="single" w:sz="4" w:space="0" w:color="000000"/>
            </w:tcBorders>
          </w:tcPr>
          <w:p>
            <w:pPr>
              <w:pStyle w:val="TableContents"/>
              <w:rPr/>
            </w:pPr>
            <w:r>
              <w:rPr/>
              <w:t>Governmental policies related to health, safety, and quality standards can impact Unilever’s product formulations</w:t>
            </w:r>
          </w:p>
        </w:tc>
      </w:tr>
      <w:tr>
        <w:trPr>
          <w:trHeight w:val="959" w:hRule="atLeast"/>
        </w:trPr>
        <w:tc>
          <w:tcPr>
            <w:tcW w:w="2658" w:type="dxa"/>
            <w:tcBorders>
              <w:start w:val="single" w:sz="4" w:space="0" w:color="000000"/>
              <w:bottom w:val="single" w:sz="4" w:space="0" w:color="000000"/>
            </w:tcBorders>
          </w:tcPr>
          <w:p>
            <w:pPr>
              <w:pStyle w:val="TableContents"/>
              <w:rPr/>
            </w:pPr>
            <w:r>
              <w:rPr/>
              <w:t>Inflation Rates &amp; Employment Rates</w:t>
            </w:r>
          </w:p>
        </w:tc>
        <w:tc>
          <w:tcPr>
            <w:tcW w:w="6368" w:type="dxa"/>
            <w:tcBorders>
              <w:start w:val="single" w:sz="4" w:space="0" w:color="000000"/>
              <w:bottom w:val="single" w:sz="4" w:space="0" w:color="000000"/>
              <w:end w:val="single" w:sz="4" w:space="0" w:color="000000"/>
            </w:tcBorders>
          </w:tcPr>
          <w:p>
            <w:pPr>
              <w:pStyle w:val="TableContents"/>
              <w:rPr/>
            </w:pPr>
            <w:r>
              <w:rPr/>
              <w:t xml:space="preserve">Inflation effects raw materials, production and labor costs. </w:t>
            </w:r>
          </w:p>
          <w:p>
            <w:pPr>
              <w:pStyle w:val="TableContents"/>
              <w:rPr/>
            </w:pPr>
            <w:r>
              <w:rPr/>
              <w:t>Both also affects consumer purchasing power and ultimately sales.</w:t>
            </w:r>
          </w:p>
        </w:tc>
      </w:tr>
      <w:tr>
        <w:trPr>
          <w:trHeight w:val="706" w:hRule="atLeast"/>
        </w:trPr>
        <w:tc>
          <w:tcPr>
            <w:tcW w:w="2658" w:type="dxa"/>
            <w:tcBorders>
              <w:start w:val="single" w:sz="4" w:space="0" w:color="000000"/>
              <w:bottom w:val="single" w:sz="4" w:space="0" w:color="000000"/>
            </w:tcBorders>
          </w:tcPr>
          <w:p>
            <w:pPr>
              <w:pStyle w:val="TableContents"/>
              <w:rPr/>
            </w:pPr>
            <w:r>
              <w:rPr/>
              <w:t>Competitive Landscape &amp; Markets Dynamics</w:t>
            </w:r>
          </w:p>
        </w:tc>
        <w:tc>
          <w:tcPr>
            <w:tcW w:w="6368" w:type="dxa"/>
            <w:tcBorders>
              <w:start w:val="single" w:sz="4" w:space="0" w:color="000000"/>
              <w:bottom w:val="single" w:sz="4" w:space="0" w:color="000000"/>
              <w:end w:val="single" w:sz="4" w:space="0" w:color="000000"/>
            </w:tcBorders>
          </w:tcPr>
          <w:p>
            <w:pPr>
              <w:pStyle w:val="TableContents"/>
              <w:rPr/>
            </w:pPr>
            <w:r>
              <w:rPr/>
              <w:t>Challenging times can introduce price wars, affect market share</w:t>
            </w:r>
          </w:p>
          <w:p>
            <w:pPr>
              <w:pStyle w:val="TableContents"/>
              <w:rPr/>
            </w:pPr>
            <w:r>
              <w:rPr/>
              <w:t>and market dynamics provide opportunities for expansion</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Sociocultural Factors:</w:t>
      </w:r>
      <w:r>
        <w:rPr>
          <w:sz w:val="24"/>
          <w:szCs w:val="24"/>
        </w:rPr>
        <w:t xml:space="preserve"> Consumer values are rapidly evolving along with consumer demographics. There is a rising sociocultural demand for health, wellness and ethically sourced products globally (Panmore Institute, 2024).  But this opportunity presents a strategic paradox: consumers desire sustainable products but at the same time they are often not willing to pay a premium for them due to economic constraints. Unilever must balance these sociocultural expectations by integrating purpose into its core brands while maintaining strict cost accessibility.</w:t>
      </w:r>
    </w:p>
    <w:tbl>
      <w:tblPr>
        <w:tblW w:w="5000" w:type="pct"/>
        <w:jc w:val="start"/>
        <w:tblInd w:w="-5" w:type="dxa"/>
        <w:tblLayout w:type="fixed"/>
        <w:tblCellMar>
          <w:top w:w="55" w:type="dxa"/>
          <w:start w:w="55" w:type="dxa"/>
          <w:bottom w:w="55" w:type="dxa"/>
          <w:end w:w="55" w:type="dxa"/>
        </w:tblCellMar>
      </w:tblPr>
      <w:tblGrid>
        <w:gridCol w:w="2658"/>
        <w:gridCol w:w="6368"/>
      </w:tblGrid>
      <w:tr>
        <w:trPr>
          <w:trHeight w:val="947" w:hRule="atLeast"/>
        </w:trPr>
        <w:tc>
          <w:tcPr>
            <w:tcW w:w="2658" w:type="dxa"/>
            <w:tcBorders>
              <w:top w:val="single" w:sz="4" w:space="0" w:color="000000"/>
              <w:start w:val="single" w:sz="4" w:space="0" w:color="000000"/>
              <w:bottom w:val="single" w:sz="4" w:space="0" w:color="000000"/>
            </w:tcBorders>
          </w:tcPr>
          <w:p>
            <w:pPr>
              <w:pStyle w:val="TableContents"/>
              <w:rPr/>
            </w:pPr>
            <w:r>
              <w:rPr/>
              <w:t>Changing Consumer Preferences &amp; Trends</w:t>
            </w:r>
          </w:p>
        </w:tc>
        <w:tc>
          <w:tcPr>
            <w:tcW w:w="6368" w:type="dxa"/>
            <w:tcBorders>
              <w:top w:val="single" w:sz="4" w:space="0" w:color="000000"/>
              <w:start w:val="single" w:sz="4" w:space="0" w:color="000000"/>
              <w:bottom w:val="single" w:sz="4" w:space="0" w:color="000000"/>
              <w:end w:val="single" w:sz="4" w:space="0" w:color="000000"/>
            </w:tcBorders>
          </w:tcPr>
          <w:p>
            <w:pPr>
              <w:pStyle w:val="TableContents"/>
              <w:rPr/>
            </w:pPr>
            <w:r>
              <w:rPr/>
              <w:t>Unilever might loose market share if it doesn’t adapt to these preferences.</w:t>
            </w:r>
          </w:p>
          <w:p>
            <w:pPr>
              <w:pStyle w:val="TableContents"/>
              <w:rPr/>
            </w:pPr>
            <w:r>
              <w:rPr/>
            </w:r>
          </w:p>
        </w:tc>
      </w:tr>
      <w:tr>
        <w:trPr>
          <w:trHeight w:val="959" w:hRule="atLeast"/>
        </w:trPr>
        <w:tc>
          <w:tcPr>
            <w:tcW w:w="2658" w:type="dxa"/>
            <w:tcBorders>
              <w:start w:val="single" w:sz="4" w:space="0" w:color="000000"/>
              <w:bottom w:val="single" w:sz="4" w:space="0" w:color="000000"/>
            </w:tcBorders>
          </w:tcPr>
          <w:p>
            <w:pPr>
              <w:pStyle w:val="TableContents"/>
              <w:rPr/>
            </w:pPr>
            <w:r>
              <w:rPr/>
              <w:t>Cultural Nuances &amp; Education</w:t>
            </w:r>
          </w:p>
        </w:tc>
        <w:tc>
          <w:tcPr>
            <w:tcW w:w="6368" w:type="dxa"/>
            <w:tcBorders>
              <w:start w:val="single" w:sz="4" w:space="0" w:color="000000"/>
              <w:bottom w:val="single" w:sz="4" w:space="0" w:color="000000"/>
              <w:end w:val="single" w:sz="4" w:space="0" w:color="000000"/>
            </w:tcBorders>
          </w:tcPr>
          <w:p>
            <w:pPr>
              <w:pStyle w:val="TableContents"/>
              <w:rPr/>
            </w:pPr>
            <w:r>
              <w:rPr/>
              <w:t>Education often increases demand of quality products</w:t>
            </w:r>
          </w:p>
          <w:p>
            <w:pPr>
              <w:pStyle w:val="TableContents"/>
              <w:rPr/>
            </w:pPr>
            <w:r>
              <w:rPr/>
              <w:t>While cultural nuances dictate the acceptebility of products</w:t>
            </w:r>
          </w:p>
        </w:tc>
      </w:tr>
      <w:tr>
        <w:trPr>
          <w:trHeight w:val="706" w:hRule="atLeast"/>
        </w:trPr>
        <w:tc>
          <w:tcPr>
            <w:tcW w:w="2658" w:type="dxa"/>
            <w:tcBorders>
              <w:start w:val="single" w:sz="4" w:space="0" w:color="000000"/>
              <w:bottom w:val="single" w:sz="4" w:space="0" w:color="000000"/>
            </w:tcBorders>
          </w:tcPr>
          <w:p>
            <w:pPr>
              <w:pStyle w:val="TableContents"/>
              <w:rPr/>
            </w:pPr>
            <w:r>
              <w:rPr/>
              <w:t>Demographics &amp; Lifestyle</w:t>
            </w:r>
          </w:p>
        </w:tc>
        <w:tc>
          <w:tcPr>
            <w:tcW w:w="6368" w:type="dxa"/>
            <w:tcBorders>
              <w:start w:val="single" w:sz="4" w:space="0" w:color="000000"/>
              <w:bottom w:val="single" w:sz="4" w:space="0" w:color="000000"/>
              <w:end w:val="single" w:sz="4" w:space="0" w:color="000000"/>
            </w:tcBorders>
          </w:tcPr>
          <w:p>
            <w:pPr>
              <w:pStyle w:val="TableContents"/>
              <w:rPr/>
            </w:pPr>
            <w:r>
              <w:rPr/>
              <w:t>Often decides what type/category of product could sell well</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Technological Factors:</w:t>
      </w:r>
      <w:r>
        <w:rPr>
          <w:sz w:val="24"/>
          <w:szCs w:val="24"/>
        </w:rPr>
        <w:t xml:space="preserve"> Technological advancements such as accelerated digital transformation, E-commerce expansion and the integration of Artificial Intelligence (AI) are critical for future growth in FMCG markets and offer massive strategic opportunities to offset operational costs. Unilever is increasingly leveraging AI and data analytics for dynamic pricing, predicting consumer purchasing patterns and optimizing its supply chain logistics. These changes are yielding tangible improvements in marketing Return on Investment (ROI) and service levels (Scribd, 2024).</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Environmental Factors:</w:t>
      </w:r>
      <w:r>
        <w:rPr>
          <w:sz w:val="24"/>
          <w:szCs w:val="24"/>
        </w:rPr>
        <w:t xml:space="preserve"> Climate change directly threatens the yields of critical raw materials such as palm oil, tea and cocoa; Which is leading to severe supply shortages and input-cost volatility and as a massive consumer of agricultural commodities, Unilever is highly vulnerable to environmental shifts (The Strategy Story, 2024). Apart from climate change, environmental regulations (packaging concerns, sustainability initiatives, carbon footprint) and biodiversity and energy consumption also directly or indirectly affects Unilever’s strategic decisions. Consequently, Unilever must mitigate these risks and build strategic resilience. Curretnly, Unilever is making efforts to achieve a 100% deforestation-free supply chain and investing in satellite monitoring to track ecological impacts at the farm level (Unilever, 2024).</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Legal Factors:</w:t>
      </w:r>
      <w:r>
        <w:rPr>
          <w:sz w:val="24"/>
          <w:szCs w:val="24"/>
        </w:rPr>
        <w:t xml:space="preserve"> Apart from general environmental trends, regulatory scrutiny in the FMCG sector creates complex compliance challenges. Most notably, consumer protection agencies are actively enforcing stringent "greenwashing" regulations. For instance, the UK's Competition and Markets Authority (CMA) recently launched a formal investigation into Unilever to scrutinize whether the environmental claims on brands like Dove and Cif misled consumers, highlighting the severe legal risks of vague sustainability marketing (ESG Dive, 2023; GOV.UK, 2024). Furthermore, stringent new legislations, such as the EU Regulation on Deforestation-free Products (EUDR), legally mandate companies to provide exhaustive traceability data proving their commodities do not contribute to forest degradation, adding significant administrative and compliance costs (European Commission, 2024).</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b/>
          <w:bCs/>
        </w:rPr>
      </w:pPr>
      <w:r>
        <w:rPr>
          <w:b/>
          <w:bCs/>
          <w:sz w:val="24"/>
          <w:szCs w:val="24"/>
        </w:rPr>
        <w:t>Critical Success Factors and Strategic Challenges</w:t>
      </w:r>
    </w:p>
    <w:p>
      <w:pPr>
        <w:pStyle w:val="Normal"/>
        <w:spacing w:lineRule="auto" w:line="360" w:before="0" w:after="200"/>
        <w:jc w:val="both"/>
        <w:rPr>
          <w:rFonts w:ascii="Arial" w:hAnsi="Arial"/>
          <w:sz w:val="24"/>
          <w:szCs w:val="24"/>
        </w:rPr>
      </w:pPr>
      <w:r>
        <w:rPr>
          <w:sz w:val="24"/>
          <w:szCs w:val="24"/>
        </w:rPr>
        <w:t>Derived from the external analysis : Supply chain resilience, brand superiority and structural agility are the critical success factors of Unilever. The primary strategic challenge for Unilever management is managing input-cost volatility (such as fluctuating prices for edible oils and petrochemicals), while simultaneously executing a massive portfolio reshaping (PortersFiveForce, 2026). Unilever must defend its volume market share against aggressive private labels without resorting to destructive price wars that would erode its recovering gross margins, which recently expanded to 45.0% through stringent pricing and productivity gains (James Sharp &amp; Co., 2025).</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b/>
          <w:bCs/>
        </w:rPr>
      </w:pPr>
      <w:r>
        <w:rPr>
          <w:b/>
          <w:bCs/>
          <w:sz w:val="24"/>
          <w:szCs w:val="24"/>
        </w:rPr>
        <w:t>Internal Environment: Resources and Capabilities</w:t>
      </w:r>
    </w:p>
    <w:p>
      <w:pPr>
        <w:pStyle w:val="Normal"/>
        <w:spacing w:lineRule="auto" w:line="360" w:before="0" w:after="200"/>
        <w:jc w:val="both"/>
        <w:rPr>
          <w:rFonts w:ascii="Arial" w:hAnsi="Arial"/>
          <w:sz w:val="24"/>
          <w:szCs w:val="24"/>
        </w:rPr>
      </w:pPr>
      <w:r>
        <w:rPr>
          <w:sz w:val="24"/>
          <w:szCs w:val="24"/>
        </w:rPr>
        <w:t>An organisation’s capacity to utilize external opportunities and mitigate threats  is dictated by its internal environment. As per the Resource-Based View of strategy, any organization’s sustained competitive advantage is derived from its internal resources and it’s dynamic capabilities (Barney, 1991). Unilever’s core competencies include :  its global distribution scale, deep research and development (R&amp;D) integration and formidable brand equity.</w:t>
      </w:r>
    </w:p>
    <w:p>
      <w:pPr>
        <w:pStyle w:val="Normal"/>
        <w:spacing w:lineRule="auto" w:line="360" w:before="0" w:after="200"/>
        <w:jc w:val="both"/>
        <w:rPr>
          <w:rFonts w:ascii="Arial" w:hAnsi="Arial"/>
          <w:sz w:val="24"/>
          <w:szCs w:val="24"/>
        </w:rPr>
      </w:pPr>
      <w:r>
        <w:rPr>
          <w:sz w:val="24"/>
          <w:szCs w:val="24"/>
        </w:rPr>
        <w:t>The company allocates approximately 2% of its turnover to R&amp;D across global centres, resulting in patent-protected formulations in categories like Home Care and Personal Care (MatrixBCG, 2026; PortersFiveForce, 2026). Geographically, Unilever derives nearly 60% of its sales from high-growth emerging markets, demonstrating an extensive last-mile distribution capability that gives it a dominant presence in regions like India, Brazil, and Indonesia (MatrixBCG, 2026; PortersFiveForce, 2026).</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VRIO Analysis and Competitive Advantage</w:t>
      </w:r>
    </w:p>
    <w:p>
      <w:pPr>
        <w:pStyle w:val="Normal"/>
        <w:spacing w:lineRule="auto" w:line="360" w:before="0" w:after="200"/>
        <w:jc w:val="both"/>
        <w:rPr>
          <w:rFonts w:ascii="Arial" w:hAnsi="Arial"/>
          <w:sz w:val="24"/>
          <w:szCs w:val="24"/>
        </w:rPr>
      </w:pPr>
      <w:r>
        <w:rPr>
          <w:sz w:val="24"/>
          <w:szCs w:val="24"/>
        </w:rPr>
        <w:t>The VRIO framework will help us critically evaluate whether these internal resources provide a temporary or sustained competitive advantage by assessing them through varios parameters. These include whether resources are Valuable, Rare, Inimitable, and Organised (Barney, 1991).</w:t>
      </w:r>
    </w:p>
    <w:p>
      <w:pPr>
        <w:pStyle w:val="Normal"/>
        <w:spacing w:lineRule="auto" w:line="360" w:before="0" w:after="200"/>
        <w:jc w:val="center"/>
        <w:rPr>
          <w:rFonts w:ascii="Arial" w:hAnsi="Arial"/>
          <w:sz w:val="20"/>
          <w:szCs w:val="20"/>
        </w:rPr>
      </w:pPr>
      <w:r>
        <w:drawing>
          <wp:anchor distT="0" distB="0" distL="0" distR="0" simplePos="0" relativeHeight="38" behindDoc="0" locked="0" layoutInCell="0" allowOverlap="1">
            <wp:simplePos x="0" y="0"/>
            <wp:positionH relativeFrom="column">
              <wp:align>center</wp:align>
            </wp:positionH>
            <wp:positionV relativeFrom="paragraph">
              <wp:posOffset>635</wp:posOffset>
            </wp:positionV>
            <wp:extent cx="4817110" cy="2432685"/>
            <wp:effectExtent l="0" t="0" r="0" b="0"/>
            <wp:wrapTopAndBottom/>
            <wp:docPr id="6"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0"/>
                    <pic:cNvPicPr>
                      <a:picLocks noChangeAspect="1" noChangeArrowheads="1"/>
                    </pic:cNvPicPr>
                  </pic:nvPicPr>
                  <pic:blipFill>
                    <a:blip r:embed="rId12"/>
                    <a:stretch>
                      <a:fillRect/>
                    </a:stretch>
                  </pic:blipFill>
                  <pic:spPr bwMode="auto">
                    <a:xfrm>
                      <a:off x="0" y="0"/>
                      <a:ext cx="4817110" cy="2432685"/>
                    </a:xfrm>
                    <a:prstGeom prst="rect">
                      <a:avLst/>
                    </a:prstGeom>
                    <a:noFill/>
                  </pic:spPr>
                </pic:pic>
              </a:graphicData>
            </a:graphic>
          </wp:anchor>
        </w:drawing>
      </w:r>
      <w:r>
        <w:rPr>
          <w:sz w:val="20"/>
          <w:szCs w:val="20"/>
        </w:rPr>
        <w:t xml:space="preserve">(Source: </w:t>
      </w:r>
      <w:hyperlink r:id="rId13">
        <w:r>
          <w:rPr>
            <w:rStyle w:val="Hyperlink"/>
            <w:sz w:val="20"/>
            <w:szCs w:val="20"/>
          </w:rPr>
          <w:t>https://www.thestrategyinstitute.org/insights/vrio-framework-unlocking-competitive-edge-for-your-business</w:t>
        </w:r>
      </w:hyperlink>
      <w:r>
        <w:rPr>
          <w:sz w:val="20"/>
          <w:szCs w:val="20"/>
        </w:rPr>
        <w:t xml:space="preserve"> )</w:t>
      </w:r>
    </w:p>
    <w:p>
      <w:pPr>
        <w:pStyle w:val="Normal"/>
        <w:spacing w:lineRule="auto" w:line="360" w:before="0" w:after="200"/>
        <w:jc w:val="center"/>
        <w:rPr>
          <w:rFonts w:ascii="Arial" w:hAnsi="Arial"/>
          <w:sz w:val="20"/>
          <w:szCs w:val="20"/>
        </w:rPr>
      </w:pPr>
      <w:r>
        <w:rPr>
          <w:sz w:val="20"/>
          <w:szCs w:val="20"/>
        </w:rPr>
      </w:r>
    </w:p>
    <w:p>
      <w:pPr>
        <w:pStyle w:val="Normal"/>
        <w:spacing w:lineRule="auto" w:line="360" w:before="0" w:after="200"/>
        <w:jc w:val="both"/>
        <w:rPr>
          <w:rFonts w:ascii="Arial" w:hAnsi="Arial"/>
          <w:sz w:val="24"/>
          <w:szCs w:val="24"/>
        </w:rPr>
      </w:pPr>
      <w:r>
        <w:rPr>
          <w:b/>
          <w:bCs/>
          <w:sz w:val="24"/>
          <w:szCs w:val="24"/>
        </w:rPr>
        <w:t>Valuable:</w:t>
      </w:r>
      <w:r>
        <w:rPr>
          <w:sz w:val="24"/>
          <w:szCs w:val="24"/>
        </w:rPr>
        <w:t xml:space="preserve"> Unilever’s scale and centralized procurement are highly valuable. By leveraging its €60 billion turnover size, the Unilever can negotiate favourable terms with suppliers to lower its unit costs and protect its margins during tuff times like inflationary periods or pricewars (MatrixBCG, 2026). However, its primary competitors like Nestlé and P&amp;G also have this advantage. So, scale alone is not rare, meaning this resource primarily provides competitive parity.</w:t>
      </w:r>
    </w:p>
    <w:p>
      <w:pPr>
        <w:pStyle w:val="Normal"/>
        <w:spacing w:lineRule="auto" w:line="360" w:before="0" w:after="200"/>
        <w:jc w:val="both"/>
        <w:rPr>
          <w:rFonts w:ascii="Arial" w:hAnsi="Arial"/>
          <w:sz w:val="24"/>
          <w:szCs w:val="24"/>
        </w:rPr>
      </w:pPr>
      <w:r>
        <w:rPr>
          <w:b/>
          <w:bCs/>
          <w:sz w:val="24"/>
          <w:szCs w:val="24"/>
        </w:rPr>
        <w:t>Rare:</w:t>
      </w:r>
      <w:r>
        <w:rPr>
          <w:sz w:val="24"/>
          <w:szCs w:val="24"/>
        </w:rPr>
        <w:t xml:space="preserve"> Unilever has established a deeply integrated local distribution networks and supply chains across the globe. Unilever’s deep penetration into emerging market supply chains is a rare capability. While competitors operate globally, Unilever’s historic footprint and deeply integrated networks are incredibly difficult to establish in regions like South Asia (MatrixBCG, 2026; PortersFiveForce, 2026).</w:t>
      </w:r>
    </w:p>
    <w:p>
      <w:pPr>
        <w:pStyle w:val="Normal"/>
        <w:spacing w:lineRule="auto" w:line="360" w:before="0" w:after="200"/>
        <w:jc w:val="both"/>
        <w:rPr>
          <w:rFonts w:ascii="Arial" w:hAnsi="Arial"/>
          <w:sz w:val="24"/>
          <w:szCs w:val="24"/>
        </w:rPr>
      </w:pPr>
      <w:r>
        <w:rPr>
          <w:b/>
          <w:bCs/>
          <w:sz w:val="24"/>
          <w:szCs w:val="24"/>
        </w:rPr>
        <w:t>Inimitable (Costly to Imitate):</w:t>
      </w:r>
      <w:r>
        <w:rPr>
          <w:sz w:val="24"/>
          <w:szCs w:val="24"/>
        </w:rPr>
        <w:t xml:space="preserve"> The most robust source of Unilever’s competitive advantage is its intangible brand equity. The company monetises 30 Power Brands (including Dove, Vaseline, and Rexona) which generate roughly 75% of its total turnover (MatrixBCG, 2026). Unilever has built this trust with consumers and loyalty for these heritage brands over decades. While a competitor can easily replicate the chemical formulation of a bar of soap, they cannot easily or cheaply imitate the psychological equity of the Dove brand.</w:t>
      </w:r>
    </w:p>
    <w:p>
      <w:pPr>
        <w:pStyle w:val="Normal"/>
        <w:spacing w:lineRule="auto" w:line="360" w:before="0" w:after="200"/>
        <w:jc w:val="both"/>
        <w:rPr>
          <w:rFonts w:ascii="Arial" w:hAnsi="Arial"/>
          <w:sz w:val="24"/>
          <w:szCs w:val="24"/>
        </w:rPr>
      </w:pPr>
      <w:r>
        <w:rPr>
          <w:b/>
          <w:bCs/>
          <w:sz w:val="24"/>
          <w:szCs w:val="24"/>
        </w:rPr>
        <w:t>Organised to Capture Value:</w:t>
      </w:r>
      <w:r>
        <w:rPr>
          <w:sz w:val="24"/>
          <w:szCs w:val="24"/>
        </w:rPr>
        <w:t xml:space="preserve"> A brand has to be structurally organised to translate available resources into a competitive advantage (Barney, 1991). Historically, Unilever struggled here because of its bloated matrix structure. Which has changed under its "Growth Action Plan 2024/2025", the company has radically reorganised. It is executing an €800 million productivity programme, creating a leaner and more accountable operation by cutting 7,500 primarily office-based roles and dividing into five highly focused Business Groups (James Sharp &amp; Co., 2025). The firm is focusing on reallocating its capital to high-growth, high-margin categories like Prestige Beauty and Health &amp; Wellbeing through the strategic divestment of its capital-intensive Ice Cream division (MatrixBCG, 2026).</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3. CSR and Sustainability Objectives</w:t>
      </w:r>
    </w:p>
    <w:p>
      <w:pPr>
        <w:pStyle w:val="Normal"/>
        <w:spacing w:lineRule="auto" w:line="360" w:before="0" w:after="200"/>
        <w:jc w:val="both"/>
        <w:rPr>
          <w:rFonts w:ascii="Arial" w:hAnsi="Arial"/>
          <w:b/>
          <w:bCs/>
          <w:sz w:val="24"/>
          <w:szCs w:val="24"/>
        </w:rPr>
      </w:pPr>
      <w:r>
        <w:rPr>
          <w:b/>
          <w:bCs/>
          <w:sz w:val="24"/>
          <w:szCs w:val="24"/>
        </w:rPr>
        <w:t>Critical Evaluation of CSR Strategy and Business Alignment</w:t>
      </w:r>
    </w:p>
    <w:p>
      <w:pPr>
        <w:pStyle w:val="Normal"/>
        <w:spacing w:lineRule="auto" w:line="360" w:before="0" w:after="200"/>
        <w:jc w:val="both"/>
        <w:rPr>
          <w:rFonts w:ascii="Arial" w:hAnsi="Arial"/>
          <w:sz w:val="24"/>
          <w:szCs w:val="24"/>
        </w:rPr>
      </w:pPr>
      <w:r>
        <w:rPr>
          <w:sz w:val="24"/>
          <w:szCs w:val="24"/>
        </w:rPr>
        <w:t>Corporate Social Responsibility (CSR) is no longer just a philanthropic activity;  and aligning CSR with core business objectives requires acute strategic balance. Unilever has historically believed in creating shared value. According to Porter and Kramer’s (2011), sustainable competitive advantage is achieved when a firm generates economic value in a way that simultaneously produces value for society. Historically, Unilever pioneered this approach, deeply embedding environmental and social metrics into its corporate DNA through its renowned 'Sustainable Living Plan' (Unilever, 2024).</w:t>
      </w:r>
    </w:p>
    <w:p>
      <w:pPr>
        <w:pStyle w:val="Normal"/>
        <w:spacing w:lineRule="auto" w:line="360" w:before="0" w:after="200"/>
        <w:jc w:val="center"/>
        <w:rPr>
          <w:sz w:val="24"/>
          <w:szCs w:val="24"/>
        </w:rPr>
      </w:pPr>
      <w:r>
        <w:drawing>
          <wp:anchor distT="0" distB="0" distL="0" distR="0" simplePos="0" relativeHeight="37" behindDoc="0" locked="0" layoutInCell="0" allowOverlap="1">
            <wp:simplePos x="0" y="0"/>
            <wp:positionH relativeFrom="column">
              <wp:align>center</wp:align>
            </wp:positionH>
            <wp:positionV relativeFrom="paragraph">
              <wp:posOffset>635</wp:posOffset>
            </wp:positionV>
            <wp:extent cx="5731510" cy="3212465"/>
            <wp:effectExtent l="0" t="0" r="0" b="0"/>
            <wp:wrapTopAndBottom/>
            <wp:docPr id="7"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9"/>
                    <pic:cNvPicPr>
                      <a:picLocks noChangeAspect="1" noChangeArrowheads="1"/>
                    </pic:cNvPicPr>
                  </pic:nvPicPr>
                  <pic:blipFill>
                    <a:blip r:embed="rId14"/>
                    <a:stretch>
                      <a:fillRect/>
                    </a:stretch>
                  </pic:blipFill>
                  <pic:spPr bwMode="auto">
                    <a:xfrm>
                      <a:off x="0" y="0"/>
                      <a:ext cx="5731510" cy="3212465"/>
                    </a:xfrm>
                    <a:prstGeom prst="rect">
                      <a:avLst/>
                    </a:prstGeom>
                    <a:noFill/>
                  </pic:spPr>
                </pic:pic>
              </a:graphicData>
            </a:graphic>
          </wp:anchor>
        </w:drawing>
      </w:r>
      <w:r>
        <w:rPr>
          <w:sz w:val="20"/>
          <w:szCs w:val="20"/>
        </w:rPr>
        <w:t xml:space="preserve">(Source: </w:t>
      </w:r>
      <w:hyperlink r:id="rId15">
        <w:r>
          <w:rPr>
            <w:rStyle w:val="Hyperlink"/>
            <w:sz w:val="20"/>
            <w:szCs w:val="20"/>
          </w:rPr>
          <w:t>https://socialnomics.net/2023/02/07/csr-meaning-all-you-need-to-know/</w:t>
        </w:r>
      </w:hyperlink>
      <w:r>
        <w:rPr>
          <w:sz w:val="20"/>
          <w:szCs w:val="20"/>
        </w:rPr>
        <w:t>)</w:t>
      </w:r>
    </w:p>
    <w:p>
      <w:pPr>
        <w:pStyle w:val="Normal"/>
        <w:spacing w:lineRule="auto" w:line="360" w:before="0" w:after="200"/>
        <w:jc w:val="both"/>
        <w:rPr>
          <w:rFonts w:ascii="Arial" w:hAnsi="Arial"/>
          <w:sz w:val="24"/>
          <w:szCs w:val="24"/>
        </w:rPr>
      </w:pPr>
      <w:r>
        <w:rPr>
          <w:sz w:val="24"/>
          <w:szCs w:val="24"/>
        </w:rPr>
        <w:t>Unilever recently faced a critical inflection point when Prior leadership attempted to enforce an abstract "brand purpose" upon every single product within the portfolio. This provoked severe backlash from institutional investors, who argued that manufacturing a social purpose for utilitarian products obscured fundamental financial performance and operational execution (Financial Times, 2022). Analysed through the lens of Stakeholder Theory (Freeman, 1984), this illustrated a critical strategic misalignment: prioritising abstract social narratives temporarily alienated primary financial stakeholders during a period of severe inflationary pressure.</w:t>
      </w:r>
    </w:p>
    <w:p>
      <w:pPr>
        <w:pStyle w:val="Normal"/>
        <w:spacing w:lineRule="auto" w:line="360" w:before="0" w:after="200"/>
        <w:jc w:val="both"/>
        <w:rPr>
          <w:rFonts w:ascii="Arial" w:hAnsi="Arial"/>
          <w:sz w:val="24"/>
          <w:szCs w:val="24"/>
        </w:rPr>
      </w:pPr>
      <w:r>
        <w:rPr>
          <w:sz w:val="24"/>
          <w:szCs w:val="24"/>
        </w:rPr>
        <w:t>Consequently, under its 2024 strategic reset, Unilever has radically realigned its CSR strategy to be highly functional and synergistic with bottom-line business objectives. The organisation has pivoted away from broad marketing purposes and narrowed its sustainability focus to pragmatic, measurable pillars: climate, nature, plastics, and livelihoods (Unilever, 2024; Reuters, 2024). By investing capital strictly into supply chain decarbonisation, agricultural resilience, and plastic reduction, Unilever is not merely engaging in ethical CSR; it is actively mitigating future regulatory taxation and raw material scarcity. This strategic correction successfully reunites CSR with core commercial objectives, ensuring that sustainability initiatives directly contribute to long-term margin resilience and risk mitigation, rather than distracting from financial execution.</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4. Comprehensive View via Balanced Scorecard</w:t>
      </w:r>
    </w:p>
    <w:p>
      <w:pPr>
        <w:pStyle w:val="Normal"/>
        <w:spacing w:lineRule="auto" w:line="360" w:before="0" w:after="200"/>
        <w:jc w:val="both"/>
        <w:rPr>
          <w:rFonts w:ascii="Arial" w:hAnsi="Arial"/>
          <w:b/>
          <w:bCs/>
          <w:sz w:val="24"/>
          <w:szCs w:val="24"/>
        </w:rPr>
      </w:pPr>
      <w:r>
        <w:rPr>
          <w:b/>
          <w:bCs/>
          <w:sz w:val="24"/>
          <w:szCs w:val="24"/>
        </w:rPr>
        <w:t>Strategic Alignment through the Balanced Scorecard</w:t>
      </w:r>
    </w:p>
    <w:p>
      <w:pPr>
        <w:pStyle w:val="Normal"/>
        <w:spacing w:lineRule="auto" w:line="360" w:before="0" w:after="200"/>
        <w:jc w:val="both"/>
        <w:rPr>
          <w:rFonts w:ascii="Arial" w:hAnsi="Arial"/>
          <w:sz w:val="24"/>
          <w:szCs w:val="24"/>
        </w:rPr>
      </w:pPr>
      <w:r>
        <w:rPr>
          <w:sz w:val="24"/>
          <w:szCs w:val="24"/>
        </w:rPr>
        <w:t>To execute a complex turnaround strategy, an organisation must translate its high-level vision into actionable, measurable operational metrics. The Balanced Scorecard (BSC) developed by Kaplan and Norton (1992), provides a comprehensive framework that prevents executives from over-indexing on lagging financial indicators by balancing them with leading operational drivers. For Unilever, successfully implementing its 2024–2025 "Growth Action Plan" (GAP) requires a rigorous application of the BSC across its four core perspectives: Financial, Customer, Internal Business Processes, and Learning and Growth (Unilever, 2024).</w:t>
      </w:r>
    </w:p>
    <w:p>
      <w:pPr>
        <w:pStyle w:val="Normal"/>
        <w:spacing w:lineRule="auto" w:line="360" w:before="0" w:after="200"/>
        <w:jc w:val="center"/>
        <w:rPr>
          <w:sz w:val="20"/>
          <w:szCs w:val="20"/>
        </w:rPr>
      </w:pPr>
      <w:r>
        <w:drawing>
          <wp:anchor distT="0" distB="0" distL="0" distR="0" simplePos="0" relativeHeight="36" behindDoc="0" locked="0" layoutInCell="0" allowOverlap="1">
            <wp:simplePos x="0" y="0"/>
            <wp:positionH relativeFrom="column">
              <wp:align>center</wp:align>
            </wp:positionH>
            <wp:positionV relativeFrom="paragraph">
              <wp:posOffset>635</wp:posOffset>
            </wp:positionV>
            <wp:extent cx="5151755" cy="3363595"/>
            <wp:effectExtent l="0" t="0" r="0" b="0"/>
            <wp:wrapTopAndBottom/>
            <wp:docPr id="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pic:cNvPicPr>
                      <a:picLocks noChangeAspect="1" noChangeArrowheads="1"/>
                    </pic:cNvPicPr>
                  </pic:nvPicPr>
                  <pic:blipFill>
                    <a:blip r:embed="rId16"/>
                    <a:stretch>
                      <a:fillRect/>
                    </a:stretch>
                  </pic:blipFill>
                  <pic:spPr bwMode="auto">
                    <a:xfrm>
                      <a:off x="0" y="0"/>
                      <a:ext cx="5151755" cy="3363595"/>
                    </a:xfrm>
                    <a:prstGeom prst="rect">
                      <a:avLst/>
                    </a:prstGeom>
                    <a:noFill/>
                  </pic:spPr>
                </pic:pic>
              </a:graphicData>
            </a:graphic>
          </wp:anchor>
        </w:drawing>
      </w:r>
      <w:r>
        <w:rPr>
          <w:sz w:val="20"/>
          <w:szCs w:val="20"/>
        </w:rPr>
        <w:t xml:space="preserve">(Source: </w:t>
      </w:r>
      <w:r>
        <w:rPr>
          <w:rStyle w:val="Hyperlink"/>
          <w:sz w:val="20"/>
          <w:szCs w:val="20"/>
        </w:rPr>
        <w:t>https://www.researchgate.net/figure/Balanced-Scorecard-Theoretical-Model-Source-Adapted-from-Kaplan-and-Norton-1992-71_fig1_325481090</w:t>
      </w:r>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1. Financial Perspective</w:t>
      </w:r>
    </w:p>
    <w:p>
      <w:pPr>
        <w:pStyle w:val="Normal"/>
        <w:spacing w:lineRule="auto" w:line="360" w:before="0" w:after="200"/>
        <w:jc w:val="both"/>
        <w:rPr>
          <w:rFonts w:ascii="Arial" w:hAnsi="Arial"/>
          <w:sz w:val="24"/>
          <w:szCs w:val="24"/>
        </w:rPr>
      </w:pPr>
      <w:r>
        <w:rPr>
          <w:sz w:val="24"/>
          <w:szCs w:val="24"/>
        </w:rPr>
        <w:t>The financial perspective dictates the ultimate economic outcomes required by shareholders. Financially, Unilever under its current leadership aims to reverse recent volume declines and achieve aggressive margin expansion (James Sharp &amp; Co., 2025). The critical Key Performance Indicators (KPIs) are Underlying Sales Growth (USG) of 3–5% and expanding Underlying Operating Margin (UOM) to a sustained 16–17% (Reuters, 2024). The most significant initiative driving this change is the corporate divestment of the €7.9 billion from its Ice Cream division (MatrixBCG, 2026). This is because the frozen supply chain is highly capital-intensive and this move immediately reduces if not eliminates a structural drag on the group's overall operating margin and relieves immense capital to fund higher-return divisions.</w:t>
      </w:r>
    </w:p>
    <w:p>
      <w:pPr>
        <w:pStyle w:val="Normal"/>
        <w:spacing w:lineRule="auto" w:line="360" w:before="0" w:after="200"/>
        <w:jc w:val="both"/>
        <w:rPr>
          <w:rFonts w:ascii="Arial" w:hAnsi="Arial"/>
          <w:b/>
          <w:bCs/>
          <w:sz w:val="24"/>
          <w:szCs w:val="24"/>
        </w:rPr>
      </w:pPr>
      <w:r>
        <w:rPr>
          <w:b/>
          <w:bCs/>
          <w:sz w:val="24"/>
          <w:szCs w:val="24"/>
        </w:rPr>
        <w:t>2. Customer Perspective</w:t>
      </w:r>
    </w:p>
    <w:p>
      <w:pPr>
        <w:pStyle w:val="Normal"/>
        <w:spacing w:lineRule="auto" w:line="360" w:before="0" w:after="200"/>
        <w:jc w:val="both"/>
        <w:rPr>
          <w:rFonts w:ascii="Arial" w:hAnsi="Arial"/>
          <w:sz w:val="24"/>
          <w:szCs w:val="24"/>
        </w:rPr>
      </w:pPr>
      <w:r>
        <w:rPr>
          <w:sz w:val="24"/>
          <w:szCs w:val="24"/>
        </w:rPr>
        <w:t>Financial success is impossible without delivering superior customer value. Unilever is loosing customer base to cheaper private labels of supermarket brands, this is because of macroeconomic factors like cost of living crisis and unemployment. Unilever’s primary customer objective is to combat this threat by re-establishing ‘unmissable brand superiority’ (Unilever, 2024). Unilever management is targeting 12-month rolling KPI of Business Winning Market Share (BWMS) consistently above 50% (James Sharp &amp; Co., 2025). The core idea is to reallocate the disinvestment capital saved from icecream into targeted advertising and promotional investments for their top 30 power brands. This will ensure that perceiveed value of those brands justify a premium price point, which is higher than cheaper private labels (Marketing Week, 2024).</w:t>
      </w:r>
    </w:p>
    <w:p>
      <w:pPr>
        <w:pStyle w:val="Normal"/>
        <w:spacing w:lineRule="auto" w:line="360" w:before="0" w:after="200"/>
        <w:jc w:val="both"/>
        <w:rPr>
          <w:rFonts w:ascii="Arial" w:hAnsi="Arial"/>
          <w:b/>
          <w:bCs/>
          <w:sz w:val="24"/>
          <w:szCs w:val="24"/>
        </w:rPr>
      </w:pPr>
      <w:r>
        <w:rPr>
          <w:b/>
          <w:bCs/>
          <w:sz w:val="24"/>
          <w:szCs w:val="24"/>
        </w:rPr>
        <w:t>3. Internal Business Processes Perspective</w:t>
      </w:r>
    </w:p>
    <w:p>
      <w:pPr>
        <w:pStyle w:val="Normal"/>
        <w:spacing w:lineRule="auto" w:line="360" w:before="0" w:after="200"/>
        <w:jc w:val="both"/>
        <w:rPr>
          <w:rFonts w:ascii="Arial" w:hAnsi="Arial"/>
          <w:sz w:val="24"/>
          <w:szCs w:val="24"/>
        </w:rPr>
      </w:pPr>
      <w:r>
        <w:rPr>
          <w:sz w:val="24"/>
          <w:szCs w:val="24"/>
        </w:rPr>
        <w:t>Unilever’s iternal processes must be exceptionally agile to deliver this customer value. Unilever is radically simplifying its portfolio to eliminate bureaucratic complexity and accelerate speed to market. The core KPIs are the reduction in total Stock Keeping Units (SKUs) and the measurement of gross productivity savings. The company has set an aggressive target to deliver €800 million in gross productivity savings by 2025 and to achieve this, it will actively cull 20% of underperforming, localised SKUs (Reuters, 2024). To achieve these abitious goals, the organization is transitioning from a complex global matrix to a five distinct and highly accountable business groups, supported by the AI driven supply chain and forecasting optimizations to reduce manufacturing waste and optimise the inventory (MatrixBCG, 2026).</w:t>
      </w:r>
    </w:p>
    <w:p>
      <w:pPr>
        <w:pStyle w:val="Normal"/>
        <w:spacing w:lineRule="auto" w:line="360" w:before="0" w:after="200"/>
        <w:jc w:val="both"/>
        <w:rPr>
          <w:rFonts w:ascii="Arial" w:hAnsi="Arial"/>
          <w:b/>
          <w:bCs/>
          <w:sz w:val="24"/>
          <w:szCs w:val="24"/>
        </w:rPr>
      </w:pPr>
      <w:r>
        <w:rPr>
          <w:b/>
          <w:bCs/>
          <w:sz w:val="24"/>
          <w:szCs w:val="24"/>
        </w:rPr>
        <w:t>4. Learning and Growth Perspective</w:t>
      </w:r>
    </w:p>
    <w:p>
      <w:pPr>
        <w:pStyle w:val="Normal"/>
        <w:spacing w:lineRule="auto" w:line="360" w:before="0" w:after="200"/>
        <w:jc w:val="both"/>
        <w:rPr>
          <w:rFonts w:ascii="Arial" w:hAnsi="Arial"/>
          <w:sz w:val="24"/>
          <w:szCs w:val="24"/>
        </w:rPr>
      </w:pPr>
      <w:r>
        <w:rPr>
          <w:sz w:val="24"/>
          <w:szCs w:val="24"/>
        </w:rPr>
        <w:t>Human capital is the foundation of the entire organisation. Unilever’s learning and growth objective is to remove the complacent culture responsible for recent stagnation and embed a highly accountable, performance-driven culture (The Guardian, 2024). The primary KPIs are the successful transition metrics of the GAP restructuring and link compensation (particularly long-term incentives) for executives to company performance and shareholder value creation. Crucially, The difficult target is to reduce  7,500 largely middle-management roles globally without triggering severe operational disruption or loss of critical digital talent. The driving initiative is a fundamental overhaul of incentive structures. Management bonuses, which were previously tied heavily to broad ESG (Environmental, Social, and Governance) metrics, have been strictly realigned to financial delivery and market share growth, ensuring the workforce's objectives are entirely synchronised with the financial turnaround (Unilever, 2024)</w:t>
      </w:r>
    </w:p>
    <w:p>
      <w:pPr>
        <w:pStyle w:val="Normal"/>
        <w:spacing w:lineRule="auto" w:line="360" w:before="0" w:after="200"/>
        <w:jc w:val="both"/>
        <w:rPr>
          <w:rFonts w:ascii="Arial" w:hAnsi="Arial"/>
          <w:b/>
          <w:bCs/>
          <w:sz w:val="24"/>
          <w:szCs w:val="24"/>
        </w:rPr>
      </w:pPr>
      <w:r>
        <w:rPr>
          <w:b/>
          <w:bCs/>
          <w:sz w:val="24"/>
          <w:szCs w:val="24"/>
        </w:rPr>
        <w:t>5. Strategic Choices and Implementation</w:t>
      </w:r>
    </w:p>
    <w:p>
      <w:pPr>
        <w:pStyle w:val="Normal"/>
        <w:spacing w:lineRule="auto" w:line="360" w:before="0" w:after="200"/>
        <w:jc w:val="both"/>
        <w:rPr>
          <w:rFonts w:ascii="Arial" w:hAnsi="Arial"/>
          <w:b/>
          <w:bCs/>
          <w:sz w:val="24"/>
          <w:szCs w:val="24"/>
        </w:rPr>
      </w:pPr>
      <w:r>
        <w:rPr>
          <w:b/>
          <w:bCs/>
          <w:sz w:val="24"/>
          <w:szCs w:val="24"/>
        </w:rPr>
        <w:t>Evaluating Business and Corporate-Level Strategic Choices</w:t>
      </w:r>
    </w:p>
    <w:p>
      <w:pPr>
        <w:pStyle w:val="Normal"/>
        <w:spacing w:lineRule="auto" w:line="360" w:before="0" w:after="200"/>
        <w:jc w:val="both"/>
        <w:rPr>
          <w:rFonts w:ascii="Arial" w:hAnsi="Arial"/>
          <w:sz w:val="24"/>
          <w:szCs w:val="24"/>
        </w:rPr>
      </w:pPr>
      <w:r>
        <w:rPr>
          <w:sz w:val="24"/>
          <w:szCs w:val="24"/>
        </w:rPr>
        <w:t>An organisation’s strategic direction is defined by the choices it makes regarding how to compete and where to compete (Whittington et al., 2020). It’s business level strategy decided how to compete and corporate level strategy decided where to compete.</w:t>
      </w:r>
    </w:p>
    <w:p>
      <w:pPr>
        <w:pStyle w:val="Normal"/>
        <w:spacing w:lineRule="auto" w:line="360" w:before="0" w:after="200"/>
        <w:jc w:val="both"/>
        <w:rPr>
          <w:rFonts w:ascii="Arial" w:hAnsi="Arial"/>
          <w:sz w:val="24"/>
          <w:szCs w:val="24"/>
        </w:rPr>
      </w:pPr>
      <w:r>
        <w:rPr>
          <w:sz w:val="24"/>
          <w:szCs w:val="24"/>
        </w:rPr>
        <w:t>At the business level, Unilever faces a critical juncture. According to Porter’s Generic Strategies (1980), Unilever must choose between cost leadership and differentiation to avoid being stuck in the middle. Unilever’s low cost competitors (super market private label brands) are very agile, so during severe macroeconomic inflation, Unilever cannot sustainably compete on pure cost leadership against them (e.g., Aldi and Lidl). Therefore, Unilever is focusing on differenciation by strategically pivoting its portfolio towards 'premiumisation' (Unilever, 2025). Unilever is engineering products that combine mass-market accessibility with prestige and science-backed formulations (such as advanced Dove skincare). For that, it is heavily investing R&amp;D and marketing capital into its Beauty &amp; Wellbeing division.  This differentiation justifies a premium price point, thereby protecting gross margins from inflationary pressure.</w:t>
      </w:r>
    </w:p>
    <w:p>
      <w:pPr>
        <w:pStyle w:val="Normal"/>
        <w:spacing w:lineRule="auto" w:line="360" w:before="0" w:after="200"/>
        <w:jc w:val="both"/>
        <w:rPr>
          <w:rFonts w:ascii="Arial" w:hAnsi="Arial"/>
          <w:sz w:val="24"/>
          <w:szCs w:val="24"/>
        </w:rPr>
      </w:pPr>
      <w:r>
        <w:rPr>
          <w:sz w:val="24"/>
          <w:szCs w:val="24"/>
        </w:rPr>
        <w:t>At the corporate level, strategy dictates the scope of the organisation. Historically, Unilever pursued the strategy of broad horizontal diversification, which resulted in a bloated portfolio that was hard-to-manage. Currently, the company is strategically divesting. In early 2024, the board announced the separation of its massive Ice Cream division into a standalone entity. This division includes brands like Magnum and Wall's and it is valued at €7.9 billion (Reuters, 2024). accoring to the "Corporate Parenting Advantage" theory (Goold, Campbell and Alexander, 1994), a parent company should only retain business units where it adds distinct value. The Ice Cream business operates on a fundamentally different and highly capital-intensive frozen supply chain. It is not in synergy with Unilever's core personal care and home care manufacturing capabilities.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6. Strategic Evaluation and Recommendations</w:t>
      </w:r>
    </w:p>
    <w:p>
      <w:pPr>
        <w:pStyle w:val="Normal"/>
        <w:spacing w:lineRule="auto" w:line="360" w:before="0" w:after="200"/>
        <w:jc w:val="both"/>
        <w:rPr>
          <w:rFonts w:ascii="Arial" w:hAnsi="Arial"/>
          <w:b/>
          <w:bCs/>
          <w:sz w:val="24"/>
          <w:szCs w:val="24"/>
        </w:rPr>
      </w:pPr>
      <w:r>
        <w:rPr>
          <w:b/>
          <w:bCs/>
          <w:sz w:val="24"/>
          <w:szCs w:val="24"/>
        </w:rPr>
        <w:t>Evaluating Current Strategy: Ansoff’s Matrix and the BCG Matrix</w:t>
      </w:r>
    </w:p>
    <w:p>
      <w:pPr>
        <w:pStyle w:val="Normal"/>
        <w:spacing w:lineRule="auto" w:line="360" w:before="0" w:after="200"/>
        <w:jc w:val="both"/>
        <w:rPr>
          <w:rFonts w:ascii="Arial" w:hAnsi="Arial"/>
          <w:sz w:val="24"/>
          <w:szCs w:val="24"/>
        </w:rPr>
      </w:pPr>
      <w:r>
        <w:rPr>
          <w:sz w:val="24"/>
          <w:szCs w:val="24"/>
        </w:rPr>
        <w:t>Ansoff’s Matrix (Ansoff, 1957) provides a robust framework for assessing corporate growth directions; which can be used to critically evaluate Unilever’s current trajectory.</w:t>
      </w:r>
    </w:p>
    <w:p>
      <w:pPr>
        <w:pStyle w:val="Normal"/>
        <w:spacing w:lineRule="auto" w:line="360" w:before="0" w:after="200"/>
        <w:jc w:val="center"/>
        <w:rPr>
          <w:sz w:val="20"/>
          <w:szCs w:val="20"/>
        </w:rPr>
      </w:pPr>
      <w:r>
        <w:drawing>
          <wp:anchor distT="0" distB="0" distL="0" distR="0" simplePos="0" relativeHeight="35" behindDoc="0" locked="0" layoutInCell="0" allowOverlap="1">
            <wp:simplePos x="0" y="0"/>
            <wp:positionH relativeFrom="column">
              <wp:align>center</wp:align>
            </wp:positionH>
            <wp:positionV relativeFrom="paragraph">
              <wp:posOffset>635</wp:posOffset>
            </wp:positionV>
            <wp:extent cx="5311140" cy="3337560"/>
            <wp:effectExtent l="0" t="0" r="0" b="0"/>
            <wp:wrapTopAndBottom/>
            <wp:docPr id="9"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7"/>
                    <pic:cNvPicPr>
                      <a:picLocks noChangeAspect="1" noChangeArrowheads="1"/>
                    </pic:cNvPicPr>
                  </pic:nvPicPr>
                  <pic:blipFill>
                    <a:blip r:embed="rId17"/>
                    <a:stretch>
                      <a:fillRect/>
                    </a:stretch>
                  </pic:blipFill>
                  <pic:spPr bwMode="auto">
                    <a:xfrm>
                      <a:off x="0" y="0"/>
                      <a:ext cx="5311140" cy="3337560"/>
                    </a:xfrm>
                    <a:prstGeom prst="rect">
                      <a:avLst/>
                    </a:prstGeom>
                    <a:noFill/>
                  </pic:spPr>
                </pic:pic>
              </a:graphicData>
            </a:graphic>
          </wp:anchor>
        </w:drawing>
      </w:r>
      <w:r>
        <w:rPr>
          <w:sz w:val="20"/>
          <w:szCs w:val="20"/>
        </w:rPr>
        <w:t xml:space="preserve">(Source: </w:t>
      </w:r>
      <w:hyperlink r:id="rId18">
        <w:r>
          <w:rPr>
            <w:rStyle w:val="Hyperlink"/>
            <w:sz w:val="20"/>
            <w:szCs w:val="20"/>
          </w:rPr>
          <w:t>https://boolkah.com/ansoff-matrix/</w:t>
        </w:r>
      </w:hyperlink>
      <w:r>
        <w:rPr>
          <w:sz w:val="20"/>
          <w:szCs w:val="20"/>
        </w:rPr>
        <w:t>)</w:t>
      </w:r>
    </w:p>
    <w:p>
      <w:pPr>
        <w:pStyle w:val="Normal"/>
        <w:spacing w:lineRule="auto" w:line="360" w:before="0" w:after="200"/>
        <w:jc w:val="both"/>
        <w:rPr>
          <w:rFonts w:ascii="Arial" w:hAnsi="Arial"/>
          <w:sz w:val="24"/>
          <w:szCs w:val="24"/>
        </w:rPr>
      </w:pPr>
      <w:r>
        <w:rPr>
          <w:sz w:val="24"/>
          <w:szCs w:val="24"/>
        </w:rPr>
        <w:t>Historically, Unilever pursu</w:t>
      </w:r>
      <w:r>
        <w:rPr>
          <w:sz w:val="24"/>
          <w:szCs w:val="24"/>
        </w:rPr>
        <w:t>ed</w:t>
      </w:r>
      <w:r>
        <w:rPr>
          <w:sz w:val="24"/>
          <w:szCs w:val="24"/>
        </w:rPr>
        <w:t xml:space="preserve"> </w:t>
      </w:r>
      <w:r>
        <w:rPr>
          <w:sz w:val="24"/>
          <w:szCs w:val="24"/>
        </w:rPr>
        <w:t xml:space="preserve">the strategy of </w:t>
      </w:r>
      <w:r>
        <w:rPr>
          <w:sz w:val="24"/>
          <w:szCs w:val="24"/>
        </w:rPr>
        <w:t xml:space="preserve">overly broad Diversification </w:t>
      </w:r>
      <w:r>
        <w:rPr>
          <w:sz w:val="24"/>
          <w:szCs w:val="24"/>
        </w:rPr>
        <w:t xml:space="preserve">by </w:t>
      </w:r>
      <w:r>
        <w:rPr>
          <w:sz w:val="24"/>
          <w:szCs w:val="24"/>
        </w:rPr>
        <w:t xml:space="preserve">acquiring and managing hundreds of </w:t>
      </w:r>
      <w:r>
        <w:rPr>
          <w:sz w:val="24"/>
          <w:szCs w:val="24"/>
        </w:rPr>
        <w:t>different</w:t>
      </w:r>
      <w:r>
        <w:rPr>
          <w:sz w:val="24"/>
          <w:szCs w:val="24"/>
        </w:rPr>
        <w:t xml:space="preserve"> brands across vari</w:t>
      </w:r>
      <w:r>
        <w:rPr>
          <w:sz w:val="24"/>
          <w:szCs w:val="24"/>
        </w:rPr>
        <w:t xml:space="preserve">ous </w:t>
      </w:r>
      <w:r>
        <w:rPr>
          <w:sz w:val="24"/>
          <w:szCs w:val="24"/>
        </w:rPr>
        <w:t xml:space="preserve">supply chains. </w:t>
      </w:r>
      <w:r>
        <w:rPr>
          <w:sz w:val="24"/>
          <w:szCs w:val="24"/>
        </w:rPr>
        <w:t>This strategy has created strategic problems at multiple levels in the organization. Consiquencely</w:t>
      </w:r>
      <w:r>
        <w:rPr>
          <w:sz w:val="24"/>
          <w:szCs w:val="24"/>
        </w:rPr>
        <w:t>, the company’</w:t>
      </w:r>
      <w:r>
        <w:rPr>
          <w:sz w:val="24"/>
          <w:szCs w:val="24"/>
        </w:rPr>
        <w:t>s</w:t>
      </w:r>
      <w:r>
        <w:rPr>
          <w:sz w:val="24"/>
          <w:szCs w:val="24"/>
        </w:rPr>
        <w:t xml:space="preserve"> strategy has aggressively pivoted towards Market Penetration and Product Development </w:t>
      </w:r>
      <w:r>
        <w:rPr>
          <w:sz w:val="24"/>
          <w:szCs w:val="24"/>
        </w:rPr>
        <w:t xml:space="preserve">rather than diversification </w:t>
      </w:r>
      <w:r>
        <w:rPr>
          <w:sz w:val="24"/>
          <w:szCs w:val="24"/>
        </w:rPr>
        <w:t xml:space="preserve">(Unilever, 2024). </w:t>
      </w:r>
      <w:r>
        <w:rPr>
          <w:sz w:val="24"/>
          <w:szCs w:val="24"/>
        </w:rPr>
        <w:t>U</w:t>
      </w:r>
      <w:r>
        <w:rPr>
          <w:sz w:val="24"/>
          <w:szCs w:val="24"/>
        </w:rPr>
        <w:t>nder the 2024–2025 'Growth Action Plan', By concentrating marketing capital exclusively on its top 30 "Power Brands," Unilever is executing a textbook market penetration strategy: defending and expanding the market share of existing products in existing markets against the threat of cheaper supermarket private labels (Marketing Week, 2024).</w:t>
      </w:r>
    </w:p>
    <w:p>
      <w:pPr>
        <w:pStyle w:val="Normal"/>
        <w:spacing w:lineRule="auto" w:line="360" w:before="0" w:after="200"/>
        <w:jc w:val="both"/>
        <w:rPr>
          <w:rFonts w:ascii="Arial" w:hAnsi="Arial"/>
          <w:sz w:val="24"/>
          <w:szCs w:val="24"/>
        </w:rPr>
      </w:pPr>
      <w:r>
        <w:rPr>
          <w:sz w:val="24"/>
          <w:szCs w:val="24"/>
        </w:rPr>
        <w:t xml:space="preserve">Simultaneously, </w:t>
      </w:r>
      <w:r>
        <w:rPr>
          <w:sz w:val="24"/>
          <w:szCs w:val="24"/>
        </w:rPr>
        <w:t>we can evaluate Unilever’s strategic disinvestment from</w:t>
      </w:r>
      <w:r>
        <w:rPr>
          <w:sz w:val="24"/>
          <w:szCs w:val="24"/>
        </w:rPr>
        <w:t xml:space="preserve"> the €7.9 billion Ice Cream division using the Boston Consulting Group Matrix (BCG) (Henderson, 1970). Ice Cream segment </w:t>
      </w:r>
      <w:r>
        <w:rPr>
          <w:sz w:val="24"/>
          <w:szCs w:val="24"/>
        </w:rPr>
        <w:t xml:space="preserve">generates high revenue for </w:t>
      </w:r>
      <w:r>
        <w:rPr>
          <w:sz w:val="24"/>
          <w:szCs w:val="24"/>
        </w:rPr>
        <w:t xml:space="preserve">Unilever's portfolio, </w:t>
      </w:r>
      <w:r>
        <w:rPr>
          <w:sz w:val="24"/>
          <w:szCs w:val="24"/>
        </w:rPr>
        <w:t xml:space="preserve">but this revenue has </w:t>
      </w:r>
      <w:r>
        <w:rPr>
          <w:sz w:val="24"/>
          <w:szCs w:val="24"/>
        </w:rPr>
        <w:t xml:space="preserve">characteristics of a low-margin </w:t>
      </w:r>
      <w:r>
        <w:rPr>
          <w:sz w:val="24"/>
          <w:szCs w:val="24"/>
        </w:rPr>
        <w:t>c</w:t>
      </w:r>
      <w:r>
        <w:rPr>
          <w:sz w:val="24"/>
          <w:szCs w:val="24"/>
        </w:rPr>
        <w:t xml:space="preserve">ash </w:t>
      </w:r>
      <w:r>
        <w:rPr>
          <w:sz w:val="24"/>
          <w:szCs w:val="24"/>
        </w:rPr>
        <w:t>c</w:t>
      </w:r>
      <w:r>
        <w:rPr>
          <w:sz w:val="24"/>
          <w:szCs w:val="24"/>
        </w:rPr>
        <w:t xml:space="preserve">ow </w:t>
      </w:r>
      <w:r>
        <w:rPr>
          <w:sz w:val="24"/>
          <w:szCs w:val="24"/>
        </w:rPr>
        <w:t xml:space="preserve">and </w:t>
      </w:r>
      <w:r>
        <w:rPr>
          <w:sz w:val="24"/>
          <w:szCs w:val="24"/>
        </w:rPr>
        <w:t xml:space="preserve">it </w:t>
      </w:r>
      <w:r>
        <w:rPr>
          <w:sz w:val="24"/>
          <w:szCs w:val="24"/>
        </w:rPr>
        <w:t>requires a</w:t>
      </w:r>
      <w:r>
        <w:rPr>
          <w:sz w:val="24"/>
          <w:szCs w:val="24"/>
        </w:rPr>
        <w:t xml:space="preserve"> highly capital-intensive frozen supply chain and </w:t>
      </w:r>
      <w:r>
        <w:rPr>
          <w:sz w:val="24"/>
          <w:szCs w:val="24"/>
        </w:rPr>
        <w:t>its</w:t>
      </w:r>
      <w:r>
        <w:rPr>
          <w:sz w:val="24"/>
          <w:szCs w:val="24"/>
        </w:rPr>
        <w:t xml:space="preserve"> vulnerability to inflation </w:t>
      </w:r>
      <w:r>
        <w:rPr>
          <w:sz w:val="24"/>
          <w:szCs w:val="24"/>
        </w:rPr>
        <w:t xml:space="preserve">is increasing because of rising </w:t>
      </w:r>
      <w:r>
        <w:rPr>
          <w:sz w:val="24"/>
          <w:szCs w:val="24"/>
        </w:rPr>
        <w:t>input-cost</w:t>
      </w:r>
      <w:r>
        <w:rPr>
          <w:sz w:val="24"/>
          <w:szCs w:val="24"/>
        </w:rPr>
        <w:t>s</w:t>
      </w:r>
      <w:r>
        <w:rPr>
          <w:sz w:val="24"/>
          <w:szCs w:val="24"/>
        </w:rPr>
        <w:t xml:space="preserve"> (e.g., dairy and sugar) (AJ Bell, 2026). By divesting this unit, Unilever </w:t>
      </w:r>
      <w:r>
        <w:rPr>
          <w:sz w:val="24"/>
          <w:szCs w:val="24"/>
        </w:rPr>
        <w:t>drastically</w:t>
      </w:r>
      <w:r>
        <w:rPr>
          <w:sz w:val="24"/>
          <w:szCs w:val="24"/>
        </w:rPr>
        <w:t xml:space="preserve"> </w:t>
      </w:r>
      <w:r>
        <w:rPr>
          <w:sz w:val="24"/>
          <w:szCs w:val="24"/>
        </w:rPr>
        <w:t>improves</w:t>
      </w:r>
      <w:r>
        <w:rPr>
          <w:sz w:val="24"/>
          <w:szCs w:val="24"/>
        </w:rPr>
        <w:t xml:space="preserve"> its overall operating margins </w:t>
      </w:r>
      <w:r>
        <w:rPr>
          <w:sz w:val="24"/>
          <w:szCs w:val="24"/>
        </w:rPr>
        <w:t xml:space="preserve">and balance sheets. This highly strategic move will </w:t>
      </w:r>
      <w:r>
        <w:rPr>
          <w:sz w:val="24"/>
          <w:szCs w:val="24"/>
        </w:rPr>
        <w:t>realig</w:t>
      </w:r>
      <w:r>
        <w:rPr>
          <w:sz w:val="24"/>
          <w:szCs w:val="24"/>
        </w:rPr>
        <w:t>n</w:t>
      </w:r>
      <w:r>
        <w:rPr>
          <w:sz w:val="24"/>
          <w:szCs w:val="24"/>
        </w:rPr>
        <w:t xml:space="preserve"> its corporate portfolio to focus solely on high-growth </w:t>
      </w:r>
      <w:r>
        <w:rPr>
          <w:sz w:val="24"/>
          <w:szCs w:val="24"/>
        </w:rPr>
        <w:t>products with better margins,</w:t>
      </w:r>
      <w:r>
        <w:rPr>
          <w:sz w:val="24"/>
          <w:szCs w:val="24"/>
        </w:rPr>
        <w:t xml:space="preserve"> such as its Prestige Beauty and Health &amp; Wellbeing divisions.</w:t>
      </w:r>
    </w:p>
    <w:p>
      <w:pPr>
        <w:pStyle w:val="Normal"/>
        <w:spacing w:lineRule="auto" w:line="360" w:before="0" w:after="200"/>
        <w:jc w:val="both"/>
        <w:rPr>
          <w:rFonts w:ascii="Arial" w:hAnsi="Arial"/>
          <w:b/>
          <w:bCs/>
          <w:sz w:val="24"/>
          <w:szCs w:val="24"/>
        </w:rPr>
      </w:pPr>
      <w:r>
        <w:rPr>
          <w:b/>
          <w:bCs/>
          <w:sz w:val="24"/>
          <w:szCs w:val="24"/>
        </w:rPr>
        <w:t>Strategic Recommendations</w:t>
      </w:r>
    </w:p>
    <w:p>
      <w:pPr>
        <w:pStyle w:val="Normal"/>
        <w:spacing w:lineRule="auto" w:line="360" w:before="0" w:after="200"/>
        <w:jc w:val="both"/>
        <w:rPr>
          <w:rFonts w:ascii="Arial" w:hAnsi="Arial"/>
          <w:sz w:val="24"/>
          <w:szCs w:val="24"/>
        </w:rPr>
      </w:pPr>
      <w:r>
        <w:rPr>
          <w:sz w:val="24"/>
          <w:szCs w:val="24"/>
        </w:rPr>
        <w:t>After critical evaluation of Unilever’s business model and current performance, the report suggests following strategic recommendations t</w:t>
      </w:r>
      <w:r>
        <w:rPr>
          <w:sz w:val="24"/>
          <w:szCs w:val="24"/>
        </w:rPr>
        <w:t xml:space="preserve">o ensure Unilever maintains and </w:t>
      </w:r>
      <w:r>
        <w:rPr>
          <w:sz w:val="24"/>
          <w:szCs w:val="24"/>
        </w:rPr>
        <w:t>improves</w:t>
      </w:r>
      <w:r>
        <w:rPr>
          <w:sz w:val="24"/>
          <w:szCs w:val="24"/>
        </w:rPr>
        <w:t xml:space="preserve"> its competitive advantage in a volatile, </w:t>
      </w:r>
      <w:r>
        <w:rPr>
          <w:sz w:val="24"/>
          <w:szCs w:val="24"/>
        </w:rPr>
        <w:t>rapidly chaning c</w:t>
      </w:r>
      <w:r>
        <w:rPr>
          <w:sz w:val="24"/>
          <w:szCs w:val="24"/>
        </w:rPr>
        <w:t xml:space="preserve">onsumer </w:t>
      </w:r>
      <w:r>
        <w:rPr>
          <w:sz w:val="24"/>
          <w:szCs w:val="24"/>
        </w:rPr>
        <w:t>g</w:t>
      </w:r>
      <w:r>
        <w:rPr>
          <w:sz w:val="24"/>
          <w:szCs w:val="24"/>
        </w:rPr>
        <w:t xml:space="preserve">oods market. </w:t>
      </w:r>
      <w:r>
        <w:rPr>
          <w:sz w:val="24"/>
          <w:szCs w:val="24"/>
        </w:rPr>
        <w:t>P</w:t>
      </w:r>
      <w:r>
        <w:rPr>
          <w:sz w:val="24"/>
          <w:szCs w:val="24"/>
        </w:rPr>
        <w:t xml:space="preserve">roposed recommendations are </w:t>
      </w:r>
      <w:r>
        <w:rPr>
          <w:sz w:val="24"/>
          <w:szCs w:val="24"/>
        </w:rPr>
        <w:t>also</w:t>
      </w:r>
      <w:r>
        <w:rPr>
          <w:sz w:val="24"/>
          <w:szCs w:val="24"/>
        </w:rPr>
        <w:t xml:space="preserve"> justified by theoretical frameworks and empirical data:</w:t>
      </w:r>
    </w:p>
    <w:p>
      <w:pPr>
        <w:pStyle w:val="Normal"/>
        <w:numPr>
          <w:ilvl w:val="0"/>
          <w:numId w:val="1"/>
        </w:numPr>
        <w:spacing w:lineRule="auto" w:line="360" w:before="0" w:after="200"/>
        <w:jc w:val="both"/>
        <w:rPr>
          <w:rFonts w:ascii="Arial" w:hAnsi="Arial"/>
          <w:sz w:val="24"/>
          <w:szCs w:val="24"/>
        </w:rPr>
      </w:pPr>
      <w:r>
        <w:rPr>
          <w:sz w:val="24"/>
          <w:szCs w:val="24"/>
        </w:rPr>
        <w:t xml:space="preserve">Unilever must aggressively </w:t>
      </w:r>
      <w:r>
        <w:rPr>
          <w:sz w:val="24"/>
          <w:szCs w:val="24"/>
        </w:rPr>
        <w:t xml:space="preserve">invest the capital into engineering and product development for ‘masstige categories’. The capital from icecream disinvestment can be </w:t>
      </w:r>
      <w:r>
        <w:rPr>
          <w:sz w:val="24"/>
          <w:szCs w:val="24"/>
        </w:rPr>
        <w:t>reallocate</w:t>
      </w:r>
      <w:r>
        <w:rPr>
          <w:sz w:val="24"/>
          <w:szCs w:val="24"/>
        </w:rPr>
        <w:t>d into this initiative</w:t>
      </w:r>
      <w:r>
        <w:rPr>
          <w:sz w:val="24"/>
          <w:szCs w:val="24"/>
        </w:rPr>
        <w:t xml:space="preserve">. </w:t>
      </w:r>
      <w:r>
        <w:rPr>
          <w:sz w:val="24"/>
          <w:szCs w:val="24"/>
        </w:rPr>
        <w:t>These are the products that combine mass market accessibility and prestige with science backed formulations. According to a well known consumer psychology phenomenon ‘ The Lipstick Effect’ -  consumers restrain their spending on basic goods during longer cost of living crisis but often treat themselves with affordable luxuries (Unilever, 2025).  Unilever will be deploying a clear differentiation strategy  by elevating its heritage brands through premium product development (e.g. advanced Dove serum body care lines).</w:t>
      </w:r>
      <w:r>
        <w:rPr>
          <w:sz w:val="24"/>
          <w:szCs w:val="24"/>
        </w:rPr>
        <w:t xml:space="preserve"> </w:t>
      </w:r>
      <w:r>
        <w:rPr>
          <w:sz w:val="24"/>
          <w:szCs w:val="24"/>
        </w:rPr>
        <w:t>Unilever can</w:t>
      </w:r>
      <w:r>
        <w:rPr>
          <w:sz w:val="24"/>
          <w:szCs w:val="24"/>
        </w:rPr>
        <w:t xml:space="preserve"> insulates the firm from </w:t>
      </w:r>
      <w:r>
        <w:rPr>
          <w:sz w:val="24"/>
          <w:szCs w:val="24"/>
        </w:rPr>
        <w:t>costly</w:t>
      </w:r>
      <w:r>
        <w:rPr>
          <w:sz w:val="24"/>
          <w:szCs w:val="24"/>
        </w:rPr>
        <w:t xml:space="preserve"> price wars of private labels </w:t>
      </w:r>
      <w:r>
        <w:rPr>
          <w:sz w:val="24"/>
          <w:szCs w:val="24"/>
        </w:rPr>
        <w:t xml:space="preserve">and </w:t>
      </w:r>
      <w:r>
        <w:rPr>
          <w:sz w:val="24"/>
          <w:szCs w:val="24"/>
        </w:rPr>
        <w:t xml:space="preserve">command higher gross margins </w:t>
      </w:r>
      <w:r>
        <w:rPr>
          <w:sz w:val="24"/>
          <w:szCs w:val="24"/>
        </w:rPr>
        <w:t>this way.</w:t>
      </w:r>
    </w:p>
    <w:p>
      <w:pPr>
        <w:pStyle w:val="Normal"/>
        <w:numPr>
          <w:ilvl w:val="0"/>
          <w:numId w:val="1"/>
        </w:numPr>
        <w:spacing w:lineRule="auto" w:line="360" w:before="0" w:after="200"/>
        <w:jc w:val="both"/>
        <w:rPr>
          <w:rFonts w:ascii="Arial" w:hAnsi="Arial"/>
          <w:sz w:val="24"/>
          <w:szCs w:val="24"/>
        </w:rPr>
      </w:pPr>
      <w:r>
        <w:rPr>
          <w:sz w:val="24"/>
          <w:szCs w:val="24"/>
        </w:rPr>
        <w:t xml:space="preserve">While Unilever’s massive scale provides a VRIO competitive advantage in global distribution, it </w:t>
      </w:r>
      <w:r>
        <w:rPr>
          <w:sz w:val="24"/>
          <w:szCs w:val="24"/>
        </w:rPr>
        <w:t>lacks</w:t>
      </w:r>
      <w:r>
        <w:rPr>
          <w:sz w:val="24"/>
          <w:szCs w:val="24"/>
        </w:rPr>
        <w:t xml:space="preserve"> the agility required for rapid organic R&amp;D. </w:t>
      </w:r>
      <w:r>
        <w:rPr>
          <w:sz w:val="24"/>
          <w:szCs w:val="24"/>
        </w:rPr>
        <w:t xml:space="preserve">Hence, Unilever should use targeted ‘Bolt On Acquisitions’ strategy to overcome this innovation lag. It can  acquire high-growth ‘indie" beauty and wellness brands’ present primarily on the digital space, plug their innovative and established products directly into its global supply chain to leverage Unilever’s core competency (Distribution). This conclusion can be drawn through previous Resource based view analysis. </w:t>
      </w:r>
      <w:r>
        <w:rPr>
          <w:sz w:val="24"/>
          <w:szCs w:val="24"/>
        </w:rPr>
        <w:t>Unilever can achiev</w:t>
      </w:r>
      <w:r>
        <w:rPr>
          <w:sz w:val="24"/>
          <w:szCs w:val="24"/>
        </w:rPr>
        <w:t>e</w:t>
      </w:r>
      <w:r>
        <w:rPr>
          <w:sz w:val="24"/>
          <w:szCs w:val="24"/>
        </w:rPr>
        <w:t xml:space="preserve"> rapid market development without bearing the initial, high-risk R&amp;D costs associated with creating new brands from scratch (MatrixBCG, 2026).</w:t>
      </w:r>
    </w:p>
    <w:p>
      <w:pPr>
        <w:pStyle w:val="Normal"/>
        <w:numPr>
          <w:ilvl w:val="0"/>
          <w:numId w:val="1"/>
        </w:numPr>
        <w:spacing w:lineRule="auto" w:line="360" w:before="0" w:after="200"/>
        <w:jc w:val="both"/>
        <w:rPr>
          <w:rFonts w:ascii="Arial" w:hAnsi="Arial"/>
          <w:sz w:val="24"/>
          <w:szCs w:val="24"/>
        </w:rPr>
      </w:pPr>
      <w:r>
        <w:rPr>
          <w:sz w:val="24"/>
          <w:szCs w:val="24"/>
        </w:rPr>
        <w:t xml:space="preserve">Finally, Unilever must permanently detach its CSR strategy from pure consumer marketing and embed it within Green Supply Chain Management </w:t>
      </w:r>
      <w:r>
        <w:rPr>
          <w:sz w:val="24"/>
          <w:szCs w:val="24"/>
        </w:rPr>
        <w:t>(</w:t>
      </w:r>
      <w:r>
        <w:rPr>
          <w:sz w:val="24"/>
          <w:szCs w:val="24"/>
        </w:rPr>
        <w:t>GSCM</w:t>
      </w:r>
      <w:r>
        <w:rPr>
          <w:sz w:val="24"/>
          <w:szCs w:val="24"/>
        </w:rPr>
        <w:t>)</w:t>
      </w:r>
      <w:r>
        <w:rPr>
          <w:sz w:val="24"/>
          <w:szCs w:val="24"/>
        </w:rPr>
        <w:t xml:space="preserve"> theory (Srivastava, 2007). </w:t>
      </w:r>
      <w:r>
        <w:rPr>
          <w:sz w:val="24"/>
          <w:szCs w:val="24"/>
        </w:rPr>
        <w:t xml:space="preserve">This formal institutionalization of GSCM will setisfy its financial stakeholders and grant a competitive advantage. Unilever should treat sustainability as an operational efficiency and risk-mitigation tool by investing in AI-driven traceability to ensure compliance with the strict EU Deforestation Regulation. </w:t>
      </w:r>
      <w:r>
        <w:rPr>
          <w:sz w:val="24"/>
          <w:szCs w:val="24"/>
        </w:rPr>
        <w:t xml:space="preserve">Unilever </w:t>
      </w:r>
      <w:r>
        <w:rPr>
          <w:sz w:val="24"/>
          <w:szCs w:val="24"/>
        </w:rPr>
        <w:t>can</w:t>
      </w:r>
      <w:r>
        <w:rPr>
          <w:sz w:val="24"/>
          <w:szCs w:val="24"/>
        </w:rPr>
        <w:t xml:space="preserve"> directly reduce waste, lower energy consumption, </w:t>
      </w:r>
      <w:r>
        <w:rPr>
          <w:sz w:val="24"/>
          <w:szCs w:val="24"/>
        </w:rPr>
        <w:t>avoid regulatory taxation,</w:t>
      </w:r>
      <w:r>
        <w:rPr>
          <w:sz w:val="24"/>
          <w:szCs w:val="24"/>
        </w:rPr>
        <w:t xml:space="preserve"> and align </w:t>
      </w:r>
      <w:r>
        <w:rPr>
          <w:sz w:val="24"/>
          <w:szCs w:val="24"/>
        </w:rPr>
        <w:t>itself to</w:t>
      </w:r>
      <w:r>
        <w:rPr>
          <w:sz w:val="24"/>
          <w:szCs w:val="24"/>
        </w:rPr>
        <w:t xml:space="preserve"> a highly regulated future.</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Section 2 : Reflective Account</w:t>
      </w:r>
    </w:p>
    <w:p>
      <w:pPr>
        <w:pStyle w:val="Normal"/>
        <w:spacing w:lineRule="auto" w:line="360" w:before="0" w:after="200"/>
        <w:jc w:val="both"/>
        <w:rPr>
          <w:rFonts w:ascii="Arial" w:hAnsi="Arial"/>
          <w:sz w:val="24"/>
          <w:szCs w:val="24"/>
        </w:rPr>
      </w:pPr>
      <w:r>
        <w:rPr>
          <w:sz w:val="24"/>
          <w:szCs w:val="24"/>
        </w:rPr>
        <w:t>Strategic evaluation of Unilever required regirious process of preparation, reseaching, Analyzing and writing the report in academic manner. Thoughout this process, I experienced multiple difficulties and enhanced my skills. I am using Gibbs’ Reflective Cycle (1988) to critically reflect upon personal and academic aspects of this process.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center"/>
        <w:rPr>
          <w:rFonts w:ascii="Arial" w:hAnsi="Arial"/>
          <w:sz w:val="24"/>
          <w:szCs w:val="24"/>
        </w:rPr>
      </w:pPr>
      <w:r>
        <w:drawing>
          <wp:anchor distT="0" distB="0" distL="0" distR="0" simplePos="0" relativeHeight="34" behindDoc="0" locked="0" layoutInCell="0" allowOverlap="1">
            <wp:simplePos x="0" y="0"/>
            <wp:positionH relativeFrom="column">
              <wp:align>center</wp:align>
            </wp:positionH>
            <wp:positionV relativeFrom="paragraph">
              <wp:posOffset>635</wp:posOffset>
            </wp:positionV>
            <wp:extent cx="5084445" cy="3813175"/>
            <wp:effectExtent l="0" t="0" r="0" b="0"/>
            <wp:wrapTopAndBottom/>
            <wp:docPr id="10"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
                    <pic:cNvPicPr>
                      <a:picLocks noChangeAspect="1" noChangeArrowheads="1"/>
                    </pic:cNvPicPr>
                  </pic:nvPicPr>
                  <pic:blipFill>
                    <a:blip r:embed="rId19"/>
                    <a:stretch>
                      <a:fillRect/>
                    </a:stretch>
                  </pic:blipFill>
                  <pic:spPr bwMode="auto">
                    <a:xfrm>
                      <a:off x="0" y="0"/>
                      <a:ext cx="5084445" cy="3813175"/>
                    </a:xfrm>
                    <a:prstGeom prst="rect">
                      <a:avLst/>
                    </a:prstGeom>
                    <a:noFill/>
                  </pic:spPr>
                </pic:pic>
              </a:graphicData>
            </a:graphic>
          </wp:anchor>
        </w:drawing>
      </w:r>
      <w:r>
        <w:rPr>
          <w:sz w:val="20"/>
          <w:szCs w:val="20"/>
        </w:rPr>
        <w:t xml:space="preserve">(Source: </w:t>
      </w:r>
      <w:hyperlink r:id="rId20">
        <w:r>
          <w:rPr>
            <w:rStyle w:val="Hyperlink"/>
            <w:sz w:val="20"/>
            <w:szCs w:val="20"/>
          </w:rPr>
          <w:t>https://www.simplypsychology.org/gibbs-reflective-cycle.html</w:t>
        </w:r>
      </w:hyperlink>
      <w:r>
        <w:rPr>
          <w:sz w:val="20"/>
          <w:szCs w:val="20"/>
        </w:rPr>
        <w:t xml:space="preserve"> )</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1. Description</w:t>
      </w:r>
    </w:p>
    <w:p>
      <w:pPr>
        <w:pStyle w:val="Normal"/>
        <w:spacing w:lineRule="auto" w:line="360" w:before="0" w:after="200"/>
        <w:jc w:val="both"/>
        <w:rPr>
          <w:rFonts w:ascii="Arial" w:hAnsi="Arial"/>
          <w:sz w:val="24"/>
          <w:szCs w:val="24"/>
        </w:rPr>
      </w:pPr>
      <w:r>
        <w:rPr>
          <w:sz w:val="24"/>
          <w:szCs w:val="24"/>
        </w:rPr>
        <w:t>The objective of this assignment was to produce a comprehensive, Level 7 strategic management report with complete evaluation of the internal and external environments, company’s CSR alignments and strategic choices of Unillever (My chosen Organisation in FMCG sector). I was required to provide my assessment with a deep, critical synthesis of strategic management issues under a strict 5,000-word limit and support it with 15 to 20 credible academic and industry sources.</w:t>
      </w:r>
    </w:p>
    <w:p>
      <w:pPr>
        <w:pStyle w:val="Normal"/>
        <w:spacing w:lineRule="auto" w:line="360" w:before="0" w:after="200"/>
        <w:jc w:val="both"/>
        <w:rPr>
          <w:rFonts w:ascii="Arial" w:hAnsi="Arial"/>
          <w:sz w:val="24"/>
          <w:szCs w:val="24"/>
        </w:rPr>
      </w:pPr>
      <w:r>
        <w:rPr>
          <w:sz w:val="24"/>
          <w:szCs w:val="24"/>
        </w:rPr>
        <w:t>As per the publicly available information from first party sources, Unilever is currently undergoing a radical structural transformation under its 2024–2025 "Growth Action Plan". This transformation includes huge divestments, elimination of jobs and much more. My first hurdle was understanding this corporate restructuring from holistic point of view and then mapping it against multiple well established theoretical frameworks (including PESTEL, the VRIO framework, the Balanced Scorecard, Porter’s Generic Strategies, and Ansoff’s Matrix). Moreover, I had to critically understand the ‘why’ behind each move, justify why these strategic choices and actions were made and evaluate their consequences, instead of merely discribing this transition in real-time.</w:t>
      </w:r>
    </w:p>
    <w:p>
      <w:pPr>
        <w:pStyle w:val="Normal"/>
        <w:spacing w:lineRule="auto" w:line="360" w:before="0" w:after="200"/>
        <w:jc w:val="both"/>
        <w:rPr>
          <w:rFonts w:ascii="Arial" w:hAnsi="Arial"/>
          <w:b/>
          <w:bCs/>
          <w:sz w:val="24"/>
          <w:szCs w:val="24"/>
        </w:rPr>
      </w:pPr>
      <w:r>
        <w:rPr>
          <w:b/>
          <w:bCs/>
          <w:sz w:val="24"/>
          <w:szCs w:val="24"/>
        </w:rPr>
        <w:t>2. Feelings</w:t>
      </w:r>
    </w:p>
    <w:p>
      <w:pPr>
        <w:pStyle w:val="Normal"/>
        <w:spacing w:lineRule="auto" w:line="360" w:before="0" w:after="200"/>
        <w:jc w:val="both"/>
        <w:rPr>
          <w:rFonts w:ascii="Arial" w:hAnsi="Arial"/>
          <w:sz w:val="24"/>
          <w:szCs w:val="24"/>
        </w:rPr>
      </w:pPr>
      <w:r>
        <w:rPr>
          <w:sz w:val="24"/>
          <w:szCs w:val="24"/>
        </w:rPr>
        <w:t xml:space="preserve">Unilever is a €60 billion FMCG conglomerate, so the sheer volume of data (financial, operational, and marketing) was staggering and the data itself looked complex. Initially, I felt overwhelmed and </w:t>
      </w:r>
      <w:r>
        <w:rPr>
          <w:sz w:val="24"/>
          <w:szCs w:val="24"/>
        </w:rPr>
        <w:t xml:space="preserve">anxious about synthesising </w:t>
      </w:r>
      <w:r>
        <w:rPr>
          <w:sz w:val="24"/>
          <w:szCs w:val="24"/>
        </w:rPr>
        <w:t>this</w:t>
      </w:r>
      <w:r>
        <w:rPr>
          <w:sz w:val="24"/>
          <w:szCs w:val="24"/>
        </w:rPr>
        <w:t xml:space="preserve"> decades of complex corporate history and current market volatility into a strictly capped word limit; </w:t>
      </w:r>
      <w:r>
        <w:rPr>
          <w:sz w:val="24"/>
          <w:szCs w:val="24"/>
        </w:rPr>
        <w:t>that too</w:t>
      </w:r>
      <w:r>
        <w:rPr>
          <w:sz w:val="24"/>
          <w:szCs w:val="24"/>
        </w:rPr>
        <w:t xml:space="preserve"> without losing the critical depth. </w:t>
      </w:r>
      <w:r>
        <w:rPr>
          <w:sz w:val="24"/>
          <w:szCs w:val="24"/>
        </w:rPr>
        <w:t>Another concern I had</w:t>
      </w:r>
      <w:r>
        <w:rPr>
          <w:sz w:val="24"/>
          <w:szCs w:val="24"/>
        </w:rPr>
        <w:t xml:space="preserve"> was particularly about the </w:t>
      </w:r>
      <w:r>
        <w:rPr>
          <w:sz w:val="24"/>
          <w:szCs w:val="24"/>
        </w:rPr>
        <w:t>e</w:t>
      </w:r>
      <w:r>
        <w:rPr>
          <w:sz w:val="24"/>
          <w:szCs w:val="24"/>
        </w:rPr>
        <w:t xml:space="preserve">xternal and Internal </w:t>
      </w:r>
      <w:r>
        <w:rPr>
          <w:sz w:val="24"/>
          <w:szCs w:val="24"/>
        </w:rPr>
        <w:t>e</w:t>
      </w:r>
      <w:r>
        <w:rPr>
          <w:sz w:val="24"/>
          <w:szCs w:val="24"/>
        </w:rPr>
        <w:t xml:space="preserve">nvironment </w:t>
      </w:r>
      <w:r>
        <w:rPr>
          <w:sz w:val="24"/>
          <w:szCs w:val="24"/>
        </w:rPr>
        <w:t>analysis</w:t>
      </w:r>
      <w:r>
        <w:rPr>
          <w:sz w:val="24"/>
          <w:szCs w:val="24"/>
        </w:rPr>
        <w:t xml:space="preserve">; I feared my writing would </w:t>
      </w:r>
      <w:r>
        <w:rPr>
          <w:sz w:val="24"/>
          <w:szCs w:val="24"/>
        </w:rPr>
        <w:t>seem like</w:t>
      </w:r>
      <w:r>
        <w:rPr>
          <w:sz w:val="24"/>
          <w:szCs w:val="24"/>
        </w:rPr>
        <w:t xml:space="preserve"> a descriptive list of macroeconomic trends rather than a sharp, analytical synthesis.</w:t>
      </w:r>
    </w:p>
    <w:p>
      <w:pPr>
        <w:pStyle w:val="Normal"/>
        <w:spacing w:lineRule="auto" w:line="360" w:before="0" w:after="200"/>
        <w:jc w:val="both"/>
        <w:rPr>
          <w:rFonts w:ascii="Arial" w:hAnsi="Arial"/>
          <w:sz w:val="24"/>
          <w:szCs w:val="24"/>
        </w:rPr>
      </w:pPr>
      <w:r>
        <w:rPr>
          <w:sz w:val="24"/>
          <w:szCs w:val="24"/>
        </w:rPr>
        <w:t>However, I went through this chaotic data and started corelating it with  specific academic frameworks. This was the moment when my anxiety turned into excitement. Everythign became even more clear when I discovered(using those frameworks) that Unilever was historically enforcing a social purpose on everybrand, which was highly criticised CSR aproach; then it transitioned to a new financially disciplined strategy. I felt like high level corporate consultant while structuring this newly discoveredturnaround strategy in the balanced scorecard section.</w:t>
      </w:r>
    </w:p>
    <w:p>
      <w:pPr>
        <w:pStyle w:val="Normal"/>
        <w:spacing w:lineRule="auto" w:line="360" w:before="0" w:after="200"/>
        <w:jc w:val="both"/>
        <w:rPr>
          <w:rFonts w:ascii="Arial" w:hAnsi="Arial"/>
          <w:b/>
          <w:bCs/>
          <w:sz w:val="24"/>
          <w:szCs w:val="24"/>
        </w:rPr>
      </w:pPr>
      <w:r>
        <w:rPr>
          <w:b/>
          <w:bCs/>
          <w:sz w:val="24"/>
          <w:szCs w:val="24"/>
        </w:rPr>
        <w:t>3. Evaluation</w:t>
      </w:r>
    </w:p>
    <w:p>
      <w:pPr>
        <w:pStyle w:val="Normal"/>
        <w:spacing w:lineRule="auto" w:line="360" w:before="0" w:after="200"/>
        <w:jc w:val="both"/>
        <w:rPr>
          <w:rFonts w:ascii="Arial" w:hAnsi="Arial"/>
          <w:sz w:val="24"/>
          <w:szCs w:val="24"/>
        </w:rPr>
      </w:pPr>
      <w:r>
        <w:rPr>
          <w:sz w:val="24"/>
          <w:szCs w:val="24"/>
        </w:rPr>
        <w:t xml:space="preserve">The most positive aspect of this research process was </w:t>
      </w:r>
      <w:r>
        <w:rPr>
          <w:sz w:val="24"/>
          <w:szCs w:val="24"/>
        </w:rPr>
        <w:t>currently</w:t>
      </w:r>
      <w:r>
        <w:rPr>
          <w:sz w:val="24"/>
          <w:szCs w:val="24"/>
        </w:rPr>
        <w:t xml:space="preserve"> relevance of the </w:t>
      </w:r>
      <w:r>
        <w:rPr>
          <w:sz w:val="24"/>
          <w:szCs w:val="24"/>
        </w:rPr>
        <w:t>subject</w:t>
      </w:r>
      <w:r>
        <w:rPr>
          <w:sz w:val="24"/>
          <w:szCs w:val="24"/>
        </w:rPr>
        <w:t xml:space="preserve"> matter </w:t>
      </w:r>
      <w:r>
        <w:rPr>
          <w:sz w:val="24"/>
          <w:szCs w:val="24"/>
        </w:rPr>
        <w:t>and chosen company, specifically in the current volatile market.</w:t>
      </w:r>
      <w:r>
        <w:rPr>
          <w:sz w:val="24"/>
          <w:szCs w:val="24"/>
        </w:rPr>
        <w:t xml:space="preserve"> Because Unilever is currently executing a massive structural overhaul </w:t>
      </w:r>
      <w:r>
        <w:rPr>
          <w:sz w:val="24"/>
          <w:szCs w:val="24"/>
        </w:rPr>
        <w:t>in real time</w:t>
      </w:r>
      <w:r>
        <w:rPr>
          <w:sz w:val="24"/>
          <w:szCs w:val="24"/>
        </w:rPr>
        <w:t xml:space="preserve">, finding high-quality, peer-reviewed literature and elite financial </w:t>
      </w:r>
      <w:r>
        <w:rPr>
          <w:sz w:val="24"/>
          <w:szCs w:val="24"/>
        </w:rPr>
        <w:t>reports</w:t>
      </w:r>
      <w:r>
        <w:rPr>
          <w:sz w:val="24"/>
          <w:szCs w:val="24"/>
        </w:rPr>
        <w:t xml:space="preserve"> was </w:t>
      </w:r>
      <w:r>
        <w:rPr>
          <w:sz w:val="24"/>
          <w:szCs w:val="24"/>
        </w:rPr>
        <w:t>easy</w:t>
      </w:r>
      <w:r>
        <w:rPr>
          <w:sz w:val="24"/>
          <w:szCs w:val="24"/>
        </w:rPr>
        <w:t xml:space="preserve">. This </w:t>
      </w:r>
      <w:r>
        <w:rPr>
          <w:sz w:val="24"/>
          <w:szCs w:val="24"/>
        </w:rPr>
        <w:t>ease of access to current data</w:t>
      </w:r>
      <w:r>
        <w:rPr>
          <w:sz w:val="24"/>
          <w:szCs w:val="24"/>
        </w:rPr>
        <w:t xml:space="preserve"> allowed me to construct highly relevant </w:t>
      </w:r>
      <w:r>
        <w:rPr>
          <w:sz w:val="24"/>
          <w:szCs w:val="24"/>
        </w:rPr>
        <w:t xml:space="preserve">and </w:t>
      </w:r>
      <w:r>
        <w:rPr>
          <w:sz w:val="24"/>
          <w:szCs w:val="24"/>
        </w:rPr>
        <w:t>evidence-backed arguments, particularly regarding change management and corporate divestment.</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t>T</w:t>
      </w:r>
      <w:r>
        <w:rPr>
          <w:sz w:val="24"/>
          <w:szCs w:val="24"/>
        </w:rPr>
        <w:t xml:space="preserve">he most challenging aspect was the stringent word limit, </w:t>
      </w:r>
      <w:r>
        <w:rPr>
          <w:sz w:val="24"/>
          <w:szCs w:val="24"/>
        </w:rPr>
        <w:t>which forced me</w:t>
      </w:r>
      <w:r>
        <w:rPr>
          <w:sz w:val="24"/>
          <w:szCs w:val="24"/>
        </w:rPr>
        <w:t xml:space="preserve"> to ruthlessly discard </w:t>
      </w:r>
      <w:r>
        <w:rPr>
          <w:sz w:val="24"/>
          <w:szCs w:val="24"/>
        </w:rPr>
        <w:t>some</w:t>
      </w:r>
      <w:r>
        <w:rPr>
          <w:sz w:val="24"/>
          <w:szCs w:val="24"/>
        </w:rPr>
        <w:t xml:space="preserve"> fascinating data points </w:t>
      </w:r>
      <w:r>
        <w:rPr>
          <w:sz w:val="24"/>
          <w:szCs w:val="24"/>
        </w:rPr>
        <w:t>and insights I discovered</w:t>
      </w:r>
      <w:r>
        <w:rPr>
          <w:sz w:val="24"/>
          <w:szCs w:val="24"/>
        </w:rPr>
        <w:t xml:space="preserve">. </w:t>
      </w:r>
      <w:r>
        <w:rPr>
          <w:sz w:val="24"/>
          <w:szCs w:val="24"/>
        </w:rPr>
        <w:t>As a result, It was</w:t>
      </w:r>
      <w:r>
        <w:rPr>
          <w:sz w:val="24"/>
          <w:szCs w:val="24"/>
        </w:rPr>
        <w:t xml:space="preserve"> incredibly difficult to demonstrate </w:t>
      </w:r>
      <w:r>
        <w:rPr>
          <w:sz w:val="24"/>
          <w:szCs w:val="24"/>
        </w:rPr>
        <w:t xml:space="preserve">my </w:t>
      </w:r>
      <w:r>
        <w:rPr>
          <w:sz w:val="24"/>
          <w:szCs w:val="24"/>
        </w:rPr>
        <w:t xml:space="preserve">comprehensive understanding. I spent a disproportionate amount of time editing, refining, and cutting words to ensure every single sentence </w:t>
      </w:r>
      <w:r>
        <w:rPr>
          <w:sz w:val="24"/>
          <w:szCs w:val="24"/>
        </w:rPr>
        <w:t>is packed with</w:t>
      </w:r>
      <w:r>
        <w:rPr>
          <w:sz w:val="24"/>
          <w:szCs w:val="24"/>
        </w:rPr>
        <w:t xml:space="preserve"> theoretical value. </w:t>
      </w:r>
      <w:r>
        <w:rPr>
          <w:sz w:val="24"/>
          <w:szCs w:val="24"/>
        </w:rPr>
        <w:t>This</w:t>
      </w:r>
      <w:r>
        <w:rPr>
          <w:sz w:val="24"/>
          <w:szCs w:val="24"/>
        </w:rPr>
        <w:t xml:space="preserve"> was </w:t>
      </w:r>
      <w:r>
        <w:rPr>
          <w:sz w:val="24"/>
          <w:szCs w:val="24"/>
        </w:rPr>
        <w:t>very</w:t>
      </w:r>
      <w:r>
        <w:rPr>
          <w:sz w:val="24"/>
          <w:szCs w:val="24"/>
        </w:rPr>
        <w:t xml:space="preserve"> frustrating but ultimately</w:t>
      </w:r>
      <w:r>
        <w:rPr>
          <w:sz w:val="24"/>
          <w:szCs w:val="24"/>
        </w:rPr>
        <w:t xml:space="preserve"> it made me ralize the refinement needed for my academic writing skills</w:t>
      </w:r>
      <w:r>
        <w:rPr>
          <w:sz w:val="24"/>
          <w:szCs w:val="24"/>
        </w:rPr>
        <w:t>.</w:t>
      </w:r>
    </w:p>
    <w:p>
      <w:pPr>
        <w:pStyle w:val="Normal"/>
        <w:spacing w:lineRule="auto" w:line="360" w:before="0" w:after="200"/>
        <w:jc w:val="both"/>
        <w:rPr>
          <w:rFonts w:ascii="Arial" w:hAnsi="Arial"/>
          <w:b/>
          <w:bCs/>
          <w:sz w:val="24"/>
          <w:szCs w:val="24"/>
        </w:rPr>
      </w:pPr>
      <w:r>
        <w:rPr>
          <w:b/>
          <w:bCs/>
          <w:sz w:val="24"/>
          <w:szCs w:val="24"/>
        </w:rPr>
        <w:t>4. Analysis</w:t>
      </w:r>
    </w:p>
    <w:p>
      <w:pPr>
        <w:pStyle w:val="Normal"/>
        <w:spacing w:lineRule="auto" w:line="360" w:before="0" w:after="200"/>
        <w:jc w:val="both"/>
        <w:rPr>
          <w:rFonts w:ascii="Arial" w:hAnsi="Arial"/>
          <w:sz w:val="24"/>
          <w:szCs w:val="24"/>
        </w:rPr>
      </w:pPr>
      <w:r>
        <w:rPr>
          <w:sz w:val="24"/>
          <w:szCs w:val="24"/>
        </w:rPr>
        <w:t>I realise</w:t>
      </w:r>
      <w:r>
        <w:rPr>
          <w:sz w:val="24"/>
          <w:szCs w:val="24"/>
        </w:rPr>
        <w:t>d</w:t>
      </w:r>
      <w:r>
        <w:rPr>
          <w:sz w:val="24"/>
          <w:szCs w:val="24"/>
        </w:rPr>
        <w:t xml:space="preserve"> that strategic management frameworks are not merely academic checklists; they are </w:t>
      </w:r>
      <w:r>
        <w:rPr>
          <w:sz w:val="24"/>
          <w:szCs w:val="24"/>
        </w:rPr>
        <w:t>provide critica lens to look through the pubilc noice and evaluate the conditions in structured manner.</w:t>
      </w:r>
    </w:p>
    <w:p>
      <w:pPr>
        <w:pStyle w:val="Normal"/>
        <w:spacing w:lineRule="auto" w:line="360" w:before="0" w:after="200"/>
        <w:jc w:val="both"/>
        <w:rPr>
          <w:rFonts w:ascii="Arial" w:hAnsi="Arial"/>
          <w:sz w:val="24"/>
          <w:szCs w:val="24"/>
        </w:rPr>
      </w:pPr>
      <w:r>
        <w:rPr>
          <w:sz w:val="24"/>
          <w:szCs w:val="24"/>
        </w:rPr>
        <w:t xml:space="preserve">For example, </w:t>
      </w:r>
      <w:r>
        <w:rPr>
          <w:sz w:val="24"/>
          <w:szCs w:val="24"/>
        </w:rPr>
        <w:t>intentionally loosing a world famous icrecream brand is highly  counterintuitive, but when looked through BCG matrix and  theories of corporate parenting, many revelations emerge. Like frozen supply chain friction, immense capital required to maintain those supply chain logistics when compared to standard personal care products; these are key drivers behind much needed strategic pruning for margin improvments.</w:t>
      </w:r>
    </w:p>
    <w:p>
      <w:pPr>
        <w:pStyle w:val="Normal"/>
        <w:spacing w:lineRule="auto" w:line="360" w:before="0" w:after="200"/>
        <w:jc w:val="both"/>
        <w:rPr>
          <w:rFonts w:ascii="Arial" w:hAnsi="Arial"/>
          <w:sz w:val="24"/>
          <w:szCs w:val="24"/>
        </w:rPr>
      </w:pPr>
      <w:r>
        <w:rPr>
          <w:sz w:val="24"/>
          <w:szCs w:val="24"/>
        </w:rPr>
        <w:t xml:space="preserve">Unilever is moving towards a rigorous Green Supply Chain Management. </w:t>
      </w:r>
      <w:r>
        <w:rPr>
          <w:sz w:val="24"/>
          <w:szCs w:val="24"/>
        </w:rPr>
        <w:t xml:space="preserve">By critically evaluating Unilever’s CSR correction at an executive level, I learned that strategy is rarely about choosing between good and </w:t>
      </w:r>
      <w:r>
        <w:rPr>
          <w:sz w:val="24"/>
          <w:szCs w:val="24"/>
        </w:rPr>
        <w:t>b</w:t>
      </w:r>
      <w:r>
        <w:rPr>
          <w:sz w:val="24"/>
          <w:szCs w:val="24"/>
        </w:rPr>
        <w:t xml:space="preserve">ad. Instead, </w:t>
      </w:r>
      <w:r>
        <w:rPr>
          <w:sz w:val="24"/>
          <w:szCs w:val="24"/>
        </w:rPr>
        <w:t>management has to carefully</w:t>
      </w:r>
      <w:r>
        <w:rPr>
          <w:sz w:val="24"/>
          <w:szCs w:val="24"/>
        </w:rPr>
        <w:t xml:space="preserve"> navigat</w:t>
      </w:r>
      <w:r>
        <w:rPr>
          <w:sz w:val="24"/>
          <w:szCs w:val="24"/>
        </w:rPr>
        <w:t>e</w:t>
      </w:r>
      <w:r>
        <w:rPr>
          <w:sz w:val="24"/>
          <w:szCs w:val="24"/>
        </w:rPr>
        <w:t xml:space="preserve"> highly complex trade-offs between ethical purpose, shareholder profit, and operational agility.</w:t>
      </w:r>
    </w:p>
    <w:p>
      <w:pPr>
        <w:pStyle w:val="Normal"/>
        <w:spacing w:lineRule="auto" w:line="360" w:before="0" w:after="200"/>
        <w:jc w:val="both"/>
        <w:rPr>
          <w:rFonts w:ascii="Arial" w:hAnsi="Arial"/>
          <w:b/>
          <w:bCs/>
          <w:sz w:val="24"/>
          <w:szCs w:val="24"/>
        </w:rPr>
      </w:pPr>
      <w:r>
        <w:rPr>
          <w:b/>
          <w:bCs/>
          <w:sz w:val="24"/>
          <w:szCs w:val="24"/>
        </w:rPr>
        <w:t>5. Conclusion</w:t>
      </w:r>
    </w:p>
    <w:p>
      <w:pPr>
        <w:pStyle w:val="Normal"/>
        <w:spacing w:lineRule="auto" w:line="360" w:before="0" w:after="200"/>
        <w:jc w:val="both"/>
        <w:rPr>
          <w:rFonts w:ascii="Arial" w:hAnsi="Arial"/>
          <w:sz w:val="24"/>
          <w:szCs w:val="24"/>
        </w:rPr>
      </w:pPr>
      <w:r>
        <w:rPr>
          <w:sz w:val="24"/>
          <w:szCs w:val="24"/>
        </w:rPr>
        <w:t>When I reflect on the entier process</w:t>
      </w:r>
      <w:r>
        <w:rPr>
          <w:sz w:val="24"/>
          <w:szCs w:val="24"/>
        </w:rPr>
        <w:t>, my project scop</w:t>
      </w:r>
      <w:r>
        <w:rPr>
          <w:sz w:val="24"/>
          <w:szCs w:val="24"/>
        </w:rPr>
        <w:t>e</w:t>
      </w:r>
      <w:r>
        <w:rPr>
          <w:sz w:val="24"/>
          <w:szCs w:val="24"/>
        </w:rPr>
        <w:t xml:space="preserve"> and </w:t>
      </w:r>
      <w:r>
        <w:rPr>
          <w:sz w:val="24"/>
          <w:szCs w:val="24"/>
        </w:rPr>
        <w:t xml:space="preserve">gathered </w:t>
      </w:r>
      <w:r>
        <w:rPr>
          <w:sz w:val="24"/>
          <w:szCs w:val="24"/>
        </w:rPr>
        <w:t xml:space="preserve">literature were inefficient </w:t>
      </w:r>
      <w:r>
        <w:rPr>
          <w:sz w:val="24"/>
          <w:szCs w:val="24"/>
        </w:rPr>
        <w:t xml:space="preserve">in the </w:t>
      </w:r>
      <w:r>
        <w:rPr>
          <w:sz w:val="24"/>
          <w:szCs w:val="24"/>
        </w:rPr>
        <w:t xml:space="preserve">initial </w:t>
      </w:r>
      <w:r>
        <w:rPr>
          <w:sz w:val="24"/>
          <w:szCs w:val="24"/>
        </w:rPr>
        <w:t>phase</w:t>
      </w:r>
      <w:r>
        <w:rPr>
          <w:sz w:val="24"/>
          <w:szCs w:val="24"/>
        </w:rPr>
        <w:t xml:space="preserve">. I spent too much time reading about Unilever’s historical acquisitions and marketing campaigns </w:t>
      </w:r>
      <w:r>
        <w:rPr>
          <w:sz w:val="24"/>
          <w:szCs w:val="24"/>
        </w:rPr>
        <w:t>without paying much attention on</w:t>
      </w:r>
      <w:r>
        <w:rPr>
          <w:sz w:val="24"/>
          <w:szCs w:val="24"/>
        </w:rPr>
        <w:t xml:space="preserve"> their current divestments and structural reorganisations. </w:t>
      </w:r>
      <w:r>
        <w:rPr>
          <w:sz w:val="24"/>
          <w:szCs w:val="24"/>
        </w:rPr>
        <w:t>If</w:t>
      </w:r>
      <w:r>
        <w:rPr>
          <w:sz w:val="24"/>
          <w:szCs w:val="24"/>
        </w:rPr>
        <w:t xml:space="preserve"> I </w:t>
      </w:r>
      <w:r>
        <w:rPr>
          <w:sz w:val="24"/>
          <w:szCs w:val="24"/>
        </w:rPr>
        <w:t xml:space="preserve">had </w:t>
      </w:r>
      <w:r>
        <w:rPr>
          <w:sz w:val="24"/>
          <w:szCs w:val="24"/>
        </w:rPr>
        <w:t xml:space="preserve">applied the Balanced Scorecard framework in the </w:t>
      </w:r>
      <w:r>
        <w:rPr>
          <w:sz w:val="24"/>
          <w:szCs w:val="24"/>
        </w:rPr>
        <w:t xml:space="preserve">initial </w:t>
      </w:r>
      <w:r>
        <w:rPr>
          <w:sz w:val="24"/>
          <w:szCs w:val="24"/>
        </w:rPr>
        <w:t xml:space="preserve">research phase, I could have targeted specific financial and operational KPIs </w:t>
      </w:r>
      <w:r>
        <w:rPr>
          <w:sz w:val="24"/>
          <w:szCs w:val="24"/>
        </w:rPr>
        <w:t>and focus my</w:t>
      </w:r>
      <w:r>
        <w:rPr>
          <w:sz w:val="24"/>
          <w:szCs w:val="24"/>
        </w:rPr>
        <w:t xml:space="preserve"> reading much more effectively </w:t>
      </w:r>
      <w:r>
        <w:rPr>
          <w:sz w:val="24"/>
          <w:szCs w:val="24"/>
        </w:rPr>
        <w:t xml:space="preserve">to </w:t>
      </w:r>
      <w:r>
        <w:rPr>
          <w:sz w:val="24"/>
          <w:szCs w:val="24"/>
        </w:rPr>
        <w:t>sav</w:t>
      </w:r>
      <w:r>
        <w:rPr>
          <w:sz w:val="24"/>
          <w:szCs w:val="24"/>
        </w:rPr>
        <w:t>e my</w:t>
      </w:r>
      <w:r>
        <w:rPr>
          <w:sz w:val="24"/>
          <w:szCs w:val="24"/>
        </w:rPr>
        <w:t xml:space="preserve"> valuable time.</w:t>
      </w:r>
    </w:p>
    <w:p>
      <w:pPr>
        <w:pStyle w:val="Normal"/>
        <w:spacing w:lineRule="auto" w:line="360" w:before="0" w:after="200"/>
        <w:jc w:val="both"/>
        <w:rPr>
          <w:rFonts w:ascii="Arial" w:hAnsi="Arial"/>
          <w:sz w:val="24"/>
          <w:szCs w:val="24"/>
        </w:rPr>
      </w:pPr>
      <w:r>
        <w:rPr>
          <w:sz w:val="24"/>
          <w:szCs w:val="24"/>
        </w:rPr>
        <w:t xml:space="preserve">I could have engaged more deeply with Kolb's Experiential Learning Cycle during the actual research phase. </w:t>
      </w:r>
      <w:r>
        <w:rPr>
          <w:sz w:val="24"/>
          <w:szCs w:val="24"/>
        </w:rPr>
        <w:t xml:space="preserve">I could have </w:t>
      </w:r>
      <w:r>
        <w:rPr>
          <w:sz w:val="24"/>
          <w:szCs w:val="24"/>
        </w:rPr>
        <w:t>treat</w:t>
      </w:r>
      <w:r>
        <w:rPr>
          <w:sz w:val="24"/>
          <w:szCs w:val="24"/>
        </w:rPr>
        <w:t>ed</w:t>
      </w:r>
      <w:r>
        <w:rPr>
          <w:sz w:val="24"/>
          <w:szCs w:val="24"/>
        </w:rPr>
        <w:t xml:space="preserve"> each draft as a concrete experience and iteratively test my hypotheses about Unilever's strategy against their 2024 financial reports; </w:t>
      </w:r>
      <w:r>
        <w:rPr>
          <w:sz w:val="24"/>
          <w:szCs w:val="24"/>
        </w:rPr>
        <w:t>This way i would have created much sharper drafts in the initial phases.</w:t>
      </w:r>
    </w:p>
    <w:p>
      <w:pPr>
        <w:pStyle w:val="Normal"/>
        <w:spacing w:lineRule="auto" w:line="360" w:before="0" w:after="200"/>
        <w:jc w:val="both"/>
        <w:rPr>
          <w:rFonts w:ascii="Arial" w:hAnsi="Arial"/>
          <w:b/>
          <w:bCs/>
          <w:sz w:val="24"/>
          <w:szCs w:val="24"/>
        </w:rPr>
      </w:pPr>
      <w:r>
        <w:rPr>
          <w:b/>
          <w:bCs/>
          <w:sz w:val="24"/>
          <w:szCs w:val="24"/>
        </w:rPr>
        <w:t>6. Action Plan</w:t>
      </w:r>
    </w:p>
    <w:p>
      <w:pPr>
        <w:pStyle w:val="Normal"/>
        <w:spacing w:lineRule="auto" w:line="360" w:before="0" w:after="200"/>
        <w:jc w:val="both"/>
        <w:rPr>
          <w:rFonts w:ascii="Arial" w:hAnsi="Arial"/>
          <w:sz w:val="24"/>
          <w:szCs w:val="24"/>
        </w:rPr>
      </w:pPr>
      <w:r>
        <w:rPr>
          <w:sz w:val="24"/>
          <w:szCs w:val="24"/>
        </w:rPr>
        <w:t xml:space="preserve">In future, I would make following changes </w:t>
      </w:r>
      <w:r>
        <w:rPr>
          <w:sz w:val="24"/>
          <w:szCs w:val="24"/>
        </w:rPr>
        <w:t xml:space="preserve">in my </w:t>
      </w:r>
      <w:r>
        <w:rPr>
          <w:sz w:val="24"/>
          <w:szCs w:val="24"/>
        </w:rPr>
        <w:t>m</w:t>
      </w:r>
      <w:r>
        <w:rPr>
          <w:sz w:val="24"/>
          <w:szCs w:val="24"/>
        </w:rPr>
        <w:t xml:space="preserve">aster's programme and into my wider professional career. I will implement a much stricter </w:t>
      </w:r>
      <w:r>
        <w:rPr>
          <w:sz w:val="24"/>
          <w:szCs w:val="24"/>
        </w:rPr>
        <w:t xml:space="preserve">framwork first </w:t>
      </w:r>
      <w:r>
        <w:rPr>
          <w:sz w:val="24"/>
          <w:szCs w:val="24"/>
        </w:rPr>
        <w:t>methodology</w:t>
      </w:r>
      <w:r>
        <w:rPr>
          <w:sz w:val="24"/>
          <w:szCs w:val="24"/>
        </w:rPr>
        <w:t xml:space="preserve"> </w:t>
      </w:r>
      <w:r>
        <w:rPr>
          <w:sz w:val="24"/>
          <w:szCs w:val="24"/>
        </w:rPr>
        <w:t>when approaching complex business problems. Rather than drowning in unstructured research data, I will immediately deploy tools like the VRIO framework or Ansoff's Matrix to categorise information as I read it, creating an immediate analytical hierarchy.</w:t>
      </w:r>
    </w:p>
    <w:p>
      <w:pPr>
        <w:pStyle w:val="Normal"/>
        <w:spacing w:lineRule="auto" w:line="360" w:before="0" w:after="200"/>
        <w:jc w:val="both"/>
        <w:rPr>
          <w:rFonts w:ascii="Arial" w:hAnsi="Arial"/>
          <w:sz w:val="24"/>
          <w:szCs w:val="24"/>
        </w:rPr>
      </w:pPr>
      <w:r>
        <w:rPr>
          <w:sz w:val="24"/>
          <w:szCs w:val="24"/>
        </w:rPr>
        <w:t>T</w:t>
      </w:r>
      <w:r>
        <w:rPr>
          <w:sz w:val="24"/>
          <w:szCs w:val="24"/>
        </w:rPr>
        <w:t xml:space="preserve">o </w:t>
      </w:r>
      <w:r>
        <w:rPr>
          <w:sz w:val="24"/>
          <w:szCs w:val="24"/>
        </w:rPr>
        <w:t>improve my writing</w:t>
      </w:r>
      <w:r>
        <w:rPr>
          <w:sz w:val="24"/>
          <w:szCs w:val="24"/>
        </w:rPr>
        <w:t xml:space="preserve"> in future professional reports, I will adopt a more rigorous outlining process. </w:t>
      </w:r>
      <w:r>
        <w:rPr>
          <w:sz w:val="24"/>
          <w:szCs w:val="24"/>
        </w:rPr>
        <w:t xml:space="preserve">I would </w:t>
      </w:r>
      <w:r>
        <w:rPr>
          <w:sz w:val="24"/>
          <w:szCs w:val="24"/>
        </w:rPr>
        <w:t xml:space="preserve">explicitly defining the thesis statement </w:t>
      </w:r>
      <w:r>
        <w:rPr>
          <w:sz w:val="24"/>
          <w:szCs w:val="24"/>
        </w:rPr>
        <w:t>at the top and</w:t>
      </w:r>
      <w:r>
        <w:rPr>
          <w:sz w:val="24"/>
          <w:szCs w:val="24"/>
        </w:rPr>
        <w:t xml:space="preserve"> overarching argument for each section before writing </w:t>
      </w:r>
      <w:r>
        <w:rPr>
          <w:sz w:val="24"/>
          <w:szCs w:val="24"/>
        </w:rPr>
        <w:t>the actual report</w:t>
      </w:r>
      <w:r>
        <w:rPr>
          <w:sz w:val="24"/>
          <w:szCs w:val="24"/>
        </w:rPr>
        <w:t xml:space="preserve">. This will </w:t>
      </w:r>
      <w:r>
        <w:rPr>
          <w:sz w:val="24"/>
          <w:szCs w:val="24"/>
        </w:rPr>
        <w:t xml:space="preserve">also resolve my concerns about </w:t>
      </w:r>
      <w:r>
        <w:rPr>
          <w:sz w:val="24"/>
          <w:szCs w:val="24"/>
        </w:rPr>
        <w:t xml:space="preserve">descriptive </w:t>
      </w:r>
      <w:r>
        <w:rPr>
          <w:sz w:val="24"/>
          <w:szCs w:val="24"/>
        </w:rPr>
        <w:t>writing</w:t>
      </w:r>
      <w:r>
        <w:rPr>
          <w:sz w:val="24"/>
          <w:szCs w:val="24"/>
        </w:rPr>
        <w:t xml:space="preserve">, </w:t>
      </w:r>
      <w:r>
        <w:rPr>
          <w:sz w:val="24"/>
          <w:szCs w:val="24"/>
        </w:rPr>
        <w:t xml:space="preserve">and </w:t>
      </w:r>
      <w:r>
        <w:rPr>
          <w:sz w:val="24"/>
          <w:szCs w:val="24"/>
        </w:rPr>
        <w:t>ensur</w:t>
      </w:r>
      <w:r>
        <w:rPr>
          <w:sz w:val="24"/>
          <w:szCs w:val="24"/>
        </w:rPr>
        <w:t>e that</w:t>
      </w:r>
      <w:r>
        <w:rPr>
          <w:sz w:val="24"/>
          <w:szCs w:val="24"/>
        </w:rPr>
        <w:t xml:space="preserve"> my work consistently maintains the critical depth, and strategic rigor expected at a postgraduate and executive level.</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IE University (2026) Top FMCG companies in 2026: Industry leaders in food, beauty, home. </w:t>
      </w:r>
      <w:hyperlink r:id="rId21">
        <w:r>
          <w:rPr>
            <w:rStyle w:val="Hyperlink"/>
            <w:rFonts w:eastAsia="Times New Roman" w:cs="Times New Roman"/>
            <w:sz w:val="24"/>
            <w:szCs w:val="24"/>
          </w:rPr>
          <w:t>https://www.ie.edu/uncover-ie/careers-outcomes-top-companies-fmcg/</w:t>
        </w:r>
      </w:hyperlink>
      <w:r>
        <w:rPr>
          <w:rFonts w:eastAsia="Times New Roman" w:cs="Times New Roman"/>
          <w:sz w:val="24"/>
          <w:szCs w:val="24"/>
        </w:rPr>
        <w:t xml:space="preserve"> (Accessed on : 30th March,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MatrixBCG (2026) How Does Unilever Company Work?. </w:t>
      </w:r>
      <w:hyperlink r:id="rId22">
        <w:r>
          <w:rPr>
            <w:rStyle w:val="Hyperlink"/>
            <w:rFonts w:eastAsia="Times New Roman" w:cs="Times New Roman"/>
            <w:sz w:val="24"/>
            <w:szCs w:val="24"/>
          </w:rPr>
          <w:t>https://matrixbcg.com/blogs/how-it-works/unilever</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Teece, D.J., Pisano, G. and Shuen, A. (1997) 'Dynamic capabilities and strategic management', Strategic Management Journal, 18(7), pp. 509-533. </w:t>
      </w:r>
      <w:hyperlink r:id="rId23">
        <w:r>
          <w:rPr>
            <w:rStyle w:val="Hyperlink"/>
            <w:rFonts w:eastAsia="Times New Roman" w:cs="Times New Roman"/>
            <w:sz w:val="24"/>
            <w:szCs w:val="24"/>
          </w:rPr>
          <w:t>https://www.jstor.org/stable/3088148</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Unilever (2024) Unilever Annual Report and Accounts 2024. </w:t>
      </w:r>
      <w:hyperlink r:id="rId24">
        <w:r>
          <w:rPr>
            <w:rStyle w:val="Hyperlink"/>
            <w:rFonts w:eastAsia="Times New Roman" w:cs="Times New Roman"/>
            <w:sz w:val="24"/>
            <w:szCs w:val="24"/>
          </w:rPr>
          <w:t>https://www.unilever.com/files/unilever-annual-report-and-accounts-2024.pdf</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Unilever (2025) Unilever Annual Report and Accounts 2025. </w:t>
      </w:r>
      <w:hyperlink r:id="rId25">
        <w:r>
          <w:rPr>
            <w:rStyle w:val="Hyperlink"/>
            <w:rFonts w:eastAsia="Times New Roman" w:cs="Times New Roman"/>
            <w:sz w:val="24"/>
            <w:szCs w:val="24"/>
          </w:rPr>
          <w:t>https://www.unilever.com/files/unilever-annual-report-and-accounts-2025.pdf</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6. </w:t>
      </w:r>
      <w:r>
        <w:rPr>
          <w:rFonts w:eastAsia="Times New Roman" w:cs="Times New Roman"/>
          <w:sz w:val="24"/>
          <w:szCs w:val="24"/>
          <w:u w:val="none"/>
        </w:rPr>
        <w:t xml:space="preserve">Barney, J. (1991) 'Firm Resources and Sustained Competitive Advantage', Journal of Management, 17(1), pp. 99–120. </w:t>
      </w:r>
      <w:hyperlink r:id="rId26">
        <w:r>
          <w:rPr>
            <w:rStyle w:val="Hyperlink"/>
            <w:rFonts w:eastAsia="Times New Roman" w:cs="Times New Roman"/>
            <w:sz w:val="24"/>
            <w:szCs w:val="24"/>
            <w:u w:val="none"/>
          </w:rPr>
          <w:t>https://doi.org/10.1177/014920639101700108</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7. </w:t>
      </w:r>
      <w:r>
        <w:rPr>
          <w:rFonts w:eastAsia="Times New Roman" w:cs="Times New Roman"/>
          <w:sz w:val="24"/>
          <w:szCs w:val="24"/>
          <w:u w:val="none"/>
        </w:rPr>
        <w:t xml:space="preserve">James Sharp &amp; Co. (2025) Unilever plc 2024 Final Results February 13, 2025. Available at: </w:t>
      </w:r>
      <w:hyperlink r:id="rId27">
        <w:r>
          <w:rPr>
            <w:rStyle w:val="Hyperlink"/>
            <w:rFonts w:eastAsia="Times New Roman" w:cs="Times New Roman"/>
            <w:sz w:val="24"/>
            <w:szCs w:val="24"/>
            <w:u w:val="none"/>
          </w:rPr>
          <w:t>https://www.jamessharp.co.uk/market-news/unilever-plc-2024-final-results/</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8. </w:t>
      </w:r>
      <w:r>
        <w:rPr>
          <w:rFonts w:eastAsia="Times New Roman" w:cs="Times New Roman"/>
          <w:sz w:val="24"/>
          <w:szCs w:val="24"/>
          <w:u w:val="none"/>
        </w:rPr>
        <w:t xml:space="preserve">MatrixBCG (2026) How Does Unilever Company Work?. Available at: </w:t>
      </w:r>
      <w:hyperlink r:id="rId28">
        <w:r>
          <w:rPr>
            <w:rStyle w:val="Hyperlink"/>
            <w:rFonts w:eastAsia="Times New Roman" w:cs="Times New Roman"/>
            <w:sz w:val="24"/>
            <w:szCs w:val="24"/>
            <w:u w:val="none"/>
          </w:rPr>
          <w:t>https://matrixbcg.com/blogs/how-it-works/unilever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9. </w:t>
      </w:r>
      <w:r>
        <w:rPr>
          <w:rFonts w:eastAsia="Times New Roman" w:cs="Times New Roman"/>
          <w:sz w:val="24"/>
          <w:szCs w:val="24"/>
          <w:u w:val="none"/>
        </w:rPr>
        <w:t xml:space="preserve">MatrixBCG (2026) What is Growth Strategy and Future Prospects of Unilever Company?. Available at: </w:t>
      </w:r>
      <w:hyperlink r:id="rId29">
        <w:r>
          <w:rPr>
            <w:rStyle w:val="Hyperlink"/>
            <w:rFonts w:eastAsia="Times New Roman" w:cs="Times New Roman"/>
            <w:sz w:val="24"/>
            <w:szCs w:val="24"/>
            <w:u w:val="none"/>
          </w:rPr>
          <w:t>https://matrixbcg.com/blogs/growth-strategy/unilever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10. </w:t>
      </w:r>
      <w:r>
        <w:rPr>
          <w:rFonts w:eastAsia="Times New Roman" w:cs="Times New Roman"/>
          <w:sz w:val="24"/>
          <w:szCs w:val="24"/>
          <w:u w:val="none"/>
        </w:rPr>
        <w:t xml:space="preserve">PortersFiveForce (2026) How Does Unilever Company Work?. Available at: </w:t>
      </w:r>
      <w:hyperlink r:id="rId30">
        <w:r>
          <w:rPr>
            <w:rStyle w:val="Hyperlink"/>
            <w:rFonts w:eastAsia="Times New Roman" w:cs="Times New Roman"/>
            <w:sz w:val="24"/>
            <w:szCs w:val="24"/>
            <w:u w:val="none"/>
          </w:rPr>
          <w:t>https://portersfiveforce.com/blogs/how-it-works/unilever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11. </w:t>
      </w:r>
      <w:r>
        <w:rPr>
          <w:rFonts w:eastAsia="Times New Roman" w:cs="Times New Roman"/>
          <w:sz w:val="24"/>
          <w:szCs w:val="24"/>
          <w:u w:val="none"/>
        </w:rPr>
        <w:t xml:space="preserve">PortersFiveForce (2026) What is Growth Strategy and Future Prospects of Unilever Company?. Available at: </w:t>
      </w:r>
      <w:hyperlink r:id="rId31">
        <w:r>
          <w:rPr>
            <w:rStyle w:val="Hyperlink"/>
            <w:rFonts w:eastAsia="Times New Roman" w:cs="Times New Roman"/>
            <w:sz w:val="24"/>
            <w:szCs w:val="24"/>
            <w:u w:val="none"/>
          </w:rPr>
          <w:t>https://portersfiveforce.com/blogs/growth-strategy/unilever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12. </w:t>
      </w:r>
      <w:r>
        <w:rPr>
          <w:rFonts w:eastAsia="Times New Roman" w:cs="Times New Roman"/>
          <w:sz w:val="24"/>
          <w:szCs w:val="24"/>
          <w:u w:val="none"/>
        </w:rPr>
        <w:t xml:space="preserve">Technavio (2026) FMCG Market Growth Analysis - Size and Forecast 2026-2030. Available at: </w:t>
      </w:r>
      <w:hyperlink r:id="rId32">
        <w:r>
          <w:rPr>
            <w:rStyle w:val="Hyperlink"/>
            <w:rFonts w:eastAsia="Times New Roman" w:cs="Times New Roman"/>
            <w:sz w:val="24"/>
            <w:szCs w:val="24"/>
            <w:u w:val="none"/>
          </w:rPr>
          <w:t>https://www.technavio.com/report/fmcg-market-industry-analysis</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13. </w:t>
      </w:r>
      <w:r>
        <w:rPr>
          <w:rFonts w:eastAsia="Times New Roman" w:cs="Times New Roman"/>
          <w:sz w:val="24"/>
          <w:szCs w:val="24"/>
          <w:u w:val="none"/>
        </w:rPr>
        <w:t>Whittington, R., Regnér, P., Angwin, D., Johnson, G. and Scholes, K. (2020) Exploring Strategy: Text and Cases. 12th edn. Harlow: Pearson Education Limited</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14. </w:t>
      </w:r>
      <w:r>
        <w:rPr>
          <w:rFonts w:eastAsia="Times New Roman" w:cs="Times New Roman"/>
          <w:sz w:val="24"/>
          <w:szCs w:val="24"/>
          <w:u w:val="none"/>
        </w:rPr>
        <w:t xml:space="preserve">Financial Times (2022) 'Fundsmith’s Terry Smith attacks Unilever’s ‘ludicrous’ focus on sustainability', Financial Times, 11 January. Available at: </w:t>
      </w:r>
      <w:hyperlink r:id="rId33">
        <w:r>
          <w:rPr>
            <w:rStyle w:val="Hyperlink"/>
            <w:rFonts w:eastAsia="Times New Roman" w:cs="Times New Roman"/>
            <w:sz w:val="24"/>
            <w:szCs w:val="24"/>
            <w:u w:val="none"/>
          </w:rPr>
          <w:t>https://www.ft.com/content/448d7be0-811c-4384-91b7-a359dc0fbf9b</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15. </w:t>
      </w:r>
      <w:r>
        <w:rPr>
          <w:rFonts w:eastAsia="Times New Roman" w:cs="Times New Roman"/>
          <w:sz w:val="24"/>
          <w:szCs w:val="24"/>
          <w:u w:val="none"/>
        </w:rPr>
        <w:t xml:space="preserve">Freeman, R.E. (1984) Strategic Management: A Stakeholder Approach. Boston: Pitman. Available at: </w:t>
      </w:r>
      <w:hyperlink r:id="rId34">
        <w:r>
          <w:rPr>
            <w:rStyle w:val="Hyperlink"/>
            <w:rFonts w:eastAsia="Times New Roman" w:cs="Times New Roman"/>
            <w:sz w:val="24"/>
            <w:szCs w:val="24"/>
            <w:u w:val="none"/>
          </w:rPr>
          <w:t>https://doi.org/10.1017/CBO9781139192675</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16. </w:t>
      </w:r>
      <w:r>
        <w:rPr>
          <w:rFonts w:eastAsia="Times New Roman" w:cs="Times New Roman"/>
          <w:sz w:val="24"/>
          <w:szCs w:val="24"/>
          <w:u w:val="none"/>
        </w:rPr>
        <w:t xml:space="preserve">Porter, M.E. and Kramer, M.R. (2011) 'Creating Shared Value', Harvard Business Review, 89(1/2), pp. 62–77. Available at: </w:t>
      </w:r>
      <w:hyperlink r:id="rId35">
        <w:r>
          <w:rPr>
            <w:rStyle w:val="Hyperlink"/>
            <w:rFonts w:eastAsia="Times New Roman" w:cs="Times New Roman"/>
            <w:sz w:val="24"/>
            <w:szCs w:val="24"/>
            <w:u w:val="none"/>
          </w:rPr>
          <w:t>https://hbr.org/2011/01/the-big-idea-creating-shared-value</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17. </w:t>
      </w:r>
      <w:r>
        <w:rPr>
          <w:rFonts w:eastAsia="Times New Roman" w:cs="Times New Roman"/>
          <w:sz w:val="24"/>
          <w:szCs w:val="24"/>
          <w:u w:val="none"/>
        </w:rPr>
        <w:t xml:space="preserve">Reuters (2024) 'Unilever scales back some environmental pledges to focus on execution', Reuters, 19 April. Available at: </w:t>
      </w:r>
      <w:hyperlink r:id="rId36">
        <w:r>
          <w:rPr>
            <w:rStyle w:val="Hyperlink"/>
            <w:rFonts w:eastAsia="Times New Roman" w:cs="Times New Roman"/>
            <w:sz w:val="24"/>
            <w:szCs w:val="24"/>
            <w:u w:val="none"/>
          </w:rPr>
          <w:t>https://www.reuters.com/sustainability/unilever-scales-back-some-environmental-pledges-2024-04-19/</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18. </w:t>
      </w:r>
      <w:r>
        <w:rPr>
          <w:rFonts w:eastAsia="Times New Roman" w:cs="Times New Roman"/>
          <w:sz w:val="24"/>
          <w:szCs w:val="24"/>
          <w:u w:val="none"/>
        </w:rPr>
        <w:t xml:space="preserve">Unilever (2024) Our sustainability strategy. Available at: </w:t>
      </w:r>
      <w:hyperlink r:id="rId37">
        <w:r>
          <w:rPr>
            <w:rStyle w:val="Hyperlink"/>
            <w:rFonts w:eastAsia="Times New Roman" w:cs="Times New Roman"/>
            <w:sz w:val="24"/>
            <w:szCs w:val="24"/>
            <w:u w:val="none"/>
          </w:rPr>
          <w:t>https://www.unilever.com/sustainability/</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19. Unilever PLC (“Unilever”) – New Directors’ Remuneration Policy for approval at 2024 AGM. </w:t>
      </w:r>
      <w:hyperlink r:id="rId38">
        <w:r>
          <w:rPr>
            <w:rStyle w:val="Hyperlink"/>
            <w:rFonts w:eastAsia="Times New Roman" w:cs="Times New Roman"/>
            <w:sz w:val="24"/>
            <w:szCs w:val="24"/>
          </w:rPr>
          <w:t>https://www.unilever.com/files/7bc471e6-94dc-48f6-b592-1435ed71bb75/2024-renewal-of-remuneration-policy.pdf</w:t>
        </w:r>
      </w:hyperlink>
      <w:r>
        <w:rPr>
          <w:rFonts w:eastAsia="Times New Roman" w:cs="Times New Roman"/>
          <w:sz w:val="24"/>
          <w:szCs w:val="24"/>
        </w:rPr>
        <w:t xml:space="preserve"> (Accessed on: 30th april)</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20. </w:t>
      </w:r>
      <w:r>
        <w:rPr>
          <w:rFonts w:eastAsia="Times New Roman" w:cs="Times New Roman"/>
          <w:sz w:val="24"/>
          <w:szCs w:val="24"/>
          <w:u w:val="none"/>
        </w:rPr>
        <w:t xml:space="preserve">Kaplan, R.S. and Norton, D.P. (1992) 'The Balanced Scorecard—Measures that Drive Performance', Harvard Business Review, 70(1), pp. 71–79. Available at: </w:t>
      </w:r>
      <w:hyperlink r:id="rId39">
        <w:r>
          <w:rPr>
            <w:rStyle w:val="Hyperlink"/>
            <w:rFonts w:eastAsia="Times New Roman" w:cs="Times New Roman"/>
            <w:sz w:val="24"/>
            <w:szCs w:val="24"/>
            <w:u w:val="none"/>
          </w:rPr>
          <w:t>https://hbr.org/1992/01/the-balanced-scorecard-measures-that-drive-performance-2</w:t>
        </w:r>
      </w:hyperlink>
      <w:r>
        <w:rPr>
          <w:rFonts w:eastAsia="Times New Roman" w:cs="Times New Roman"/>
          <w:sz w:val="24"/>
          <w:szCs w:val="24"/>
          <w:u w:val="none"/>
        </w:rPr>
        <w:t xml:space="preserve"> (Accessed on: 30th april)</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21. </w:t>
      </w:r>
      <w:r>
        <w:rPr>
          <w:rFonts w:eastAsia="Times New Roman" w:cs="Times New Roman"/>
          <w:sz w:val="24"/>
          <w:szCs w:val="24"/>
          <w:u w:val="none"/>
        </w:rPr>
        <w:t xml:space="preserve">Marketing Week (2024) Unilever ups marketing spend to back ‘power brands’. </w:t>
      </w:r>
      <w:hyperlink r:id="rId40">
        <w:r>
          <w:rPr>
            <w:rStyle w:val="Hyperlink"/>
            <w:rFonts w:eastAsia="Times New Roman" w:cs="Times New Roman"/>
            <w:sz w:val="24"/>
            <w:szCs w:val="24"/>
            <w:u w:val="none"/>
          </w:rPr>
          <w:t>https://www.marketingweek.com/unilever-boosts-brand-marketing-spend/</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22. </w:t>
      </w:r>
      <w:r>
        <w:rPr>
          <w:rFonts w:eastAsia="Times New Roman" w:cs="Times New Roman"/>
          <w:sz w:val="24"/>
          <w:szCs w:val="24"/>
          <w:u w:val="none"/>
        </w:rPr>
        <w:t xml:space="preserve">Reuters (2024) Unilever to spin off ice cream, cut 7,500 jobs in strategic overhaul. Available at: </w:t>
      </w:r>
      <w:hyperlink r:id="rId41">
        <w:r>
          <w:rPr>
            <w:rStyle w:val="Hyperlink"/>
            <w:rFonts w:eastAsia="Times New Roman" w:cs="Times New Roman"/>
            <w:sz w:val="24"/>
            <w:szCs w:val="24"/>
            <w:u w:val="none"/>
          </w:rPr>
          <w:t>https://www.reuters.com/business/retail-consumer/unilever-spin-off-ice-cream-launches-cost-savings-plan-2024-03-19/</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23. </w:t>
      </w:r>
      <w:r>
        <w:rPr>
          <w:rFonts w:eastAsia="Times New Roman" w:cs="Times New Roman"/>
          <w:sz w:val="24"/>
          <w:szCs w:val="24"/>
          <w:u w:val="none"/>
        </w:rPr>
        <w:t xml:space="preserve">The Guardian (2024) Unilever to cut 7,500 jobs and spin off ice-cream business. Available at: </w:t>
      </w:r>
      <w:hyperlink r:id="rId42">
        <w:r>
          <w:rPr>
            <w:rStyle w:val="Hyperlink"/>
            <w:rFonts w:eastAsia="Times New Roman" w:cs="Times New Roman"/>
            <w:sz w:val="24"/>
            <w:szCs w:val="24"/>
            <w:u w:val="none"/>
          </w:rPr>
          <w:t>https://www.theguardian.com/business/2024/mar/19/unilever-to-cut-7500-jobs-and-spin-off-ice-cream-business</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24. </w:t>
      </w:r>
      <w:r>
        <w:rPr>
          <w:rFonts w:eastAsia="Times New Roman" w:cs="Times New Roman"/>
          <w:sz w:val="24"/>
          <w:szCs w:val="24"/>
          <w:u w:val="none"/>
        </w:rPr>
        <w:t>Goold, M., Campbell, A. and Alexander, M. (1994) Corporate-Level Strategy: Creating Value in the Multibusiness Company. New York: John Wiley &amp; Sons.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25. </w:t>
      </w:r>
      <w:r>
        <w:rPr>
          <w:rFonts w:eastAsia="Times New Roman" w:cs="Times New Roman"/>
          <w:sz w:val="24"/>
          <w:szCs w:val="24"/>
          <w:u w:val="none"/>
        </w:rPr>
        <w:t xml:space="preserve">People Matters (2024) Unilever unveils major layoff plan: 7,500 jobs axed to fuel growth strategy. Available at: </w:t>
      </w:r>
      <w:hyperlink r:id="rId43">
        <w:r>
          <w:rPr>
            <w:rStyle w:val="Hyperlink"/>
            <w:rFonts w:eastAsia="Times New Roman" w:cs="Times New Roman"/>
            <w:sz w:val="24"/>
            <w:szCs w:val="24"/>
            <w:u w:val="none"/>
          </w:rPr>
          <w:t>https://www.peoplematters.in/news/performance-management/unilever-unveils-major-layoff-plan-7500-jobs-axed-to-fuel-growth-strategy-40667</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26. Porter, M.E. (1980) Competitive Strategy: Techniques for Analyzing Industries and Competitors. New York: Free Press.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 xml:space="preserve">27. Unilever (2025) Premiumisation powering growth for Unilever's beauty brands. Available at: </w:t>
      </w:r>
      <w:hyperlink r:id="rId44">
        <w:r>
          <w:rPr>
            <w:rStyle w:val="Hyperlink"/>
            <w:rFonts w:eastAsia="Times New Roman" w:cs="Times New Roman"/>
            <w:sz w:val="24"/>
            <w:szCs w:val="24"/>
            <w:u w:val="none"/>
          </w:rPr>
          <w:t>https://www.unilever.com/news/news-search/2025/how-premiumisation-is-powering-growth-for-unilevers-beauty-brands/</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 xml:space="preserve">28. </w:t>
      </w:r>
      <w:r>
        <w:rPr>
          <w:rFonts w:eastAsia="Times New Roman" w:cs="Times New Roman"/>
          <w:sz w:val="24"/>
          <w:szCs w:val="24"/>
          <w:u w:val="none"/>
        </w:rPr>
        <w:t xml:space="preserve">Srivastava, S. K. (2007) 'Green supply‐chain management: a state‐of‐the‐art literature review', International Journal of Management Reviews, 9(1), pp. 53-80. Available at: </w:t>
      </w:r>
      <w:hyperlink r:id="rId45">
        <w:r>
          <w:rPr>
            <w:rStyle w:val="Hyperlink"/>
            <w:rFonts w:eastAsia="Times New Roman" w:cs="Times New Roman"/>
            <w:sz w:val="24"/>
            <w:szCs w:val="24"/>
            <w:u w:val="none"/>
          </w:rPr>
          <w:t>https://doi.org/10.1111/j.1468-2370.2007.00202.x</w:t>
        </w:r>
      </w:hyperlink>
      <w:r>
        <w:rPr>
          <w:rFonts w:eastAsia="Times New Roman" w:cs="Times New Roman"/>
          <w:sz w:val="24"/>
          <w:szCs w:val="24"/>
          <w:u w:val="none"/>
        </w:rPr>
        <w:t xml:space="preserve">  (Accessed: 1 May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r>
    </w:p>
    <w:sectPr>
      <w:headerReference w:type="even" r:id="rId46"/>
      <w:headerReference w:type="default" r:id="rId47"/>
      <w:headerReference w:type="first" r:id="rId48"/>
      <w:footerReference w:type="even" r:id="rId49"/>
      <w:footerReference w:type="default" r:id="rId50"/>
      <w:footerReference w:type="first" r:id="rId51"/>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28</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28</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14"/>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Bulletsuser">
    <w:name w:val="Bullets (user)"/>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Normal11">
    <w:name w:val="Normal11"/>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matrixbcg.com/blogs/how-it-works/unilever" TargetMode="External"/><Relationship Id="rId4" Type="http://schemas.openxmlformats.org/officeDocument/2006/relationships/image" Target="media/image2.png"/><Relationship Id="rId5" Type="http://schemas.openxmlformats.org/officeDocument/2006/relationships/hyperlink" Target="https://www.unilever.com/files/unilever-annual-report-and-accounts-2024.pdf" TargetMode="External"/><Relationship Id="rId6" Type="http://schemas.openxmlformats.org/officeDocument/2006/relationships/image" Target="media/image3.png"/><Relationship Id="rId7" Type="http://schemas.openxmlformats.org/officeDocument/2006/relationships/hyperlink" Target="https://www.unilever.com/files/unilever-annual-report-and-accounts-2024.pdf" TargetMode="External"/><Relationship Id="rId8" Type="http://schemas.openxmlformats.org/officeDocument/2006/relationships/image" Target="media/image4.png"/><Relationship Id="rId9" Type="http://schemas.openxmlformats.org/officeDocument/2006/relationships/hyperlink" Target="https://www.unilever.com/files/unilever-annual-report-and-accounts-2024.pdf" TargetMode="External"/><Relationship Id="rId10" Type="http://schemas.openxmlformats.org/officeDocument/2006/relationships/image" Target="media/image5.png"/><Relationship Id="rId11" Type="http://schemas.openxmlformats.org/officeDocument/2006/relationships/hyperlink" Target="https://medium.com/techno-preneurship/pestle-analysis-the-ceos-guide-to-future-proofing-a-business-877e6c4e20ea" TargetMode="External"/><Relationship Id="rId12" Type="http://schemas.openxmlformats.org/officeDocument/2006/relationships/image" Target="media/image6.png"/><Relationship Id="rId13" Type="http://schemas.openxmlformats.org/officeDocument/2006/relationships/hyperlink" Target="https://www.thestrategyinstitute.org/insights/vrio-framework-unlocking-competitive-edge-for-your-business" TargetMode="External"/><Relationship Id="rId14" Type="http://schemas.openxmlformats.org/officeDocument/2006/relationships/image" Target="media/image7.png"/><Relationship Id="rId15" Type="http://schemas.openxmlformats.org/officeDocument/2006/relationships/hyperlink" Target="https://socialnomics.net/2023/02/07/csr-meaning-all-you-need-to-know/" TargetMode="External"/><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hyperlink" Target="https://boolkah.com/ansoff-matrix/" TargetMode="External"/><Relationship Id="rId19" Type="http://schemas.openxmlformats.org/officeDocument/2006/relationships/image" Target="media/image10.png"/><Relationship Id="rId20" Type="http://schemas.openxmlformats.org/officeDocument/2006/relationships/hyperlink" Target="https://www.simplypsychology.org/gibbs-reflective-cycle.html" TargetMode="External"/><Relationship Id="rId21" Type="http://schemas.openxmlformats.org/officeDocument/2006/relationships/hyperlink" Target="https://www.ie.edu/uncover-ie/careers-outcomes-top-companies-fmcg/" TargetMode="External"/><Relationship Id="rId22" Type="http://schemas.openxmlformats.org/officeDocument/2006/relationships/hyperlink" Target="https://matrixbcg.com/blogs/how-it-works/unilever" TargetMode="External"/><Relationship Id="rId23" Type="http://schemas.openxmlformats.org/officeDocument/2006/relationships/hyperlink" Target="https://www.jstor.org/stable/3088148" TargetMode="External"/><Relationship Id="rId24" Type="http://schemas.openxmlformats.org/officeDocument/2006/relationships/hyperlink" Target="https://www.unilever.com/files/unilever-annual-report-and-accounts-2024.pdf" TargetMode="External"/><Relationship Id="rId25" Type="http://schemas.openxmlformats.org/officeDocument/2006/relationships/hyperlink" Target="https://www.unilever.com/files/unilever-annual-report-and-accounts-2025.pdf" TargetMode="External"/><Relationship Id="rId26" Type="http://schemas.openxmlformats.org/officeDocument/2006/relationships/hyperlink" Target="https://doi.org/10.1177/014920639101700108" TargetMode="External"/><Relationship Id="rId27" Type="http://schemas.openxmlformats.org/officeDocument/2006/relationships/hyperlink" Target="https://www.jamessharp.co.uk/market-news/unilever-plc-2024-final-results/" TargetMode="External"/><Relationship Id="rId28" Type="http://schemas.openxmlformats.org/officeDocument/2006/relationships/hyperlink" Target="https://matrixbcg.com/blogs/how-it-works/unilever" TargetMode="External"/><Relationship Id="rId29" Type="http://schemas.openxmlformats.org/officeDocument/2006/relationships/hyperlink" Target="https://matrixbcg.com/blogs/growth-strategy/unilever" TargetMode="External"/><Relationship Id="rId30" Type="http://schemas.openxmlformats.org/officeDocument/2006/relationships/hyperlink" Target="https://portersfiveforce.com/blogs/how-it-works/unilever" TargetMode="External"/><Relationship Id="rId31" Type="http://schemas.openxmlformats.org/officeDocument/2006/relationships/hyperlink" Target="https://portersfiveforce.com/blogs/growth-strategy/unilever" TargetMode="External"/><Relationship Id="rId32" Type="http://schemas.openxmlformats.org/officeDocument/2006/relationships/hyperlink" Target="https://www.technavio.com/report/fmcg-market-industry-analysis" TargetMode="External"/><Relationship Id="rId33" Type="http://schemas.openxmlformats.org/officeDocument/2006/relationships/hyperlink" Target="https://www.ft.com/content/448d7be0-811c-4384-91b7-a359dc0fbf9b" TargetMode="External"/><Relationship Id="rId34" Type="http://schemas.openxmlformats.org/officeDocument/2006/relationships/hyperlink" Target="https://doi.org/10.1017/CBO9781139192675" TargetMode="External"/><Relationship Id="rId35" Type="http://schemas.openxmlformats.org/officeDocument/2006/relationships/hyperlink" Target="https://hbr.org/2011/01/the-big-idea-creating-shared-value" TargetMode="External"/><Relationship Id="rId36" Type="http://schemas.openxmlformats.org/officeDocument/2006/relationships/hyperlink" Target="https://www.reuters.com/sustainability/unilever-scales-back-some-environmental-pledges-2024-04-19/" TargetMode="External"/><Relationship Id="rId37" Type="http://schemas.openxmlformats.org/officeDocument/2006/relationships/hyperlink" Target="https://www.unilever.com/sustainability/" TargetMode="External"/><Relationship Id="rId38" Type="http://schemas.openxmlformats.org/officeDocument/2006/relationships/hyperlink" Target="https://www.unilever.com/files/7bc471e6-94dc-48f6-b592-1435ed71bb75/2024-renewal-of-remuneration-policy.pdf" TargetMode="External"/><Relationship Id="rId39" Type="http://schemas.openxmlformats.org/officeDocument/2006/relationships/hyperlink" Target="https://hbr.org/1992/01/the-balanced-scorecard-measures-that-drive-performance-2" TargetMode="External"/><Relationship Id="rId40" Type="http://schemas.openxmlformats.org/officeDocument/2006/relationships/hyperlink" Target="https://www.marketingweek.com/unilever-boosts-brand-marketing-spend/" TargetMode="External"/><Relationship Id="rId41" Type="http://schemas.openxmlformats.org/officeDocument/2006/relationships/hyperlink" Target="https://www.reuters.com/business/retail-consumer/unilever-spin-off-ice-cream-launches-cost-savings-plan-2024-03-19/" TargetMode="External"/><Relationship Id="rId42" Type="http://schemas.openxmlformats.org/officeDocument/2006/relationships/hyperlink" Target="https://www.theguardian.com/business/2024/mar/19/unilever-to-cut-7500-jobs-and-spin-off-ice-cream-business" TargetMode="External"/><Relationship Id="rId43" Type="http://schemas.openxmlformats.org/officeDocument/2006/relationships/hyperlink" Target="https://www.peoplematters.in/news/performance-management/unilever-unveils-major-layoff-plan-7500-jobs-axed-to-fuel-growth-strategy-40667" TargetMode="External"/><Relationship Id="rId44" Type="http://schemas.openxmlformats.org/officeDocument/2006/relationships/hyperlink" Target="https://www.unilever.com/news/news-search/2025/how-premiumisation-is-powering-growth-for-unilevers-beauty-brands/" TargetMode="External"/><Relationship Id="rId45" Type="http://schemas.openxmlformats.org/officeDocument/2006/relationships/hyperlink" Target="https://doi.org/10.1111/j.1468-2370.2007.00202.x" TargetMode="External"/><Relationship Id="rId46" Type="http://schemas.openxmlformats.org/officeDocument/2006/relationships/header" Target="header1.xml"/><Relationship Id="rId47" Type="http://schemas.openxmlformats.org/officeDocument/2006/relationships/header" Target="header2.xml"/><Relationship Id="rId48" Type="http://schemas.openxmlformats.org/officeDocument/2006/relationships/header" Target="header3.xml"/><Relationship Id="rId49" Type="http://schemas.openxmlformats.org/officeDocument/2006/relationships/footer" Target="footer1.xml"/><Relationship Id="rId50" Type="http://schemas.openxmlformats.org/officeDocument/2006/relationships/footer" Target="footer2.xml"/><Relationship Id="rId51" Type="http://schemas.openxmlformats.org/officeDocument/2006/relationships/footer" Target="footer3.xml"/><Relationship Id="rId52" Type="http://schemas.openxmlformats.org/officeDocument/2006/relationships/numbering" Target="numbering.xml"/><Relationship Id="rId53" Type="http://schemas.openxmlformats.org/officeDocument/2006/relationships/fontTable" Target="fontTable.xml"/><Relationship Id="rId54" Type="http://schemas.openxmlformats.org/officeDocument/2006/relationships/settings" Target="settings.xml"/><Relationship Id="rId55"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1.jpeg"/>
</Relationships>
</file>

<file path=word/_rels/header3.xml.rels><?xml version="1.0" encoding="UTF-8"?>
<Relationships xmlns="http://schemas.openxmlformats.org/package/2006/relationships"><Relationship Id="rId1" Type="http://schemas.openxmlformats.org/officeDocument/2006/relationships/image" Target="media/image11.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5475</TotalTime>
  <Application>LibreOffice/25.8.6.2$Linux_X86_64 LibreOffice_project/a46b460d1686bb49c718d2ef5f88b83ff2dc4981</Application>
  <AppVersion>15.0000</AppVersion>
  <Pages>28</Pages>
  <Words>5372</Words>
  <Characters>35974</Characters>
  <CharactersWithSpaces>41220</CharactersWithSpaces>
  <Paragraphs>166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2026-05-01T12:30:01Z</dcterms:modified>
  <cp:revision>1042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