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E16A63" w:rsidRDefault="00E16A63" w14:paraId="692B26D3" w14:textId="77777777" w:rsidP="00E16A63" w:rsidRPr="00E16A63">
      <w:pPr>
        <w:jc w:val="center"/>
        <w:rPr>
          <w:b/>
          <w:rFonts w:cs="Times New Roman"/>
          <w:szCs w:val="24"/>
        </w:rPr>
      </w:pPr>
      <w:r w:rsidRPr="00E16A63">
        <w:rPr>
          <w:b/>
          <w:rFonts w:cs="Times New Roman"/>
          <w:szCs w:val="24"/>
        </w:rPr>
        <w:t>Assignment on International Financial Management</w:t>
      </w:r>
    </w:p>
    <w:p>
      <w:pPr>
        <w:jc w:val="center"/>
      </w:pPr>
      <w:r>
        <w:rPr>
          <w:b/>
          <w:sz w:val="24"/>
        </w:rPr>
        <w:t>Course code:LCBB6002</w:t>
      </w:r>
    </w:p>
    <w:p w:rsidR="00E16A63" w:rsidRDefault="00E16A63" w14:paraId="377D5D32" w14:textId="77777777" w:rsidP="00E16A63" w:rsidRPr="00E16A63">
      <w:pPr>
        <w:jc w:val="center"/>
        <w:rPr>
          <w:b/>
          <w:rFonts w:cs="Times New Roman"/>
          <w:szCs w:val="24"/>
        </w:rPr>
      </w:pPr>
      <w:r w:rsidRPr="00E16A63">
        <w:rPr>
          <w:b/>
          <w:rFonts w:cs="Times New Roman"/>
          <w:szCs w:val="24"/>
        </w:rPr>
        <w:t>Student Name:Petronela Hurmuzache</w:t>
      </w:r>
    </w:p>
    <w:p w:rsidR="00E16A63" w:rsidRDefault="00E16A63" w14:paraId="5F6D1A42" w14:textId="77777777" w:rsidP="00E16A63" w:rsidRPr="00E16A63">
      <w:pPr>
        <w:jc w:val="center"/>
        <w:rPr>
          <w:b/>
          <w:rFonts w:cs="Times New Roman"/>
          <w:szCs w:val="24"/>
        </w:rPr>
      </w:pPr>
      <w:r w:rsidRPr="00E16A63">
        <w:rPr>
          <w:b/>
          <w:rFonts w:cs="Times New Roman"/>
          <w:szCs w:val="24"/>
        </w:rPr>
        <w:t>Student ID:2114679</w:t>
      </w:r>
    </w:p>
    <w:p w:rsidR="00E16A63" w:rsidRDefault="00E16A63" w14:paraId="779540AC" w14:textId="77777777" w:rsidP="00E16A63" w:rsidRPr="00E16A63">
      <w:pPr>
        <w:jc w:val="center"/>
        <w:rPr>
          <w:b/>
          <w:rFonts w:cs="Times New Roman"/>
          <w:szCs w:val="24"/>
        </w:rPr>
      </w:pPr>
      <w:r w:rsidRPr="00E16A63">
        <w:rPr>
          <w:b/>
          <w:rFonts w:cs="Times New Roman"/>
          <w:szCs w:val="24"/>
        </w:rPr>
        <w:t>Lecturer name:Zainab Atta</w:t>
      </w:r>
    </w:p>
    <w:p w:rsidR="007A4C14" w:rsidRDefault="00E16A63" w14:paraId="33DEF980" w14:textId="77777777" w:rsidP="00E16A63">
      <w:pPr>
        <w:jc w:val="center"/>
        <w:rPr>
          <w:b/>
          <w:rFonts w:cs="Times New Roman"/>
          <w:szCs w:val="24"/>
        </w:rPr>
      </w:pPr>
      <w:r w:rsidRPr="00E16A63">
        <w:rPr>
          <w:b/>
          <w:rFonts w:cs="Times New Roman"/>
          <w:szCs w:val="24"/>
        </w:rPr>
        <w:t>Word Count: 1500</w:t>
      </w:r>
    </w:p>
    <w:p w:rsidR="007A4C14" w:rsidRDefault="007A4C14" w14:paraId="0C167673" w14:textId="77777777">
      <w:pPr>
        <w:rPr>
          <w:b/>
          <w:rFonts w:cs="Times New Roman"/>
          <w:szCs w:val="24"/>
        </w:rPr>
      </w:pPr>
      <w:r>
        <w:rPr>
          <w:b/>
          <w:rFonts w:cs="Times New Roman"/>
          <w:szCs w:val="24"/>
        </w:rPr>
        <w:br w:type="page"/>
      </w:r>
    </w:p>
    <w:sdt>
      <w:sdtPr>
        <w:rPr>
          <w:rFonts w:asciiTheme="minorHAnsi" w:eastAsiaTheme="minorHAnsi" w:hAnsiTheme="minorHAnsi" w:cstheme="minorBidi"/>
          <w:b w:val="0"/>
          <w:bCs w:val="0"/>
          <w:color w:val="auto"/>
          <w:sz w:val="22"/>
          <w:szCs w:val="22"/>
        </w:rPr>
        <w:id w:val="1506847861"/>
        <w:docPartObj>
          <w:docPartGallery w:val="Table of Contents"/>
          <w:docPartUnique/>
        </w:docPartObj>
      </w:sdtPr>
      <w:sdtEndPr>
        <w:rPr>
          <w:rFonts w:ascii="Times New Roman" w:hAnsi="Times New Roman"/>
          <w:sz w:val="24"/>
        </w:rPr>
      </w:sdtEndPr>
      <w:sdtContent>
        <w:p w:rsidR="007A4C14" w:rsidRDefault="007A4C14" w14:paraId="54CAD02D" w14:textId="77777777" w:rsidP="007A4C14" w:rsidRPr="007A4C14">
          <w:pPr>
            <w:pStyle w:val="TOCHeading"/>
            <w:jc w:val="center"/>
            <w:spacing w:line="480" w:lineRule="auto"/>
            <w:rPr>
              <w:rFonts w:ascii="Times New Roman" w:cs="Times New Roman" w:hAnsi="Times New Roman"/>
            </w:rPr>
          </w:pPr>
          <w:r w:rsidRPr="007A4C14">
            <w:rPr>
              <w:color w:val="auto"/>
              <w:rFonts w:ascii="Times New Roman" w:cs="Times New Roman" w:hAnsi="Times New Roman"/>
            </w:rPr>
            <w:t>Table of Contents</w:t>
          </w:r>
        </w:p>
        <w:p w:rsidR="00A06E00" w:rsidRDefault="007A4C14" w14:paraId="0C116D64" w14:textId="18713FAF">
          <w:pPr>
            <w:pStyle w:val="TOC1"/>
            <w:tabs>
              <w:tab w:val="right" w:leader="dot" w:pos="9350"/>
            </w:tabs>
            <w:rPr>
              <w:noProof/>
              <w:kern w:val="2"/>
              <w:lang w:val="en-IN" w:eastAsia="en-IN"/>
              <w14:ligatures w14:val="standardContextual"/>
              <w:rFonts w:ascii="Calibri" w:eastAsiaTheme="minorEastAsia" w:hAnsiTheme="minorHAnsi"/>
              <w:sz w:val="22"/>
            </w:rPr>
          </w:pPr>
          <w:r w:rsidRPr="007A4C14">
            <w:rPr>
              <w:rFonts w:cs="Times New Roman"/>
            </w:rPr>
            <w:fldChar w:fldCharType="begin"/>
          </w:r>
          <w:r w:rsidRPr="007A4C14">
            <w:rPr>
              <w:rFonts w:cs="Times New Roman"/>
            </w:rPr>
            <w:instrText xml:space="preserve"> TOC \o "1-3" \h \z \u </w:instrText>
          </w:r>
          <w:r w:rsidRPr="007A4C14">
            <w:rPr>
              <w:rFonts w:cs="Times New Roman"/>
            </w:rPr>
            <w:fldChar w:fldCharType="separate"/>
          </w:r>
          <w:hyperlink w:anchor="_Toc161967531" w:history="1">
            <w:r w:rsidR="00A06E00" w:rsidRPr="003B51A2">
              <w:rPr>
                <w:noProof/>
                <w:rStyle w:val="Hyperlink"/>
                <w:rFonts w:eastAsia="Times New Roman"/>
              </w:rPr>
              <w:t>Introduction</w:t>
            </w:r>
            <w:r w:rsidR="00A06E00">
              <w:rPr>
                <w:noProof/>
                <w:webHidden/>
              </w:rPr>
              <w:tab/>
            </w:r>
            <w:r w:rsidR="00A06E00">
              <w:rPr>
                <w:noProof/>
                <w:webHidden/>
              </w:rPr>
              <w:fldChar w:fldCharType="begin"/>
            </w:r>
            <w:r w:rsidR="00A06E00">
              <w:rPr>
                <w:noProof/>
                <w:webHidden/>
              </w:rPr>
              <w:instrText xml:space="preserve"> PAGEREF _Toc161967531 \h </w:instrText>
            </w:r>
            <w:r w:rsidR="00A06E00">
              <w:rPr>
                <w:noProof/>
                <w:webHidden/>
              </w:rPr>
            </w:r>
            <w:r w:rsidR="00A06E00">
              <w:rPr>
                <w:noProof/>
                <w:webHidden/>
              </w:rPr>
              <w:fldChar w:fldCharType="separate"/>
            </w:r>
            <w:r w:rsidR="00A06E00">
              <w:rPr>
                <w:noProof/>
                <w:webHidden/>
              </w:rPr>
              <w:t>3</w:t>
            </w:r>
            <w:r w:rsidR="00A06E00">
              <w:rPr>
                <w:noProof/>
                <w:webHidden/>
              </w:rPr>
              <w:fldChar w:fldCharType="end"/>
            </w:r>
          </w:hyperlink>
        </w:p>
        <w:p w:rsidR="00A06E00" w:rsidRDefault="00A06E00" w14:paraId="139E5AA4" w14:textId="05601AC5">
          <w:pPr>
            <w:pStyle w:val="TOC1"/>
            <w:tabs>
              <w:tab w:val="right" w:leader="dot" w:pos="9350"/>
            </w:tabs>
            <w:rPr>
              <w:noProof/>
              <w:kern w:val="2"/>
              <w:lang w:val="en-IN" w:eastAsia="en-IN"/>
              <w14:ligatures w14:val="standardContextual"/>
              <w:rFonts w:ascii="Calibri" w:eastAsiaTheme="minorEastAsia" w:hAnsiTheme="minorHAnsi"/>
              <w:sz w:val="22"/>
            </w:rPr>
          </w:pPr>
          <w:hyperlink w:anchor="_Toc161967532" w:history="1">
            <w:r w:rsidRPr="003B51A2">
              <w:rPr>
                <w:noProof/>
                <w:rStyle w:val="Hyperlink"/>
                <w:rFonts w:eastAsia="Times New Roman"/>
              </w:rPr>
              <w:t>Overview of Foreign Exchange Risks</w:t>
            </w:r>
            <w:r>
              <w:rPr>
                <w:noProof/>
                <w:webHidden/>
              </w:rPr>
              <w:tab/>
            </w:r>
            <w:r>
              <w:rPr>
                <w:noProof/>
                <w:webHidden/>
              </w:rPr>
              <w:fldChar w:fldCharType="begin"/>
            </w:r>
            <w:r>
              <w:rPr>
                <w:noProof/>
                <w:webHidden/>
              </w:rPr>
              <w:instrText xml:space="preserve"> PAGEREF _Toc161967532 \h </w:instrText>
            </w:r>
            <w:r>
              <w:rPr>
                <w:noProof/>
                <w:webHidden/>
              </w:rPr>
            </w:r>
            <w:r>
              <w:rPr>
                <w:noProof/>
                <w:webHidden/>
              </w:rPr>
              <w:fldChar w:fldCharType="separate"/>
            </w:r>
            <w:r>
              <w:rPr>
                <w:noProof/>
                <w:webHidden/>
              </w:rPr>
              <w:t>3</w:t>
            </w:r>
            <w:r>
              <w:rPr>
                <w:noProof/>
                <w:webHidden/>
              </w:rPr>
              <w:fldChar w:fldCharType="end"/>
            </w:r>
          </w:hyperlink>
        </w:p>
        <w:p w:rsidR="00A06E00" w:rsidRDefault="00A06E00" w14:paraId="3D07F9BB" w14:textId="7C9687D1">
          <w:pPr>
            <w:pStyle w:val="TOC1"/>
            <w:tabs>
              <w:tab w:val="right" w:leader="dot" w:pos="9350"/>
            </w:tabs>
            <w:rPr>
              <w:noProof/>
              <w:kern w:val="2"/>
              <w:lang w:val="en-IN" w:eastAsia="en-IN"/>
              <w14:ligatures w14:val="standardContextual"/>
              <w:rFonts w:ascii="Calibri" w:eastAsiaTheme="minorEastAsia" w:hAnsiTheme="minorHAnsi"/>
              <w:sz w:val="22"/>
            </w:rPr>
          </w:pPr>
          <w:hyperlink w:anchor="_Toc161967533" w:history="1">
            <w:r w:rsidRPr="003B51A2">
              <w:rPr>
                <w:noProof/>
                <w:rStyle w:val="Hyperlink"/>
                <w:rFonts w:eastAsia="Times New Roman"/>
              </w:rPr>
              <w:t>Analysis of various methods and techniques relating to the financing of an international business in the context of Amazon</w:t>
            </w:r>
            <w:r>
              <w:rPr>
                <w:noProof/>
                <w:webHidden/>
              </w:rPr>
              <w:tab/>
            </w:r>
            <w:r>
              <w:rPr>
                <w:noProof/>
                <w:webHidden/>
              </w:rPr>
              <w:fldChar w:fldCharType="begin"/>
            </w:r>
            <w:r>
              <w:rPr>
                <w:noProof/>
                <w:webHidden/>
              </w:rPr>
              <w:instrText xml:space="preserve"> PAGEREF _Toc161967533 \h </w:instrText>
            </w:r>
            <w:r>
              <w:rPr>
                <w:noProof/>
                <w:webHidden/>
              </w:rPr>
            </w:r>
            <w:r>
              <w:rPr>
                <w:noProof/>
                <w:webHidden/>
              </w:rPr>
              <w:fldChar w:fldCharType="separate"/>
            </w:r>
            <w:r>
              <w:rPr>
                <w:noProof/>
                <w:webHidden/>
              </w:rPr>
              <w:t>4</w:t>
            </w:r>
            <w:r>
              <w:rPr>
                <w:noProof/>
                <w:webHidden/>
              </w:rPr>
              <w:fldChar w:fldCharType="end"/>
            </w:r>
          </w:hyperlink>
        </w:p>
        <w:p w:rsidR="00A06E00" w:rsidRDefault="00A06E00" w14:paraId="76043E97" w14:textId="34F7854D">
          <w:pPr>
            <w:pStyle w:val="TOC1"/>
            <w:tabs>
              <w:tab w:val="right" w:leader="dot" w:pos="9350"/>
            </w:tabs>
            <w:rPr>
              <w:noProof/>
              <w:kern w:val="2"/>
              <w:lang w:val="en-IN" w:eastAsia="en-IN"/>
              <w14:ligatures w14:val="standardContextual"/>
              <w:rFonts w:ascii="Calibri" w:eastAsiaTheme="minorEastAsia" w:hAnsiTheme="minorHAnsi"/>
              <w:sz w:val="22"/>
            </w:rPr>
          </w:pPr>
          <w:hyperlink w:anchor="_Toc161967534" w:history="1">
            <w:r w:rsidRPr="003B51A2">
              <w:rPr>
                <w:noProof/>
                <w:rStyle w:val="Hyperlink"/>
                <w:rFonts w:eastAsia="Times New Roman"/>
              </w:rPr>
              <w:t>Evaluation of the different strategies to mitigate foreign exchange risks</w:t>
            </w:r>
            <w:r>
              <w:rPr>
                <w:noProof/>
                <w:webHidden/>
              </w:rPr>
              <w:tab/>
            </w:r>
            <w:r>
              <w:rPr>
                <w:noProof/>
                <w:webHidden/>
              </w:rPr>
              <w:fldChar w:fldCharType="begin"/>
            </w:r>
            <w:r>
              <w:rPr>
                <w:noProof/>
                <w:webHidden/>
              </w:rPr>
              <w:instrText xml:space="preserve"> PAGEREF _Toc161967534 \h </w:instrText>
            </w:r>
            <w:r>
              <w:rPr>
                <w:noProof/>
                <w:webHidden/>
              </w:rPr>
            </w:r>
            <w:r>
              <w:rPr>
                <w:noProof/>
                <w:webHidden/>
              </w:rPr>
              <w:fldChar w:fldCharType="separate"/>
            </w:r>
            <w:r>
              <w:rPr>
                <w:noProof/>
                <w:webHidden/>
              </w:rPr>
              <w:t>5</w:t>
            </w:r>
            <w:r>
              <w:rPr>
                <w:noProof/>
                <w:webHidden/>
              </w:rPr>
              <w:fldChar w:fldCharType="end"/>
            </w:r>
          </w:hyperlink>
        </w:p>
        <w:p w:rsidR="00A06E00" w:rsidRDefault="00A06E00" w14:paraId="1BE227E2" w14:textId="5F5565B5">
          <w:pPr>
            <w:pStyle w:val="TOC1"/>
            <w:tabs>
              <w:tab w:val="right" w:leader="dot" w:pos="9350"/>
            </w:tabs>
            <w:rPr>
              <w:noProof/>
              <w:kern w:val="2"/>
              <w:lang w:val="en-IN" w:eastAsia="en-IN"/>
              <w14:ligatures w14:val="standardContextual"/>
              <w:rFonts w:ascii="Calibri" w:eastAsiaTheme="minorEastAsia" w:hAnsiTheme="minorHAnsi"/>
              <w:sz w:val="22"/>
            </w:rPr>
          </w:pPr>
          <w:hyperlink w:anchor="_Toc161967535" w:history="1">
            <w:r w:rsidRPr="003B51A2">
              <w:rPr>
                <w:noProof/>
                <w:rStyle w:val="Hyperlink"/>
                <w:rFonts w:eastAsia="Times New Roman"/>
              </w:rPr>
              <w:t>Analysis of Amazon’s Dividend Distribution Policy</w:t>
            </w:r>
            <w:r>
              <w:rPr>
                <w:noProof/>
                <w:webHidden/>
              </w:rPr>
              <w:tab/>
            </w:r>
            <w:r>
              <w:rPr>
                <w:noProof/>
                <w:webHidden/>
              </w:rPr>
              <w:fldChar w:fldCharType="begin"/>
            </w:r>
            <w:r>
              <w:rPr>
                <w:noProof/>
                <w:webHidden/>
              </w:rPr>
              <w:instrText xml:space="preserve"> PAGEREF _Toc161967535 \h </w:instrText>
            </w:r>
            <w:r>
              <w:rPr>
                <w:noProof/>
                <w:webHidden/>
              </w:rPr>
            </w:r>
            <w:r>
              <w:rPr>
                <w:noProof/>
                <w:webHidden/>
              </w:rPr>
              <w:fldChar w:fldCharType="separate"/>
            </w:r>
            <w:r>
              <w:rPr>
                <w:noProof/>
                <w:webHidden/>
              </w:rPr>
              <w:t>6</w:t>
            </w:r>
            <w:r>
              <w:rPr>
                <w:noProof/>
                <w:webHidden/>
              </w:rPr>
              <w:fldChar w:fldCharType="end"/>
            </w:r>
          </w:hyperlink>
        </w:p>
        <w:p w:rsidR="00A06E00" w:rsidRDefault="00A06E00" w14:paraId="4E20DAD9" w14:textId="08FE88D5">
          <w:pPr>
            <w:pStyle w:val="TOC1"/>
            <w:tabs>
              <w:tab w:val="right" w:leader="dot" w:pos="9350"/>
            </w:tabs>
            <w:rPr>
              <w:noProof/>
              <w:kern w:val="2"/>
              <w:lang w:val="en-IN" w:eastAsia="en-IN"/>
              <w14:ligatures w14:val="standardContextual"/>
              <w:rFonts w:ascii="Calibri" w:eastAsiaTheme="minorEastAsia" w:hAnsiTheme="minorHAnsi"/>
              <w:sz w:val="22"/>
            </w:rPr>
          </w:pPr>
          <w:hyperlink w:anchor="_Toc161967536" w:history="1">
            <w:r w:rsidRPr="003B51A2">
              <w:rPr>
                <w:noProof/>
                <w:rStyle w:val="Hyperlink"/>
                <w:rFonts w:eastAsia="Times New Roman"/>
              </w:rPr>
              <w:t>Analysis and evaluation of Amazon’s methods of appraising projects.</w:t>
            </w:r>
            <w:r>
              <w:rPr>
                <w:noProof/>
                <w:webHidden/>
              </w:rPr>
              <w:tab/>
            </w:r>
            <w:r>
              <w:rPr>
                <w:noProof/>
                <w:webHidden/>
              </w:rPr>
              <w:fldChar w:fldCharType="begin"/>
            </w:r>
            <w:r>
              <w:rPr>
                <w:noProof/>
                <w:webHidden/>
              </w:rPr>
              <w:instrText xml:space="preserve"> PAGEREF _Toc161967536 \h </w:instrText>
            </w:r>
            <w:r>
              <w:rPr>
                <w:noProof/>
                <w:webHidden/>
              </w:rPr>
            </w:r>
            <w:r>
              <w:rPr>
                <w:noProof/>
                <w:webHidden/>
              </w:rPr>
              <w:fldChar w:fldCharType="separate"/>
            </w:r>
            <w:r>
              <w:rPr>
                <w:noProof/>
                <w:webHidden/>
              </w:rPr>
              <w:t>7</w:t>
            </w:r>
            <w:r>
              <w:rPr>
                <w:noProof/>
                <w:webHidden/>
              </w:rPr>
              <w:fldChar w:fldCharType="end"/>
            </w:r>
          </w:hyperlink>
        </w:p>
        <w:p w:rsidR="00A06E00" w:rsidRDefault="00A06E00" w14:paraId="5D789730" w14:textId="08C29DD4">
          <w:pPr>
            <w:pStyle w:val="TOC1"/>
            <w:tabs>
              <w:tab w:val="right" w:leader="dot" w:pos="9350"/>
            </w:tabs>
            <w:rPr>
              <w:noProof/>
              <w:kern w:val="2"/>
              <w:lang w:val="en-IN" w:eastAsia="en-IN"/>
              <w14:ligatures w14:val="standardContextual"/>
              <w:rFonts w:ascii="Calibri" w:eastAsiaTheme="minorEastAsia" w:hAnsiTheme="minorHAnsi"/>
              <w:sz w:val="22"/>
            </w:rPr>
          </w:pPr>
          <w:hyperlink w:anchor="_Toc161967537" w:history="1">
            <w:r w:rsidRPr="003B51A2">
              <w:rPr>
                <w:noProof/>
                <w:rStyle w:val="Hyperlink"/>
                <w:rFonts w:eastAsia="Times New Roman"/>
              </w:rPr>
              <w:t>Conclusion</w:t>
            </w:r>
            <w:r>
              <w:rPr>
                <w:noProof/>
                <w:webHidden/>
              </w:rPr>
              <w:tab/>
            </w:r>
            <w:r>
              <w:rPr>
                <w:noProof/>
                <w:webHidden/>
              </w:rPr>
              <w:fldChar w:fldCharType="begin"/>
            </w:r>
            <w:r>
              <w:rPr>
                <w:noProof/>
                <w:webHidden/>
              </w:rPr>
              <w:instrText xml:space="preserve"> PAGEREF _Toc161967537 \h </w:instrText>
            </w:r>
            <w:r>
              <w:rPr>
                <w:noProof/>
                <w:webHidden/>
              </w:rPr>
            </w:r>
            <w:r>
              <w:rPr>
                <w:noProof/>
                <w:webHidden/>
              </w:rPr>
              <w:fldChar w:fldCharType="separate"/>
            </w:r>
            <w:r>
              <w:rPr>
                <w:noProof/>
                <w:webHidden/>
              </w:rPr>
              <w:t>8</w:t>
            </w:r>
            <w:r>
              <w:rPr>
                <w:noProof/>
                <w:webHidden/>
              </w:rPr>
              <w:fldChar w:fldCharType="end"/>
            </w:r>
          </w:hyperlink>
        </w:p>
        <w:p w:rsidR="00A06E00" w:rsidRDefault="00A06E00" w14:paraId="764CFCE7" w14:textId="358921C0">
          <w:pPr>
            <w:pStyle w:val="TOC1"/>
            <w:tabs>
              <w:tab w:val="right" w:leader="dot" w:pos="9350"/>
            </w:tabs>
            <w:rPr>
              <w:noProof/>
              <w:kern w:val="2"/>
              <w:lang w:val="en-IN" w:eastAsia="en-IN"/>
              <w14:ligatures w14:val="standardContextual"/>
              <w:rFonts w:ascii="Calibri" w:eastAsiaTheme="minorEastAsia" w:hAnsiTheme="minorHAnsi"/>
              <w:sz w:val="22"/>
            </w:rPr>
          </w:pPr>
          <w:hyperlink w:anchor="_Toc161967538" w:history="1">
            <w:r w:rsidRPr="003B51A2">
              <w:rPr>
                <w:noProof/>
                <w:rStyle w:val="Hyperlink"/>
                <w:rFonts w:eastAsia="Times New Roman"/>
              </w:rPr>
              <w:t>Reference</w:t>
            </w:r>
            <w:r>
              <w:rPr>
                <w:noProof/>
                <w:webHidden/>
              </w:rPr>
              <w:tab/>
            </w:r>
            <w:r>
              <w:rPr>
                <w:noProof/>
                <w:webHidden/>
              </w:rPr>
              <w:fldChar w:fldCharType="begin"/>
            </w:r>
            <w:r>
              <w:rPr>
                <w:noProof/>
                <w:webHidden/>
              </w:rPr>
              <w:instrText xml:space="preserve"> PAGEREF _Toc161967538 \h </w:instrText>
            </w:r>
            <w:r>
              <w:rPr>
                <w:noProof/>
                <w:webHidden/>
              </w:rPr>
            </w:r>
            <w:r>
              <w:rPr>
                <w:noProof/>
                <w:webHidden/>
              </w:rPr>
              <w:fldChar w:fldCharType="separate"/>
            </w:r>
            <w:r>
              <w:rPr>
                <w:noProof/>
                <w:webHidden/>
              </w:rPr>
              <w:t>10</w:t>
            </w:r>
            <w:r>
              <w:rPr>
                <w:noProof/>
                <w:webHidden/>
              </w:rPr>
              <w:fldChar w:fldCharType="end"/>
            </w:r>
          </w:hyperlink>
        </w:p>
        <w:p w:rsidR="007A4C14" w:rsidRDefault="007A4C14" w14:paraId="4F84B46B" w14:textId="028F1C6A" w:rsidP="007A4C14">
          <w:r w:rsidRPr="007A4C14">
            <w:rPr>
              <w:rFonts w:cs="Times New Roman"/>
            </w:rPr>
            <w:fldChar w:fldCharType="end"/>
          </w:r>
        </w:p>
      </w:sdtContent>
    </w:sdt>
    <w:p w:rsidR="00EC16B8" w:rsidRDefault="00EC16B8" w14:paraId="310A4BF5" w14:textId="77777777" w:rsidP="00E16A63" w:rsidRPr="00E16A63">
      <w:pPr>
        <w:jc w:val="center"/>
        <w:rPr>
          <w:b/>
          <w:rFonts w:cs="Times New Roman"/>
          <w:szCs w:val="24"/>
        </w:rPr>
      </w:pPr>
    </w:p>
    <w:p w:rsidR="00E16A63" w:rsidRDefault="00E16A63" w14:paraId="7310BCBC" w14:textId="77777777">
      <w:pPr>
        <w:rPr>
          <w:bCs/>
          <w:b/>
          <w:color w:val="000000"/>
          <w:rFonts w:eastAsia="Times New Roman" w:cstheme="majorBidi"/>
          <w:sz w:val="28"/>
          <w:szCs w:val="28"/>
        </w:rPr>
      </w:pPr>
      <w:r>
        <w:rPr>
          <w:color w:val="000000"/>
          <w:rFonts w:eastAsia="Times New Roman"/>
        </w:rPr>
        <w:br w:type="page"/>
      </w:r>
    </w:p>
    <w:p w:rsidR="00EC16B8" w:rsidRDefault="00EC16B8" w14:paraId="6425641E" w14:textId="77777777" w:rsidP="00C52852" w:rsidRPr="00EC16B8">
      <w:pPr>
        <w:pStyle w:val="Heading1"/>
        <w:rPr>
          <w:rFonts w:eastAsia="Times New Roman"/>
        </w:rPr>
      </w:pPr>
      <w:bookmarkStart w:id="0" w:name="_Toc161967531"/>
      <w:r w:rsidRPr="00EC16B8">
        <w:rPr>
          <w:color w:val="000000"/>
          <w:rFonts w:eastAsia="Times New Roman"/>
        </w:rPr>
        <w:t>Introduction</w:t>
        <w:lastRenderedPageBreak/>
      </w:r>
      <w:bookmarkEnd w:id="0"/>
      <w:r w:rsidRPr="00EC16B8">
        <w:rPr>
          <w:color w:val="000000"/>
          <w:rFonts w:eastAsia="Times New Roman"/>
        </w:rPr>
        <w:t> </w:t>
      </w:r>
    </w:p>
    <w:p w:rsidR="00EC16B8" w:rsidRDefault="00EC16B8" w14:paraId="097EBB6D" w14:textId="77777777" w:rsidP="00C52852" w:rsidRPr="00EC16B8">
      <w:pPr>
        <w:spacing w:after="0"/>
        <w:rPr>
          <w:rFonts w:cs="Times New Roman" w:eastAsia="Times New Roman"/>
          <w:szCs w:val="24"/>
        </w:rPr>
      </w:pPr>
      <w:r w:rsidRPr="00EC16B8">
        <w:rPr>
          <w:color w:val="000000"/>
          <w:rFonts w:cs="Times New Roman" w:eastAsia="Times New Roman"/>
          <w:szCs w:val="24"/>
        </w:rPr>
        <w:t>International financial management deals with the key methods and strategies that a company usually uses to deal with critical finance-related factors. It helps multinational giant companies like Amazon to mitigate their forex risks and perform their business operations effectively (</w:t>
      </w:r>
      <w:r w:rsidRPr="00EC16B8">
        <w:rPr>
          <w:color w:val="222222"/>
          <w:rFonts w:cs="Times New Roman" w:eastAsia="Times New Roman"/>
          <w:szCs w:val="24"/>
          <w:shd w:fill="FFFFFF" w:color="auto" w:val="clear"/>
        </w:rPr>
        <w:t>Zimon, 2020)</w:t>
      </w:r>
      <w:r w:rsidRPr="00EC16B8">
        <w:rPr>
          <w:color w:val="000000"/>
          <w:rFonts w:cs="Times New Roman" w:eastAsia="Times New Roman"/>
          <w:szCs w:val="24"/>
        </w:rPr>
        <w:t>. Amazon is a multinational company that operates in different regions around the globe. It has its headquarters in Washington and the company was established in 1994. From its beginning, it has focused on long-term value generation and managed its financial strategies to align with it. This report will analyze critical theories and methods of the IFM in the context of Amazon.</w:t>
      </w:r>
    </w:p>
    <w:p w:rsidR="00EC16B8" w:rsidRDefault="00EC16B8" w14:paraId="5DE906FC" w14:textId="77777777" w:rsidP="00C52852" w:rsidRPr="00EC16B8">
      <w:pPr>
        <w:pStyle w:val="Heading1"/>
        <w:rPr>
          <w:rFonts w:eastAsia="Times New Roman"/>
        </w:rPr>
      </w:pPr>
      <w:bookmarkStart w:id="1" w:name="_Toc161967532"/>
      <w:r w:rsidRPr="00EC16B8">
        <w:rPr>
          <w:rFonts w:eastAsia="Times New Roman"/>
        </w:rPr>
        <w:t>Overview of Foreign Exchange Risks</w:t>
      </w:r>
      <w:bookmarkEnd w:id="1"/>
      <w:r w:rsidRPr="00EC16B8">
        <w:rPr>
          <w:rFonts w:eastAsia="Times New Roman"/>
        </w:rPr>
        <w:t> </w:t>
      </w:r>
    </w:p>
    <w:p w:rsidR="00EC16B8" w:rsidRDefault="00EC16B8" w14:paraId="4FBDC8D6" w14:textId="77777777" w:rsidP="00C52852" w:rsidRPr="00EC16B8">
      <w:pPr>
        <w:spacing w:after="0"/>
        <w:rPr>
          <w:rFonts w:cs="Times New Roman" w:eastAsia="Times New Roman"/>
          <w:szCs w:val="24"/>
        </w:rPr>
      </w:pPr>
      <w:r w:rsidRPr="00EC16B8">
        <w:rPr>
          <w:color w:val="000000"/>
          <w:rFonts w:cs="Times New Roman" w:eastAsia="Times New Roman"/>
          <w:szCs w:val="24"/>
        </w:rPr>
        <w:t>The forex risk or foreign exchange risks are closely associated with the different rates of exchange between the currencies of different countries. The</w:t>
      </w:r>
      <w:r w:rsidRPr="00EC16B8">
        <w:rPr>
          <w:bCs/>
          <w:iCs/>
          <w:b/>
          <w:i/>
          <w:color w:val="000000"/>
          <w:rFonts w:cs="Times New Roman" w:eastAsia="Times New Roman"/>
          <w:szCs w:val="24"/>
        </w:rPr>
        <w:t xml:space="preserve"> transaction risk</w:t>
      </w:r>
      <w:r w:rsidRPr="00EC16B8">
        <w:rPr>
          <w:color w:val="000000"/>
          <w:rFonts w:cs="Times New Roman" w:eastAsia="Times New Roman"/>
          <w:szCs w:val="24"/>
        </w:rPr>
        <w:t xml:space="preserve"> arises as the rate of exchange fluctuates between the initiation stage of a transaction and its completion. </w:t>
      </w:r>
      <w:r w:rsidRPr="00EC16B8">
        <w:rPr>
          <w:bCs/>
          <w:iCs/>
          <w:b/>
          <w:i/>
          <w:color w:val="000000"/>
          <w:rFonts w:cs="Times New Roman" w:eastAsia="Times New Roman"/>
          <w:szCs w:val="24"/>
        </w:rPr>
        <w:t xml:space="preserve">Accounting or translation risk </w:t>
      </w:r>
      <w:r w:rsidRPr="00EC16B8">
        <w:rPr>
          <w:color w:val="000000"/>
          <w:rFonts w:cs="Times New Roman" w:eastAsia="Times New Roman"/>
          <w:szCs w:val="24"/>
        </w:rPr>
        <w:t>arises when the exchange rate fluctuates during the time of translating the assets into reporting currency (</w:t>
      </w:r>
      <w:r w:rsidRPr="00EC16B8">
        <w:rPr>
          <w:color w:val="222222"/>
          <w:rFonts w:cs="Times New Roman" w:eastAsia="Times New Roman"/>
          <w:szCs w:val="24"/>
          <w:shd w:fill="FFFFFF" w:color="auto" w:val="clear"/>
        </w:rPr>
        <w:t>Islam</w:t>
      </w:r>
      <w:r w:rsidRPr="00EC16B8">
        <w:rPr>
          <w:iCs/>
          <w:i/>
          <w:color w:val="222222"/>
          <w:rFonts w:cs="Times New Roman" w:eastAsia="Times New Roman"/>
          <w:szCs w:val="24"/>
          <w:shd w:fill="FFFFFF" w:color="auto" w:val="clear"/>
        </w:rPr>
        <w:t xml:space="preserve"> et al</w:t>
      </w:r>
      <w:r w:rsidRPr="00EC16B8">
        <w:rPr>
          <w:iCs/>
          <w:i/>
          <w:color w:val="000000"/>
          <w:rFonts w:cs="Times New Roman" w:eastAsia="Times New Roman"/>
          <w:szCs w:val="24"/>
        </w:rPr>
        <w:t xml:space="preserve">. </w:t>
      </w:r>
      <w:r w:rsidRPr="00EC16B8">
        <w:rPr>
          <w:color w:val="000000"/>
          <w:rFonts w:cs="Times New Roman" w:eastAsia="Times New Roman"/>
          <w:szCs w:val="24"/>
        </w:rPr>
        <w:t xml:space="preserve">2020). </w:t>
      </w:r>
      <w:r w:rsidRPr="00EC16B8">
        <w:rPr>
          <w:bCs/>
          <w:iCs/>
          <w:b/>
          <w:i/>
          <w:color w:val="000000"/>
          <w:rFonts w:cs="Times New Roman" w:eastAsia="Times New Roman"/>
          <w:szCs w:val="24"/>
        </w:rPr>
        <w:t xml:space="preserve"> Economic or competitive risk </w:t>
      </w:r>
      <w:r w:rsidRPr="00EC16B8">
        <w:rPr>
          <w:color w:val="000000"/>
          <w:rFonts w:cs="Times New Roman" w:eastAsia="Times New Roman"/>
          <w:szCs w:val="24"/>
        </w:rPr>
        <w:t>kicks off when the exchange rate creates a negative impact on the competitiveness of Amazon’s products in the markets of different countries. All of these risks are regulated by the country's risks, which asserts that the socioeconomic and socio-political conditions of a country create an impact on its exchange rate. (</w:t>
      </w:r>
      <w:r w:rsidRPr="00EC16B8">
        <w:rPr>
          <w:color w:val="222222"/>
          <w:rFonts w:cs="Times New Roman" w:eastAsia="Times New Roman"/>
          <w:szCs w:val="24"/>
          <w:shd w:fill="FFFFFF" w:color="auto" w:val="clear"/>
        </w:rPr>
        <w:t xml:space="preserve">Chen </w:t>
      </w:r>
      <w:r w:rsidRPr="00EC16B8">
        <w:rPr>
          <w:iCs/>
          <w:i/>
          <w:color w:val="222222"/>
          <w:rFonts w:cs="Times New Roman" w:eastAsia="Times New Roman"/>
          <w:szCs w:val="24"/>
          <w:shd w:fill="FFFFFF" w:color="auto" w:val="clear"/>
        </w:rPr>
        <w:t>et al.</w:t>
      </w:r>
      <w:r w:rsidRPr="00EC16B8">
        <w:rPr>
          <w:color w:val="222222"/>
          <w:rFonts w:cs="Times New Roman" w:eastAsia="Times New Roman"/>
          <w:szCs w:val="24"/>
          <w:shd w:fill="FFFFFF" w:color="auto" w:val="clear"/>
        </w:rPr>
        <w:t xml:space="preserve"> 2021).</w:t>
      </w:r>
      <w:r w:rsidRPr="00EC16B8">
        <w:rPr>
          <w:color w:val="000000"/>
          <w:rFonts w:cs="Times New Roman" w:eastAsia="Times New Roman"/>
          <w:szCs w:val="24"/>
        </w:rPr>
        <w:t> </w:t>
      </w:r>
    </w:p>
    <w:p w:rsidR="00EC16B8" w:rsidRDefault="00EC16B8" w14:paraId="3ECEAB09" w14:textId="77777777" w:rsidP="00C52852">
      <w:pPr>
        <w:pStyle w:val="Heading1"/>
        <w:rPr>
          <w:rFonts w:eastAsia="Times New Roman"/>
        </w:rPr>
      </w:pPr>
      <w:bookmarkStart w:id="2" w:name="_Toc161967533"/>
      <w:r w:rsidRPr="00EC16B8">
        <w:rPr>
          <w:rFonts w:eastAsia="Times New Roman"/>
        </w:rPr>
        <w:t>Analysis of various methods and techniques relating to the financing of an international business in the context of Amazon</w:t>
        <w:lastRenderedPageBreak/>
      </w:r>
      <w:bookmarkEnd w:id="2"/>
    </w:p>
    <w:p w:rsidR="00A842CA" w:rsidRDefault="00A842CA" w14:paraId="73ACDDCF" w14:textId="6DCDEFEB" w:rsidP="00A842CA" w:rsidRPr="00A842CA">
      <w:pPr>
        <w:pStyle w:val="ListParagraph"/>
        <w:numPr>
          <w:ilvl w:val="0"/>
          <w:numId w:val="9"/>
        </w:numPr>
        <w:rPr>
          <w:bCs/>
          <w:iCs/>
          <w:b/>
          <w:i/>
        </w:rPr>
      </w:pPr>
      <w:r w:rsidRPr="00A842CA">
        <w:rPr>
          <w:bCs/>
          <w:iCs/>
          <w:b/>
          <w:i/>
        </w:rPr>
        <w:t>Analysis of the theoretical models of corporate value, international cost of capital, and</w:t>
      </w:r>
      <w:r w:rsidRPr="00A842CA">
        <w:rPr>
          <w:bCs/>
          <w:iCs/>
          <w:b/>
          <w:i/>
        </w:rPr>
        <w:t xml:space="preserve"> </w:t>
      </w:r>
      <w:r w:rsidRPr="00A842CA">
        <w:rPr>
          <w:bCs/>
          <w:iCs/>
          <w:b/>
          <w:i/>
        </w:rPr>
        <w:t>financial structure</w:t>
      </w:r>
    </w:p>
    <w:p w:rsidR="00890C12" w:rsidRDefault="00890C12" w14:paraId="7A2FE1F7" w14:textId="043B54BA" w:rsidP="00890C12">
      <w:r>
        <w:t>Evaluation of the models of theories like financial structure, corporate value, and international cost of capital seems critical within comprehending the notions of managing finance all over the world. The models of corporate value that includes CAPM or the approach of DCF provide information regarding the techniques of valuation</w:t>
      </w:r>
      <w:r w:rsidR="00A06E00">
        <w:t xml:space="preserve"> (</w:t>
      </w:r>
      <w:r w:rsidR="00A06E00">
        <w:rPr>
          <w:shd w:fill="FFFFFF" w:color="auto" w:val="clear"/>
        </w:rPr>
        <w:t>Hommel</w:t>
      </w:r>
      <w:r w:rsidR="00A06E00">
        <w:rPr>
          <w:shd w:fill="FFFFFF" w:color="auto" w:val="clear"/>
        </w:rPr>
        <w:t xml:space="preserve"> </w:t>
      </w:r>
      <w:r w:rsidR="00A06E00" w:rsidRPr="00A06E00">
        <w:rPr>
          <w:iCs/>
          <w:i/>
          <w:shd w:fill="FFFFFF" w:color="auto" w:val="clear"/>
        </w:rPr>
        <w:t>et al.</w:t>
      </w:r>
      <w:r w:rsidR="00A06E00">
        <w:rPr>
          <w:shd w:fill="FFFFFF" w:color="auto" w:val="clear"/>
        </w:rPr>
        <w:t xml:space="preserve"> </w:t>
      </w:r>
      <w:r w:rsidR="00A06E00">
        <w:rPr>
          <w:shd w:fill="FFFFFF" w:color="auto" w:val="clear"/>
        </w:rPr>
        <w:t>2023</w:t>
      </w:r>
      <w:r w:rsidR="00A06E00">
        <w:rPr>
          <w:shd w:fill="FFFFFF" w:color="auto" w:val="clear"/>
        </w:rPr>
        <w:t>)</w:t>
      </w:r>
      <w:r>
        <w:t xml:space="preserve">. Comprehending the models of international cost of capital helps to evaluate the necessitated return rate for the fundings throughout borders, with keeping in mind the components such as risks within the rate of exchange, as well as the risks that are country-specific. In the meantime, evaluation of the theories of financial structure, that includes </w:t>
      </w:r>
      <w:r w:rsidR="00A842CA">
        <w:t xml:space="preserve">the theorem of Modigliani-Miller, assisting the multinational corporations optimizing their choices of capital structure regarding the maximization of value in the face of varied conditions of market. </w:t>
      </w:r>
    </w:p>
    <w:p w:rsidR="00A842CA" w:rsidRDefault="009E6F81" w14:paraId="1E6962F8" w14:textId="7807F539" w:rsidP="009E6F81" w:rsidRPr="009E6F81">
      <w:pPr>
        <w:pStyle w:val="ListParagraph"/>
        <w:numPr>
          <w:ilvl w:val="0"/>
          <w:numId w:val="9"/>
        </w:numPr>
        <w:rPr>
          <w:bCs/>
          <w:iCs/>
          <w:b/>
          <w:i/>
        </w:rPr>
      </w:pPr>
      <w:r w:rsidRPr="009E6F81">
        <w:rPr>
          <w:bCs/>
          <w:iCs/>
          <w:b/>
          <w:i/>
        </w:rPr>
        <w:t>Analysis of the efficient market hypothesis theory in the context of Amazon</w:t>
      </w:r>
    </w:p>
    <w:p w:rsidR="00A842CA" w:rsidRDefault="00A842CA" w14:paraId="30877DCE" w14:textId="5A6468FD" w:rsidP="00890C12">
      <w:r>
        <w:t>Evaluating the theory of EMF within the setting of Amazon highlights crucial information regarding the behavior of stock market as well as the effectiveness of pricing. Efficient Market Hypothesis states that prices of stock mirrors every attainable data, stating that this is not possible to frequently perform well within the market via the selecting stocks or timed selection of stocks</w:t>
      </w:r>
      <w:r w:rsidR="00A06E00">
        <w:t xml:space="preserve"> (</w:t>
      </w:r>
      <w:r w:rsidR="00A06E00">
        <w:rPr>
          <w:shd w:fill="FFFFFF" w:color="auto" w:val="clear"/>
        </w:rPr>
        <w:t>Rahman</w:t>
      </w:r>
      <w:r w:rsidR="00A06E00">
        <w:rPr>
          <w:shd w:fill="FFFFFF" w:color="auto" w:val="clear"/>
        </w:rPr>
        <w:t xml:space="preserve"> </w:t>
      </w:r>
      <w:r w:rsidR="00A06E00">
        <w:rPr>
          <w:shd w:fill="FFFFFF" w:color="auto" w:val="clear"/>
        </w:rPr>
        <w:t>2021</w:t>
      </w:r>
      <w:r w:rsidR="00A06E00">
        <w:rPr>
          <w:shd w:fill="FFFFFF" w:color="auto" w:val="clear"/>
        </w:rPr>
        <w:t>)</w:t>
      </w:r>
      <w:r>
        <w:t xml:space="preserve">. Within the scenario of Amazon, being a renown business all over the </w:t>
      </w:r>
      <w:r>
        <w:t xml:space="preserve">world, their prices of stock mirrors an extensive array of data regarding their activities, performance of finance, and the prospects of market. </w:t>
        <w:lastRenderedPageBreak/>
      </w:r>
    </w:p>
    <w:p w:rsidR="00A842CA" w:rsidRDefault="00A842CA" w14:paraId="528D438C" w14:textId="25443318" w:rsidP="00890C12">
      <w:r>
        <w:t>The company’s position being a significant business within the sector of e-commerce along with their ongoing creative efforts seems to be renown to their funders, contributing towards a wider network through the analysts along with the outlets of media</w:t>
      </w:r>
      <w:r w:rsidR="00A06E00">
        <w:t xml:space="preserve"> (</w:t>
      </w:r>
      <w:proofErr w:type="spellStart"/>
      <w:r w:rsidR="00A06E00">
        <w:rPr>
          <w:shd w:fill="FFFFFF" w:color="auto" w:val="clear"/>
        </w:rPr>
        <w:t>Seuwou</w:t>
      </w:r>
      <w:proofErr w:type="spellEnd"/>
      <w:r w:rsidR="00A06E00">
        <w:rPr>
          <w:shd w:fill="FFFFFF" w:color="auto" w:val="clear"/>
        </w:rPr>
        <w:t xml:space="preserve"> </w:t>
      </w:r>
      <w:r w:rsidR="00A06E00">
        <w:rPr>
          <w:shd w:fill="FFFFFF" w:color="auto" w:val="clear"/>
        </w:rPr>
        <w:t>and Adegoke</w:t>
      </w:r>
      <w:r w:rsidR="00A06E00">
        <w:rPr>
          <w:shd w:fill="FFFFFF" w:color="auto" w:val="clear"/>
        </w:rPr>
        <w:t xml:space="preserve"> </w:t>
      </w:r>
      <w:r w:rsidR="00A06E00">
        <w:rPr>
          <w:shd w:fill="FFFFFF" w:color="auto" w:val="clear"/>
        </w:rPr>
        <w:t>2023</w:t>
      </w:r>
      <w:r w:rsidR="00A06E00">
        <w:rPr>
          <w:shd w:fill="FFFFFF" w:color="auto" w:val="clear"/>
        </w:rPr>
        <w:t>)</w:t>
      </w:r>
      <w:r>
        <w:t xml:space="preserve">. This extensive array of </w:t>
      </w:r>
      <w:r w:rsidR="009E6F81">
        <w:t>data circulation recommends that the business’s price of stock must promptly adaptable towards the fresh data, rendering it being challenging for the funders to attain an edgy benefit according to the available data source for the common public.</w:t>
      </w:r>
    </w:p>
    <w:p w:rsidR="009E6F81" w:rsidRDefault="009E6F81" w14:paraId="24E9342C" w14:textId="4153CB5A" w:rsidP="00890C12">
      <w:r>
        <w:t xml:space="preserve">Moving further, the business’s price of stocks might additionally </w:t>
      </w:r>
      <w:r w:rsidR="00A06E00">
        <w:t>impact</w:t>
      </w:r>
      <w:r>
        <w:t xml:space="preserve"> through wider trends of the market, sentiment of the funders, macroeconomic components, that are aligning alongside the forms of Efficient Market Hypothesis</w:t>
      </w:r>
      <w:r w:rsidR="00A06E00">
        <w:t xml:space="preserve"> (</w:t>
      </w:r>
      <w:r w:rsidR="00A06E00">
        <w:rPr>
          <w:shd w:fill="FFFFFF" w:color="auto" w:val="clear"/>
        </w:rPr>
        <w:t>Park</w:t>
      </w:r>
      <w:r w:rsidR="00A06E00">
        <w:rPr>
          <w:shd w:fill="FFFFFF" w:color="auto" w:val="clear"/>
        </w:rPr>
        <w:t xml:space="preserve"> </w:t>
      </w:r>
      <w:r w:rsidR="00A06E00">
        <w:rPr>
          <w:shd w:fill="FFFFFF" w:color="auto" w:val="clear"/>
        </w:rPr>
        <w:t>2021</w:t>
      </w:r>
      <w:r w:rsidR="00A06E00">
        <w:rPr>
          <w:shd w:fill="FFFFFF" w:color="auto" w:val="clear"/>
        </w:rPr>
        <w:t>)</w:t>
      </w:r>
      <w:r>
        <w:t>. Consequently, attempts made by the funders for beating the marketplace might be difficult, considering the effectiveness of the data circulation and flexibility in the prices within the stock market of Amazon.</w:t>
      </w:r>
    </w:p>
    <w:p w:rsidR="009E6F81" w:rsidRDefault="009E6F81" w14:paraId="7EAAF87E" w14:textId="7403A424" w:rsidP="00890C12" w:rsidRPr="00890C12">
      <w:r>
        <w:t xml:space="preserve">Nevertheless, this seems critical to consider that though EMH offers invaluable information within the effectiveness of the market, this also experienced critique feedback and empirical obstacles. </w:t>
      </w:r>
    </w:p>
    <w:p w:rsidR="00EC16B8" w:rsidRDefault="00EC16B8" w14:paraId="19844453" w14:textId="77777777" w:rsidP="00C52852" w:rsidRPr="00EC16B8">
      <w:pPr>
        <w:pStyle w:val="Heading1"/>
        <w:rPr>
          <w:rFonts w:eastAsia="Times New Roman"/>
        </w:rPr>
      </w:pPr>
      <w:bookmarkStart w:id="3" w:name="_Toc161967534"/>
      <w:r w:rsidRPr="00EC16B8">
        <w:rPr>
          <w:rFonts w:eastAsia="Times New Roman"/>
        </w:rPr>
        <w:t>Evaluation of the different strategies to mitigate foreign exchange risks</w:t>
      </w:r>
      <w:bookmarkEnd w:id="3"/>
    </w:p>
    <w:p w:rsidR="00EC16B8" w:rsidRDefault="00EC16B8" w14:paraId="023DE5A5" w14:textId="77777777" w:rsidP="00C52852" w:rsidRPr="00EC16B8">
      <w:pPr>
        <w:spacing w:after="0"/>
        <w:rPr>
          <w:rFonts w:cs="Times New Roman" w:eastAsia="Times New Roman"/>
          <w:szCs w:val="24"/>
        </w:rPr>
      </w:pPr>
      <w:r w:rsidRPr="00EC16B8">
        <w:rPr>
          <w:color w:val="000000"/>
          <w:rFonts w:cs="Times New Roman" w:eastAsia="Times New Roman"/>
          <w:szCs w:val="24"/>
        </w:rPr>
        <w:t>This section is going to briefly discuss the key strategies that are often used by multinational organizations to manage the risks regarding foreign exchange (</w:t>
      </w:r>
      <w:r w:rsidRPr="00EC16B8">
        <w:rPr>
          <w:color w:val="222222"/>
          <w:rFonts w:cs="Times New Roman" w:eastAsia="Times New Roman"/>
          <w:szCs w:val="24"/>
          <w:shd w:fill="FFFFFF" w:color="auto" w:val="clear"/>
        </w:rPr>
        <w:t>Salamah, 2023)</w:t>
      </w:r>
      <w:r w:rsidRPr="00EC16B8">
        <w:rPr>
          <w:color w:val="000000"/>
          <w:rFonts w:cs="Times New Roman" w:eastAsia="Times New Roman"/>
          <w:szCs w:val="24"/>
        </w:rPr>
        <w:t xml:space="preserve">. Famous multinational corporations like Amazon often face critical issues regarding foreign exchange </w:t>
      </w:r>
      <w:r w:rsidRPr="00EC16B8">
        <w:rPr>
          <w:color w:val="000000"/>
          <w:rFonts w:cs="Times New Roman" w:eastAsia="Times New Roman"/>
          <w:szCs w:val="24"/>
        </w:rPr>
        <w:t>risks as they operate in various countries around the globe. These risks are closely associated with the exchange rates of different countries. The MNC often applies a few key strategies like</w:t>
        <w:lastRenderedPageBreak/>
      </w:r>
    </w:p>
    <w:p w:rsidR="00EC16B8" w:rsidRDefault="00EC16B8" w14:paraId="1B9F94FB"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 xml:space="preserve">Natural hedging: </w:t>
      </w:r>
      <w:r w:rsidRPr="00EC16B8">
        <w:rPr>
          <w:color w:val="000000"/>
          <w:rFonts w:cs="Times New Roman" w:eastAsia="Times New Roman"/>
          <w:szCs w:val="24"/>
        </w:rPr>
        <w:t>This process allows the companies to locate production facilities and suppliers in various continents so they can match the revenue and cost within the same currency (</w:t>
      </w:r>
      <w:r w:rsidRPr="00EC16B8">
        <w:rPr>
          <w:color w:val="222222"/>
          <w:rFonts w:cs="Times New Roman" w:eastAsia="Times New Roman"/>
          <w:szCs w:val="24"/>
          <w:shd w:fill="FFFFFF" w:color="auto" w:val="clear"/>
        </w:rPr>
        <w:t xml:space="preserve">Eun </w:t>
      </w:r>
      <w:r w:rsidRPr="00EC16B8">
        <w:rPr>
          <w:iCs/>
          <w:i/>
          <w:color w:val="222222"/>
          <w:rFonts w:cs="Times New Roman" w:eastAsia="Times New Roman"/>
          <w:szCs w:val="24"/>
          <w:shd w:fill="FFFFFF" w:color="auto" w:val="clear"/>
        </w:rPr>
        <w:t>et al</w:t>
      </w:r>
      <w:r w:rsidRPr="00EC16B8">
        <w:rPr>
          <w:iCs/>
          <w:i/>
          <w:color w:val="000000"/>
          <w:rFonts w:cs="Times New Roman" w:eastAsia="Times New Roman"/>
          <w:szCs w:val="24"/>
        </w:rPr>
        <w:t>.</w:t>
      </w:r>
      <w:r w:rsidRPr="00EC16B8">
        <w:rPr>
          <w:color w:val="000000"/>
          <w:rFonts w:cs="Times New Roman" w:eastAsia="Times New Roman"/>
          <w:szCs w:val="24"/>
        </w:rPr>
        <w:t xml:space="preserve"> 2021).</w:t>
      </w:r>
    </w:p>
    <w:p w:rsidR="00EC16B8" w:rsidRDefault="00EC16B8" w14:paraId="542310D7"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Currency Swaps</w:t>
      </w:r>
      <w:r w:rsidRPr="00EC16B8">
        <w:rPr>
          <w:color w:val="000000"/>
          <w:rFonts w:cs="Times New Roman" w:eastAsia="Times New Roman"/>
          <w:szCs w:val="24"/>
        </w:rPr>
        <w:t>: MNCs like Amazon often use the currency swaps process to exchange the currency. It allows the companies to get their desired currency from other parties without directly engaging in the forex market. </w:t>
      </w:r>
    </w:p>
    <w:p w:rsidR="00EC16B8" w:rsidRDefault="00EC16B8" w14:paraId="6049E6AA" w14:textId="77777777" w:rsidP="00C52852" w:rsidRPr="00C52852">
      <w:pPr>
        <w:spacing w:after="0"/>
        <w:rPr>
          <w:rFonts w:cs="Times New Roman" w:eastAsia="Times New Roman"/>
          <w:szCs w:val="24"/>
        </w:rPr>
      </w:pPr>
      <w:r w:rsidRPr="00EC16B8">
        <w:rPr>
          <w:bCs/>
          <w:iCs/>
          <w:b/>
          <w:i/>
          <w:color w:val="000000"/>
          <w:rFonts w:cs="Times New Roman" w:eastAsia="Times New Roman"/>
          <w:szCs w:val="24"/>
        </w:rPr>
        <w:t>Forwards contract:</w:t>
      </w:r>
      <w:r w:rsidRPr="00EC16B8">
        <w:rPr>
          <w:color w:val="000000"/>
          <w:rFonts w:cs="Times New Roman" w:eastAsia="Times New Roman"/>
          <w:szCs w:val="24"/>
        </w:rPr>
        <w:t xml:space="preserve"> It assists multinational organizations like Amazon to lock their currency rates for futures as well. They can exchange at a fixed rate for a certain time which mitigates the risks associated with adverse exchange rates. </w:t>
      </w:r>
    </w:p>
    <w:p w:rsidR="00EC16B8" w:rsidRDefault="00EC16B8" w14:paraId="0E22EA71" w14:textId="77777777" w:rsidP="00C52852" w:rsidRPr="00EC16B8">
      <w:pPr>
        <w:pStyle w:val="Heading1"/>
        <w:rPr>
          <w:rFonts w:eastAsia="Times New Roman"/>
        </w:rPr>
      </w:pPr>
      <w:bookmarkStart w:id="4" w:name="_Toc161967535"/>
      <w:r w:rsidRPr="00EC16B8">
        <w:rPr>
          <w:color w:val="000000"/>
          <w:rFonts w:eastAsia="Times New Roman"/>
        </w:rPr>
        <w:t>Analysis of Amazon’s Dividend Distribution Policy</w:t>
      </w:r>
      <w:bookmarkEnd w:id="4"/>
    </w:p>
    <w:p w:rsidR="00EC16B8" w:rsidRDefault="00EC16B8" w14:paraId="6C88ACFE" w14:textId="77777777" w:rsidP="00C52852" w:rsidRPr="00EC16B8">
      <w:pPr>
        <w:spacing w:after="0"/>
        <w:rPr>
          <w:rFonts w:cs="Times New Roman" w:eastAsia="Times New Roman"/>
          <w:szCs w:val="24"/>
        </w:rPr>
      </w:pPr>
      <w:r w:rsidRPr="00EC16B8">
        <w:rPr>
          <w:color w:val="000000"/>
          <w:rFonts w:cs="Times New Roman" w:eastAsia="Times New Roman"/>
          <w:szCs w:val="24"/>
        </w:rPr>
        <w:t>Amazon does not distribute its dividends among its shareholders. They have never paid dividends based on their common stock. They have reinvested their revenue in their business activities (</w:t>
      </w:r>
      <w:r w:rsidRPr="00EC16B8">
        <w:rPr>
          <w:color w:val="222222"/>
          <w:rFonts w:cs="Times New Roman" w:eastAsia="Times New Roman"/>
          <w:szCs w:val="24"/>
          <w:shd w:fill="FFFFFF" w:color="auto" w:val="clear"/>
        </w:rPr>
        <w:t>Darcy, 2023)</w:t>
      </w:r>
      <w:r w:rsidRPr="00EC16B8">
        <w:rPr>
          <w:color w:val="000000"/>
          <w:rFonts w:cs="Times New Roman" w:eastAsia="Times New Roman"/>
          <w:szCs w:val="24"/>
        </w:rPr>
        <w:t>. The key factors behind this strategy are </w:t>
      </w:r>
    </w:p>
    <w:p w:rsidR="00EC16B8" w:rsidRDefault="00EC16B8" w14:paraId="5261721A"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 xml:space="preserve">Growth-oriented approach: </w:t>
      </w:r>
      <w:r w:rsidRPr="00EC16B8">
        <w:rPr>
          <w:color w:val="000000"/>
          <w:rFonts w:cs="Times New Roman" w:eastAsia="Times New Roman"/>
          <w:szCs w:val="24"/>
        </w:rPr>
        <w:t>Amazon has always focused on growth opportunities rather than their returns to the shareholders. They have believed in constant innovation and growth which has influenced them to continuously reinvest their profits in the business ventures itself (</w:t>
      </w:r>
      <w:r w:rsidRPr="00EC16B8">
        <w:rPr>
          <w:color w:val="222222"/>
          <w:rFonts w:cs="Times New Roman" w:eastAsia="Times New Roman"/>
          <w:szCs w:val="24"/>
          <w:shd w:fill="FFFFFF" w:color="auto" w:val="clear"/>
        </w:rPr>
        <w:t>Fan and Zhang, 2023)</w:t>
      </w:r>
      <w:r w:rsidRPr="00EC16B8">
        <w:rPr>
          <w:color w:val="000000"/>
          <w:rFonts w:cs="Times New Roman" w:eastAsia="Times New Roman"/>
          <w:szCs w:val="24"/>
        </w:rPr>
        <w:t>. </w:t>
      </w:r>
    </w:p>
    <w:p w:rsidR="00EC16B8" w:rsidRDefault="00EC16B8" w14:paraId="7F632396"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Shareholder Value:</w:t>
      </w:r>
      <w:r w:rsidRPr="00EC16B8">
        <w:rPr>
          <w:color w:val="000000"/>
          <w:rFonts w:cs="Times New Roman" w:eastAsia="Times New Roman"/>
          <w:szCs w:val="24"/>
        </w:rPr>
        <w:t xml:space="preserve"> The company believes that reinvesting the profit in the business generates a longer value for the shareholders rather than paying them dividends. They intend to become the dominant player and that is why they reinvest their profit in the expansion of their business.</w:t>
      </w:r>
    </w:p>
    <w:p w:rsidR="00EC16B8" w:rsidRDefault="00EC16B8" w14:paraId="19593106"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 xml:space="preserve">High competition and low profit: </w:t>
        <w:lastRenderedPageBreak/>
      </w:r>
      <w:r w:rsidRPr="00EC16B8">
        <w:rPr>
          <w:color w:val="000000"/>
          <w:rFonts w:cs="Times New Roman" w:eastAsia="Times New Roman"/>
          <w:szCs w:val="24"/>
        </w:rPr>
        <w:t>Amazon operates in a highly competitive market like e-commerce where the profit margin is very low (</w:t>
      </w:r>
      <w:r w:rsidRPr="00EC16B8">
        <w:rPr>
          <w:color w:val="222222"/>
          <w:rFonts w:cs="Times New Roman" w:eastAsia="Times New Roman"/>
          <w:szCs w:val="24"/>
          <w:shd w:fill="FFFFFF" w:color="auto" w:val="clear"/>
        </w:rPr>
        <w:t>Jing and Li, 2023)</w:t>
      </w:r>
      <w:r w:rsidRPr="00EC16B8">
        <w:rPr>
          <w:color w:val="000000"/>
          <w:rFonts w:cs="Times New Roman" w:eastAsia="Times New Roman"/>
          <w:szCs w:val="24"/>
        </w:rPr>
        <w:t xml:space="preserve">. </w:t>
      </w:r>
      <w:proofErr w:type="gramStart"/>
      <w:r w:rsidRPr="00EC16B8">
        <w:rPr>
          <w:color w:val="000000"/>
          <w:rFonts w:cs="Times New Roman" w:eastAsia="Times New Roman"/>
          <w:szCs w:val="24"/>
        </w:rPr>
        <w:t>So</w:t>
      </w:r>
      <w:proofErr w:type="gramEnd"/>
      <w:r w:rsidRPr="00EC16B8">
        <w:rPr>
          <w:color w:val="000000"/>
          <w:rFonts w:cs="Times New Roman" w:eastAsia="Times New Roman"/>
          <w:szCs w:val="24"/>
        </w:rPr>
        <w:t xml:space="preserve"> the company chooses to retain its revenues to utilize future growth opportunities. </w:t>
      </w:r>
    </w:p>
    <w:p w:rsidR="00EC16B8" w:rsidRDefault="00EC16B8" w14:paraId="0DBA6CA7"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 xml:space="preserve">Investor’s Demand: </w:t>
      </w:r>
      <w:r w:rsidRPr="00EC16B8">
        <w:rPr>
          <w:color w:val="000000"/>
          <w:rFonts w:cs="Times New Roman" w:eastAsia="Times New Roman"/>
          <w:szCs w:val="24"/>
        </w:rPr>
        <w:t>The company’s shareholders have historically played a remarkable role as they always demanded that Amazon sustain its revenue growth (</w:t>
      </w:r>
      <w:r w:rsidRPr="00EC16B8">
        <w:rPr>
          <w:color w:val="222222"/>
          <w:rFonts w:cs="Times New Roman" w:eastAsia="Times New Roman"/>
          <w:szCs w:val="24"/>
          <w:shd w:fill="FFFFFF" w:color="auto" w:val="clear"/>
        </w:rPr>
        <w:t>Qureshi and Yadav, 2020)</w:t>
      </w:r>
      <w:r w:rsidRPr="00EC16B8">
        <w:rPr>
          <w:color w:val="000000"/>
          <w:rFonts w:cs="Times New Roman" w:eastAsia="Times New Roman"/>
          <w:szCs w:val="24"/>
        </w:rPr>
        <w:t>. They have never expected their payments through the dividends rather aimed to see the company as a market leader in this industry.</w:t>
      </w:r>
    </w:p>
    <w:p w:rsidR="00EC16B8" w:rsidRDefault="00EC16B8" w14:paraId="43E7025B"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 xml:space="preserve">Taxing Issues: </w:t>
      </w:r>
      <w:r w:rsidRPr="00EC16B8">
        <w:rPr>
          <w:color w:val="000000"/>
          <w:rFonts w:cs="Times New Roman" w:eastAsia="Times New Roman"/>
          <w:szCs w:val="24"/>
        </w:rPr>
        <w:t>Payment of the dividends includes taxing issues to both the company and the shareholders. To reduce the tax liabilities the company has adopted this approach.</w:t>
      </w:r>
    </w:p>
    <w:p w:rsidR="00EC16B8" w:rsidRDefault="00EC16B8" w14:paraId="10524609" w14:textId="77777777" w:rsidP="00C52852" w:rsidRPr="00EC16B8">
      <w:pPr>
        <w:spacing w:after="0"/>
        <w:rPr>
          <w:rFonts w:cs="Times New Roman" w:eastAsia="Times New Roman"/>
          <w:szCs w:val="24"/>
        </w:rPr>
      </w:pPr>
      <w:r w:rsidRPr="00EC16B8">
        <w:rPr>
          <w:color w:val="000000"/>
          <w:rFonts w:cs="Times New Roman" w:eastAsia="Times New Roman"/>
          <w:szCs w:val="24"/>
        </w:rPr>
        <w:t>The dividend policy of the company can evolve and the policy can also be restructured if there is a change in the cash flow.</w:t>
      </w:r>
    </w:p>
    <w:p w:rsidR="00EC16B8" w:rsidRDefault="00EC16B8" w14:paraId="3F558D1A" w14:textId="77777777" w:rsidP="00C52852" w:rsidRPr="00EC16B8">
      <w:pPr>
        <w:pStyle w:val="Heading1"/>
        <w:rPr>
          <w:rFonts w:eastAsia="Times New Roman"/>
        </w:rPr>
      </w:pPr>
      <w:bookmarkStart w:id="5" w:name="_Toc161967536"/>
      <w:r w:rsidRPr="00EC16B8">
        <w:rPr>
          <w:rFonts w:eastAsia="Times New Roman"/>
        </w:rPr>
        <w:t>Analysis and evaluation of Amazon’s methods of appraising projects.</w:t>
      </w:r>
      <w:bookmarkEnd w:id="5"/>
      <w:r w:rsidRPr="00EC16B8">
        <w:rPr>
          <w:rFonts w:eastAsia="Times New Roman"/>
        </w:rPr>
        <w:t> </w:t>
      </w:r>
    </w:p>
    <w:p w:rsidR="00EC16B8" w:rsidRDefault="00EC16B8" w14:paraId="50130360" w14:textId="77777777" w:rsidP="00C52852" w:rsidRPr="00EC16B8">
      <w:pPr>
        <w:spacing w:after="0"/>
        <w:rPr>
          <w:rFonts w:cs="Times New Roman" w:eastAsia="Times New Roman"/>
          <w:szCs w:val="24"/>
        </w:rPr>
      </w:pPr>
      <w:r w:rsidRPr="00EC16B8">
        <w:rPr>
          <w:color w:val="000000"/>
          <w:rFonts w:cs="Times New Roman" w:eastAsia="Times New Roman"/>
          <w:szCs w:val="24"/>
        </w:rPr>
        <w:t>Amazon’s method of appraising the projects is strictly aligned with their long-term value. The methods that the company uses to appraise the projects are,</w:t>
      </w:r>
    </w:p>
    <w:p w:rsidR="00EC16B8" w:rsidRDefault="00EC16B8" w14:paraId="0475470E"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 xml:space="preserve">Net Present Value (NPV): </w:t>
      </w:r>
      <w:r w:rsidRPr="00EC16B8">
        <w:rPr>
          <w:color w:val="000000"/>
          <w:rFonts w:cs="Times New Roman" w:eastAsia="Times New Roman"/>
          <w:szCs w:val="24"/>
        </w:rPr>
        <w:t>The company considers the NPV of a project before investing in it. It helps them to evaluate the current value of forecasted cash flow that a project can generate (</w:t>
      </w:r>
      <w:r w:rsidRPr="00EC16B8">
        <w:rPr>
          <w:color w:val="222222"/>
          <w:rFonts w:cs="Times New Roman" w:eastAsia="Times New Roman"/>
          <w:szCs w:val="24"/>
          <w:shd w:fill="FFFFFF" w:color="auto" w:val="clear"/>
        </w:rPr>
        <w:t>Saez and Zucman, 2023)</w:t>
      </w:r>
      <w:r w:rsidRPr="00EC16B8">
        <w:rPr>
          <w:color w:val="000000"/>
          <w:rFonts w:cs="Times New Roman" w:eastAsia="Times New Roman"/>
          <w:szCs w:val="24"/>
        </w:rPr>
        <w:t>. They assessed the financial viability of the project and became assured about the higher rate of returns from it. </w:t>
      </w:r>
    </w:p>
    <w:p w:rsidR="00EC16B8" w:rsidRDefault="00EC16B8" w14:paraId="22339B03"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 xml:space="preserve">Return on Investment: </w:t>
      </w:r>
      <w:r w:rsidRPr="00EC16B8">
        <w:rPr>
          <w:color w:val="000000"/>
          <w:rFonts w:cs="Times New Roman" w:eastAsia="Times New Roman"/>
          <w:szCs w:val="24"/>
        </w:rPr>
        <w:t>The analysis of the internal return on investment is conducted by the company, to evaluate the financial viability of a project. It helps to determine whether the project is profitable or not as per its cost (</w:t>
      </w:r>
      <w:r w:rsidRPr="00EC16B8">
        <w:rPr>
          <w:color w:val="222222"/>
          <w:rFonts w:cs="Times New Roman" w:eastAsia="Times New Roman"/>
          <w:szCs w:val="24"/>
          <w:shd w:fill="FFFFFF" w:color="auto" w:val="clear"/>
        </w:rPr>
        <w:t xml:space="preserve">Moffett </w:t>
      </w:r>
      <w:r w:rsidRPr="00EC16B8">
        <w:rPr>
          <w:iCs/>
          <w:i/>
          <w:color w:val="222222"/>
          <w:rFonts w:cs="Times New Roman" w:eastAsia="Times New Roman"/>
          <w:szCs w:val="24"/>
          <w:shd w:fill="FFFFFF" w:color="auto" w:val="clear"/>
        </w:rPr>
        <w:t>et al</w:t>
      </w:r>
      <w:r w:rsidRPr="00EC16B8">
        <w:rPr>
          <w:iCs/>
          <w:i/>
          <w:color w:val="000000"/>
          <w:rFonts w:cs="Times New Roman" w:eastAsia="Times New Roman"/>
          <w:szCs w:val="24"/>
        </w:rPr>
        <w:t>.</w:t>
      </w:r>
      <w:r w:rsidRPr="00EC16B8">
        <w:rPr>
          <w:color w:val="000000"/>
          <w:rFonts w:cs="Times New Roman" w:eastAsia="Times New Roman"/>
          <w:szCs w:val="24"/>
        </w:rPr>
        <w:t xml:space="preserve"> 2021). They analyze the ROI of the different projects and based on the </w:t>
      </w:r>
      <w:proofErr w:type="gramStart"/>
      <w:r w:rsidRPr="00EC16B8">
        <w:rPr>
          <w:color w:val="000000"/>
          <w:rFonts w:cs="Times New Roman" w:eastAsia="Times New Roman"/>
          <w:szCs w:val="24"/>
        </w:rPr>
        <w:t>result,</w:t>
      </w:r>
      <w:proofErr w:type="gramEnd"/>
      <w:r w:rsidRPr="00EC16B8">
        <w:rPr>
          <w:color w:val="000000"/>
          <w:rFonts w:cs="Times New Roman" w:eastAsia="Times New Roman"/>
          <w:szCs w:val="24"/>
        </w:rPr>
        <w:t xml:space="preserve"> they prioritize the investment in these projects. </w:t>
      </w:r>
    </w:p>
    <w:p w:rsidR="00EC16B8" w:rsidRDefault="00EC16B8" w14:paraId="30CE7B09"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 xml:space="preserve">Cost-Benefit Analysis: </w:t>
        <w:lastRenderedPageBreak/>
      </w:r>
      <w:r w:rsidRPr="00EC16B8">
        <w:rPr>
          <w:color w:val="000000"/>
          <w:rFonts w:cs="Times New Roman" w:eastAsia="Times New Roman"/>
          <w:szCs w:val="24"/>
        </w:rPr>
        <w:t>This process helps to understand the economic feasibility of the specific project (</w:t>
      </w:r>
      <w:r w:rsidRPr="00EC16B8">
        <w:rPr>
          <w:color w:val="222222"/>
          <w:rFonts w:cs="Times New Roman" w:eastAsia="Times New Roman"/>
          <w:szCs w:val="24"/>
          <w:shd w:fill="FFFFFF" w:color="auto" w:val="clear"/>
        </w:rPr>
        <w:t xml:space="preserve">Huang </w:t>
      </w:r>
      <w:r w:rsidRPr="00EC16B8">
        <w:rPr>
          <w:iCs/>
          <w:i/>
          <w:color w:val="222222"/>
          <w:rFonts w:cs="Times New Roman" w:eastAsia="Times New Roman"/>
          <w:szCs w:val="24"/>
          <w:shd w:fill="FFFFFF" w:color="auto" w:val="clear"/>
        </w:rPr>
        <w:t>et al</w:t>
      </w:r>
      <w:r w:rsidRPr="00EC16B8">
        <w:rPr>
          <w:iCs/>
          <w:i/>
          <w:color w:val="000000"/>
          <w:rFonts w:cs="Times New Roman" w:eastAsia="Times New Roman"/>
          <w:szCs w:val="24"/>
        </w:rPr>
        <w:t>.</w:t>
      </w:r>
      <w:r w:rsidRPr="00EC16B8">
        <w:rPr>
          <w:color w:val="000000"/>
          <w:rFonts w:cs="Times New Roman" w:eastAsia="Times New Roman"/>
          <w:szCs w:val="24"/>
        </w:rPr>
        <w:t xml:space="preserve"> 2022). Amazon projects </w:t>
      </w:r>
      <w:proofErr w:type="spellStart"/>
      <w:r w:rsidRPr="00EC16B8">
        <w:rPr>
          <w:color w:val="000000"/>
          <w:rFonts w:cs="Times New Roman" w:eastAsia="Times New Roman"/>
          <w:szCs w:val="24"/>
        </w:rPr>
        <w:t>projects</w:t>
      </w:r>
      <w:proofErr w:type="spellEnd"/>
      <w:r w:rsidRPr="00EC16B8">
        <w:rPr>
          <w:color w:val="000000"/>
          <w:rFonts w:cs="Times New Roman" w:eastAsia="Times New Roman"/>
          <w:szCs w:val="24"/>
        </w:rPr>
        <w:t xml:space="preserve"> based on it quantified value of the financial along with the non-financial benefits. They allocate the resources for the projects based on this analysis.</w:t>
      </w:r>
    </w:p>
    <w:p w:rsidR="00EC16B8" w:rsidRDefault="00EC16B8" w14:paraId="7C52E3E7"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 xml:space="preserve">Payback Period: </w:t>
      </w:r>
      <w:r w:rsidRPr="00EC16B8">
        <w:rPr>
          <w:color w:val="000000"/>
          <w:rFonts w:cs="Times New Roman" w:eastAsia="Times New Roman"/>
          <w:szCs w:val="24"/>
        </w:rPr>
        <w:t>It clarifies the period that a project requires to regain its initial investment. Amazon conducts this quick analysis method to analyze the success quotient of a project (</w:t>
      </w:r>
      <w:r w:rsidRPr="00EC16B8">
        <w:rPr>
          <w:color w:val="222222"/>
          <w:rFonts w:cs="Times New Roman" w:eastAsia="Times New Roman"/>
          <w:szCs w:val="24"/>
          <w:shd w:fill="FFFFFF" w:color="auto" w:val="clear"/>
        </w:rPr>
        <w:t>Qureshi and Yadav, 2020)</w:t>
      </w:r>
      <w:r w:rsidRPr="00EC16B8">
        <w:rPr>
          <w:color w:val="000000"/>
          <w:rFonts w:cs="Times New Roman" w:eastAsia="Times New Roman"/>
          <w:szCs w:val="24"/>
        </w:rPr>
        <w:t>. They chose the project with a short payback period as well.</w:t>
      </w:r>
    </w:p>
    <w:p w:rsidR="00EC16B8" w:rsidRDefault="00EC16B8" w14:paraId="12FE1ABE" w14:textId="77777777" w:rsidP="00C52852" w:rsidRPr="00EC16B8">
      <w:pPr>
        <w:spacing w:after="0"/>
        <w:rPr>
          <w:rFonts w:cs="Times New Roman" w:eastAsia="Times New Roman"/>
          <w:szCs w:val="24"/>
        </w:rPr>
      </w:pPr>
      <w:r w:rsidRPr="00EC16B8">
        <w:rPr>
          <w:color w:val="000000"/>
          <w:rFonts w:cs="Times New Roman" w:eastAsia="Times New Roman"/>
          <w:szCs w:val="24"/>
        </w:rPr>
        <w:t>All of these financial methods are used by the company while apprising a specific project but apart from this, there are other critical methods that the company considers while apprising a project as well. Such as,</w:t>
      </w:r>
    </w:p>
    <w:p w:rsidR="00EC16B8" w:rsidRDefault="00EC16B8" w14:paraId="3954AE62"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Data-driven decision-making process:</w:t>
      </w:r>
      <w:r w:rsidRPr="00EC16B8">
        <w:rPr>
          <w:color w:val="000000"/>
          <w:rFonts w:cs="Times New Roman" w:eastAsia="Times New Roman"/>
          <w:szCs w:val="24"/>
        </w:rPr>
        <w:t xml:space="preserve"> Amazon thoroughly analyzes the market data and recent analytics before proceeding with a project. It helps them to evaluate the market trends while appraising a new project.</w:t>
      </w:r>
    </w:p>
    <w:p w:rsidR="00EC16B8" w:rsidRDefault="00EC16B8" w14:paraId="00B2CAC2" w14:textId="77777777" w:rsidP="00C52852" w:rsidRPr="00EC16B8">
      <w:pPr>
        <w:spacing w:after="0"/>
        <w:rPr>
          <w:rFonts w:cs="Times New Roman" w:eastAsia="Times New Roman"/>
          <w:szCs w:val="24"/>
        </w:rPr>
      </w:pPr>
      <w:r w:rsidRPr="00EC16B8">
        <w:rPr>
          <w:bCs/>
          <w:iCs/>
          <w:b/>
          <w:i/>
          <w:color w:val="000000"/>
          <w:rFonts w:cs="Times New Roman" w:eastAsia="Times New Roman"/>
          <w:szCs w:val="24"/>
        </w:rPr>
        <w:t xml:space="preserve">Long-term value: </w:t>
      </w:r>
      <w:r w:rsidRPr="00EC16B8">
        <w:rPr>
          <w:color w:val="000000"/>
          <w:rFonts w:cs="Times New Roman" w:eastAsia="Times New Roman"/>
          <w:szCs w:val="24"/>
        </w:rPr>
        <w:t>The company checks whether the project is proving a long-term value to its organizational growth and brand image. They often focus on the long-term value creation as they intend to be the dominant market player.</w:t>
      </w:r>
    </w:p>
    <w:p w:rsidR="00EC16B8" w:rsidRDefault="00EC16B8" w14:paraId="66193031" w14:textId="77777777" w:rsidP="00C52852">
      <w:pPr>
        <w:spacing w:after="0"/>
        <w:rPr>
          <w:color w:val="000000"/>
          <w:rFonts w:cs="Times New Roman" w:eastAsia="Times New Roman"/>
          <w:szCs w:val="24"/>
        </w:rPr>
      </w:pPr>
      <w:r w:rsidRPr="00EC16B8">
        <w:rPr>
          <w:bCs/>
          <w:iCs/>
          <w:b/>
          <w:i/>
          <w:color w:val="000000"/>
          <w:rFonts w:cs="Times New Roman" w:eastAsia="Times New Roman"/>
          <w:szCs w:val="24"/>
        </w:rPr>
        <w:t xml:space="preserve">Customer orientation: </w:t>
      </w:r>
      <w:r w:rsidRPr="00EC16B8">
        <w:rPr>
          <w:color w:val="000000"/>
          <w:rFonts w:cs="Times New Roman" w:eastAsia="Times New Roman"/>
          <w:szCs w:val="24"/>
        </w:rPr>
        <w:t>Amazon majorly focuses on customer satisfaction while appraising a project. They analyze the impact of the project on customer satisfaction before appraising it. </w:t>
      </w:r>
    </w:p>
    <w:p w:rsidR="009E6F81" w:rsidRDefault="009E6F81" w14:paraId="350A303E" w14:textId="1459764B" w:rsidP="009E6F81">
      <w:pPr>
        <w:pStyle w:val="Heading1"/>
        <w:rPr>
          <w:rFonts w:eastAsia="Times New Roman"/>
        </w:rPr>
      </w:pPr>
      <w:bookmarkStart w:id="6" w:name="_Toc161967537"/>
      <w:r>
        <w:rPr>
          <w:rFonts w:eastAsia="Times New Roman"/>
        </w:rPr>
        <w:t>Conclusion</w:t>
      </w:r>
      <w:bookmarkEnd w:id="6"/>
    </w:p>
    <w:p w:rsidR="009E6F81" w:rsidRDefault="009E6F81" w14:paraId="1CFC607F" w14:textId="247E597C" w:rsidP="009E6F81" w:rsidRPr="009E6F81">
      <w:r>
        <w:t xml:space="preserve">On a concluding note, Amazon’s solid approaches to finance, that includes efficiently managing risks, techniques of appraisal, dividend policies, connects alongside the lasting value creating goals and dynamics of the market. </w:t>
      </w:r>
    </w:p>
    <w:p w:rsidR="00EC16B8" w:rsidRDefault="00EC16B8" w14:paraId="6F5ABF16" w14:textId="77777777" w:rsidP="00C52852" w:rsidRPr="00EC16B8">
      <w:pPr>
        <w:spacing w:after="240"/>
        <w:rPr>
          <w:rFonts w:cs="Times New Roman" w:eastAsia="Times New Roman"/>
          <w:szCs w:val="24"/>
        </w:rPr>
      </w:pPr>
      <w:r>
        <w:rPr>
          <w:rFonts w:cs="Times New Roman" w:eastAsia="Times New Roman"/>
          <w:szCs w:val="24"/>
        </w:rPr>
        <w:br/>
      </w:r>
    </w:p>
    <w:p w:rsidR="00C52852" w:rsidRDefault="00C52852" w14:paraId="07619AE5" w14:textId="77777777">
      <w:pPr>
        <w:rPr>
          <w:bCs/>
          <w:b/>
          <w:rFonts w:eastAsia="Times New Roman" w:cstheme="majorBidi"/>
          <w:sz w:val="28"/>
          <w:szCs w:val="28"/>
        </w:rPr>
      </w:pPr>
      <w:r>
        <w:rPr>
          <w:rFonts w:eastAsia="Times New Roman"/>
        </w:rPr>
        <w:br w:type="page"/>
      </w:r>
    </w:p>
    <w:p w:rsidR="00C52852" w:rsidRDefault="00EC16B8" w14:paraId="467FE5E2" w14:textId="77777777" w:rsidP="00C52852" w:rsidRPr="00C52852">
      <w:pPr>
        <w:pStyle w:val="Heading1"/>
        <w:rPr>
          <w:rFonts w:eastAsia="Times New Roman"/>
        </w:rPr>
      </w:pPr>
      <w:bookmarkStart w:id="7" w:name="_Toc161967538"/>
      <w:r w:rsidRPr="00EC16B8">
        <w:rPr>
          <w:rFonts w:eastAsia="Times New Roman"/>
        </w:rPr>
        <w:t>Reference</w:t>
        <w:lastRenderedPageBreak/>
      </w:r>
      <w:bookmarkEnd w:id="7"/>
    </w:p>
    <w:p w:rsidR="00A06E00" w:rsidRDefault="00A06E00" w14:paraId="5A00C35C" w14:textId="77777777" w:rsidP="00A06E00" w:rsidRPr="00EC16B8">
      <w:pPr>
        <w:ind w:left="720"/>
      </w:pPr>
      <w:r w:rsidRPr="00EC16B8">
        <w:rPr>
          <w:shd w:fill="FFFFFF" w:color="auto" w:val="clear"/>
        </w:rPr>
        <w:t xml:space="preserve">Chen, Y., Kumara, E.K. and Sivakumar, V., 2021. </w:t>
      </w:r>
      <w:proofErr w:type="spellStart"/>
      <w:r w:rsidRPr="00EC16B8">
        <w:rPr>
          <w:shd w:fill="FFFFFF" w:color="auto" w:val="clear"/>
        </w:rPr>
        <w:t>Invesitigation</w:t>
      </w:r>
      <w:proofErr w:type="spellEnd"/>
      <w:r w:rsidRPr="00EC16B8">
        <w:rPr>
          <w:shd w:fill="FFFFFF" w:color="auto" w:val="clear"/>
        </w:rPr>
        <w:t xml:space="preserve"> of finance industry on risk awareness model and digital economic growth. </w:t>
      </w:r>
      <w:r w:rsidRPr="00EC16B8">
        <w:rPr>
          <w:iCs/>
          <w:i/>
          <w:shd w:fill="FFFFFF" w:color="auto" w:val="clear"/>
        </w:rPr>
        <w:t>Annals of Operations Research</w:t>
      </w:r>
      <w:r w:rsidRPr="00EC16B8">
        <w:rPr>
          <w:shd w:fill="FFFFFF" w:color="auto" w:val="clear"/>
        </w:rPr>
        <w:t>, pp.1-22.</w:t>
      </w:r>
    </w:p>
    <w:p w:rsidR="00A06E00" w:rsidRDefault="00A06E00" w14:paraId="6A538306" w14:textId="77777777" w:rsidP="00A06E00" w:rsidRPr="00EC16B8">
      <w:pPr>
        <w:ind w:left="720"/>
      </w:pPr>
      <w:r w:rsidRPr="00EC16B8">
        <w:rPr>
          <w:shd w:fill="FFFFFF" w:color="auto" w:val="clear"/>
        </w:rPr>
        <w:t xml:space="preserve">Darcy, L.G., 2023. </w:t>
      </w:r>
      <w:r w:rsidRPr="00EC16B8">
        <w:rPr>
          <w:iCs/>
          <w:i/>
          <w:shd w:fill="FFFFFF" w:color="auto" w:val="clear"/>
        </w:rPr>
        <w:t>Equity valuation: Amazon. com Inc</w:t>
      </w:r>
      <w:r w:rsidRPr="00EC16B8">
        <w:rPr>
          <w:shd w:fill="FFFFFF" w:color="auto" w:val="clear"/>
        </w:rPr>
        <w:t xml:space="preserve"> (Doctoral dissertation).</w:t>
      </w:r>
    </w:p>
    <w:p w:rsidR="00A06E00" w:rsidRDefault="00A06E00" w14:paraId="20D67EE2" w14:textId="77777777" w:rsidP="00A06E00" w:rsidRPr="00EC16B8">
      <w:pPr>
        <w:ind w:left="720"/>
      </w:pPr>
      <w:r w:rsidRPr="00EC16B8">
        <w:rPr>
          <w:shd w:fill="FFFFFF" w:color="auto" w:val="clear"/>
        </w:rPr>
        <w:t xml:space="preserve">Eun, C.S., Resnick, B.G. and Chuluun, T., 2021. </w:t>
      </w:r>
      <w:r w:rsidRPr="00EC16B8">
        <w:rPr>
          <w:iCs/>
          <w:i/>
          <w:shd w:fill="FFFFFF" w:color="auto" w:val="clear"/>
        </w:rPr>
        <w:t>International financial management</w:t>
      </w:r>
      <w:r w:rsidRPr="00EC16B8">
        <w:rPr>
          <w:shd w:fill="FFFFFF" w:color="auto" w:val="clear"/>
        </w:rPr>
        <w:t>. McGraw-Hill.</w:t>
      </w:r>
    </w:p>
    <w:p w:rsidR="00A06E00" w:rsidRDefault="00A06E00" w14:paraId="5FCE67AF" w14:textId="77777777" w:rsidP="00A06E00" w:rsidRPr="00EC16B8">
      <w:pPr>
        <w:ind w:left="720"/>
      </w:pPr>
      <w:r w:rsidRPr="00EC16B8">
        <w:rPr>
          <w:shd w:fill="FFFFFF" w:color="auto" w:val="clear"/>
        </w:rPr>
        <w:t xml:space="preserve">Fan, C. and Zhang, M., 2023. Investment Analysis of Amazon and JP Morgan Chase Based on Stock Market Analysis. </w:t>
      </w:r>
      <w:r w:rsidRPr="00EC16B8">
        <w:rPr>
          <w:iCs/>
          <w:i/>
          <w:shd w:fill="FFFFFF" w:color="auto" w:val="clear"/>
        </w:rPr>
        <w:t>Journal of Education, Humanities and Social Sciences</w:t>
      </w:r>
      <w:r w:rsidRPr="00EC16B8">
        <w:rPr>
          <w:shd w:fill="FFFFFF" w:color="auto" w:val="clear"/>
        </w:rPr>
        <w:t xml:space="preserve">, </w:t>
      </w:r>
      <w:r w:rsidRPr="00EC16B8">
        <w:rPr>
          <w:iCs/>
          <w:i/>
          <w:shd w:fill="FFFFFF" w:color="auto" w:val="clear"/>
        </w:rPr>
        <w:t>16</w:t>
      </w:r>
      <w:r w:rsidRPr="00EC16B8">
        <w:rPr>
          <w:shd w:fill="FFFFFF" w:color="auto" w:val="clear"/>
        </w:rPr>
        <w:t>, pp.23-28.</w:t>
      </w:r>
    </w:p>
    <w:p w:rsidR="00A06E00" w:rsidRDefault="00A06E00" w14:paraId="0C6C9EA3" w14:textId="77777777" w:rsidP="00A06E00">
      <w:pPr>
        <w:ind w:left="720"/>
        <w:rPr>
          <w:shd w:fill="FFFFFF" w:color="auto" w:val="clear"/>
        </w:rPr>
      </w:pPr>
      <w:r>
        <w:rPr>
          <w:shd w:fill="FFFFFF" w:color="auto" w:val="clear"/>
        </w:rPr>
        <w:t xml:space="preserve">Hommel, N., </w:t>
      </w:r>
      <w:proofErr w:type="spellStart"/>
      <w:r>
        <w:rPr>
          <w:shd w:fill="FFFFFF" w:color="auto" w:val="clear"/>
        </w:rPr>
        <w:t>Landier</w:t>
      </w:r>
      <w:proofErr w:type="spellEnd"/>
      <w:r>
        <w:rPr>
          <w:shd w:fill="FFFFFF" w:color="auto" w:val="clear"/>
        </w:rPr>
        <w:t xml:space="preserve">, A. and </w:t>
      </w:r>
      <w:proofErr w:type="spellStart"/>
      <w:r>
        <w:rPr>
          <w:shd w:fill="FFFFFF" w:color="auto" w:val="clear"/>
        </w:rPr>
        <w:t>Thesmar</w:t>
      </w:r>
      <w:proofErr w:type="spellEnd"/>
      <w:r>
        <w:rPr>
          <w:shd w:fill="FFFFFF" w:color="auto" w:val="clear"/>
        </w:rPr>
        <w:t>, D., 2023. </w:t>
      </w:r>
      <w:r>
        <w:rPr>
          <w:iCs/>
          <w:i/>
          <w:shd w:fill="FFFFFF" w:color="auto" w:val="clear"/>
        </w:rPr>
        <w:t>Corporate valuation: An empirical comparison of discounting methods</w:t>
      </w:r>
      <w:r>
        <w:rPr>
          <w:shd w:fill="FFFFFF" w:color="auto" w:val="clear"/>
        </w:rPr>
        <w:t> (No. w30898). National Bureau of Economic Research.</w:t>
      </w:r>
      <w:r>
        <w:rPr>
          <w:shd w:fill="FFFFFF" w:color="auto" w:val="clear"/>
        </w:rPr>
        <w:t xml:space="preserve"> </w:t>
      </w:r>
    </w:p>
    <w:p w:rsidR="00A06E00" w:rsidRDefault="00A06E00" w14:paraId="3E0E8292" w14:textId="77777777" w:rsidP="00A06E00" w:rsidRPr="00EC16B8">
      <w:pPr>
        <w:ind w:left="720"/>
      </w:pPr>
      <w:r w:rsidRPr="00EC16B8">
        <w:rPr>
          <w:shd w:fill="FFFFFF" w:color="auto" w:val="clear"/>
        </w:rPr>
        <w:t xml:space="preserve">Huang, W., Shi, X., Wang, Y. and Zhu, Z., 2022, March. Standard Option and Power Option of Amazon. Inc and </w:t>
      </w:r>
      <w:proofErr w:type="spellStart"/>
      <w:r w:rsidRPr="00EC16B8">
        <w:rPr>
          <w:shd w:fill="FFFFFF" w:color="auto" w:val="clear"/>
        </w:rPr>
        <w:t>Aensitivity</w:t>
      </w:r>
      <w:proofErr w:type="spellEnd"/>
      <w:r w:rsidRPr="00EC16B8">
        <w:rPr>
          <w:shd w:fill="FFFFFF" w:color="auto" w:val="clear"/>
        </w:rPr>
        <w:t xml:space="preserve"> Analysis. In </w:t>
      </w:r>
      <w:r w:rsidRPr="00EC16B8">
        <w:rPr>
          <w:iCs/>
          <w:i/>
          <w:shd w:fill="FFFFFF" w:color="auto" w:val="clear"/>
        </w:rPr>
        <w:t>2022 7th International Conference on Financial Innovation and Economic Development (ICFIED 2022)</w:t>
      </w:r>
      <w:r w:rsidRPr="00EC16B8">
        <w:rPr>
          <w:shd w:fill="FFFFFF" w:color="auto" w:val="clear"/>
        </w:rPr>
        <w:t xml:space="preserve"> (pp. 316-323). Atlantis Press.</w:t>
      </w:r>
    </w:p>
    <w:p w:rsidR="00A06E00" w:rsidRDefault="00A06E00" w14:paraId="4DB3ED16" w14:textId="77777777" w:rsidP="00A06E00" w:rsidRPr="00EC16B8">
      <w:pPr>
        <w:ind w:left="720"/>
      </w:pPr>
      <w:r w:rsidRPr="00EC16B8">
        <w:rPr>
          <w:shd w:fill="FFFFFF" w:color="auto" w:val="clear"/>
        </w:rPr>
        <w:t xml:space="preserve">Islam, M.S., Hossain, E., Rahman, A., Hossain, M.S. and Andersson, K., 2020. A review on recent advancements in forex currency prediction. </w:t>
      </w:r>
      <w:r w:rsidRPr="00EC16B8">
        <w:rPr>
          <w:iCs/>
          <w:i/>
          <w:shd w:fill="FFFFFF" w:color="auto" w:val="clear"/>
        </w:rPr>
        <w:t>Algorithms</w:t>
      </w:r>
      <w:r w:rsidRPr="00EC16B8">
        <w:rPr>
          <w:shd w:fill="FFFFFF" w:color="auto" w:val="clear"/>
        </w:rPr>
        <w:t xml:space="preserve">, </w:t>
      </w:r>
      <w:r w:rsidRPr="00EC16B8">
        <w:rPr>
          <w:iCs/>
          <w:i/>
          <w:shd w:fill="FFFFFF" w:color="auto" w:val="clear"/>
        </w:rPr>
        <w:t>13</w:t>
      </w:r>
      <w:r w:rsidRPr="00EC16B8">
        <w:rPr>
          <w:shd w:fill="FFFFFF" w:color="auto" w:val="clear"/>
        </w:rPr>
        <w:t>(8), p.186.</w:t>
      </w:r>
    </w:p>
    <w:p w:rsidR="00A06E00" w:rsidRDefault="00A06E00" w14:paraId="0A9B3ADD" w14:textId="77777777" w:rsidP="00A06E00" w:rsidRPr="00EC16B8">
      <w:pPr>
        <w:ind w:left="720"/>
      </w:pPr>
      <w:r w:rsidRPr="00EC16B8">
        <w:rPr>
          <w:shd w:fill="FFFFFF" w:color="auto" w:val="clear"/>
        </w:rPr>
        <w:t xml:space="preserve">Jing, Y. and Li, X., 2023. Financial and Marketing Strategy Analysis of Amazon. </w:t>
        <w:lastRenderedPageBreak/>
      </w:r>
      <w:r w:rsidRPr="00EC16B8">
        <w:rPr>
          <w:iCs/>
          <w:i/>
          <w:shd w:fill="FFFFFF" w:color="auto" w:val="clear"/>
        </w:rPr>
        <w:t>Frontiers in Business, Economics and Management</w:t>
      </w:r>
      <w:r w:rsidRPr="00EC16B8">
        <w:rPr>
          <w:shd w:fill="FFFFFF" w:color="auto" w:val="clear"/>
        </w:rPr>
        <w:t xml:space="preserve">, </w:t>
      </w:r>
      <w:r w:rsidRPr="00EC16B8">
        <w:rPr>
          <w:iCs/>
          <w:i/>
          <w:shd w:fill="FFFFFF" w:color="auto" w:val="clear"/>
        </w:rPr>
        <w:t>7</w:t>
      </w:r>
      <w:r w:rsidRPr="00EC16B8">
        <w:rPr>
          <w:shd w:fill="FFFFFF" w:color="auto" w:val="clear"/>
        </w:rPr>
        <w:t>(3), pp.319-323.</w:t>
      </w:r>
    </w:p>
    <w:p w:rsidR="00A06E00" w:rsidRDefault="00A06E00" w14:paraId="002DE9E9" w14:textId="77777777" w:rsidP="00A06E00" w:rsidRPr="00EC16B8">
      <w:pPr>
        <w:ind w:left="720"/>
      </w:pPr>
      <w:r w:rsidRPr="00EC16B8">
        <w:rPr>
          <w:shd w:fill="FFFFFF" w:color="auto" w:val="clear"/>
        </w:rPr>
        <w:t xml:space="preserve">Moffett, M.H., Stonehill, A.I. and </w:t>
      </w:r>
      <w:proofErr w:type="spellStart"/>
      <w:r w:rsidRPr="00EC16B8">
        <w:rPr>
          <w:shd w:fill="FFFFFF" w:color="auto" w:val="clear"/>
        </w:rPr>
        <w:t>Eiteman</w:t>
      </w:r>
      <w:proofErr w:type="spellEnd"/>
      <w:r w:rsidRPr="00EC16B8">
        <w:rPr>
          <w:shd w:fill="FFFFFF" w:color="auto" w:val="clear"/>
        </w:rPr>
        <w:t xml:space="preserve">, D.K., 2021. </w:t>
      </w:r>
      <w:r w:rsidRPr="00EC16B8">
        <w:rPr>
          <w:iCs/>
          <w:i/>
          <w:shd w:fill="FFFFFF" w:color="auto" w:val="clear"/>
        </w:rPr>
        <w:t>Fundamentals of multinational finance</w:t>
      </w:r>
      <w:r w:rsidRPr="00EC16B8">
        <w:rPr>
          <w:shd w:fill="FFFFFF" w:color="auto" w:val="clear"/>
        </w:rPr>
        <w:t>. Pearson.</w:t>
      </w:r>
    </w:p>
    <w:p w:rsidR="00A06E00" w:rsidRDefault="00A06E00" w14:paraId="7C7336E7" w14:textId="77777777" w:rsidP="00A06E00">
      <w:pPr>
        <w:ind w:left="720"/>
        <w:rPr>
          <w:shd w:fill="FFFFFF" w:color="auto" w:val="clear"/>
        </w:rPr>
      </w:pPr>
      <w:r>
        <w:rPr>
          <w:shd w:fill="FFFFFF" w:color="auto" w:val="clear"/>
        </w:rPr>
        <w:t>Park, J.J., 2021. From Managers to Markets: Valuation and Shareholder Wealth Maximization. </w:t>
      </w:r>
      <w:r>
        <w:rPr>
          <w:iCs/>
          <w:i/>
          <w:shd w:fill="FFFFFF" w:color="auto" w:val="clear"/>
        </w:rPr>
        <w:t>J. Corp. L.</w:t>
      </w:r>
      <w:r>
        <w:rPr>
          <w:shd w:fill="FFFFFF" w:color="auto" w:val="clear"/>
        </w:rPr>
        <w:t>, </w:t>
      </w:r>
      <w:r>
        <w:rPr>
          <w:iCs/>
          <w:i/>
          <w:shd w:fill="FFFFFF" w:color="auto" w:val="clear"/>
        </w:rPr>
        <w:t>47</w:t>
      </w:r>
      <w:r>
        <w:rPr>
          <w:shd w:fill="FFFFFF" w:color="auto" w:val="clear"/>
        </w:rPr>
        <w:t>, p.435.</w:t>
      </w:r>
      <w:r>
        <w:rPr>
          <w:shd w:fill="FFFFFF" w:color="auto" w:val="clear"/>
        </w:rPr>
        <w:t xml:space="preserve"> </w:t>
      </w:r>
    </w:p>
    <w:p w:rsidR="00A06E00" w:rsidRDefault="00A06E00" w14:paraId="6B0E4303" w14:textId="77777777" w:rsidP="00A06E00" w:rsidRPr="00EC16B8">
      <w:pPr>
        <w:ind w:left="720"/>
      </w:pPr>
      <w:r w:rsidRPr="00EC16B8">
        <w:rPr>
          <w:shd w:fill="FFFFFF" w:color="auto" w:val="clear"/>
        </w:rPr>
        <w:t xml:space="preserve">Qureshi, M.M. and Yadav, S.K.S., 2020. A Comparative Financial Analysis Between World Top Two E-Commerce Companies: Amazon and Alibaba. </w:t>
      </w:r>
      <w:r w:rsidRPr="00EC16B8">
        <w:rPr>
          <w:iCs/>
          <w:i/>
          <w:shd w:fill="FFFFFF" w:color="auto" w:val="clear"/>
        </w:rPr>
        <w:t>International Journal of Trade and Commerce-IIARTC</w:t>
      </w:r>
      <w:r w:rsidRPr="00EC16B8">
        <w:rPr>
          <w:shd w:fill="FFFFFF" w:color="auto" w:val="clear"/>
        </w:rPr>
        <w:t xml:space="preserve">, </w:t>
      </w:r>
      <w:r w:rsidRPr="00EC16B8">
        <w:rPr>
          <w:iCs/>
          <w:i/>
          <w:shd w:fill="FFFFFF" w:color="auto" w:val="clear"/>
        </w:rPr>
        <w:t>10</w:t>
      </w:r>
      <w:r w:rsidRPr="00EC16B8">
        <w:rPr>
          <w:shd w:fill="FFFFFF" w:color="auto" w:val="clear"/>
        </w:rPr>
        <w:t>(2), pp.256-268.</w:t>
      </w:r>
    </w:p>
    <w:p w:rsidR="00A06E00" w:rsidRDefault="00A06E00" w14:paraId="1D2DC580" w14:textId="77777777" w:rsidP="00A06E00">
      <w:pPr>
        <w:ind w:left="720"/>
        <w:rPr>
          <w:shd w:fill="FFFFFF" w:color="auto" w:val="clear"/>
        </w:rPr>
      </w:pPr>
      <w:r>
        <w:rPr>
          <w:shd w:fill="FFFFFF" w:color="auto" w:val="clear"/>
        </w:rPr>
        <w:t>Rahman, M.A., 2021. Forecasting stock prices on the basis of technical analysis in the industrial sectors of the UK stock market (Doctoral dissertation, Cardiff Metropolitan University).</w:t>
      </w:r>
      <w:r>
        <w:rPr>
          <w:shd w:fill="FFFFFF" w:color="auto" w:val="clear"/>
        </w:rPr>
        <w:br w:type="page"/>
      </w:r>
    </w:p>
    <w:p w:rsidR="00A06E00" w:rsidRDefault="00A06E00" w14:paraId="7FFE7944" w14:textId="77777777" w:rsidP="00A06E00" w:rsidRPr="00EC16B8">
      <w:pPr>
        <w:ind w:left="720"/>
      </w:pPr>
      <w:r w:rsidRPr="00EC16B8">
        <w:rPr>
          <w:shd w:fill="FFFFFF" w:color="auto" w:val="clear"/>
        </w:rPr>
        <w:t xml:space="preserve">Saez, E. and Zucman, G., 2023. </w:t>
        <w:lastRenderedPageBreak/>
      </w:r>
      <w:r w:rsidRPr="00EC16B8">
        <w:rPr>
          <w:iCs/>
          <w:i/>
          <w:shd w:fill="FFFFFF" w:color="auto" w:val="clear"/>
        </w:rPr>
        <w:t xml:space="preserve">Distributional Tax Analysis in Theory and Practice: </w:t>
      </w:r>
      <w:proofErr w:type="spellStart"/>
      <w:r w:rsidRPr="00EC16B8">
        <w:rPr>
          <w:iCs/>
          <w:i/>
          <w:shd w:fill="FFFFFF" w:color="auto" w:val="clear"/>
        </w:rPr>
        <w:t>Harberger</w:t>
      </w:r>
      <w:proofErr w:type="spellEnd"/>
      <w:r w:rsidRPr="00EC16B8">
        <w:rPr>
          <w:iCs/>
          <w:i/>
          <w:shd w:fill="FFFFFF" w:color="auto" w:val="clear"/>
        </w:rPr>
        <w:t xml:space="preserve"> Meets Diamond-</w:t>
      </w:r>
      <w:proofErr w:type="spellStart"/>
      <w:r w:rsidRPr="00EC16B8">
        <w:rPr>
          <w:iCs/>
          <w:i/>
          <w:shd w:fill="FFFFFF" w:color="auto" w:val="clear"/>
        </w:rPr>
        <w:t>Mirrlees</w:t>
      </w:r>
      <w:proofErr w:type="spellEnd"/>
      <w:r w:rsidRPr="00EC16B8">
        <w:rPr>
          <w:shd w:fill="FFFFFF" w:color="auto" w:val="clear"/>
        </w:rPr>
        <w:t xml:space="preserve"> (No. w31912). National Bureau of Economic Research.</w:t>
      </w:r>
    </w:p>
    <w:p w:rsidR="00A06E00" w:rsidRDefault="00A06E00" w14:paraId="607F27A1" w14:textId="77777777" w:rsidP="00A06E00" w:rsidRPr="00EC16B8">
      <w:pPr>
        <w:ind w:left="720"/>
      </w:pPr>
      <w:r w:rsidRPr="00EC16B8">
        <w:rPr>
          <w:shd w:fill="FFFFFF" w:color="auto" w:val="clear"/>
        </w:rPr>
        <w:t xml:space="preserve">Salamah, S.N., 2023. Financial management strategies to improve business performance. </w:t>
      </w:r>
      <w:r w:rsidRPr="00EC16B8">
        <w:rPr>
          <w:iCs/>
          <w:i/>
          <w:shd w:fill="FFFFFF" w:color="auto" w:val="clear"/>
        </w:rPr>
        <w:t>Journal of Contemporary Administration and Management (ADMAN)</w:t>
      </w:r>
      <w:r w:rsidRPr="00EC16B8">
        <w:rPr>
          <w:shd w:fill="FFFFFF" w:color="auto" w:val="clear"/>
        </w:rPr>
        <w:t xml:space="preserve">, </w:t>
      </w:r>
      <w:r w:rsidRPr="00EC16B8">
        <w:rPr>
          <w:iCs/>
          <w:i/>
          <w:shd w:fill="FFFFFF" w:color="auto" w:val="clear"/>
        </w:rPr>
        <w:t>1</w:t>
      </w:r>
      <w:r w:rsidRPr="00EC16B8">
        <w:rPr>
          <w:shd w:fill="FFFFFF" w:color="auto" w:val="clear"/>
        </w:rPr>
        <w:t>(1), pp.9-12.</w:t>
      </w:r>
    </w:p>
    <w:p w:rsidR="00A06E00" w:rsidRDefault="00A06E00" w14:paraId="09202422" w14:textId="77777777" w:rsidP="00A06E00">
      <w:pPr>
        <w:ind w:left="720"/>
        <w:rPr>
          <w:shd w:fill="FFFFFF" w:color="auto" w:val="clear"/>
        </w:rPr>
      </w:pPr>
      <w:proofErr w:type="spellStart"/>
      <w:r>
        <w:rPr>
          <w:shd w:fill="FFFFFF" w:color="auto" w:val="clear"/>
        </w:rPr>
        <w:t>Seuwou</w:t>
      </w:r>
      <w:proofErr w:type="spellEnd"/>
      <w:r>
        <w:rPr>
          <w:shd w:fill="FFFFFF" w:color="auto" w:val="clear"/>
        </w:rPr>
        <w:t>, P. and Adegoke, V.F.,</w:t>
      </w:r>
      <w:r>
        <w:rPr>
          <w:shd w:fill="FFFFFF" w:color="auto" w:val="clear"/>
        </w:rPr>
        <w:t xml:space="preserve"> 2023</w:t>
      </w:r>
      <w:r>
        <w:rPr>
          <w:shd w:fill="FFFFFF" w:color="auto" w:val="clear"/>
        </w:rPr>
        <w:t xml:space="preserve"> University of Northampton1 London South Bank University2.</w:t>
      </w:r>
    </w:p>
    <w:p w:rsidR="00A06E00" w:rsidRDefault="00A06E00" w14:paraId="3116DB42" w14:textId="77777777" w:rsidP="00A06E00">
      <w:pPr>
        <w:ind w:left="720"/>
        <w:rPr>
          <w:shd w:fill="FFFFFF" w:color="auto" w:val="clear"/>
        </w:rPr>
      </w:pPr>
      <w:r w:rsidRPr="00EC16B8">
        <w:rPr>
          <w:shd w:fill="FFFFFF" w:color="auto" w:val="clear"/>
        </w:rPr>
        <w:t xml:space="preserve">Zimon, G., 2020. Financial liquidity management strategies in Polish energy companies. </w:t>
      </w:r>
      <w:r w:rsidRPr="00EC16B8">
        <w:rPr>
          <w:iCs/>
          <w:i/>
          <w:shd w:fill="FFFFFF" w:color="auto" w:val="clear"/>
        </w:rPr>
        <w:t>International Journal of Energy Economics and Policy</w:t>
      </w:r>
      <w:r w:rsidRPr="00EC16B8">
        <w:rPr>
          <w:shd w:fill="FFFFFF" w:color="auto" w:val="clear"/>
        </w:rPr>
        <w:t xml:space="preserve">, </w:t>
      </w:r>
      <w:r w:rsidRPr="00EC16B8">
        <w:rPr>
          <w:iCs/>
          <w:i/>
          <w:shd w:fill="FFFFFF" w:color="auto" w:val="clear"/>
        </w:rPr>
        <w:t>10</w:t>
      </w:r>
      <w:r w:rsidRPr="00EC16B8">
        <w:rPr>
          <w:shd w:fill="FFFFFF" w:color="auto" w:val="clear"/>
        </w:rPr>
        <w:t>(3), pp.365-368.</w:t>
      </w:r>
    </w:p>
    <w:p w:rsidR="00C52852" w:rsidRDefault="00C52852" w14:paraId="13F5B7D5" w14:textId="77777777" w:rsidP="00C52852" w:rsidRPr="00EC16B8">
      <w:pPr>
        <w:textAlignment w:val="baseline"/>
        <w:ind w:left="360"/>
        <w:spacing w:after="0"/>
        <w:rPr>
          <w:color w:val="222222"/>
          <w:rFonts w:cs="Times New Roman" w:eastAsia="Times New Roman"/>
          <w:szCs w:val="24"/>
        </w:rPr>
      </w:pPr>
    </w:p>
    <w:sectPr w:rsidR="00C52852" w:rsidRPr="00EC16B8" w:rsidSect="001A0612">
      <w:docGrid w:linePitch="360"/>
      <w:headerReference r:id="rId8" w:type="default"/>
      <w:headerReference r:id="rId10" w:type="first"/>
      <w:footerReference r:id="rId9" w:type="default"/>
      <w:pgSz w:w="12240" w:h="15840"/>
      <w:pgMar w:left="1440" w:right="1440" w:top="1440" w:bottom="144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47092" w14:textId="77777777" w:rsidR="001A0612" w:rsidRDefault="001A0612" w:rsidP="00E16A63">
      <w:pPr>
        <w:spacing w:after="0" w:line="240" w:lineRule="auto"/>
      </w:pPr>
      <w:r>
        <w:separator/>
      </w:r>
    </w:p>
  </w:endnote>
  <w:endnote w:type="continuationSeparator" w:id="0">
    <w:p w14:paraId="251AA9E8" w14:textId="77777777" w:rsidR="001A0612" w:rsidRDefault="001A0612" w:rsidP="00E16A63">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6847860"/>
      <w:docPartObj>
        <w:docPartGallery w:val="Page Numbers (Bottom of Page)"/>
        <w:docPartUnique/>
      </w:docPartObj>
    </w:sdtPr>
    <w:sdtContent>
      <w:sdt>
        <w:sdtPr>
          <w:id w:val="565050523"/>
          <w:docPartObj>
            <w:docPartGallery w:val="Page Numbers (Top of Page)"/>
            <w:docPartUnique/>
          </w:docPartObj>
        </w:sdtPr>
        <w:sdtContent>
          <w:p w14:paraId="0B7243A9" w14:textId="77777777" w:rsidR="00E16A63" w:rsidRDefault="00E16A63">
            <w:pPr>
              <w:pStyle w:val="Footer"/>
              <w:jc w:val="right"/>
            </w:pPr>
            <w:r>
              <w:t xml:space="preserve">Page </w:t>
            </w:r>
            <w:r>
              <w:rPr>
                <w:b/>
                <w:szCs w:val="24"/>
              </w:rPr>
              <w:fldChar w:fldCharType="begin"/>
            </w:r>
            <w:r>
              <w:rPr>
                <w:b/>
              </w:rPr>
              <w:instrText xml:space="preserve"> PAGE </w:instrText>
            </w:r>
            <w:r>
              <w:rPr>
                <w:b/>
                <w:szCs w:val="24"/>
              </w:rPr>
              <w:fldChar w:fldCharType="separate"/>
            </w:r>
            <w:r w:rsidR="007A4C14">
              <w:rPr>
                <w:b/>
                <w:noProof/>
              </w:rPr>
              <w:t>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7A4C14">
              <w:rPr>
                <w:b/>
                <w:noProof/>
              </w:rPr>
              <w:t>9</w:t>
            </w:r>
            <w:r>
              <w:rPr>
                <w:b/>
                <w:szCs w:val="24"/>
              </w:rPr>
              <w:fldChar w:fldCharType="end"/>
            </w:r>
          </w:p>
        </w:sdtContent>
      </w:sdt>
    </w:sdtContent>
  </w:sdt>
  <w:p w14:paraId="399A57CD" w14:textId="77777777" w:rsidR="00E16A63" w:rsidRDefault="00E16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54853" w14:textId="77777777" w:rsidR="001A0612" w:rsidRDefault="001A0612" w:rsidP="00E16A63">
      <w:pPr>
        <w:spacing w:after="0" w:line="240" w:lineRule="auto"/>
      </w:pPr>
      <w:r>
        <w:separator/>
      </w:r>
    </w:p>
  </w:footnote>
  <w:footnote w:type="continuationSeparator" w:id="0">
    <w:p w14:paraId="34A8362F" w14:textId="77777777" w:rsidR="001A0612" w:rsidRDefault="001A0612" w:rsidP="00E16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7E9D7" w14:textId="77777777" w:rsidR="00E16A63" w:rsidRPr="00E16A63" w:rsidRDefault="00E16A63" w:rsidP="00E16A63">
    <w:pPr>
      <w:rPr>
        <w:rFonts w:cs="Times New Roman"/>
        <w:szCs w:val="24"/>
      </w:rPr>
    </w:pPr>
    <w:r w:rsidRPr="00E16A63">
      <w:rPr>
        <w:rFonts w:cs="Times New Roman"/>
        <w:szCs w:val="24"/>
      </w:rPr>
      <w:t xml:space="preserve">Assignment on International Financial Management </w:t>
    </w:r>
  </w:p>
  <w:p w14:paraId="5122A8B5" w14:textId="77777777" w:rsidR="00E16A63" w:rsidRDefault="00E16A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F62D3" w14:textId="77777777" w:rsidR="00E16A63" w:rsidRPr="00E16A63" w:rsidRDefault="00E16A63" w:rsidP="00E16A63">
    <w:pPr>
      <w:rPr>
        <w:rFonts w:cs="Times New Roman"/>
        <w:szCs w:val="24"/>
      </w:rPr>
    </w:pPr>
    <w:r w:rsidRPr="00E16A63">
      <w:rPr>
        <w:rFonts w:cs="Times New Roman"/>
        <w:szCs w:val="24"/>
      </w:rPr>
      <w:t xml:space="preserve">Assignment on International Financial Management </w:t>
    </w:r>
  </w:p>
  <w:p w14:paraId="572EE888" w14:textId="77777777" w:rsidR="00E16A63" w:rsidRDefault="00E16A6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1B51A45"/>
    <w:tmpl w:val="DA408406"/>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
    <w:multiLevelType w:val="hybridMultilevel"/>
    <w:nsid w:val="6D407B23"/>
    <w:tmpl w:val="6EF63FAA"/>
    <w:lvl w:ilvl="0" w:tplc="40090001">
      <w:numFmt w:val="bullet"/>
      <w:lvlText w:val=""/>
      <w:start w:val="1"/>
      <w:rPr>
        <w:rFonts w:ascii="Symbol" w:hAnsi="Symbol" w:hint="default"/>
      </w:rPr>
      <w:pPr>
        <w:ind w:left="360"/>
        <w:ind w:hanging="360"/>
      </w:pPr>
      <w:lvlJc w:val="left"/>
    </w:lvl>
    <w:lvl w:ilvl="1" w:tentative="1" w:tplc="40090003">
      <w:numFmt w:val="bullet"/>
      <w:lvlText w:val="o"/>
      <w:start w:val="1"/>
      <w:rPr>
        <w:rFonts w:ascii="Courier New" w:cs="Courier New" w:hAnsi="Courier New" w:hint="default"/>
      </w:rPr>
      <w:pPr>
        <w:ind w:left="1080"/>
        <w:ind w:hanging="360"/>
      </w:pPr>
      <w:lvlJc w:val="left"/>
    </w:lvl>
    <w:lvl w:ilvl="2" w:tentative="1" w:tplc="40090005">
      <w:numFmt w:val="bullet"/>
      <w:lvlText w:val=""/>
      <w:start w:val="1"/>
      <w:rPr>
        <w:rFonts w:ascii="Wingdings" w:hAnsi="Wingdings" w:hint="default"/>
      </w:rPr>
      <w:pPr>
        <w:ind w:left="1800"/>
        <w:ind w:hanging="360"/>
      </w:pPr>
      <w:lvlJc w:val="left"/>
    </w:lvl>
    <w:lvl w:ilvl="3" w:tentative="1" w:tplc="40090001">
      <w:numFmt w:val="bullet"/>
      <w:lvlText w:val=""/>
      <w:start w:val="1"/>
      <w:rPr>
        <w:rFonts w:ascii="Symbol" w:hAnsi="Symbol" w:hint="default"/>
      </w:rPr>
      <w:pPr>
        <w:ind w:left="2520"/>
        <w:ind w:hanging="360"/>
      </w:pPr>
      <w:lvlJc w:val="left"/>
    </w:lvl>
    <w:lvl w:ilvl="4" w:tentative="1" w:tplc="40090003">
      <w:numFmt w:val="bullet"/>
      <w:lvlText w:val="o"/>
      <w:start w:val="1"/>
      <w:rPr>
        <w:rFonts w:ascii="Courier New" w:cs="Courier New" w:hAnsi="Courier New" w:hint="default"/>
      </w:rPr>
      <w:pPr>
        <w:ind w:left="3240"/>
        <w:ind w:hanging="360"/>
      </w:pPr>
      <w:lvlJc w:val="left"/>
    </w:lvl>
    <w:lvl w:ilvl="5" w:tentative="1" w:tplc="40090005">
      <w:numFmt w:val="bullet"/>
      <w:lvlText w:val=""/>
      <w:start w:val="1"/>
      <w:rPr>
        <w:rFonts w:ascii="Wingdings" w:hAnsi="Wingdings" w:hint="default"/>
      </w:rPr>
      <w:pPr>
        <w:ind w:left="3960"/>
        <w:ind w:hanging="360"/>
      </w:pPr>
      <w:lvlJc w:val="left"/>
    </w:lvl>
    <w:lvl w:ilvl="6" w:tentative="1" w:tplc="40090001">
      <w:numFmt w:val="bullet"/>
      <w:lvlText w:val=""/>
      <w:start w:val="1"/>
      <w:rPr>
        <w:rFonts w:ascii="Symbol" w:hAnsi="Symbol" w:hint="default"/>
      </w:rPr>
      <w:pPr>
        <w:ind w:left="4680"/>
        <w:ind w:hanging="360"/>
      </w:pPr>
      <w:lvlJc w:val="left"/>
    </w:lvl>
    <w:lvl w:ilvl="7" w:tentative="1" w:tplc="40090003">
      <w:numFmt w:val="bullet"/>
      <w:lvlText w:val="o"/>
      <w:start w:val="1"/>
      <w:rPr>
        <w:rFonts w:ascii="Courier New" w:cs="Courier New" w:hAnsi="Courier New" w:hint="default"/>
      </w:rPr>
      <w:pPr>
        <w:ind w:left="5400"/>
        <w:ind w:hanging="360"/>
      </w:pPr>
      <w:lvlJc w:val="left"/>
    </w:lvl>
    <w:lvl w:ilvl="8" w:tentative="1" w:tplc="40090005">
      <w:numFmt w:val="bullet"/>
      <w:lvlText w:val=""/>
      <w:start w:val="1"/>
      <w:rPr>
        <w:rFonts w:ascii="Wingdings" w:hAnsi="Wingdings" w:hint="default"/>
      </w:rPr>
      <w:pPr>
        <w:ind w:left="6120"/>
        <w:ind w:hanging="360"/>
      </w:pPr>
      <w:lvlJc w:val="left"/>
    </w:lvl>
  </w:abstractNum>
  <w:abstractNum w:abstractNumId="2">
    <w:multiLevelType w:val="hybridMultilevel"/>
    <w:nsid w:val="7AD505CB"/>
    <w:tmpl w:val="DD2A4F0C"/>
    <w:lvl w:ilvl="0">
      <w:numFmt w:val="decimal"/>
      <w:lvlText w:val="%1."/>
      <w:start w:val="7"/>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3">
    <w:multiLevelType w:val="hybridMultilevel"/>
    <w:nsid w:val="7C180787"/>
    <w:tmpl w:val="C91A7A94"/>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4">
    <w:multiLevelType w:val="hybridMultilevel"/>
    <w:nsid w:val="7D2544A4"/>
    <w:tmpl w:val="FB2C7A62"/>
    <w:lvl w:ilvl="0">
      <w:numFmt w:val="decimal"/>
      <w:lvlText w:val="%1."/>
      <w:start w:val="1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num w:numId="1">
    <w:abstractNumId w:val="3"/>
  </w:num>
  <w:num w:numId="2">
    <w:abstractNumId w:val="2"/>
    <w:lvlOverride w:ilvl="0">
      <w:lvl w:ilvl="0">
        <w:numFmt w:val="decimal"/>
        <w:lvlText w:val="%1."/>
        <w:lvlJc w:val="left"/>
      </w:lvl>
    </w:lvlOverride>
  </w:num>
  <w:num w:numId="3">
    <w:abstractNumId w:val="2"/>
    <w:lvlOverride w:ilvl="0">
      <w:lvl w:ilvl="0">
        <w:numFmt w:val="decimal"/>
        <w:lvlText w:val="%1."/>
        <w:lvlJc w:val="left"/>
      </w:lvl>
    </w:lvlOverride>
  </w:num>
  <w:num w:numId="4">
    <w:abstractNumId w:val="2"/>
    <w:lvlOverride w:ilvl="0">
      <w:lvl w:ilvl="0">
        <w:numFmt w:val="decimal"/>
        <w:lvlText w:val="%1."/>
        <w:lvlJc w:val="left"/>
      </w:lvl>
    </w:lvlOverride>
  </w:num>
  <w:num w:numId="5">
    <w:abstractNumId w:val="2"/>
    <w:lvlOverride w:ilvl="0">
      <w:lvl w:ilvl="0">
        <w:numFmt w:val="decimal"/>
        <w:lvlText w:val="%1."/>
        <w:lvlJc w:val="left"/>
      </w:lvl>
    </w:lvlOverride>
  </w:num>
  <w:num w:numId="6">
    <w:abstractNumId w:val="4"/>
    <w:lvlOverride w:ilvl="0">
      <w:lvl w:ilvl="0">
        <w:numFmt w:val="decimal"/>
        <w:lvlText w:val="%1."/>
        <w:lvlJc w:val="left"/>
      </w:lvl>
    </w:lvlOverride>
  </w:num>
  <w:num w:numId="7">
    <w:abstractNumId w:val="4"/>
    <w:lvlOverride w:ilvl="0">
      <w:lvl w:ilvl="0">
        <w:numFmt w:val="decimal"/>
        <w:lvlText w:val="%1."/>
        <w:lvlJc w:val="left"/>
      </w:lvl>
    </w:lvlOverride>
  </w:num>
  <w:num w:numId="8">
    <w:abstractNumId w:val="0"/>
  </w:num>
  <w:num w:numId="9">
    <w:abstractNumId w:val="1"/>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BFAEE"/>
  <w15:docId w15:val="{1CF982A8-A0E7-4BF9-83FD-56354CE9889A}"/>
  <w:rsids>
    <w:rsidRoot val="00C1367C"/>
    <w:rsid val="001A0612"/>
    <w:rsid val="001E571B"/>
    <w:rsid val="0035197E"/>
    <w:rsid val="003F1B1A"/>
    <w:rsid val="007A4C14"/>
    <w:rsid val="00890C12"/>
    <w:rsid val="00906701"/>
    <w:rsid val="009E6F81"/>
    <w:rsid val="00A02D50"/>
    <w:rsid val="00A06E00"/>
    <w:rsid val="00A842CA"/>
    <w:rsid val="00C1367C"/>
    <w:rsid val="00C52852"/>
    <w:rsid val="00E16A63"/>
    <w:rsid val="00EC16B8"/>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C12"/>
    <w:pPr>
      <w:jc w:val="both"/>
      <w:spacing w:line="480" w:lineRule="auto"/>
    </w:pPr>
    <w:rPr>
      <w:rFonts w:ascii="Times New Roman" w:hAnsi="Times New Roman"/>
      <w:sz w:val="24"/>
    </w:rPr>
  </w:style>
  <w:style w:type="paragraph" w:styleId="Heading1">
    <w:name w:val="Heading 1"/>
    <w:qFormat/>
    <w:basedOn w:val="Normal"/>
    <w:next w:val="Normal"/>
    <w:link w:val="Heading1Char"/>
    <w:autoRedefine/>
    <w:uiPriority w:val="9"/>
    <w:rsid w:val="00A02D50"/>
    <w:pPr>
      <w:keepNext/>
      <w:keepLines/>
      <w:outlineLvl w:val="0"/>
      <w:spacing w:before="480" w:after="0"/>
    </w:pPr>
    <w:rPr>
      <w:bCs/>
      <w:b/>
      <w:rFonts w:eastAsiaTheme="majorEastAsia" w:cstheme="majorBidi"/>
      <w:sz w:val="28"/>
      <w:szCs w:val="28"/>
    </w:rPr>
  </w:style>
  <w:style w:type="paragraph" w:styleId="Heading2">
    <w:name w:val="Heading 2"/>
    <w:qFormat/>
    <w:basedOn w:val="Normal"/>
    <w:next w:val="Normal"/>
    <w:link w:val="Heading2Char"/>
    <w:autoRedefine/>
    <w:uiPriority w:val="9"/>
    <w:semiHidden/>
    <w:unhideWhenUsed/>
    <w:rsid w:val="00A02D50"/>
    <w:pPr>
      <w:keepNext/>
      <w:keepLines/>
      <w:outlineLvl w:val="1"/>
      <w:spacing w:before="200" w:after="0"/>
    </w:pPr>
    <w:rPr>
      <w:bCs/>
      <w:b/>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A02D50"/>
    <w:rPr>
      <w:bCs/>
      <w:b/>
      <w:rFonts w:ascii="Times New Roman" w:hAnsi="Times New Roman" w:eastAsiaTheme="majorEastAsia" w:cstheme="majorBidi"/>
      <w:sz w:val="28"/>
      <w:szCs w:val="28"/>
    </w:rPr>
  </w:style>
  <w:style w:type="character" w:styleId="Heading2Char">
    <w:name w:val="Heading 2 Char"/>
    <w:basedOn w:val="DefaultParagraphFont"/>
    <w:link w:val="Heading2"/>
    <w:uiPriority w:val="9"/>
    <w:semiHidden/>
    <w:rsid w:val="00A02D50"/>
    <w:rPr>
      <w:bCs/>
      <w:b/>
      <w:rFonts w:ascii="Times New Roman" w:hAnsi="Times New Roman" w:eastAsiaTheme="majorEastAsia" w:cstheme="majorBidi"/>
      <w:sz w:val="26"/>
      <w:szCs w:val="26"/>
    </w:rPr>
  </w:style>
  <w:style w:type="paragraph" w:styleId="NormalWeb">
    <w:name w:val="Normal (Web)"/>
    <w:basedOn w:val="Normal"/>
    <w:uiPriority w:val="99"/>
    <w:semiHidden/>
    <w:unhideWhenUsed/>
    <w:rsid w:val="00C1367C"/>
    <w:pPr>
      <w:spacing w:before="100" w:beforeAutospacing="1" w:after="100" w:afterAutospacing="1" w:line="240" w:lineRule="auto"/>
    </w:pPr>
    <w:rPr>
      <w:rFonts w:cs="Times New Roman" w:eastAsia="Times New Roman"/>
      <w:szCs w:val="24"/>
    </w:rPr>
  </w:style>
  <w:style w:type="paragraph" w:styleId="ListParagraph">
    <w:name w:val="List Paragraph"/>
    <w:qFormat/>
    <w:basedOn w:val="Normal"/>
    <w:uiPriority w:val="34"/>
    <w:rsid w:val="00C52852"/>
    <w:pPr>
      <w:ind w:left="720"/>
      <w:contextualSpacing/>
    </w:pPr>
  </w:style>
  <w:style w:type="paragraph" w:styleId="Header">
    <w:name w:val="header"/>
    <w:basedOn w:val="Normal"/>
    <w:link w:val="HeaderChar"/>
    <w:uiPriority w:val="99"/>
    <w:semiHidden/>
    <w:unhideWhenUsed/>
    <w:rsid w:val="00E16A63"/>
    <w:pPr>
      <w:spacing w:after="0" w:line="240" w:lineRule="auto"/>
      <w:tabs>
        <w:tab w:val="center" w:pos="4680"/>
        <w:tab w:val="right" w:pos="9360"/>
      </w:tabs>
    </w:pPr>
  </w:style>
  <w:style w:type="character" w:styleId="HeaderChar">
    <w:name w:val="Header Char"/>
    <w:basedOn w:val="DefaultParagraphFont"/>
    <w:link w:val="Header"/>
    <w:uiPriority w:val="99"/>
    <w:semiHidden/>
    <w:rsid w:val="00E16A63"/>
  </w:style>
  <w:style w:type="paragraph" w:styleId="Footer">
    <w:name w:val="footer"/>
    <w:basedOn w:val="Normal"/>
    <w:link w:val="FooterChar"/>
    <w:uiPriority w:val="99"/>
    <w:unhideWhenUsed/>
    <w:rsid w:val="00E16A63"/>
    <w:pPr>
      <w:spacing w:after="0" w:line="240" w:lineRule="auto"/>
      <w:tabs>
        <w:tab w:val="center" w:pos="4680"/>
        <w:tab w:val="right" w:pos="9360"/>
      </w:tabs>
    </w:pPr>
  </w:style>
  <w:style w:type="character" w:styleId="FooterChar">
    <w:name w:val="Footer Char"/>
    <w:basedOn w:val="DefaultParagraphFont"/>
    <w:link w:val="Footer"/>
    <w:uiPriority w:val="99"/>
    <w:rsid w:val="00E16A63"/>
  </w:style>
  <w:style w:type="paragraph" w:styleId="TOCHeading">
    <w:name w:val="TOC Heading"/>
    <w:qFormat/>
    <w:basedOn w:val="Heading1"/>
    <w:next w:val="Normal"/>
    <w:uiPriority w:val="39"/>
    <w:semiHidden/>
    <w:unhideWhenUsed/>
    <w:rsid w:val="007A4C14"/>
    <w:pPr>
      <w:outlineLvl w:val="9"/>
      <w:jc w:val="left"/>
      <w:spacing w:line="276" w:lineRule="auto"/>
    </w:pPr>
    <w:rPr>
      <w:color w:val="365F91"/>
      <w:rFonts w:ascii="Cambria" w:hAnsiTheme="majorHAnsi"/>
    </w:rPr>
  </w:style>
  <w:style w:type="paragraph" w:styleId="TOC1">
    <w:name w:val="toc 1"/>
    <w:basedOn w:val="Normal"/>
    <w:next w:val="Normal"/>
    <w:autoRedefine/>
    <w:uiPriority w:val="39"/>
    <w:unhideWhenUsed/>
    <w:rsid w:val="007A4C14"/>
    <w:pPr>
      <w:spacing w:after="100"/>
    </w:pPr>
  </w:style>
  <w:style w:type="character" w:styleId="Hyperlink">
    <w:name w:val="Hyperlink"/>
    <w:basedOn w:val="DefaultParagraphFont"/>
    <w:uiPriority w:val="99"/>
    <w:unhideWhenUsed/>
    <w:rsid w:val="007A4C14"/>
    <w:rPr>
      <w:u w:val="single"/>
      <w:color w:val="0000FF"/>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81166">
      <w:bodyDiv w:val="1"/>
      <w:marLeft w:val="0"/>
      <w:marRight w:val="0"/>
      <w:marTop w:val="0"/>
      <w:marBottom w:val="0"/>
      <w:divBdr>
        <w:top w:val="none" w:sz="0" w:space="0" w:color="auto"/>
        <w:left w:val="none" w:sz="0" w:space="0" w:color="auto"/>
        <w:bottom w:val="none" w:sz="0" w:space="0" w:color="auto"/>
        <w:right w:val="none" w:sz="0" w:space="0" w:color="auto"/>
      </w:divBdr>
    </w:div>
    <w:div w:id="918095380">
      <w:bodyDiv w:val="1"/>
      <w:marLeft w:val="0"/>
      <w:marRight w:val="0"/>
      <w:marTop w:val="0"/>
      <w:marBottom w:val="0"/>
      <w:divBdr>
        <w:top w:val="none" w:sz="0" w:space="0" w:color="auto"/>
        <w:left w:val="none" w:sz="0" w:space="0" w:color="auto"/>
        <w:bottom w:val="none" w:sz="0" w:space="0" w:color="auto"/>
        <w:right w:val="none" w:sz="0" w:space="0" w:color="auto"/>
      </w:divBdr>
    </w:div>
    <w:div w:id="199795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7AD39-6C9B-4165-9471-DC3023678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12</Pages>
  <Words>2035</Words>
  <Characters>11603</Characters>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2024-03-21T15:10:00Z</dcterms:created>
  <dcterms:modified xsi:type="dcterms:W3CDTF">2024-03-21T21:08:00Z</dcterms:modified>
</cp:coreProperties>
</file>