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rFonts w:ascii="Times New Roman" w:cs="Times New Roman" w:eastAsia="Times New Roman" w:hAnsi="Times New Roman"/>
          <w:sz w:val="56"/>
          <w:szCs w:val="56"/>
        </w:rPr>
      </w:pPr>
      <w:bookmarkStart w:colFirst="0" w:colLast="0" w:name="_heading=h.j588cvtzz45c" w:id="0"/>
      <w:bookmarkEnd w:id="0"/>
      <w:r w:rsidDel="00000000" w:rsidR="00000000" w:rsidRPr="00000000">
        <w:rPr>
          <w:rtl w:val="0"/>
        </w:rPr>
        <w:t xml:space="preserve">Research Methods and Field Study Experience</w:t>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rPr>
      </w:pPr>
      <w:r w:rsidDel="00000000" w:rsidR="00000000" w:rsidRPr="00000000">
        <w:rPr/>
        <w:drawing>
          <wp:inline distB="114300" distT="114300" distL="114300" distR="114300">
            <wp:extent cx="5731200" cy="3429000"/>
            <wp:effectExtent b="0" l="0" r="0" t="0"/>
            <wp:docPr id="118980879"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31200" cy="34290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Author: Kirsty Skidmore (2003395)</w:t>
      </w:r>
    </w:p>
    <w:p w:rsidR="00000000" w:rsidDel="00000000" w:rsidP="00000000" w:rsidRDefault="00000000" w:rsidRPr="00000000" w14:paraId="00000005">
      <w:pPr>
        <w:spacing w:line="360" w:lineRule="auto"/>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Assignment title: Research Methods and Field Study Experience</w:t>
      </w:r>
    </w:p>
    <w:p w:rsidR="00000000" w:rsidDel="00000000" w:rsidP="00000000" w:rsidRDefault="00000000" w:rsidRPr="00000000" w14:paraId="00000006">
      <w:pPr>
        <w:spacing w:line="360" w:lineRule="auto"/>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Module code: BMTP5022</w:t>
      </w:r>
    </w:p>
    <w:p w:rsidR="00000000" w:rsidDel="00000000" w:rsidP="00000000" w:rsidRDefault="00000000" w:rsidRPr="00000000" w14:paraId="00000007">
      <w:pPr>
        <w:spacing w:line="360" w:lineRule="auto"/>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Word Count: 2140</w:t>
      </w:r>
    </w:p>
    <w:p w:rsidR="00000000" w:rsidDel="00000000" w:rsidP="00000000" w:rsidRDefault="00000000" w:rsidRPr="00000000" w14:paraId="00000008">
      <w:pPr>
        <w:pStyle w:val="Heading1"/>
        <w:keepNext w:val="0"/>
        <w:keepLines w:val="0"/>
        <w:shd w:fill="ffffff" w:val="clear"/>
        <w:spacing w:after="0" w:before="0" w:line="288" w:lineRule="auto"/>
        <w:jc w:val="center"/>
        <w:rPr>
          <w:rFonts w:ascii="Arial" w:cs="Arial" w:eastAsia="Arial" w:hAnsi="Arial"/>
          <w:b w:val="0"/>
          <w:bCs w:val="0"/>
          <w:sz w:val="28"/>
          <w:szCs w:val="28"/>
        </w:rPr>
      </w:pPr>
      <w:bookmarkStart w:colFirst="0" w:colLast="0" w:name="_heading=h.tt2547f54394" w:id="1"/>
      <w:bookmarkEnd w:id="1"/>
      <w:r w:rsidDel="00000000" w:rsidR="00000000" w:rsidRPr="00000000">
        <w:rPr>
          <w:rFonts w:ascii="Arial" w:cs="Arial" w:eastAsia="Arial" w:hAnsi="Arial"/>
          <w:b w:val="0"/>
          <w:bCs w:val="0"/>
          <w:color w:val="1d2125"/>
          <w:sz w:val="34"/>
          <w:szCs w:val="34"/>
          <w:rtl w:val="0"/>
        </w:rPr>
        <w:t xml:space="preserve">Similarity Check</w:t>
      </w:r>
      <w:r w:rsidDel="00000000" w:rsidR="00000000" w:rsidRPr="00000000">
        <w:rPr>
          <w:rFonts w:ascii="Arial" w:cs="Arial" w:eastAsia="Arial" w:hAnsi="Arial"/>
          <w:b w:val="0"/>
          <w:bCs w:val="0"/>
          <w:sz w:val="34"/>
          <w:szCs w:val="34"/>
          <w:rtl w:val="0"/>
        </w:rPr>
        <w:t xml:space="preserve">:</w:t>
      </w:r>
      <w:r w:rsidDel="00000000" w:rsidR="00000000" w:rsidRPr="00000000">
        <w:rPr>
          <w:rFonts w:ascii="Arial" w:cs="Arial" w:eastAsia="Arial" w:hAnsi="Arial"/>
          <w:b w:val="0"/>
          <w:bCs w:val="0"/>
          <w:sz w:val="28"/>
          <w:szCs w:val="28"/>
          <w:rtl w:val="0"/>
        </w:rPr>
        <w:t xml:space="preserve"> 7%</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Submission Date: Monday 17th November 2025</w:t>
      </w:r>
    </w:p>
    <w:p w:rsidR="00000000" w:rsidDel="00000000" w:rsidP="00000000" w:rsidRDefault="00000000" w:rsidRPr="00000000" w14:paraId="0000000B">
      <w:pPr>
        <w:spacing w:line="360" w:lineRule="auto"/>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Tutor: Lisa Bassler</w:t>
      </w:r>
    </w:p>
    <w:p w:rsidR="00000000" w:rsidDel="00000000" w:rsidP="00000000" w:rsidRDefault="00000000" w:rsidRPr="00000000" w14:paraId="0000000C">
      <w:pPr>
        <w:spacing w:line="360" w:lineRule="auto"/>
        <w:jc w:val="left"/>
        <w:rPr>
          <w:b w:val="1"/>
          <w:bCs w:val="1"/>
          <w:sz w:val="28"/>
          <w:szCs w:val="28"/>
        </w:rPr>
      </w:pPr>
      <w:r w:rsidDel="00000000" w:rsidR="00000000" w:rsidRPr="00000000">
        <w:rPr>
          <w:b w:val="1"/>
          <w:bCs w:val="1"/>
          <w:sz w:val="28"/>
          <w:szCs w:val="28"/>
          <w:rtl w:val="0"/>
        </w:rPr>
        <w:t xml:space="preserve">AI Acknowledgement</w:t>
      </w:r>
    </w:p>
    <w:p w:rsidR="00000000" w:rsidDel="00000000" w:rsidP="00000000" w:rsidRDefault="00000000" w:rsidRPr="00000000" w14:paraId="0000000D">
      <w:pPr>
        <w:rPr/>
      </w:pPr>
      <w:r w:rsidDel="00000000" w:rsidR="00000000" w:rsidRPr="00000000">
        <w:rPr>
          <w:rtl w:val="0"/>
        </w:rPr>
        <w:t xml:space="preserve">I acknowledge [AI Tool] (AI Tool url)] on (Date) to (Purpose my work). I used the prompts. </w:t>
      </w:r>
    </w:p>
    <w:p w:rsidR="00000000" w:rsidDel="00000000" w:rsidP="00000000" w:rsidRDefault="00000000" w:rsidRPr="00000000" w14:paraId="0000000E">
      <w:pPr>
        <w:numPr>
          <w:ilvl w:val="0"/>
          <w:numId w:val="1"/>
        </w:numPr>
        <w:spacing w:after="0" w:afterAutospacing="0"/>
        <w:ind w:left="720" w:hanging="360"/>
        <w:rPr>
          <w:u w:val="none"/>
        </w:rPr>
      </w:pPr>
      <w:r w:rsidDel="00000000" w:rsidR="00000000" w:rsidRPr="00000000">
        <w:rPr>
          <w:rtl w:val="0"/>
        </w:rPr>
        <w:t xml:space="preserve">Image, </w:t>
      </w:r>
      <w:hyperlink r:id="rId8">
        <w:r w:rsidDel="00000000" w:rsidR="00000000" w:rsidRPr="00000000">
          <w:rPr>
            <w:color w:val="1155cc"/>
            <w:u w:val="single"/>
            <w:rtl w:val="0"/>
          </w:rPr>
          <w:t xml:space="preserve">https://www.questionpro.com/blog/what-is-research/</w:t>
        </w:r>
      </w:hyperlink>
      <w:r w:rsidDel="00000000" w:rsidR="00000000" w:rsidRPr="00000000">
        <w:rPr>
          <w:rtl w:val="0"/>
        </w:rPr>
        <w:t xml:space="preserve">, on the title page.</w:t>
      </w:r>
    </w:p>
    <w:p w:rsidR="00000000" w:rsidDel="00000000" w:rsidP="00000000" w:rsidRDefault="00000000" w:rsidRPr="00000000" w14:paraId="0000000F">
      <w:pPr>
        <w:numPr>
          <w:ilvl w:val="0"/>
          <w:numId w:val="1"/>
        </w:numPr>
        <w:spacing w:after="0" w:afterAutospacing="0"/>
        <w:ind w:left="720" w:hanging="360"/>
        <w:rPr>
          <w:u w:val="none"/>
        </w:rPr>
      </w:pPr>
      <w:r w:rsidDel="00000000" w:rsidR="00000000" w:rsidRPr="00000000">
        <w:rPr>
          <w:rtl w:val="0"/>
        </w:rPr>
        <w:t xml:space="preserve">Prompt</w:t>
      </w:r>
    </w:p>
    <w:p w:rsidR="00000000" w:rsidDel="00000000" w:rsidP="00000000" w:rsidRDefault="00000000" w:rsidRPr="00000000" w14:paraId="00000010">
      <w:pPr>
        <w:numPr>
          <w:ilvl w:val="0"/>
          <w:numId w:val="1"/>
        </w:numPr>
        <w:ind w:left="720" w:hanging="360"/>
        <w:rPr>
          <w:u w:val="none"/>
        </w:rPr>
      </w:pPr>
      <w:r w:rsidDel="00000000" w:rsidR="00000000" w:rsidRPr="00000000">
        <w:rPr>
          <w:rtl w:val="0"/>
        </w:rPr>
        <w:t xml:space="preserve">Prompt</w:t>
      </w: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confirm that I have not used any AI tools in the research and creation of this assignment. I confirm I have copies of my drafts, notes, and other resources I used before, and after the use of AI tools which I may be asked to provide in evidence.</w:t>
      </w: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jc w:val="center"/>
        <w:rPr>
          <w:rFonts w:ascii="Times New Roman" w:cs="Times New Roman" w:eastAsia="Times New Roman" w:hAnsi="Times New Roman"/>
          <w:b w:val="1"/>
          <w:bCs w:val="1"/>
          <w:sz w:val="28"/>
          <w:szCs w:val="28"/>
        </w:rPr>
      </w:pPr>
      <w:bookmarkStart w:colFirst="0" w:colLast="0" w:name="_heading=h.nyr1fwb2ued8" w:id="2"/>
      <w:bookmarkEnd w:id="2"/>
      <w:r w:rsidDel="00000000" w:rsidR="00000000" w:rsidRPr="00000000">
        <w:rPr>
          <w:sz w:val="28"/>
          <w:szCs w:val="28"/>
          <w:rtl w:val="0"/>
        </w:rPr>
        <w:t xml:space="preserve">Table of contents </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sdt>
      <w:sdtPr>
        <w:id w:val="-2082481199"/>
        <w:docPartObj>
          <w:docPartGallery w:val="Table of Contents"/>
          <w:docPartUnique w:val="1"/>
        </w:docPartObj>
      </w:sdtPr>
      <w:sdtContent>
        <w:p w:rsidR="00000000" w:rsidDel="00000000" w:rsidP="00000000" w:rsidRDefault="00000000" w:rsidRPr="00000000" w14:paraId="00000015">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j588cvtzz45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Methods and Field Study Experience</w:t>
              <w:tab/>
              <w:t xml:space="preserve">1</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nyr1fwb2ued8">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Table of contents</w:t>
              <w:tab/>
              <w:t xml:space="preserve">3</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c77gh4bwr7bb">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2tcu4py7cwo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Methodology</w:t>
              <w:tab/>
              <w:t xml:space="preserve">6</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6xo4euh1ged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Significance of the study</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3z4kphvlniq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Timeline and Budget</w:t>
              <w:tab/>
              <w:t xml:space="preserve">9</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r9gjz7yhefj0">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Conclusions and Limitations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line="360" w:lineRule="auto"/>
        <w:ind w:firstLine="720"/>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D">
      <w:pPr>
        <w:spacing w:line="360" w:lineRule="auto"/>
        <w:ind w:firstLine="720"/>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E">
      <w:pPr>
        <w:spacing w:line="360" w:lineRule="auto"/>
        <w:ind w:firstLine="720"/>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spacing w:line="360" w:lineRule="auto"/>
        <w:jc w:val="both"/>
        <w:rPr>
          <w:rFonts w:ascii="Arial" w:cs="Arial" w:eastAsia="Arial" w:hAnsi="Arial"/>
          <w:i w:val="1"/>
          <w:iCs w:val="1"/>
          <w:sz w:val="28"/>
          <w:szCs w:val="28"/>
          <w:u w:val="none"/>
        </w:rPr>
      </w:pPr>
      <w:bookmarkStart w:colFirst="0" w:colLast="0" w:name="_heading=h.c77gh4bwr7bb" w:id="3"/>
      <w:bookmarkEnd w:id="3"/>
      <w:r w:rsidDel="00000000" w:rsidR="00000000" w:rsidRPr="00000000">
        <w:rPr>
          <w:rFonts w:ascii="Arial" w:cs="Arial" w:eastAsia="Arial" w:hAnsi="Arial"/>
          <w:i w:val="1"/>
          <w:iCs w:val="1"/>
          <w:sz w:val="28"/>
          <w:szCs w:val="28"/>
          <w:u w:val="none"/>
          <w:rtl w:val="0"/>
        </w:rPr>
        <w:t xml:space="preserve">Introduction</w:t>
      </w:r>
    </w:p>
    <w:p w:rsidR="00000000" w:rsidDel="00000000" w:rsidP="00000000" w:rsidRDefault="00000000" w:rsidRPr="00000000" w14:paraId="0000002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This research proposal investigates the role of sustainable transportation in the tourism sector, an area that has become increasingly important as destinations respond to environmental challenges, climate change, and greater public interest in eco-friendly travel. Transport is a major component of sustainable tourism, as it influences emissions, mobility choices, and the long-term environmental footprint of visitors. BBC Bitesize (2025) explains that sustainable travel aims to minimise environmental harm while supporting the needs of both current and future populations.</w:t>
      </w:r>
    </w:p>
    <w:p w:rsidR="00000000" w:rsidDel="00000000" w:rsidP="00000000" w:rsidRDefault="00000000" w:rsidRPr="00000000" w14:paraId="0000002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Large urban destinations, such as London, have introduced a range of sustainable transport options to support greener forms of mobility. These developments include shared cycling schemes, electric and hybrid buses, extensive underground and rail systems, and a wider focus on reducing traffic congestion. According to Centreforlondon (2021), improving sustainable travel within the city contributes not only to environmental quality and public health but also strengthens economic activity by supporting businesses and enhancing overall accessibility. As a major hub for both domestic and international tourists, London continues to expand these alternatives, such as Santander Cycles and low-emission buses, to encourage visitors to choose more environmentally responsible travel modes.</w:t>
      </w:r>
    </w:p>
    <w:p w:rsidR="00000000" w:rsidDel="00000000" w:rsidP="00000000" w:rsidRDefault="00000000" w:rsidRPr="00000000" w14:paraId="0000002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Although sustainable transport options are becoming more visible, it remains unclear how far tourists understand these choices and whether awareness actually shapes behaviour. Sustainability itself is not straightforward to define, as theorists interpret it in different ways. The United Nations describes sustainable tourism as “</w:t>
      </w:r>
      <w:r w:rsidDel="00000000" w:rsidR="00000000" w:rsidRPr="00000000">
        <w:rPr>
          <w:rFonts w:ascii="Arial" w:cs="Arial" w:eastAsia="Arial" w:hAnsi="Arial"/>
          <w:i w:val="1"/>
          <w:iCs w:val="1"/>
          <w:rtl w:val="0"/>
        </w:rPr>
        <w:t xml:space="preserve">tourism that considers its present and future economic, social, and environmental impacts while meeting the needs of visitors, the industry, the environment, and host communities</w:t>
      </w:r>
      <w:r w:rsidDel="00000000" w:rsidR="00000000" w:rsidRPr="00000000">
        <w:rPr>
          <w:rFonts w:ascii="Arial" w:cs="Arial" w:eastAsia="Arial" w:hAnsi="Arial"/>
          <w:rtl w:val="0"/>
        </w:rPr>
        <w:t xml:space="preserve">” (Making Tourism More Sustainable, 2025, pp. 11–12). This highlights the need for tourists’ travel decisions to align with wider sustainability objectives.</w:t>
      </w:r>
    </w:p>
    <w:p w:rsidR="00000000" w:rsidDel="00000000" w:rsidP="00000000" w:rsidRDefault="00000000" w:rsidRPr="00000000" w14:paraId="0000002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Against this backdrop, the proposal focuses on travellers coming from Wales to London. The main research question is:</w:t>
      </w:r>
    </w:p>
    <w:p w:rsidR="00000000" w:rsidDel="00000000" w:rsidP="00000000" w:rsidRDefault="00000000" w:rsidRPr="00000000" w14:paraId="0000002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“How does people’s awareness of sustainable travel options within London influence their choice of transport when travelling to the city from Wales?”</w:t>
      </w:r>
    </w:p>
    <w:p w:rsidR="00000000" w:rsidDel="00000000" w:rsidP="00000000" w:rsidRDefault="00000000" w:rsidRPr="00000000" w14:paraId="0000002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This question explores whether understanding sustainable travel options has a meaningful effect on transport behaviour. By examining this link, the research aims to determine whether increasing awareness and making green travel easier and more convenient could lead to more responsible mobility choices. The results will support wider discussions on sustainable travel behaviour, tourism transport planning, and efforts that contribute to the UK’s Net Zero ambitions and the United Nations Sustainable Development Goals (SDGs) (United Nations, 2024).</w:t>
      </w:r>
    </w:p>
    <w:p w:rsidR="00000000" w:rsidDel="00000000" w:rsidP="00000000" w:rsidRDefault="00000000" w:rsidRPr="00000000" w14:paraId="00000027">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To investigate this issue, the study will use questionnaires as the main research method. This technique allows the collection of both numerical data (such as travel patterns and transport choices) and more descriptive insights (such as personal motivations or perceived barriers to using sustainable transport). Using both open and closed questions supports a mixed-methods approach, which is considered suitable when exploring attitudes and behaviours in tourism research (McLeod, 2025).</w:t>
      </w:r>
    </w:p>
    <w:p w:rsidR="00000000" w:rsidDel="00000000" w:rsidP="00000000" w:rsidRDefault="00000000" w:rsidRPr="00000000" w14:paraId="0000002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SMART objectives guiding the project are:</w:t>
      </w:r>
    </w:p>
    <w:p w:rsidR="00000000" w:rsidDel="00000000" w:rsidP="00000000" w:rsidRDefault="00000000" w:rsidRPr="00000000" w14:paraId="00000029">
      <w:pPr>
        <w:numPr>
          <w:ilvl w:val="0"/>
          <w:numId w:val="3"/>
        </w:numPr>
        <w:spacing w:after="0" w:afterAutospacing="0" w:before="24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To measure how aware travellers from Wales are of sustainable transport options in London by December 20th, 2025.</w:t>
        <w:br w:type="textWrapping"/>
      </w:r>
    </w:p>
    <w:p w:rsidR="00000000" w:rsidDel="00000000" w:rsidP="00000000" w:rsidRDefault="00000000" w:rsidRPr="00000000" w14:paraId="0000002A">
      <w:pPr>
        <w:numPr>
          <w:ilvl w:val="0"/>
          <w:numId w:val="3"/>
        </w:numPr>
        <w:spacing w:after="0" w:afterAutospacing="0" w:before="0" w:before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To analyse how this awareness influences their chosen mode of transport to London by November 10th, 2025.</w:t>
        <w:br w:type="textWrapping"/>
      </w:r>
    </w:p>
    <w:p w:rsidR="00000000" w:rsidDel="00000000" w:rsidP="00000000" w:rsidRDefault="00000000" w:rsidRPr="00000000" w14:paraId="0000002B">
      <w:pPr>
        <w:numPr>
          <w:ilvl w:val="0"/>
          <w:numId w:val="3"/>
        </w:numPr>
        <w:spacing w:after="0" w:afterAutospacing="0" w:before="0" w:before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To identify the key factors that encourage or discourage travellers from using sustainable transport by November 15th, 2025.</w:t>
        <w:br w:type="textWrapping"/>
      </w:r>
    </w:p>
    <w:p w:rsidR="00000000" w:rsidDel="00000000" w:rsidP="00000000" w:rsidRDefault="00000000" w:rsidRPr="00000000" w14:paraId="0000002C">
      <w:pPr>
        <w:numPr>
          <w:ilvl w:val="0"/>
          <w:numId w:val="3"/>
        </w:numPr>
        <w:spacing w:after="240" w:before="0" w:before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To develop recommendations that support more sustainable travel between Wales and London, informed by Net Zero targets and the UN SDGs, by November 17th, 2025.</w:t>
        <w:br w:type="textWrapping"/>
        <w:t xml:space="preserve"> </w:t>
      </w:r>
      <w:r w:rsidDel="00000000" w:rsidR="00000000" w:rsidRPr="00000000">
        <w:rPr>
          <w:rtl w:val="0"/>
        </w:rPr>
      </w:r>
    </w:p>
    <w:p w:rsidR="00000000" w:rsidDel="00000000" w:rsidP="00000000" w:rsidRDefault="00000000" w:rsidRPr="00000000" w14:paraId="0000002D">
      <w:pPr>
        <w:pStyle w:val="Heading1"/>
        <w:spacing w:line="360" w:lineRule="auto"/>
        <w:jc w:val="both"/>
        <w:rPr>
          <w:rFonts w:ascii="Arial" w:cs="Arial" w:eastAsia="Arial" w:hAnsi="Arial"/>
          <w:color w:val="000000"/>
          <w:sz w:val="28"/>
          <w:szCs w:val="28"/>
        </w:rPr>
      </w:pPr>
      <w:bookmarkStart w:colFirst="0" w:colLast="0" w:name="_heading=h.2tcu4py7cwof" w:id="4"/>
      <w:bookmarkEnd w:id="4"/>
      <w:r w:rsidDel="00000000" w:rsidR="00000000" w:rsidRPr="00000000">
        <w:rPr>
          <w:rFonts w:ascii="Arial" w:cs="Arial" w:eastAsia="Arial" w:hAnsi="Arial"/>
          <w:sz w:val="28"/>
          <w:szCs w:val="28"/>
          <w:rtl w:val="0"/>
        </w:rPr>
        <w:t xml:space="preserve">Research Methodology</w:t>
      </w:r>
      <w:r w:rsidDel="00000000" w:rsidR="00000000" w:rsidRPr="00000000">
        <w:rPr>
          <w:rtl w:val="0"/>
        </w:rPr>
      </w:r>
    </w:p>
    <w:p w:rsidR="00000000" w:rsidDel="00000000" w:rsidP="00000000" w:rsidRDefault="00000000" w:rsidRPr="00000000" w14:paraId="0000002E">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According to McLeod (2025), research into sustainable transportation can be approached through three main methodological frameworks: qualitative, quantitative and mixed-methods research. Each provides different strengths in analysing traveller behaviours, attitudes and the effectiveness of sustainable transport systems, which is essential in sustainability-focused studies (Becken &amp; Patterson, 2006).</w:t>
      </w:r>
    </w:p>
    <w:p w:rsidR="00000000" w:rsidDel="00000000" w:rsidP="00000000" w:rsidRDefault="00000000" w:rsidRPr="00000000" w14:paraId="0000002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Qualitative research focuses on non-numerical data and explores individuals’ experiences, perceptions and attitudes. It is widely used to examine complex social issues within tourism and sustainability (Jennings, 2010), allowing researchers to understand how travellers interpret environmental practices (Silverman, 2017). Common methods include interviews, focus groups and observations. Although qualitative research offers rich, detailed insights, it is time-consuming and requires significant analysis (Creswell &amp; Poth, 2018).</w:t>
      </w:r>
    </w:p>
    <w:p w:rsidR="00000000" w:rsidDel="00000000" w:rsidP="00000000" w:rsidRDefault="00000000" w:rsidRPr="00000000" w14:paraId="00000030">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Quantitative research, in contrast, relies on numerical data and statistical analysis. It is especially useful for identifying behavioural patterns, measuring travel demand and evaluating sustainability initiatives on a broader scale (Hall, 2011). Structured questionnaires, surveys and secondary datasets support generalisable findings and are often more efficient than qualitative methods (Bryman, 2016; Robson &amp; McCartan, 2016).</w:t>
      </w:r>
    </w:p>
    <w:p w:rsidR="00000000" w:rsidDel="00000000" w:rsidP="00000000" w:rsidRDefault="00000000" w:rsidRPr="00000000" w14:paraId="0000003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Researchers within the sustainable tourism field widely recognise that different methodological approaches offer distinct advantages when examining sustainability challenges. Qualitative research is valued for uncovering the lived experiences of host communities, stakeholders and tourists, which is essential when assessing cultural impacts, overtourism and community attitudes. Wearing, Stevenson and Young (2010) highlight that qualitative methods allow researchers to understand community values and participation key components of sustainable tourism. </w:t>
      </w:r>
    </w:p>
    <w:p w:rsidR="00000000" w:rsidDel="00000000" w:rsidP="00000000" w:rsidRDefault="00000000" w:rsidRPr="00000000" w14:paraId="0000003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In contrast, quantitative methods are essential for measuring tourism flows, emissions, carrying capacity and environmental indicators, enabling policymakers to evaluate sustainability trends at scale (Buckley, 2012). Many scholars therefore advocate mixed-methods approaches, emphasising that sustainability involves both measurable environmental data and subjective social experiences. McComb, Boyd and Boluk (2017) note that mixed-methods research provides a “more holistic understanding” of sustainability by combining statistical evidence with community narratives. This makes it especially effective when assessing policy outcomes, CSR initiatives and tourism development impacts. The growing academic consensus is that mixed-methods research is particularly suitable for sustainable tourism studies because it reflects the multidimensional nature of sustainability.</w:t>
      </w:r>
    </w:p>
    <w:p w:rsidR="00000000" w:rsidDel="00000000" w:rsidP="00000000" w:rsidRDefault="00000000" w:rsidRPr="00000000" w14:paraId="0000003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Mixed-methods research therefore offers important advantages in sustainable transport research. According to Creswell (2014), mixed methods allow researchers to expand their understanding by integrating quantitative results with qualitative insights. This dual perspective is valuable in sustainability studies where behavioural patterns and personal experiences interact (Dredge &amp; Jamal, 2015). For this project, a mixed-methods approach was selected to investigate sustainable travel within London and the sustainability of transport routes between Wales and London. This method enables the researcher to examine not only participant attitudes but also whether their behaviours align with their views.</w:t>
      </w:r>
    </w:p>
    <w:p w:rsidR="00000000" w:rsidDel="00000000" w:rsidP="00000000" w:rsidRDefault="00000000" w:rsidRPr="00000000" w14:paraId="0000003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To support this approach, surveys containing both open and closed questions were chosen as the primary data collection method. Surveys are widely recognised as efficient tools in tourism research due to their ability to generate large sample sizes (Veal, 2017). Closed questions provide quantitative data suitable for identifying trends, while open-ended questions allow participants to elaborate on their views, producing qualitative detail (Punch, 2014). Although interviews or focus groups can provide deeper insights, they typically involve fewer participants and can introduce bias through group dynamics (Morgan, 2014). Surveys therefore offer a more representative and practical method for generating mixed data for this study.</w:t>
      </w:r>
    </w:p>
    <w:p w:rsidR="00000000" w:rsidDel="00000000" w:rsidP="00000000" w:rsidRDefault="00000000" w:rsidRPr="00000000" w14:paraId="0000003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Selecting an appropriate sampling method is an essential consideration. Probability sampling, where each person in the population has an equal chance of being selected, yields more representative and generalisable findings (Bryman, 2016). However, it is more time-consuming and costly, making it less feasible for student-led research (McLeod, 2023). Non-probability sampling, by contrast, is quicker and easier to administer but may introduce bias and reduce generalisability (Etikan, Musa &amp; Alkassim, 2016). Due to limited time and resources, this study employs a non-probability sampling approach.</w:t>
      </w:r>
    </w:p>
    <w:p w:rsidR="00000000" w:rsidDel="00000000" w:rsidP="00000000" w:rsidRDefault="00000000" w:rsidRPr="00000000" w14:paraId="0000003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Participants will include students aged 18–30 who study or have an interest in travel, tourism or sustainable travel. This demographic represents Generation Z, a group noted for its growing environmental awareness and increasing influence on sustainable tourism behaviour (UNWTO, 2022). Their perspectives are relevant as they form a major segment of public transport users, event attendees and future industry stakeholders.</w:t>
      </w:r>
    </w:p>
    <w:p w:rsidR="00000000" w:rsidDel="00000000" w:rsidP="00000000" w:rsidRDefault="00000000" w:rsidRPr="00000000" w14:paraId="00000037">
      <w:pPr>
        <w:spacing w:after="240" w:before="240" w:line="360" w:lineRule="auto"/>
        <w:jc w:val="both"/>
        <w:rPr>
          <w:rFonts w:ascii="Arial" w:cs="Arial" w:eastAsia="Arial" w:hAnsi="Arial"/>
          <w:b w:val="1"/>
          <w:bCs w:val="1"/>
          <w:sz w:val="28"/>
          <w:szCs w:val="28"/>
        </w:rPr>
      </w:pPr>
      <w:r w:rsidDel="00000000" w:rsidR="00000000" w:rsidRPr="00000000">
        <w:rPr>
          <w:rFonts w:ascii="Arial" w:cs="Arial" w:eastAsia="Arial" w:hAnsi="Arial"/>
          <w:rtl w:val="0"/>
        </w:rPr>
        <w:t xml:space="preserve">Ethical considerations are fundamental in research involving human participants. Bhandari (2022) emphasises that researchers must obtain informed consent, ensuring participants understand the study’s purpose, potential risks, time commitments and contact details before agreeing to take part. Participants must also be informed of their right to withdraw at any stage without consequence (BERA, 2018). Furthermore, researchers must protect confidentiality, ensuring that data is securely stored, anonymised and accessible only to authorised individuals (Flick, 2018). Adhering to these principles protects participants’ wellbeing and ensures the study complies with ethical and legal research standards.</w:t>
      </w:r>
      <w:r w:rsidDel="00000000" w:rsidR="00000000" w:rsidRPr="00000000">
        <w:rPr>
          <w:rtl w:val="0"/>
        </w:rPr>
      </w:r>
    </w:p>
    <w:p w:rsidR="00000000" w:rsidDel="00000000" w:rsidP="00000000" w:rsidRDefault="00000000" w:rsidRPr="00000000" w14:paraId="00000038">
      <w:pPr>
        <w:pStyle w:val="Heading1"/>
        <w:spacing w:line="360" w:lineRule="auto"/>
        <w:jc w:val="both"/>
        <w:rPr>
          <w:rFonts w:ascii="Arial" w:cs="Arial" w:eastAsia="Arial" w:hAnsi="Arial"/>
          <w:sz w:val="28"/>
          <w:szCs w:val="28"/>
        </w:rPr>
      </w:pPr>
      <w:bookmarkStart w:colFirst="0" w:colLast="0" w:name="_heading=h.6xo4euh1gedm" w:id="5"/>
      <w:bookmarkEnd w:id="5"/>
      <w:r w:rsidDel="00000000" w:rsidR="00000000" w:rsidRPr="00000000">
        <w:rPr>
          <w:rFonts w:ascii="Arial" w:cs="Arial" w:eastAsia="Arial" w:hAnsi="Arial"/>
          <w:sz w:val="28"/>
          <w:szCs w:val="28"/>
          <w:rtl w:val="0"/>
        </w:rPr>
        <w:t xml:space="preserve">Significance of the study</w:t>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Fonts w:ascii="Arial" w:cs="Arial" w:eastAsia="Arial" w:hAnsi="Arial"/>
          <w:rtl w:val="0"/>
        </w:rPr>
        <w:t xml:space="preserve">This research on sustainable transportation within London holds both academic and practical significance. Academically, it contributes to the growing information on sustainable tourism and mobility, offering insights into how travellers’ knowledge and behaviours align with sustainability goals. While existing research for Centre for London, 2025 highlights the importance of sustainable transport in reducing emissions and improving accessibility, there remains a lack of primary data on how </w:t>
      </w:r>
      <w:r w:rsidDel="00000000" w:rsidR="00000000" w:rsidRPr="00000000">
        <w:rPr>
          <w:rFonts w:ascii="Arial" w:cs="Arial" w:eastAsia="Arial" w:hAnsi="Arial"/>
          <w:i w:val="1"/>
          <w:iCs w:val="1"/>
          <w:rtl w:val="0"/>
        </w:rPr>
        <w:t xml:space="preserve">individuals</w:t>
      </w:r>
      <w:r w:rsidDel="00000000" w:rsidR="00000000" w:rsidRPr="00000000">
        <w:rPr>
          <w:rFonts w:ascii="Arial" w:cs="Arial" w:eastAsia="Arial" w:hAnsi="Arial"/>
          <w:rtl w:val="0"/>
        </w:rPr>
        <w:t xml:space="preserve"> perceive and engage with these transport options. By focusing on participants’ knowledge and attitudes, this study helps bridge that gap, providing updated data relevant to urban sustainability and tourism management research and could go into the article in Sustainable tourism in urban destinations (2021).</w:t>
      </w:r>
    </w:p>
    <w:p w:rsidR="00000000" w:rsidDel="00000000" w:rsidP="00000000" w:rsidRDefault="00000000" w:rsidRPr="00000000" w14:paraId="0000003A">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This study supports the development of evidence-based recommendations for integrating sustainable transport choices into tourism planning. The UK’s commitment to “achieving net-zero carbon emissions by 2050,” as outlined in the Department for Transport’s Decarbonising Transport Plan (2021) and the EU Green Deal (2020), which promote cleaner, accessible, and inclusive mobility systems. The EU Green Deal (2020) mentions that it will “cut emissions by at least 50% by 2030, rising towards 55%, while legally binding the 2050</w:t>
      </w:r>
      <w:r w:rsidDel="00000000" w:rsidR="00000000" w:rsidRPr="00000000">
        <w:rPr>
          <w:rFonts w:ascii="Arial" w:cs="Arial" w:eastAsia="Arial" w:hAnsi="Arial"/>
          <w:i w:val="0"/>
          <w:iCs w:val="0"/>
          <w:smallCaps w:val="0"/>
          <w:color w:val="000000"/>
          <w:rtl w:val="0"/>
        </w:rPr>
        <w:t xml:space="preserve">”.</w:t>
      </w: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3B">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findings of this study could offer valuable insights for event organisers, tourism providers and destinations. For destinations such as London, the research can inform local authorities and Transport for London (2025) about travellers’ awareness and use of sustainable transport services, helping improve communication strategies and encourage eco-friendly travel habits.</w:t>
      </w:r>
    </w:p>
    <w:p w:rsidR="00000000" w:rsidDel="00000000" w:rsidP="00000000" w:rsidRDefault="00000000" w:rsidRPr="00000000" w14:paraId="0000003C">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For event organisers, understanding how visitors and tourists choose sustainable transport methods can support the design of greener event planning by reducing the carbon footprint associated with large gatherings, festivals, and conferences. Similarly, tourism providers such as travel agencies, hotels, and tour operators, can use the results to promote sustainable transport as part of their services, by aligning with corporate social responsibility goals, and enhancing their environmental reputation. </w:t>
      </w:r>
    </w:p>
    <w:p w:rsidR="00000000" w:rsidDel="00000000" w:rsidP="00000000" w:rsidRDefault="00000000" w:rsidRPr="00000000" w14:paraId="0000003D">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Overall, the study promotes the adoption of low-carbon mobility, supporting London’s transition toward a more sustainable tourism ecosystem. It also encourages collaboration between the public and private sectors to integrate transport sustainability into broader tourism policies.</w:t>
      </w:r>
    </w:p>
    <w:p w:rsidR="00000000" w:rsidDel="00000000" w:rsidP="00000000" w:rsidRDefault="00000000" w:rsidRPr="00000000" w14:paraId="0000003E">
      <w:pPr>
        <w:pStyle w:val="Heading1"/>
        <w:spacing w:line="360" w:lineRule="auto"/>
        <w:jc w:val="both"/>
        <w:rPr>
          <w:rFonts w:ascii="Arial" w:cs="Arial" w:eastAsia="Arial" w:hAnsi="Arial"/>
          <w:sz w:val="28"/>
          <w:szCs w:val="28"/>
        </w:rPr>
      </w:pPr>
      <w:bookmarkStart w:colFirst="0" w:colLast="0" w:name="_heading=h.3z4kphvlniqr" w:id="6"/>
      <w:bookmarkEnd w:id="6"/>
      <w:r w:rsidDel="00000000" w:rsidR="00000000" w:rsidRPr="00000000">
        <w:rPr>
          <w:rFonts w:ascii="Arial" w:cs="Arial" w:eastAsia="Arial" w:hAnsi="Arial"/>
          <w:sz w:val="28"/>
          <w:szCs w:val="28"/>
          <w:rtl w:val="0"/>
        </w:rPr>
        <w:t xml:space="preserve">Timeline and Budget</w:t>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Fonts w:ascii="Arial" w:cs="Arial" w:eastAsia="Arial" w:hAnsi="Arial"/>
          <w:rtl w:val="0"/>
        </w:rPr>
        <w:t xml:space="preserve">A clear budget and timeline ensure the research stays organised, realistic, and achievable within available resources. They help manage time effectively, control costs, and demonstrate that the project is well-planned and feasible, supporting successful and efficient completion of the research.</w:t>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Fonts w:ascii="Arial" w:cs="Arial" w:eastAsia="Arial" w:hAnsi="Arial"/>
          <w:rtl w:val="0"/>
        </w:rPr>
        <w:t xml:space="preserve">The research stage will run from 17 September to 17 November 2025, focusing on reviewing existing literature, refining research objectives, and developing a clear methodological framework.</w:t>
      </w:r>
    </w:p>
    <w:p w:rsidR="00000000" w:rsidDel="00000000" w:rsidP="00000000" w:rsidRDefault="00000000" w:rsidRPr="00000000" w14:paraId="0000004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Timeline of Activities:</w:t>
      </w:r>
    </w:p>
    <w:p w:rsidR="00000000" w:rsidDel="00000000" w:rsidP="00000000" w:rsidRDefault="00000000" w:rsidRPr="00000000" w14:paraId="000000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i w:val="0"/>
          <w:iCs w:val="0"/>
          <w:smallCaps w:val="0"/>
          <w:strike w:val="0"/>
          <w:color w:val="000000"/>
          <w:shd w:fill="auto" w:val="clear"/>
          <w:vertAlign w:val="baseline"/>
        </w:rPr>
      </w:pP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Weeks 1–2 (Sept 17–30): Conduct an in-depth literature review on sustainable transportation and identify key academic sources.</w:t>
      </w:r>
    </w:p>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iCs w:val="0"/>
          <w:smallCaps w:val="0"/>
          <w:strike w:val="0"/>
          <w:color w:val="000000"/>
          <w:shd w:fill="auto" w:val="clear"/>
          <w:vertAlign w:val="baseline"/>
        </w:rPr>
      </w:pP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Weeks 3–4 (Oct 1–14): Refine research question and define the methodological approach.</w:t>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iCs w:val="0"/>
          <w:smallCaps w:val="0"/>
          <w:strike w:val="0"/>
          <w:color w:val="000000"/>
          <w:shd w:fill="auto" w:val="clear"/>
          <w:vertAlign w:val="baseline"/>
        </w:rPr>
      </w:pP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Weeks 5–7 (Oct 15–Nov 4): Review existing data sources and assess potential gaps in sustainability research within London.</w:t>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iCs w:val="0"/>
          <w:smallCaps w:val="0"/>
          <w:strike w:val="0"/>
          <w:color w:val="000000"/>
          <w:shd w:fill="auto" w:val="clear"/>
          <w:vertAlign w:val="baseline"/>
        </w:rPr>
      </w:pP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Weeks 8–9 (Nov 5–14): Draft the research design and prepare supporting documentation for ethical review.</w:t>
      </w:r>
    </w:p>
    <w:p w:rsidR="00000000" w:rsidDel="00000000" w:rsidP="00000000" w:rsidRDefault="00000000" w:rsidRPr="00000000" w14:paraId="0000004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i w:val="0"/>
          <w:iCs w:val="0"/>
          <w:smallCaps w:val="0"/>
          <w:strike w:val="0"/>
          <w:color w:val="000000"/>
          <w:shd w:fill="auto" w:val="clear"/>
          <w:vertAlign w:val="baseline"/>
        </w:rPr>
      </w:pP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Week 10 (Nov 15–17): Finalise the research proposal and submit for feedback.</w:t>
      </w:r>
    </w:p>
    <w:p w:rsidR="00000000" w:rsidDel="00000000" w:rsidP="00000000" w:rsidRDefault="00000000" w:rsidRPr="00000000" w14:paraId="00000047">
      <w:pPr>
        <w:spacing w:after="240"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Budget Estimate:</w:t>
      </w:r>
    </w:p>
    <w:tbl>
      <w:tblPr>
        <w:tblStyle w:val="Table1"/>
        <w:tblW w:w="7111.0" w:type="dxa"/>
        <w:jc w:val="left"/>
        <w:tblLayout w:type="fixed"/>
        <w:tblLook w:val="0600"/>
      </w:tblPr>
      <w:tblGrid>
        <w:gridCol w:w="4905"/>
        <w:gridCol w:w="2206"/>
        <w:tblGridChange w:id="0">
          <w:tblGrid>
            <w:gridCol w:w="4905"/>
            <w:gridCol w:w="2206"/>
          </w:tblGrid>
        </w:tblGridChange>
      </w:tblGrid>
      <w:tr>
        <w:trPr>
          <w:cantSplit w:val="0"/>
          <w:trHeight w:val="300" w:hRule="atLeast"/>
          <w:tblHeader w:val="0"/>
        </w:trPr>
        <w:tc>
          <w:tcPr>
            <w:vAlign w:val="center"/>
          </w:tcPr>
          <w:p w:rsidR="00000000" w:rsidDel="00000000" w:rsidP="00000000" w:rsidRDefault="00000000" w:rsidRPr="00000000" w14:paraId="00000049">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Item</w:t>
            </w:r>
          </w:p>
        </w:tc>
        <w:tc>
          <w:tcPr>
            <w:vAlign w:val="center"/>
          </w:tcPr>
          <w:p w:rsidR="00000000" w:rsidDel="00000000" w:rsidP="00000000" w:rsidRDefault="00000000" w:rsidRPr="00000000" w14:paraId="0000004A">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Estimated Cost (£)</w:t>
            </w:r>
          </w:p>
        </w:tc>
      </w:tr>
      <w:tr>
        <w:trPr>
          <w:cantSplit w:val="0"/>
          <w:trHeight w:val="300" w:hRule="atLeast"/>
          <w:tblHeader w:val="0"/>
        </w:trPr>
        <w:tc>
          <w:tcPr>
            <w:vAlign w:val="center"/>
          </w:tcPr>
          <w:p w:rsidR="00000000" w:rsidDel="00000000" w:rsidP="00000000" w:rsidRDefault="00000000" w:rsidRPr="00000000" w14:paraId="0000004B">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Access to academic journals (university library)</w:t>
            </w:r>
          </w:p>
        </w:tc>
        <w:tc>
          <w:tcPr>
            <w:vAlign w:val="center"/>
          </w:tcPr>
          <w:p w:rsidR="00000000" w:rsidDel="00000000" w:rsidP="00000000" w:rsidRDefault="00000000" w:rsidRPr="00000000" w14:paraId="0000004C">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0</w:t>
            </w:r>
          </w:p>
        </w:tc>
      </w:tr>
      <w:tr>
        <w:trPr>
          <w:cantSplit w:val="0"/>
          <w:trHeight w:val="300" w:hRule="atLeast"/>
          <w:tblHeader w:val="0"/>
        </w:trPr>
        <w:tc>
          <w:tcPr>
            <w:vAlign w:val="center"/>
          </w:tcPr>
          <w:p w:rsidR="00000000" w:rsidDel="00000000" w:rsidP="00000000" w:rsidRDefault="00000000" w:rsidRPr="00000000" w14:paraId="0000004D">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Printing and materials</w:t>
            </w:r>
          </w:p>
        </w:tc>
        <w:tc>
          <w:tcPr>
            <w:vAlign w:val="center"/>
          </w:tcPr>
          <w:p w:rsidR="00000000" w:rsidDel="00000000" w:rsidP="00000000" w:rsidRDefault="00000000" w:rsidRPr="00000000" w14:paraId="0000004E">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10</w:t>
            </w:r>
          </w:p>
        </w:tc>
      </w:tr>
      <w:tr>
        <w:trPr>
          <w:cantSplit w:val="0"/>
          <w:trHeight w:val="300" w:hRule="atLeast"/>
          <w:tblHeader w:val="0"/>
        </w:trPr>
        <w:tc>
          <w:tcPr>
            <w:vAlign w:val="center"/>
          </w:tcPr>
          <w:p w:rsidR="00000000" w:rsidDel="00000000" w:rsidP="00000000" w:rsidRDefault="00000000" w:rsidRPr="00000000" w14:paraId="0000004F">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Travel (library or meetings)</w:t>
            </w:r>
          </w:p>
        </w:tc>
        <w:tc>
          <w:tcPr>
            <w:vAlign w:val="center"/>
          </w:tcPr>
          <w:p w:rsidR="00000000" w:rsidDel="00000000" w:rsidP="00000000" w:rsidRDefault="00000000" w:rsidRPr="00000000" w14:paraId="00000050">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10</w:t>
            </w:r>
          </w:p>
        </w:tc>
      </w:tr>
      <w:tr>
        <w:trPr>
          <w:cantSplit w:val="0"/>
          <w:trHeight w:val="300" w:hRule="atLeast"/>
          <w:tblHeader w:val="0"/>
        </w:trPr>
        <w:tc>
          <w:tcPr>
            <w:vAlign w:val="center"/>
          </w:tcPr>
          <w:p w:rsidR="00000000" w:rsidDel="00000000" w:rsidP="00000000" w:rsidRDefault="00000000" w:rsidRPr="00000000" w14:paraId="00000051">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Miscellaneous (stationery, supplies)</w:t>
            </w:r>
          </w:p>
        </w:tc>
        <w:tc>
          <w:tcPr>
            <w:vAlign w:val="center"/>
          </w:tcPr>
          <w:p w:rsidR="00000000" w:rsidDel="00000000" w:rsidP="00000000" w:rsidRDefault="00000000" w:rsidRPr="00000000" w14:paraId="00000052">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10</w:t>
            </w:r>
          </w:p>
        </w:tc>
      </w:tr>
      <w:tr>
        <w:trPr>
          <w:cantSplit w:val="0"/>
          <w:trHeight w:val="300" w:hRule="atLeast"/>
          <w:tblHeader w:val="0"/>
        </w:trPr>
        <w:tc>
          <w:tcPr>
            <w:vAlign w:val="center"/>
          </w:tcPr>
          <w:p w:rsidR="00000000" w:rsidDel="00000000" w:rsidP="00000000" w:rsidRDefault="00000000" w:rsidRPr="00000000" w14:paraId="00000053">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Total Estimated Cost</w:t>
            </w:r>
          </w:p>
        </w:tc>
        <w:tc>
          <w:tcPr>
            <w:vAlign w:val="center"/>
          </w:tcPr>
          <w:p w:rsidR="00000000" w:rsidDel="00000000" w:rsidP="00000000" w:rsidRDefault="00000000" w:rsidRPr="00000000" w14:paraId="00000054">
            <w:pPr>
              <w:spacing w:after="0" w:before="0" w:line="360" w:lineRule="auto"/>
              <w:jc w:val="both"/>
              <w:rPr>
                <w:rFonts w:ascii="Arial" w:cs="Arial" w:eastAsia="Arial" w:hAnsi="Arial"/>
              </w:rPr>
            </w:pPr>
            <w:r w:rsidDel="00000000" w:rsidR="00000000" w:rsidRPr="00000000">
              <w:rPr>
                <w:rFonts w:ascii="Arial" w:cs="Arial" w:eastAsia="Arial" w:hAnsi="Arial"/>
                <w:rtl w:val="0"/>
              </w:rPr>
              <w:t xml:space="preserve">£30</w:t>
            </w:r>
          </w:p>
          <w:p w:rsidR="00000000" w:rsidDel="00000000" w:rsidP="00000000" w:rsidRDefault="00000000" w:rsidRPr="00000000" w14:paraId="00000055">
            <w:pPr>
              <w:spacing w:after="0" w:before="0" w:line="360" w:lineRule="auto"/>
              <w:jc w:val="both"/>
              <w:rPr>
                <w:rFonts w:ascii="Arial" w:cs="Arial" w:eastAsia="Arial" w:hAnsi="Arial"/>
              </w:rPr>
            </w:pPr>
            <w:r w:rsidDel="00000000" w:rsidR="00000000" w:rsidRPr="00000000">
              <w:rPr>
                <w:rtl w:val="0"/>
              </w:rPr>
            </w:r>
          </w:p>
        </w:tc>
      </w:tr>
    </w:tbl>
    <w:p w:rsidR="00000000" w:rsidDel="00000000" w:rsidP="00000000" w:rsidRDefault="00000000" w:rsidRPr="00000000" w14:paraId="00000056">
      <w:pPr>
        <w:spacing w:line="360" w:lineRule="auto"/>
        <w:jc w:val="both"/>
        <w:rPr>
          <w:rFonts w:ascii="Arial" w:cs="Arial" w:eastAsia="Arial" w:hAnsi="Arial"/>
          <w:sz w:val="28"/>
          <w:szCs w:val="28"/>
        </w:rPr>
      </w:pPr>
      <w:r w:rsidDel="00000000" w:rsidR="00000000" w:rsidRPr="00000000">
        <w:rPr>
          <w:rFonts w:ascii="Arial" w:cs="Arial" w:eastAsia="Arial" w:hAnsi="Arial"/>
          <w:rtl w:val="0"/>
        </w:rPr>
        <w:t xml:space="preserve">The project will be low cost because it relies on a student creating the research, while using university resources, online academic databases, and digital tools already available to the researcher. Low travel and equipment are required and no participant expenses are required, keeping costs minimal and manageable within a student budget.</w:t>
      </w:r>
      <w:r w:rsidDel="00000000" w:rsidR="00000000" w:rsidRPr="00000000">
        <w:rPr>
          <w:rtl w:val="0"/>
        </w:rPr>
      </w:r>
    </w:p>
    <w:p w:rsidR="00000000" w:rsidDel="00000000" w:rsidP="00000000" w:rsidRDefault="00000000" w:rsidRPr="00000000" w14:paraId="00000057">
      <w:pPr>
        <w:pStyle w:val="Heading1"/>
        <w:spacing w:line="360" w:lineRule="auto"/>
        <w:jc w:val="both"/>
        <w:rPr>
          <w:rFonts w:ascii="Arial" w:cs="Arial" w:eastAsia="Arial" w:hAnsi="Arial"/>
          <w:sz w:val="28"/>
          <w:szCs w:val="28"/>
        </w:rPr>
      </w:pPr>
      <w:bookmarkStart w:colFirst="0" w:colLast="0" w:name="_heading=h.r9gjz7yhefj0" w:id="7"/>
      <w:bookmarkEnd w:id="7"/>
      <w:r w:rsidDel="00000000" w:rsidR="00000000" w:rsidRPr="00000000">
        <w:rPr>
          <w:rFonts w:ascii="Arial" w:cs="Arial" w:eastAsia="Arial" w:hAnsi="Arial"/>
          <w:sz w:val="28"/>
          <w:szCs w:val="28"/>
          <w:rtl w:val="0"/>
        </w:rPr>
        <w:t xml:space="preserve">Conclusions and Limitations</w:t>
      </w:r>
    </w:p>
    <w:p w:rsidR="00000000" w:rsidDel="00000000" w:rsidP="00000000" w:rsidRDefault="00000000" w:rsidRPr="00000000" w14:paraId="0000005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In conclusion, this research proposal provides an initial contribution to understanding how travellers perceive and utilise sustainable transport options when travelling to London, particularly from Wales. Sustainable tourism research highlights the pivotal role of transport in shaping environmental outcomes and supporting effective destination management (Gössling &amp; Hall, 2019). While limited in scope, the project establishes a framework for future studies using larger samples, longitudinal designs, or comparative analyses. The findings are expected to inform discussions on sustainable mobility, guide transport and tourism policy, and promote environmentally responsible decision-making (Department for Transport, 2023).</w:t>
      </w:r>
    </w:p>
    <w:p w:rsidR="00000000" w:rsidDel="00000000" w:rsidP="00000000" w:rsidRDefault="00000000" w:rsidRPr="00000000" w14:paraId="0000005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 notable strength is its </w:t>
      </w:r>
      <w:r w:rsidDel="00000000" w:rsidR="00000000" w:rsidRPr="00000000">
        <w:rPr>
          <w:rFonts w:ascii="Arial" w:cs="Arial" w:eastAsia="Arial" w:hAnsi="Arial"/>
          <w:rtl w:val="0"/>
        </w:rPr>
        <w:t xml:space="preserve">mixed-methods approach,</w:t>
      </w:r>
      <w:r w:rsidDel="00000000" w:rsidR="00000000" w:rsidRPr="00000000">
        <w:rPr>
          <w:rFonts w:ascii="Arial" w:cs="Arial" w:eastAsia="Arial" w:hAnsi="Arial"/>
          <w:rtl w:val="0"/>
        </w:rPr>
        <w:t xml:space="preserve"> widely recognised for capturing both quantitative trends and qualitative insights (McComb, Boyd &amp; Boluk, 2017). Integrating numerical data with personal perspectives provides a holistic understanding of travellers’ attitudes and behaviours. This approach aligns with sustainability frameworks and is practical and cost-effective for an undergraduate research context (Creswell &amp; Creswell, 2018), supporting evidence-based recommendations for sustainable transport within London.</w:t>
      </w:r>
    </w:p>
    <w:p w:rsidR="00000000" w:rsidDel="00000000" w:rsidP="00000000" w:rsidRDefault="00000000" w:rsidRPr="00000000" w14:paraId="0000005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Despite these strengths, limitations include a small, non-probability sample restricting generalisability (Bryman, 2016) and the two-month data collection period limiting diversity and representativeness. Access to specific participant groups, including commuters or tourists, may also constrain the dataset. These limitations can be mitigated through targeted online recruitment, prioritising relevant groups, and adhering to the research timeline. Despite constraints, the project remains feasible, ethically sound, and methodologically robust, offering insights into sustainable transportation and supporting discussions on low-carbon mobility and sustainable urban tourism.</w:t>
      </w:r>
    </w:p>
    <w:p w:rsidR="00000000" w:rsidDel="00000000" w:rsidP="00000000" w:rsidRDefault="00000000" w:rsidRPr="00000000" w14:paraId="0000005B">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05C">
      <w:pPr>
        <w:spacing w:after="240" w:before="240" w:line="360" w:lineRule="auto"/>
        <w:jc w:val="both"/>
        <w:rPr>
          <w:rFonts w:ascii="Arial" w:cs="Arial" w:eastAsia="Arial" w:hAnsi="Arial"/>
          <w:b w:val="1"/>
          <w:bCs w:val="1"/>
          <w:i w:val="1"/>
          <w:iCs w:val="1"/>
          <w:sz w:val="28"/>
          <w:szCs w:val="28"/>
        </w:rPr>
      </w:pPr>
      <w:r w:rsidDel="00000000" w:rsidR="00000000" w:rsidRPr="00000000">
        <w:rPr>
          <w:rtl w:val="0"/>
        </w:rPr>
      </w:r>
    </w:p>
    <w:p w:rsidR="00000000" w:rsidDel="00000000" w:rsidP="00000000" w:rsidRDefault="00000000" w:rsidRPr="00000000" w14:paraId="0000005D">
      <w:pPr>
        <w:spacing w:after="240" w:before="240" w:line="360" w:lineRule="auto"/>
        <w:jc w:val="both"/>
        <w:rPr>
          <w:rFonts w:ascii="Arial" w:cs="Arial" w:eastAsia="Arial" w:hAnsi="Arial"/>
          <w:b w:val="1"/>
          <w:bCs w:val="1"/>
          <w:i w:val="1"/>
          <w:iCs w:val="1"/>
          <w:sz w:val="28"/>
          <w:szCs w:val="28"/>
        </w:rPr>
      </w:pPr>
      <w:r w:rsidDel="00000000" w:rsidR="00000000" w:rsidRPr="00000000">
        <w:rPr>
          <w:rtl w:val="0"/>
        </w:rPr>
      </w:r>
    </w:p>
    <w:p w:rsidR="00000000" w:rsidDel="00000000" w:rsidP="00000000" w:rsidRDefault="00000000" w:rsidRPr="00000000" w14:paraId="0000005E">
      <w:pPr>
        <w:spacing w:after="240" w:before="240" w:line="360" w:lineRule="auto"/>
        <w:jc w:val="both"/>
        <w:rPr>
          <w:rFonts w:ascii="Arial" w:cs="Arial" w:eastAsia="Arial" w:hAnsi="Arial"/>
          <w:b w:val="1"/>
          <w:bCs w:val="1"/>
          <w:i w:val="1"/>
          <w:iCs w:val="1"/>
          <w:color w:val="000000"/>
          <w:sz w:val="28"/>
          <w:szCs w:val="28"/>
        </w:rPr>
      </w:pPr>
      <w:r w:rsidDel="00000000" w:rsidR="00000000" w:rsidRPr="00000000">
        <w:rPr>
          <w:rFonts w:ascii="Arial" w:cs="Arial" w:eastAsia="Arial" w:hAnsi="Arial"/>
          <w:b w:val="1"/>
          <w:bCs w:val="1"/>
          <w:i w:val="1"/>
          <w:iCs w:val="1"/>
          <w:color w:val="000000"/>
          <w:sz w:val="28"/>
          <w:szCs w:val="28"/>
          <w:rtl w:val="0"/>
        </w:rPr>
        <w:t xml:space="preserve">Reference list</w:t>
      </w:r>
    </w:p>
    <w:p w:rsidR="00000000" w:rsidDel="00000000" w:rsidP="00000000" w:rsidRDefault="00000000" w:rsidRPr="00000000" w14:paraId="0000005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BBC Bitesize (2025) </w:t>
      </w:r>
      <w:r w:rsidDel="00000000" w:rsidR="00000000" w:rsidRPr="00000000">
        <w:rPr>
          <w:rFonts w:ascii="Arial" w:cs="Arial" w:eastAsia="Arial" w:hAnsi="Arial"/>
          <w:i w:val="1"/>
          <w:iCs w:val="1"/>
          <w:rtl w:val="0"/>
        </w:rPr>
        <w:t xml:space="preserve">What is sustainability?</w:t>
      </w:r>
      <w:r w:rsidDel="00000000" w:rsidR="00000000" w:rsidRPr="00000000">
        <w:rPr>
          <w:rFonts w:ascii="Arial" w:cs="Arial" w:eastAsia="Arial" w:hAnsi="Arial"/>
          <w:rtl w:val="0"/>
        </w:rPr>
        <w:t xml:space="preserve"> Available at:</w:t>
      </w:r>
      <w:hyperlink r:id="rId9">
        <w:r w:rsidDel="00000000" w:rsidR="00000000" w:rsidRPr="00000000">
          <w:rPr>
            <w:rFonts w:ascii="Arial" w:cs="Arial" w:eastAsia="Arial" w:hAnsi="Arial"/>
            <w:rtl w:val="0"/>
          </w:rPr>
          <w:t xml:space="preserve"> </w:t>
        </w:r>
      </w:hyperlink>
      <w:hyperlink r:id="rId10">
        <w:r w:rsidDel="00000000" w:rsidR="00000000" w:rsidRPr="00000000">
          <w:rPr>
            <w:rFonts w:ascii="Arial" w:cs="Arial" w:eastAsia="Arial" w:hAnsi="Arial"/>
            <w:color w:val="1155cc"/>
            <w:u w:val="single"/>
            <w:rtl w:val="0"/>
          </w:rPr>
          <w:t xml:space="preserve">https://www.bbc.co.uk/bitesize/articles/zpr3bqt</w:t>
        </w:r>
      </w:hyperlink>
      <w:r w:rsidDel="00000000" w:rsidR="00000000" w:rsidRPr="00000000">
        <w:rPr>
          <w:rFonts w:ascii="Arial" w:cs="Arial" w:eastAsia="Arial" w:hAnsi="Arial"/>
          <w:rtl w:val="0"/>
        </w:rPr>
        <w:t xml:space="preserve"> (Accessed 9th October 2025).</w:t>
      </w:r>
    </w:p>
    <w:p w:rsidR="00000000" w:rsidDel="00000000" w:rsidP="00000000" w:rsidRDefault="00000000" w:rsidRPr="00000000" w14:paraId="00000060">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Becken, S. and Patterson, M. (2006) ‘Measuring national carbon dioxide emissions from tourism as a key step towards achieving sustainable tourism’, </w:t>
      </w:r>
      <w:r w:rsidDel="00000000" w:rsidR="00000000" w:rsidRPr="00000000">
        <w:rPr>
          <w:rFonts w:ascii="Arial" w:cs="Arial" w:eastAsia="Arial" w:hAnsi="Arial"/>
          <w:i w:val="1"/>
          <w:iCs w:val="1"/>
          <w:rtl w:val="0"/>
        </w:rPr>
        <w:t xml:space="preserve">Journal of Sustainable Tourism</w:t>
      </w:r>
      <w:r w:rsidDel="00000000" w:rsidR="00000000" w:rsidRPr="00000000">
        <w:rPr>
          <w:rFonts w:ascii="Arial" w:cs="Arial" w:eastAsia="Arial" w:hAnsi="Arial"/>
          <w:rtl w:val="0"/>
        </w:rPr>
        <w:t xml:space="preserve">, 14(4), pp. 323–338. (Accessed 15th November).</w:t>
      </w:r>
    </w:p>
    <w:p w:rsidR="00000000" w:rsidDel="00000000" w:rsidP="00000000" w:rsidRDefault="00000000" w:rsidRPr="00000000" w14:paraId="0000006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BERA (2018) </w:t>
      </w:r>
      <w:r w:rsidDel="00000000" w:rsidR="00000000" w:rsidRPr="00000000">
        <w:rPr>
          <w:rFonts w:ascii="Arial" w:cs="Arial" w:eastAsia="Arial" w:hAnsi="Arial"/>
          <w:i w:val="1"/>
          <w:iCs w:val="1"/>
          <w:rtl w:val="0"/>
        </w:rPr>
        <w:t xml:space="preserve">Ethical Guidelines for Educational Research</w:t>
      </w:r>
      <w:r w:rsidDel="00000000" w:rsidR="00000000" w:rsidRPr="00000000">
        <w:rPr>
          <w:rFonts w:ascii="Arial" w:cs="Arial" w:eastAsia="Arial" w:hAnsi="Arial"/>
          <w:rtl w:val="0"/>
        </w:rPr>
        <w:t xml:space="preserve">. 4th edn. Available at:</w:t>
      </w:r>
      <w:hyperlink r:id="rId11">
        <w:r w:rsidDel="00000000" w:rsidR="00000000" w:rsidRPr="00000000">
          <w:rPr>
            <w:rFonts w:ascii="Arial" w:cs="Arial" w:eastAsia="Arial" w:hAnsi="Arial"/>
            <w:rtl w:val="0"/>
          </w:rPr>
          <w:t xml:space="preserve"> </w:t>
        </w:r>
      </w:hyperlink>
      <w:hyperlink r:id="rId12">
        <w:r w:rsidDel="00000000" w:rsidR="00000000" w:rsidRPr="00000000">
          <w:rPr>
            <w:rFonts w:ascii="Arial" w:cs="Arial" w:eastAsia="Arial" w:hAnsi="Arial"/>
            <w:color w:val="1155cc"/>
            <w:u w:val="single"/>
            <w:rtl w:val="0"/>
          </w:rPr>
          <w:t xml:space="preserve">https://www.bera.ac.uk</w:t>
        </w:r>
      </w:hyperlink>
      <w:r w:rsidDel="00000000" w:rsidR="00000000" w:rsidRPr="00000000">
        <w:rPr>
          <w:rFonts w:ascii="Arial" w:cs="Arial" w:eastAsia="Arial" w:hAnsi="Arial"/>
          <w:rtl w:val="0"/>
        </w:rPr>
        <w:t xml:space="preserve"> (Accessed 15th November 2025).</w:t>
      </w:r>
    </w:p>
    <w:p w:rsidR="00000000" w:rsidDel="00000000" w:rsidP="00000000" w:rsidRDefault="00000000" w:rsidRPr="00000000" w14:paraId="0000006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Bhandari, P. (2022) </w:t>
      </w:r>
      <w:r w:rsidDel="00000000" w:rsidR="00000000" w:rsidRPr="00000000">
        <w:rPr>
          <w:rFonts w:ascii="Arial" w:cs="Arial" w:eastAsia="Arial" w:hAnsi="Arial"/>
          <w:i w:val="1"/>
          <w:iCs w:val="1"/>
          <w:rtl w:val="0"/>
        </w:rPr>
        <w:t xml:space="preserve">Ethical considerations in research: Types &amp; examples</w:t>
      </w:r>
      <w:r w:rsidDel="00000000" w:rsidR="00000000" w:rsidRPr="00000000">
        <w:rPr>
          <w:rFonts w:ascii="Arial" w:cs="Arial" w:eastAsia="Arial" w:hAnsi="Arial"/>
          <w:rtl w:val="0"/>
        </w:rPr>
        <w:t xml:space="preserve">. Scribbr. Available at:</w:t>
        <w:br w:type="textWrapping"/>
      </w:r>
      <w:hyperlink r:id="rId13">
        <w:r w:rsidDel="00000000" w:rsidR="00000000" w:rsidRPr="00000000">
          <w:rPr>
            <w:rFonts w:ascii="Arial" w:cs="Arial" w:eastAsia="Arial" w:hAnsi="Arial"/>
            <w:rtl w:val="0"/>
          </w:rPr>
          <w:t xml:space="preserve"> </w:t>
        </w:r>
      </w:hyperlink>
      <w:hyperlink r:id="rId14">
        <w:r w:rsidDel="00000000" w:rsidR="00000000" w:rsidRPr="00000000">
          <w:rPr>
            <w:rFonts w:ascii="Arial" w:cs="Arial" w:eastAsia="Arial" w:hAnsi="Arial"/>
            <w:color w:val="1155cc"/>
            <w:u w:val="single"/>
            <w:rtl w:val="0"/>
          </w:rPr>
          <w:t xml:space="preserve">https://www.scribbr.co.uk/research-methods/ethical-considerations/</w:t>
        </w:r>
      </w:hyperlink>
      <w:r w:rsidDel="00000000" w:rsidR="00000000" w:rsidRPr="00000000">
        <w:rPr>
          <w:rFonts w:ascii="Arial" w:cs="Arial" w:eastAsia="Arial" w:hAnsi="Arial"/>
          <w:rtl w:val="0"/>
        </w:rPr>
        <w:t xml:space="preserve"> (Accessed 10th October 2025).</w:t>
      </w:r>
    </w:p>
    <w:p w:rsidR="00000000" w:rsidDel="00000000" w:rsidP="00000000" w:rsidRDefault="00000000" w:rsidRPr="00000000" w14:paraId="0000006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Bryman, A. (2016) </w:t>
      </w:r>
      <w:r w:rsidDel="00000000" w:rsidR="00000000" w:rsidRPr="00000000">
        <w:rPr>
          <w:rFonts w:ascii="Arial" w:cs="Arial" w:eastAsia="Arial" w:hAnsi="Arial"/>
          <w:i w:val="1"/>
          <w:iCs w:val="1"/>
          <w:rtl w:val="0"/>
        </w:rPr>
        <w:t xml:space="preserve">Social Research Methods</w:t>
      </w:r>
      <w:r w:rsidDel="00000000" w:rsidR="00000000" w:rsidRPr="00000000">
        <w:rPr>
          <w:rFonts w:ascii="Arial" w:cs="Arial" w:eastAsia="Arial" w:hAnsi="Arial"/>
          <w:rtl w:val="0"/>
        </w:rPr>
        <w:t xml:space="preserve">. 5th edn. Oxford: Oxford University Press.</w:t>
      </w:r>
    </w:p>
    <w:p w:rsidR="00000000" w:rsidDel="00000000" w:rsidP="00000000" w:rsidRDefault="00000000" w:rsidRPr="00000000" w14:paraId="0000006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Buckley, R. (2012) ‘Sustainable tourism: Research and reality’, </w:t>
      </w:r>
      <w:r w:rsidDel="00000000" w:rsidR="00000000" w:rsidRPr="00000000">
        <w:rPr>
          <w:rFonts w:ascii="Arial" w:cs="Arial" w:eastAsia="Arial" w:hAnsi="Arial"/>
          <w:i w:val="1"/>
          <w:iCs w:val="1"/>
          <w:rtl w:val="0"/>
        </w:rPr>
        <w:t xml:space="preserve">Annals of Tourism Research</w:t>
      </w:r>
      <w:r w:rsidDel="00000000" w:rsidR="00000000" w:rsidRPr="00000000">
        <w:rPr>
          <w:rFonts w:ascii="Arial" w:cs="Arial" w:eastAsia="Arial" w:hAnsi="Arial"/>
          <w:rtl w:val="0"/>
        </w:rPr>
        <w:t xml:space="preserve">, 39(2), pp. 528–546. (Accessed 11th November).</w:t>
      </w:r>
    </w:p>
    <w:p w:rsidR="00000000" w:rsidDel="00000000" w:rsidP="00000000" w:rsidRDefault="00000000" w:rsidRPr="00000000" w14:paraId="0000006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Centreforlondon.org (2021) </w:t>
      </w:r>
      <w:r w:rsidDel="00000000" w:rsidR="00000000" w:rsidRPr="00000000">
        <w:rPr>
          <w:rFonts w:ascii="Arial" w:cs="Arial" w:eastAsia="Arial" w:hAnsi="Arial"/>
          <w:i w:val="1"/>
          <w:iCs w:val="1"/>
          <w:rtl w:val="0"/>
        </w:rPr>
        <w:t xml:space="preserve">Reimagining London’s transport system</w:t>
      </w:r>
      <w:r w:rsidDel="00000000" w:rsidR="00000000" w:rsidRPr="00000000">
        <w:rPr>
          <w:rFonts w:ascii="Arial" w:cs="Arial" w:eastAsia="Arial" w:hAnsi="Arial"/>
          <w:rtl w:val="0"/>
        </w:rPr>
        <w:t xml:space="preserve">. Available at:</w:t>
        <w:br w:type="textWrapping"/>
      </w:r>
      <w:hyperlink r:id="rId15">
        <w:r w:rsidDel="00000000" w:rsidR="00000000" w:rsidRPr="00000000">
          <w:rPr>
            <w:rFonts w:ascii="Arial" w:cs="Arial" w:eastAsia="Arial" w:hAnsi="Arial"/>
            <w:rtl w:val="0"/>
          </w:rPr>
          <w:t xml:space="preserve"> </w:t>
        </w:r>
      </w:hyperlink>
      <w:hyperlink r:id="rId16">
        <w:r w:rsidDel="00000000" w:rsidR="00000000" w:rsidRPr="00000000">
          <w:rPr>
            <w:rFonts w:ascii="Arial" w:cs="Arial" w:eastAsia="Arial" w:hAnsi="Arial"/>
            <w:color w:val="1155cc"/>
            <w:u w:val="single"/>
            <w:rtl w:val="0"/>
          </w:rPr>
          <w:t xml:space="preserve">https://centreforlondon.org/blog/reimagining-london-transport/</w:t>
        </w:r>
      </w:hyperlink>
      <w:r w:rsidDel="00000000" w:rsidR="00000000" w:rsidRPr="00000000">
        <w:rPr>
          <w:rFonts w:ascii="Arial" w:cs="Arial" w:eastAsia="Arial" w:hAnsi="Arial"/>
          <w:rtl w:val="0"/>
        </w:rPr>
        <w:t xml:space="preserve"> (Accessed 9th October 2025).</w:t>
      </w:r>
    </w:p>
    <w:p w:rsidR="00000000" w:rsidDel="00000000" w:rsidP="00000000" w:rsidRDefault="00000000" w:rsidRPr="00000000" w14:paraId="0000006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Centreforlondon.org (2025) </w:t>
      </w:r>
      <w:r w:rsidDel="00000000" w:rsidR="00000000" w:rsidRPr="00000000">
        <w:rPr>
          <w:rFonts w:ascii="Arial" w:cs="Arial" w:eastAsia="Arial" w:hAnsi="Arial"/>
          <w:i w:val="1"/>
          <w:iCs w:val="1"/>
          <w:rtl w:val="0"/>
        </w:rPr>
        <w:t xml:space="preserve">Centre for London – Overview</w:t>
      </w:r>
      <w:r w:rsidDel="00000000" w:rsidR="00000000" w:rsidRPr="00000000">
        <w:rPr>
          <w:rFonts w:ascii="Arial" w:cs="Arial" w:eastAsia="Arial" w:hAnsi="Arial"/>
          <w:rtl w:val="0"/>
        </w:rPr>
        <w:t xml:space="preserve">. Available at:</w:t>
        <w:br w:type="textWrapping"/>
      </w:r>
      <w:hyperlink r:id="rId17">
        <w:r w:rsidDel="00000000" w:rsidR="00000000" w:rsidRPr="00000000">
          <w:rPr>
            <w:rFonts w:ascii="Arial" w:cs="Arial" w:eastAsia="Arial" w:hAnsi="Arial"/>
            <w:rtl w:val="0"/>
          </w:rPr>
          <w:t xml:space="preserve"> </w:t>
        </w:r>
      </w:hyperlink>
      <w:hyperlink r:id="rId18">
        <w:r w:rsidDel="00000000" w:rsidR="00000000" w:rsidRPr="00000000">
          <w:rPr>
            <w:rFonts w:ascii="Arial" w:cs="Arial" w:eastAsia="Arial" w:hAnsi="Arial"/>
            <w:color w:val="1155cc"/>
            <w:u w:val="single"/>
            <w:rtl w:val="0"/>
          </w:rPr>
          <w:t xml:space="preserve">https://centreforlondon.org/blog/conference-page-type/overview/</w:t>
        </w:r>
      </w:hyperlink>
      <w:r w:rsidDel="00000000" w:rsidR="00000000" w:rsidRPr="00000000">
        <w:rPr>
          <w:rFonts w:ascii="Arial" w:cs="Arial" w:eastAsia="Arial" w:hAnsi="Arial"/>
          <w:rtl w:val="0"/>
        </w:rPr>
        <w:t xml:space="preserve"> (Accessed 7th November 2025).</w:t>
      </w:r>
    </w:p>
    <w:p w:rsidR="00000000" w:rsidDel="00000000" w:rsidP="00000000" w:rsidRDefault="00000000" w:rsidRPr="00000000" w14:paraId="00000067">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Cleave, P. (2024) </w:t>
      </w:r>
      <w:r w:rsidDel="00000000" w:rsidR="00000000" w:rsidRPr="00000000">
        <w:rPr>
          <w:rFonts w:ascii="Arial" w:cs="Arial" w:eastAsia="Arial" w:hAnsi="Arial"/>
          <w:i w:val="1"/>
          <w:iCs w:val="1"/>
          <w:rtl w:val="0"/>
        </w:rPr>
        <w:t xml:space="preserve">10 ethical considerations for your next survey</w:t>
      </w:r>
      <w:r w:rsidDel="00000000" w:rsidR="00000000" w:rsidRPr="00000000">
        <w:rPr>
          <w:rFonts w:ascii="Arial" w:cs="Arial" w:eastAsia="Arial" w:hAnsi="Arial"/>
          <w:rtl w:val="0"/>
        </w:rPr>
        <w:t xml:space="preserve">. SmartSurvey. Available at:</w:t>
        <w:br w:type="textWrapping"/>
      </w:r>
      <w:hyperlink r:id="rId19">
        <w:r w:rsidDel="00000000" w:rsidR="00000000" w:rsidRPr="00000000">
          <w:rPr>
            <w:rFonts w:ascii="Arial" w:cs="Arial" w:eastAsia="Arial" w:hAnsi="Arial"/>
            <w:rtl w:val="0"/>
          </w:rPr>
          <w:t xml:space="preserve"> </w:t>
        </w:r>
      </w:hyperlink>
      <w:hyperlink r:id="rId20">
        <w:r w:rsidDel="00000000" w:rsidR="00000000" w:rsidRPr="00000000">
          <w:rPr>
            <w:rFonts w:ascii="Arial" w:cs="Arial" w:eastAsia="Arial" w:hAnsi="Arial"/>
            <w:color w:val="1155cc"/>
            <w:u w:val="single"/>
            <w:rtl w:val="0"/>
          </w:rPr>
          <w:t xml:space="preserve">https://www.smartsurvey.co.uk/blog/10-ethical-considerations-for-your-next-survey</w:t>
        </w:r>
      </w:hyperlink>
      <w:r w:rsidDel="00000000" w:rsidR="00000000" w:rsidRPr="00000000">
        <w:rPr>
          <w:rFonts w:ascii="Arial" w:cs="Arial" w:eastAsia="Arial" w:hAnsi="Arial"/>
          <w:rtl w:val="0"/>
        </w:rPr>
        <w:t xml:space="preserve"> (Accessed: 10th October 2025).</w:t>
      </w:r>
    </w:p>
    <w:p w:rsidR="00000000" w:rsidDel="00000000" w:rsidP="00000000" w:rsidRDefault="00000000" w:rsidRPr="00000000" w14:paraId="0000006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Creswell, J.W. (2014) </w:t>
      </w:r>
      <w:r w:rsidDel="00000000" w:rsidR="00000000" w:rsidRPr="00000000">
        <w:rPr>
          <w:rFonts w:ascii="Arial" w:cs="Arial" w:eastAsia="Arial" w:hAnsi="Arial"/>
          <w:i w:val="1"/>
          <w:iCs w:val="1"/>
          <w:rtl w:val="0"/>
        </w:rPr>
        <w:t xml:space="preserve">Research Design: Qualitative, Quantitative and Mixed Methods Approaches</w:t>
      </w:r>
      <w:r w:rsidDel="00000000" w:rsidR="00000000" w:rsidRPr="00000000">
        <w:rPr>
          <w:rFonts w:ascii="Arial" w:cs="Arial" w:eastAsia="Arial" w:hAnsi="Arial"/>
          <w:rtl w:val="0"/>
        </w:rPr>
        <w:t xml:space="preserve">. 4th edn. Thousand Oaks, CA: Sage. (Accessed 11th November).</w:t>
      </w:r>
    </w:p>
    <w:p w:rsidR="00000000" w:rsidDel="00000000" w:rsidP="00000000" w:rsidRDefault="00000000" w:rsidRPr="00000000" w14:paraId="0000006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Creswell, J.W. and Creswell, J.D. (2018) </w:t>
      </w:r>
      <w:r w:rsidDel="00000000" w:rsidR="00000000" w:rsidRPr="00000000">
        <w:rPr>
          <w:rFonts w:ascii="Arial" w:cs="Arial" w:eastAsia="Arial" w:hAnsi="Arial"/>
          <w:i w:val="1"/>
          <w:iCs w:val="1"/>
          <w:rtl w:val="0"/>
        </w:rPr>
        <w:t xml:space="preserve">Research Design: Qualitative, Quantitative and Mixed Methods Approaches</w:t>
      </w:r>
      <w:r w:rsidDel="00000000" w:rsidR="00000000" w:rsidRPr="00000000">
        <w:rPr>
          <w:rFonts w:ascii="Arial" w:cs="Arial" w:eastAsia="Arial" w:hAnsi="Arial"/>
          <w:rtl w:val="0"/>
        </w:rPr>
        <w:t xml:space="preserve">. 5th edn. Thousand Oaks, CA: Sage. (Accessed 11th November).</w:t>
      </w:r>
    </w:p>
    <w:p w:rsidR="00000000" w:rsidDel="00000000" w:rsidP="00000000" w:rsidRDefault="00000000" w:rsidRPr="00000000" w14:paraId="0000006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Creswell, J.W. and Poth, C. (2018) </w:t>
      </w:r>
      <w:r w:rsidDel="00000000" w:rsidR="00000000" w:rsidRPr="00000000">
        <w:rPr>
          <w:rFonts w:ascii="Arial" w:cs="Arial" w:eastAsia="Arial" w:hAnsi="Arial"/>
          <w:i w:val="1"/>
          <w:iCs w:val="1"/>
          <w:rtl w:val="0"/>
        </w:rPr>
        <w:t xml:space="preserve">Qualitative Inquiry and Research Design: Choosing Among Five Approaches</w:t>
      </w:r>
      <w:r w:rsidDel="00000000" w:rsidR="00000000" w:rsidRPr="00000000">
        <w:rPr>
          <w:rFonts w:ascii="Arial" w:cs="Arial" w:eastAsia="Arial" w:hAnsi="Arial"/>
          <w:rtl w:val="0"/>
        </w:rPr>
        <w:t xml:space="preserve">. 4th edn. Thousand Oaks, CA: Sage. (Accessed 15th November).</w:t>
      </w:r>
    </w:p>
    <w:p w:rsidR="00000000" w:rsidDel="00000000" w:rsidP="00000000" w:rsidRDefault="00000000" w:rsidRPr="00000000" w14:paraId="0000006B">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Day, J, Morrison, A.M. and Coca-Stefaniak, J.A. (2021) ‘Sustainable tourism in urban destinations’, </w:t>
      </w:r>
      <w:r w:rsidDel="00000000" w:rsidR="00000000" w:rsidRPr="00000000">
        <w:rPr>
          <w:rFonts w:ascii="Arial" w:cs="Arial" w:eastAsia="Arial" w:hAnsi="Arial"/>
          <w:i w:val="1"/>
          <w:iCs w:val="1"/>
          <w:rtl w:val="0"/>
        </w:rPr>
        <w:t xml:space="preserve">International Journal of Tourism Cities</w:t>
      </w:r>
      <w:r w:rsidDel="00000000" w:rsidR="00000000" w:rsidRPr="00000000">
        <w:rPr>
          <w:rFonts w:ascii="Arial" w:cs="Arial" w:eastAsia="Arial" w:hAnsi="Arial"/>
          <w:rtl w:val="0"/>
        </w:rPr>
        <w:t xml:space="preserve">, 7(4), pp. 881–886.</w:t>
        <w:br w:type="textWrapping"/>
        <w:t xml:space="preserve"> Available at:</w:t>
      </w:r>
      <w:hyperlink r:id="rId21">
        <w:r w:rsidDel="00000000" w:rsidR="00000000" w:rsidRPr="00000000">
          <w:rPr>
            <w:rFonts w:ascii="Arial" w:cs="Arial" w:eastAsia="Arial" w:hAnsi="Arial"/>
            <w:rtl w:val="0"/>
          </w:rPr>
          <w:t xml:space="preserve"> </w:t>
        </w:r>
      </w:hyperlink>
      <w:hyperlink r:id="rId22">
        <w:r w:rsidDel="00000000" w:rsidR="00000000" w:rsidRPr="00000000">
          <w:rPr>
            <w:rFonts w:ascii="Arial" w:cs="Arial" w:eastAsia="Arial" w:hAnsi="Arial"/>
            <w:color w:val="1155cc"/>
            <w:u w:val="single"/>
            <w:rtl w:val="0"/>
          </w:rPr>
          <w:t xml:space="preserve">https://doi.org/10.1108/IJTC-12-2021-290</w:t>
        </w:r>
      </w:hyperlink>
      <w:r w:rsidDel="00000000" w:rsidR="00000000" w:rsidRPr="00000000">
        <w:rPr>
          <w:rFonts w:ascii="Arial" w:cs="Arial" w:eastAsia="Arial" w:hAnsi="Arial"/>
          <w:rtl w:val="0"/>
        </w:rPr>
        <w:t xml:space="preserve"> (Accessed 10th October 2025).</w:t>
      </w:r>
    </w:p>
    <w:p w:rsidR="00000000" w:rsidDel="00000000" w:rsidP="00000000" w:rsidRDefault="00000000" w:rsidRPr="00000000" w14:paraId="0000006C">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Department for Transport (2021) </w:t>
      </w:r>
      <w:r w:rsidDel="00000000" w:rsidR="00000000" w:rsidRPr="00000000">
        <w:rPr>
          <w:rFonts w:ascii="Arial" w:cs="Arial" w:eastAsia="Arial" w:hAnsi="Arial"/>
          <w:i w:val="1"/>
          <w:iCs w:val="1"/>
          <w:rtl w:val="0"/>
        </w:rPr>
        <w:t xml:space="preserve">Transport Decarbonisation Plan</w:t>
      </w:r>
      <w:r w:rsidDel="00000000" w:rsidR="00000000" w:rsidRPr="00000000">
        <w:rPr>
          <w:rFonts w:ascii="Arial" w:cs="Arial" w:eastAsia="Arial" w:hAnsi="Arial"/>
          <w:rtl w:val="0"/>
        </w:rPr>
        <w:t xml:space="preserve">. Available at:</w:t>
        <w:br w:type="textWrapping"/>
      </w:r>
      <w:hyperlink r:id="rId23">
        <w:r w:rsidDel="00000000" w:rsidR="00000000" w:rsidRPr="00000000">
          <w:rPr>
            <w:rFonts w:ascii="Arial" w:cs="Arial" w:eastAsia="Arial" w:hAnsi="Arial"/>
            <w:rtl w:val="0"/>
          </w:rPr>
          <w:t xml:space="preserve"> </w:t>
        </w:r>
      </w:hyperlink>
      <w:hyperlink r:id="rId24">
        <w:r w:rsidDel="00000000" w:rsidR="00000000" w:rsidRPr="00000000">
          <w:rPr>
            <w:rFonts w:ascii="Arial" w:cs="Arial" w:eastAsia="Arial" w:hAnsi="Arial"/>
            <w:color w:val="1155cc"/>
            <w:u w:val="single"/>
            <w:rtl w:val="0"/>
          </w:rPr>
          <w:t xml:space="preserve">https://www.gov.uk/government/publications/transport-decarbonisation-plan</w:t>
        </w:r>
      </w:hyperlink>
      <w:r w:rsidDel="00000000" w:rsidR="00000000" w:rsidRPr="00000000">
        <w:rPr>
          <w:rFonts w:ascii="Arial" w:cs="Arial" w:eastAsia="Arial" w:hAnsi="Arial"/>
          <w:rtl w:val="0"/>
        </w:rPr>
        <w:t xml:space="preserve"> (Accessed 7th November 2025).</w:t>
      </w:r>
    </w:p>
    <w:p w:rsidR="00000000" w:rsidDel="00000000" w:rsidP="00000000" w:rsidRDefault="00000000" w:rsidRPr="00000000" w14:paraId="0000006D">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Department for Transport (2023) </w:t>
      </w:r>
      <w:r w:rsidDel="00000000" w:rsidR="00000000" w:rsidRPr="00000000">
        <w:rPr>
          <w:rFonts w:ascii="Arial" w:cs="Arial" w:eastAsia="Arial" w:hAnsi="Arial"/>
          <w:i w:val="1"/>
          <w:iCs w:val="1"/>
          <w:rtl w:val="0"/>
        </w:rPr>
        <w:t xml:space="preserve">Decarbonising Transport: A Better, Greener Britain</w:t>
      </w:r>
      <w:r w:rsidDel="00000000" w:rsidR="00000000" w:rsidRPr="00000000">
        <w:rPr>
          <w:rFonts w:ascii="Arial" w:cs="Arial" w:eastAsia="Arial" w:hAnsi="Arial"/>
          <w:rtl w:val="0"/>
        </w:rPr>
        <w:t xml:space="preserve">. Available at:</w:t>
        <w:br w:type="textWrapping"/>
      </w:r>
      <w:hyperlink r:id="rId25">
        <w:r w:rsidDel="00000000" w:rsidR="00000000" w:rsidRPr="00000000">
          <w:rPr>
            <w:rFonts w:ascii="Arial" w:cs="Arial" w:eastAsia="Arial" w:hAnsi="Arial"/>
            <w:rtl w:val="0"/>
          </w:rPr>
          <w:t xml:space="preserve"> </w:t>
        </w:r>
      </w:hyperlink>
      <w:hyperlink r:id="rId26">
        <w:r w:rsidDel="00000000" w:rsidR="00000000" w:rsidRPr="00000000">
          <w:rPr>
            <w:rFonts w:ascii="Arial" w:cs="Arial" w:eastAsia="Arial" w:hAnsi="Arial"/>
            <w:color w:val="1155cc"/>
            <w:u w:val="single"/>
            <w:rtl w:val="0"/>
          </w:rPr>
          <w:t xml:space="preserve">https://www.gov.uk/government/publications</w:t>
        </w:r>
      </w:hyperlink>
      <w:r w:rsidDel="00000000" w:rsidR="00000000" w:rsidRPr="00000000">
        <w:rPr>
          <w:rFonts w:ascii="Arial" w:cs="Arial" w:eastAsia="Arial" w:hAnsi="Arial"/>
          <w:rtl w:val="0"/>
        </w:rPr>
        <w:t xml:space="preserve"> (Accessed 17th November 2025).</w:t>
      </w:r>
    </w:p>
    <w:p w:rsidR="00000000" w:rsidDel="00000000" w:rsidP="00000000" w:rsidRDefault="00000000" w:rsidRPr="00000000" w14:paraId="0000006E">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Dredge, D. and Jamal, T. (2015) ‘Progress in tourism planning and policy: A post-structural perspective on knowledge production’, </w:t>
      </w:r>
      <w:r w:rsidDel="00000000" w:rsidR="00000000" w:rsidRPr="00000000">
        <w:rPr>
          <w:rFonts w:ascii="Arial" w:cs="Arial" w:eastAsia="Arial" w:hAnsi="Arial"/>
          <w:i w:val="1"/>
          <w:iCs w:val="1"/>
          <w:rtl w:val="0"/>
        </w:rPr>
        <w:t xml:space="preserve">Tourism Management</w:t>
      </w:r>
      <w:r w:rsidDel="00000000" w:rsidR="00000000" w:rsidRPr="00000000">
        <w:rPr>
          <w:rFonts w:ascii="Arial" w:cs="Arial" w:eastAsia="Arial" w:hAnsi="Arial"/>
          <w:rtl w:val="0"/>
        </w:rPr>
        <w:t xml:space="preserve">, 51, pp. 67–77. (Accessed 15th November).</w:t>
      </w:r>
    </w:p>
    <w:p w:rsidR="00000000" w:rsidDel="00000000" w:rsidP="00000000" w:rsidRDefault="00000000" w:rsidRPr="00000000" w14:paraId="0000006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Etikan, I., Musa, S.A. and Alkassim, R.S. (2016) ‘Comparison of convenience sampling and purposive sampling’, </w:t>
      </w:r>
      <w:r w:rsidDel="00000000" w:rsidR="00000000" w:rsidRPr="00000000">
        <w:rPr>
          <w:rFonts w:ascii="Arial" w:cs="Arial" w:eastAsia="Arial" w:hAnsi="Arial"/>
          <w:i w:val="1"/>
          <w:iCs w:val="1"/>
          <w:rtl w:val="0"/>
        </w:rPr>
        <w:t xml:space="preserve">American Journal of Theoretical and Applied Statistics</w:t>
      </w:r>
      <w:r w:rsidDel="00000000" w:rsidR="00000000" w:rsidRPr="00000000">
        <w:rPr>
          <w:rFonts w:ascii="Arial" w:cs="Arial" w:eastAsia="Arial" w:hAnsi="Arial"/>
          <w:rtl w:val="0"/>
        </w:rPr>
        <w:t xml:space="preserve">, 5(1), pp. 1–4. (Accessed 15th November).</w:t>
      </w:r>
    </w:p>
    <w:p w:rsidR="00000000" w:rsidDel="00000000" w:rsidP="00000000" w:rsidRDefault="00000000" w:rsidRPr="00000000" w14:paraId="00000070">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Flick, U. (2018) </w:t>
      </w:r>
      <w:r w:rsidDel="00000000" w:rsidR="00000000" w:rsidRPr="00000000">
        <w:rPr>
          <w:rFonts w:ascii="Arial" w:cs="Arial" w:eastAsia="Arial" w:hAnsi="Arial"/>
          <w:i w:val="1"/>
          <w:iCs w:val="1"/>
          <w:rtl w:val="0"/>
        </w:rPr>
        <w:t xml:space="preserve">An Introduction to Qualitative Research</w:t>
      </w:r>
      <w:r w:rsidDel="00000000" w:rsidR="00000000" w:rsidRPr="00000000">
        <w:rPr>
          <w:rFonts w:ascii="Arial" w:cs="Arial" w:eastAsia="Arial" w:hAnsi="Arial"/>
          <w:rtl w:val="0"/>
        </w:rPr>
        <w:t xml:space="preserve">. 6th edn. London: Sage. (Accessed 13th November).</w:t>
      </w:r>
    </w:p>
    <w:p w:rsidR="00000000" w:rsidDel="00000000" w:rsidP="00000000" w:rsidRDefault="00000000" w:rsidRPr="00000000" w14:paraId="0000007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Gössling, S. and Hall, C.M. (2019) </w:t>
      </w:r>
      <w:r w:rsidDel="00000000" w:rsidR="00000000" w:rsidRPr="00000000">
        <w:rPr>
          <w:rFonts w:ascii="Arial" w:cs="Arial" w:eastAsia="Arial" w:hAnsi="Arial"/>
          <w:i w:val="1"/>
          <w:iCs w:val="1"/>
          <w:rtl w:val="0"/>
        </w:rPr>
        <w:t xml:space="preserve">Sustainable Transport and Tourism</w:t>
      </w:r>
      <w:r w:rsidDel="00000000" w:rsidR="00000000" w:rsidRPr="00000000">
        <w:rPr>
          <w:rFonts w:ascii="Arial" w:cs="Arial" w:eastAsia="Arial" w:hAnsi="Arial"/>
          <w:rtl w:val="0"/>
        </w:rPr>
        <w:t xml:space="preserve">. London: Routledge. (Accessed 12th November).</w:t>
      </w:r>
    </w:p>
    <w:p w:rsidR="00000000" w:rsidDel="00000000" w:rsidP="00000000" w:rsidRDefault="00000000" w:rsidRPr="00000000" w14:paraId="0000007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Green Transport | London.gov.uk (2025) </w:t>
      </w:r>
      <w:r w:rsidDel="00000000" w:rsidR="00000000" w:rsidRPr="00000000">
        <w:rPr>
          <w:rFonts w:ascii="Arial" w:cs="Arial" w:eastAsia="Arial" w:hAnsi="Arial"/>
          <w:i w:val="1"/>
          <w:iCs w:val="1"/>
          <w:rtl w:val="0"/>
        </w:rPr>
        <w:t xml:space="preserve">Green Transport</w:t>
      </w:r>
      <w:r w:rsidDel="00000000" w:rsidR="00000000" w:rsidRPr="00000000">
        <w:rPr>
          <w:rFonts w:ascii="Arial" w:cs="Arial" w:eastAsia="Arial" w:hAnsi="Arial"/>
          <w:rtl w:val="0"/>
        </w:rPr>
        <w:t xml:space="preserve">. Available at:</w:t>
        <w:br w:type="textWrapping"/>
      </w:r>
      <w:hyperlink r:id="rId27">
        <w:r w:rsidDel="00000000" w:rsidR="00000000" w:rsidRPr="00000000">
          <w:rPr>
            <w:rFonts w:ascii="Arial" w:cs="Arial" w:eastAsia="Arial" w:hAnsi="Arial"/>
            <w:rtl w:val="0"/>
          </w:rPr>
          <w:t xml:space="preserve"> </w:t>
        </w:r>
      </w:hyperlink>
      <w:hyperlink r:id="rId28">
        <w:r w:rsidDel="00000000" w:rsidR="00000000" w:rsidRPr="00000000">
          <w:rPr>
            <w:rFonts w:ascii="Arial" w:cs="Arial" w:eastAsia="Arial" w:hAnsi="Arial"/>
            <w:color w:val="1155cc"/>
            <w:u w:val="single"/>
            <w:rtl w:val="0"/>
          </w:rPr>
          <w:t xml:space="preserve">https://www.london.gov.uk/programmes-strategies/transport/green-transport</w:t>
        </w:r>
      </w:hyperlink>
      <w:r w:rsidDel="00000000" w:rsidR="00000000" w:rsidRPr="00000000">
        <w:rPr>
          <w:rFonts w:ascii="Arial" w:cs="Arial" w:eastAsia="Arial" w:hAnsi="Arial"/>
          <w:rtl w:val="0"/>
        </w:rPr>
        <w:t xml:space="preserve"> (Accessed 9th October 2025).</w:t>
      </w:r>
    </w:p>
    <w:p w:rsidR="00000000" w:rsidDel="00000000" w:rsidP="00000000" w:rsidRDefault="00000000" w:rsidRPr="00000000" w14:paraId="0000007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Hall, C.M. (2011) ‘Policy learning and policy failure in sustainable tourism governance’, </w:t>
      </w:r>
      <w:r w:rsidDel="00000000" w:rsidR="00000000" w:rsidRPr="00000000">
        <w:rPr>
          <w:rFonts w:ascii="Arial" w:cs="Arial" w:eastAsia="Arial" w:hAnsi="Arial"/>
          <w:i w:val="1"/>
          <w:iCs w:val="1"/>
          <w:rtl w:val="0"/>
        </w:rPr>
        <w:t xml:space="preserve">Journal of Sustainable Tourism</w:t>
      </w:r>
      <w:r w:rsidDel="00000000" w:rsidR="00000000" w:rsidRPr="00000000">
        <w:rPr>
          <w:rFonts w:ascii="Arial" w:cs="Arial" w:eastAsia="Arial" w:hAnsi="Arial"/>
          <w:rtl w:val="0"/>
        </w:rPr>
        <w:t xml:space="preserve">, 19(4–5), pp. 649–671. (Accessed 12th November).</w:t>
      </w:r>
    </w:p>
    <w:p w:rsidR="00000000" w:rsidDel="00000000" w:rsidP="00000000" w:rsidRDefault="00000000" w:rsidRPr="00000000" w14:paraId="0000007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Jennings, G. (2010) </w:t>
      </w:r>
      <w:r w:rsidDel="00000000" w:rsidR="00000000" w:rsidRPr="00000000">
        <w:rPr>
          <w:rFonts w:ascii="Arial" w:cs="Arial" w:eastAsia="Arial" w:hAnsi="Arial"/>
          <w:i w:val="1"/>
          <w:iCs w:val="1"/>
          <w:rtl w:val="0"/>
        </w:rPr>
        <w:t xml:space="preserve">Tourism Research</w:t>
      </w:r>
      <w:r w:rsidDel="00000000" w:rsidR="00000000" w:rsidRPr="00000000">
        <w:rPr>
          <w:rFonts w:ascii="Arial" w:cs="Arial" w:eastAsia="Arial" w:hAnsi="Arial"/>
          <w:rtl w:val="0"/>
        </w:rPr>
        <w:t xml:space="preserve">. 2nd edn. Milton: Wiley. (Accessed 11th November).</w:t>
      </w:r>
    </w:p>
    <w:p w:rsidR="00000000" w:rsidDel="00000000" w:rsidP="00000000" w:rsidRDefault="00000000" w:rsidRPr="00000000" w14:paraId="0000007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Lawless, J. (2023) </w:t>
      </w:r>
      <w:r w:rsidDel="00000000" w:rsidR="00000000" w:rsidRPr="00000000">
        <w:rPr>
          <w:rFonts w:ascii="Arial" w:cs="Arial" w:eastAsia="Arial" w:hAnsi="Arial"/>
          <w:i w:val="1"/>
          <w:iCs w:val="1"/>
          <w:rtl w:val="0"/>
        </w:rPr>
        <w:t xml:space="preserve">Focus group advantages and disadvantages</w:t>
      </w:r>
      <w:r w:rsidDel="00000000" w:rsidR="00000000" w:rsidRPr="00000000">
        <w:rPr>
          <w:rFonts w:ascii="Arial" w:cs="Arial" w:eastAsia="Arial" w:hAnsi="Arial"/>
          <w:rtl w:val="0"/>
        </w:rPr>
        <w:t xml:space="preserve">. Purple Griffon. Available at:</w:t>
        <w:br w:type="textWrapping"/>
      </w:r>
      <w:hyperlink r:id="rId29">
        <w:r w:rsidDel="00000000" w:rsidR="00000000" w:rsidRPr="00000000">
          <w:rPr>
            <w:rFonts w:ascii="Arial" w:cs="Arial" w:eastAsia="Arial" w:hAnsi="Arial"/>
            <w:rtl w:val="0"/>
          </w:rPr>
          <w:t xml:space="preserve"> </w:t>
        </w:r>
      </w:hyperlink>
      <w:hyperlink r:id="rId30">
        <w:r w:rsidDel="00000000" w:rsidR="00000000" w:rsidRPr="00000000">
          <w:rPr>
            <w:rFonts w:ascii="Arial" w:cs="Arial" w:eastAsia="Arial" w:hAnsi="Arial"/>
            <w:color w:val="1155cc"/>
            <w:u w:val="single"/>
            <w:rtl w:val="0"/>
          </w:rPr>
          <w:t xml:space="preserve">https://purplegriffon.com/blog/focus-groups-advantages-and-disadvantages-in-research</w:t>
        </w:r>
      </w:hyperlink>
      <w:r w:rsidDel="00000000" w:rsidR="00000000" w:rsidRPr="00000000">
        <w:rPr>
          <w:rFonts w:ascii="Arial" w:cs="Arial" w:eastAsia="Arial" w:hAnsi="Arial"/>
          <w:rtl w:val="0"/>
        </w:rPr>
        <w:t xml:space="preserve"> (Accessed 10th October 2025).</w:t>
      </w:r>
    </w:p>
    <w:p w:rsidR="00000000" w:rsidDel="00000000" w:rsidP="00000000" w:rsidRDefault="00000000" w:rsidRPr="00000000" w14:paraId="0000007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Making Tourism More Sustainable: A Guide for Policy Makers (2005) UNEP and UNWTO. Available at:</w:t>
        <w:br w:type="textWrapping"/>
      </w:r>
      <w:hyperlink r:id="rId31">
        <w:r w:rsidDel="00000000" w:rsidR="00000000" w:rsidRPr="00000000">
          <w:rPr>
            <w:rFonts w:ascii="Arial" w:cs="Arial" w:eastAsia="Arial" w:hAnsi="Arial"/>
            <w:rtl w:val="0"/>
          </w:rPr>
          <w:t xml:space="preserve"> </w:t>
        </w:r>
      </w:hyperlink>
      <w:hyperlink r:id="rId32">
        <w:r w:rsidDel="00000000" w:rsidR="00000000" w:rsidRPr="00000000">
          <w:rPr>
            <w:rFonts w:ascii="Arial" w:cs="Arial" w:eastAsia="Arial" w:hAnsi="Arial"/>
            <w:color w:val="1155cc"/>
            <w:u w:val="single"/>
            <w:rtl w:val="0"/>
          </w:rPr>
          <w:t xml:space="preserve">https://www.unwto.org</w:t>
        </w:r>
      </w:hyperlink>
      <w:r w:rsidDel="00000000" w:rsidR="00000000" w:rsidRPr="00000000">
        <w:rPr>
          <w:rFonts w:ascii="Arial" w:cs="Arial" w:eastAsia="Arial" w:hAnsi="Arial"/>
          <w:rtl w:val="0"/>
        </w:rPr>
        <w:t xml:space="preserve"> (Accessed 9th October 2025).</w:t>
      </w:r>
    </w:p>
    <w:p w:rsidR="00000000" w:rsidDel="00000000" w:rsidP="00000000" w:rsidRDefault="00000000" w:rsidRPr="00000000" w14:paraId="00000077">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McComb, E.J., Boyd, S. and Boluk, K. (2017) ‘Stakeholder collaboration: A means to the success of rural tourism destinations? A critical review’, </w:t>
      </w:r>
      <w:r w:rsidDel="00000000" w:rsidR="00000000" w:rsidRPr="00000000">
        <w:rPr>
          <w:rFonts w:ascii="Arial" w:cs="Arial" w:eastAsia="Arial" w:hAnsi="Arial"/>
          <w:i w:val="1"/>
          <w:iCs w:val="1"/>
          <w:rtl w:val="0"/>
        </w:rPr>
        <w:t xml:space="preserve">Tourism and Hospitality Research</w:t>
      </w:r>
      <w:r w:rsidDel="00000000" w:rsidR="00000000" w:rsidRPr="00000000">
        <w:rPr>
          <w:rFonts w:ascii="Arial" w:cs="Arial" w:eastAsia="Arial" w:hAnsi="Arial"/>
          <w:rtl w:val="0"/>
        </w:rPr>
        <w:t xml:space="preserve">, 17(3), pp. 286–298. (Accessed 11th November).</w:t>
      </w:r>
    </w:p>
    <w:p w:rsidR="00000000" w:rsidDel="00000000" w:rsidP="00000000" w:rsidRDefault="00000000" w:rsidRPr="00000000" w14:paraId="0000007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McLeod, S. (2023) </w:t>
      </w:r>
      <w:r w:rsidDel="00000000" w:rsidR="00000000" w:rsidRPr="00000000">
        <w:rPr>
          <w:rFonts w:ascii="Arial" w:cs="Arial" w:eastAsia="Arial" w:hAnsi="Arial"/>
          <w:i w:val="1"/>
          <w:iCs w:val="1"/>
          <w:rtl w:val="0"/>
        </w:rPr>
        <w:t xml:space="preserve">Sampling methods</w:t>
      </w:r>
      <w:r w:rsidDel="00000000" w:rsidR="00000000" w:rsidRPr="00000000">
        <w:rPr>
          <w:rFonts w:ascii="Arial" w:cs="Arial" w:eastAsia="Arial" w:hAnsi="Arial"/>
          <w:rtl w:val="0"/>
        </w:rPr>
        <w:t xml:space="preserve">. Simply Psychology. Available at:</w:t>
        <w:br w:type="textWrapping"/>
      </w:r>
      <w:hyperlink r:id="rId33">
        <w:r w:rsidDel="00000000" w:rsidR="00000000" w:rsidRPr="00000000">
          <w:rPr>
            <w:rFonts w:ascii="Arial" w:cs="Arial" w:eastAsia="Arial" w:hAnsi="Arial"/>
            <w:rtl w:val="0"/>
          </w:rPr>
          <w:t xml:space="preserve"> </w:t>
        </w:r>
      </w:hyperlink>
      <w:hyperlink r:id="rId34">
        <w:r w:rsidDel="00000000" w:rsidR="00000000" w:rsidRPr="00000000">
          <w:rPr>
            <w:rFonts w:ascii="Arial" w:cs="Arial" w:eastAsia="Arial" w:hAnsi="Arial"/>
            <w:color w:val="1155cc"/>
            <w:u w:val="single"/>
            <w:rtl w:val="0"/>
          </w:rPr>
          <w:t xml:space="preserve">https://www.simplypsychology.org/sampling.html</w:t>
        </w:r>
      </w:hyperlink>
      <w:r w:rsidDel="00000000" w:rsidR="00000000" w:rsidRPr="00000000">
        <w:rPr>
          <w:rFonts w:ascii="Arial" w:cs="Arial" w:eastAsia="Arial" w:hAnsi="Arial"/>
          <w:rtl w:val="0"/>
        </w:rPr>
        <w:t xml:space="preserve"> (Accessed 15th November 2025).</w:t>
      </w:r>
    </w:p>
    <w:p w:rsidR="00000000" w:rsidDel="00000000" w:rsidP="00000000" w:rsidRDefault="00000000" w:rsidRPr="00000000" w14:paraId="0000007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McLeod, S. (2025) </w:t>
      </w:r>
      <w:r w:rsidDel="00000000" w:rsidR="00000000" w:rsidRPr="00000000">
        <w:rPr>
          <w:rFonts w:ascii="Arial" w:cs="Arial" w:eastAsia="Arial" w:hAnsi="Arial"/>
          <w:i w:val="1"/>
          <w:iCs w:val="1"/>
          <w:rtl w:val="0"/>
        </w:rPr>
        <w:t xml:space="preserve">Qualitative vs quantitative research methods &amp; data analysis</w:t>
      </w:r>
      <w:r w:rsidDel="00000000" w:rsidR="00000000" w:rsidRPr="00000000">
        <w:rPr>
          <w:rFonts w:ascii="Arial" w:cs="Arial" w:eastAsia="Arial" w:hAnsi="Arial"/>
          <w:rtl w:val="0"/>
        </w:rPr>
        <w:t xml:space="preserve">. Simply Psychology. Available at:</w:t>
        <w:br w:type="textWrapping"/>
      </w:r>
      <w:hyperlink r:id="rId35">
        <w:r w:rsidDel="00000000" w:rsidR="00000000" w:rsidRPr="00000000">
          <w:rPr>
            <w:rFonts w:ascii="Arial" w:cs="Arial" w:eastAsia="Arial" w:hAnsi="Arial"/>
            <w:rtl w:val="0"/>
          </w:rPr>
          <w:t xml:space="preserve"> </w:t>
        </w:r>
      </w:hyperlink>
      <w:hyperlink r:id="rId36">
        <w:r w:rsidDel="00000000" w:rsidR="00000000" w:rsidRPr="00000000">
          <w:rPr>
            <w:rFonts w:ascii="Arial" w:cs="Arial" w:eastAsia="Arial" w:hAnsi="Arial"/>
            <w:color w:val="1155cc"/>
            <w:u w:val="single"/>
            <w:rtl w:val="0"/>
          </w:rPr>
          <w:t xml:space="preserve">https://www.simplypsychology.org/qualitative-quantitative.html</w:t>
        </w:r>
      </w:hyperlink>
      <w:r w:rsidDel="00000000" w:rsidR="00000000" w:rsidRPr="00000000">
        <w:rPr>
          <w:rFonts w:ascii="Arial" w:cs="Arial" w:eastAsia="Arial" w:hAnsi="Arial"/>
          <w:rtl w:val="0"/>
        </w:rPr>
        <w:t xml:space="preserve"> (Accessed 9th October 2025).</w:t>
      </w:r>
    </w:p>
    <w:p w:rsidR="00000000" w:rsidDel="00000000" w:rsidP="00000000" w:rsidRDefault="00000000" w:rsidRPr="00000000" w14:paraId="0000007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Morgan, D.L. (2014) </w:t>
      </w:r>
      <w:r w:rsidDel="00000000" w:rsidR="00000000" w:rsidRPr="00000000">
        <w:rPr>
          <w:rFonts w:ascii="Arial" w:cs="Arial" w:eastAsia="Arial" w:hAnsi="Arial"/>
          <w:i w:val="1"/>
          <w:iCs w:val="1"/>
          <w:rtl w:val="0"/>
        </w:rPr>
        <w:t xml:space="preserve">Integrating Qualitative and Quantitative Methods: A Pragmatic Approach</w:t>
      </w:r>
      <w:r w:rsidDel="00000000" w:rsidR="00000000" w:rsidRPr="00000000">
        <w:rPr>
          <w:rFonts w:ascii="Arial" w:cs="Arial" w:eastAsia="Arial" w:hAnsi="Arial"/>
          <w:rtl w:val="0"/>
        </w:rPr>
        <w:t xml:space="preserve">. Thousand Oaks, CA: Sage. (Accessed 9th October).</w:t>
      </w:r>
    </w:p>
    <w:p w:rsidR="00000000" w:rsidDel="00000000" w:rsidP="00000000" w:rsidRDefault="00000000" w:rsidRPr="00000000" w14:paraId="0000007B">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Office for Health Improvement and Disparities (2020) </w:t>
      </w:r>
      <w:r w:rsidDel="00000000" w:rsidR="00000000" w:rsidRPr="00000000">
        <w:rPr>
          <w:rFonts w:ascii="Arial" w:cs="Arial" w:eastAsia="Arial" w:hAnsi="Arial"/>
          <w:i w:val="1"/>
          <w:iCs w:val="1"/>
          <w:rtl w:val="0"/>
        </w:rPr>
        <w:t xml:space="preserve">Mixed methods study</w:t>
      </w:r>
      <w:r w:rsidDel="00000000" w:rsidR="00000000" w:rsidRPr="00000000">
        <w:rPr>
          <w:rFonts w:ascii="Arial" w:cs="Arial" w:eastAsia="Arial" w:hAnsi="Arial"/>
          <w:rtl w:val="0"/>
        </w:rPr>
        <w:t xml:space="preserve">. Available at:</w:t>
        <w:br w:type="textWrapping"/>
      </w:r>
      <w:hyperlink r:id="rId37">
        <w:r w:rsidDel="00000000" w:rsidR="00000000" w:rsidRPr="00000000">
          <w:rPr>
            <w:rFonts w:ascii="Arial" w:cs="Arial" w:eastAsia="Arial" w:hAnsi="Arial"/>
            <w:rtl w:val="0"/>
          </w:rPr>
          <w:t xml:space="preserve"> </w:t>
        </w:r>
      </w:hyperlink>
      <w:hyperlink r:id="rId38">
        <w:r w:rsidDel="00000000" w:rsidR="00000000" w:rsidRPr="00000000">
          <w:rPr>
            <w:rFonts w:ascii="Arial" w:cs="Arial" w:eastAsia="Arial" w:hAnsi="Arial"/>
            <w:color w:val="1155cc"/>
            <w:u w:val="single"/>
            <w:rtl w:val="0"/>
          </w:rPr>
          <w:t xml:space="preserve">https://www.gov.uk/guidance/mixed-methods-study</w:t>
        </w:r>
      </w:hyperlink>
      <w:r w:rsidDel="00000000" w:rsidR="00000000" w:rsidRPr="00000000">
        <w:rPr>
          <w:rFonts w:ascii="Arial" w:cs="Arial" w:eastAsia="Arial" w:hAnsi="Arial"/>
          <w:rtl w:val="0"/>
        </w:rPr>
        <w:t xml:space="preserve"> (Accessed: 9 October 2025).</w:t>
      </w:r>
    </w:p>
    <w:p w:rsidR="00000000" w:rsidDel="00000000" w:rsidP="00000000" w:rsidRDefault="00000000" w:rsidRPr="00000000" w14:paraId="0000007C">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Punch, K. (2014) </w:t>
      </w:r>
      <w:r w:rsidDel="00000000" w:rsidR="00000000" w:rsidRPr="00000000">
        <w:rPr>
          <w:rFonts w:ascii="Arial" w:cs="Arial" w:eastAsia="Arial" w:hAnsi="Arial"/>
          <w:i w:val="1"/>
          <w:iCs w:val="1"/>
          <w:rtl w:val="0"/>
        </w:rPr>
        <w:t xml:space="preserve">Introduction to Social Research: Quantitative and Qualitative Approaches</w:t>
      </w:r>
      <w:r w:rsidDel="00000000" w:rsidR="00000000" w:rsidRPr="00000000">
        <w:rPr>
          <w:rFonts w:ascii="Arial" w:cs="Arial" w:eastAsia="Arial" w:hAnsi="Arial"/>
          <w:rtl w:val="0"/>
        </w:rPr>
        <w:t xml:space="preserve">. 3rd edn. London: Sage. (Accessed 11th October).</w:t>
      </w:r>
    </w:p>
    <w:p w:rsidR="00000000" w:rsidDel="00000000" w:rsidP="00000000" w:rsidRDefault="00000000" w:rsidRPr="00000000" w14:paraId="0000007D">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Robson, C. and McCartan, K. (2016) </w:t>
      </w:r>
      <w:r w:rsidDel="00000000" w:rsidR="00000000" w:rsidRPr="00000000">
        <w:rPr>
          <w:rFonts w:ascii="Arial" w:cs="Arial" w:eastAsia="Arial" w:hAnsi="Arial"/>
          <w:i w:val="1"/>
          <w:iCs w:val="1"/>
          <w:rtl w:val="0"/>
        </w:rPr>
        <w:t xml:space="preserve">Real World Research</w:t>
      </w:r>
      <w:r w:rsidDel="00000000" w:rsidR="00000000" w:rsidRPr="00000000">
        <w:rPr>
          <w:rFonts w:ascii="Arial" w:cs="Arial" w:eastAsia="Arial" w:hAnsi="Arial"/>
          <w:rtl w:val="0"/>
        </w:rPr>
        <w:t xml:space="preserve">. 4th edn. Chichester: Wiley. (Accessed 15th November)</w:t>
      </w:r>
    </w:p>
    <w:p w:rsidR="00000000" w:rsidDel="00000000" w:rsidP="00000000" w:rsidRDefault="00000000" w:rsidRPr="00000000" w14:paraId="0000007E">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Silverman, D. (2017) </w:t>
      </w:r>
      <w:r w:rsidDel="00000000" w:rsidR="00000000" w:rsidRPr="00000000">
        <w:rPr>
          <w:rFonts w:ascii="Arial" w:cs="Arial" w:eastAsia="Arial" w:hAnsi="Arial"/>
          <w:i w:val="1"/>
          <w:iCs w:val="1"/>
          <w:rtl w:val="0"/>
        </w:rPr>
        <w:t xml:space="preserve">Doing Qualitative Research</w:t>
      </w:r>
      <w:r w:rsidDel="00000000" w:rsidR="00000000" w:rsidRPr="00000000">
        <w:rPr>
          <w:rFonts w:ascii="Arial" w:cs="Arial" w:eastAsia="Arial" w:hAnsi="Arial"/>
          <w:rtl w:val="0"/>
        </w:rPr>
        <w:t xml:space="preserve">. 5th edn. London: Sage. (Accessed 11th November).</w:t>
      </w:r>
    </w:p>
    <w:p w:rsidR="00000000" w:rsidDel="00000000" w:rsidP="00000000" w:rsidRDefault="00000000" w:rsidRPr="00000000" w14:paraId="0000007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Transport for London (2019) </w:t>
      </w:r>
      <w:r w:rsidDel="00000000" w:rsidR="00000000" w:rsidRPr="00000000">
        <w:rPr>
          <w:rFonts w:ascii="Arial" w:cs="Arial" w:eastAsia="Arial" w:hAnsi="Arial"/>
          <w:i w:val="1"/>
          <w:iCs w:val="1"/>
          <w:rtl w:val="0"/>
        </w:rPr>
        <w:t xml:space="preserve">Keeping London moving</w:t>
      </w:r>
      <w:r w:rsidDel="00000000" w:rsidR="00000000" w:rsidRPr="00000000">
        <w:rPr>
          <w:rFonts w:ascii="Arial" w:cs="Arial" w:eastAsia="Arial" w:hAnsi="Arial"/>
          <w:rtl w:val="0"/>
        </w:rPr>
        <w:t xml:space="preserve">. Available at:</w:t>
      </w:r>
      <w:hyperlink r:id="rId39">
        <w:r w:rsidDel="00000000" w:rsidR="00000000" w:rsidRPr="00000000">
          <w:rPr>
            <w:rFonts w:ascii="Arial" w:cs="Arial" w:eastAsia="Arial" w:hAnsi="Arial"/>
            <w:rtl w:val="0"/>
          </w:rPr>
          <w:t xml:space="preserve"> </w:t>
        </w:r>
      </w:hyperlink>
      <w:hyperlink r:id="rId40">
        <w:r w:rsidDel="00000000" w:rsidR="00000000" w:rsidRPr="00000000">
          <w:rPr>
            <w:rFonts w:ascii="Arial" w:cs="Arial" w:eastAsia="Arial" w:hAnsi="Arial"/>
            <w:color w:val="1155cc"/>
            <w:u w:val="single"/>
            <w:rtl w:val="0"/>
          </w:rPr>
          <w:t xml:space="preserve">https://tfl.gov.uk/</w:t>
        </w:r>
      </w:hyperlink>
      <w:r w:rsidDel="00000000" w:rsidR="00000000" w:rsidRPr="00000000">
        <w:rPr>
          <w:rFonts w:ascii="Arial" w:cs="Arial" w:eastAsia="Arial" w:hAnsi="Arial"/>
          <w:rtl w:val="0"/>
        </w:rPr>
        <w:t xml:space="preserve"> (Accessed 7th November 2025).</w:t>
      </w:r>
    </w:p>
    <w:p w:rsidR="00000000" w:rsidDel="00000000" w:rsidP="00000000" w:rsidRDefault="00000000" w:rsidRPr="00000000" w14:paraId="00000080">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Transport for London (2023) </w:t>
      </w:r>
      <w:r w:rsidDel="00000000" w:rsidR="00000000" w:rsidRPr="00000000">
        <w:rPr>
          <w:rFonts w:ascii="Arial" w:cs="Arial" w:eastAsia="Arial" w:hAnsi="Arial"/>
          <w:i w:val="1"/>
          <w:iCs w:val="1"/>
          <w:rtl w:val="0"/>
        </w:rPr>
        <w:t xml:space="preserve">Congestion Charge marks 20 years of keeping London moving sustainably</w:t>
      </w:r>
      <w:r w:rsidDel="00000000" w:rsidR="00000000" w:rsidRPr="00000000">
        <w:rPr>
          <w:rFonts w:ascii="Arial" w:cs="Arial" w:eastAsia="Arial" w:hAnsi="Arial"/>
          <w:rtl w:val="0"/>
        </w:rPr>
        <w:t xml:space="preserve">. Available at:</w:t>
        <w:br w:type="textWrapping"/>
      </w:r>
      <w:hyperlink r:id="rId41">
        <w:r w:rsidDel="00000000" w:rsidR="00000000" w:rsidRPr="00000000">
          <w:rPr>
            <w:rFonts w:ascii="Arial" w:cs="Arial" w:eastAsia="Arial" w:hAnsi="Arial"/>
            <w:rtl w:val="0"/>
          </w:rPr>
          <w:t xml:space="preserve"> </w:t>
        </w:r>
      </w:hyperlink>
      <w:hyperlink r:id="rId42">
        <w:r w:rsidDel="00000000" w:rsidR="00000000" w:rsidRPr="00000000">
          <w:rPr>
            <w:rFonts w:ascii="Arial" w:cs="Arial" w:eastAsia="Arial" w:hAnsi="Arial"/>
            <w:color w:val="1155cc"/>
            <w:u w:val="single"/>
            <w:rtl w:val="0"/>
          </w:rPr>
          <w:t xml:space="preserve">https://tfl.gov.uk/info-for/media/press-releases/2023/february/congestion-charge-marks-20-years-of-keeping-london-moving-sustainably</w:t>
        </w:r>
      </w:hyperlink>
      <w:r w:rsidDel="00000000" w:rsidR="00000000" w:rsidRPr="00000000">
        <w:rPr>
          <w:rFonts w:ascii="Arial" w:cs="Arial" w:eastAsia="Arial" w:hAnsi="Arial"/>
          <w:rtl w:val="0"/>
        </w:rPr>
        <w:t xml:space="preserve"> (Accessed 9th October 2025).</w:t>
      </w:r>
    </w:p>
    <w:p w:rsidR="00000000" w:rsidDel="00000000" w:rsidP="00000000" w:rsidRDefault="00000000" w:rsidRPr="00000000" w14:paraId="0000008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UNWTO (2022) </w:t>
      </w:r>
      <w:r w:rsidDel="00000000" w:rsidR="00000000" w:rsidRPr="00000000">
        <w:rPr>
          <w:rFonts w:ascii="Arial" w:cs="Arial" w:eastAsia="Arial" w:hAnsi="Arial"/>
          <w:i w:val="1"/>
          <w:iCs w:val="1"/>
          <w:rtl w:val="0"/>
        </w:rPr>
        <w:t xml:space="preserve">Youth and Sustainable Tourism Report</w:t>
      </w:r>
      <w:r w:rsidDel="00000000" w:rsidR="00000000" w:rsidRPr="00000000">
        <w:rPr>
          <w:rFonts w:ascii="Arial" w:cs="Arial" w:eastAsia="Arial" w:hAnsi="Arial"/>
          <w:rtl w:val="0"/>
        </w:rPr>
        <w:t xml:space="preserve">. Available at:</w:t>
      </w:r>
      <w:hyperlink r:id="rId43">
        <w:r w:rsidDel="00000000" w:rsidR="00000000" w:rsidRPr="00000000">
          <w:rPr>
            <w:rFonts w:ascii="Arial" w:cs="Arial" w:eastAsia="Arial" w:hAnsi="Arial"/>
            <w:rtl w:val="0"/>
          </w:rPr>
          <w:t xml:space="preserve"> </w:t>
        </w:r>
      </w:hyperlink>
      <w:hyperlink r:id="rId44">
        <w:r w:rsidDel="00000000" w:rsidR="00000000" w:rsidRPr="00000000">
          <w:rPr>
            <w:rFonts w:ascii="Arial" w:cs="Arial" w:eastAsia="Arial" w:hAnsi="Arial"/>
            <w:color w:val="1155cc"/>
            <w:u w:val="single"/>
            <w:rtl w:val="0"/>
          </w:rPr>
          <w:t xml:space="preserve">https://www.unwto.org</w:t>
        </w:r>
      </w:hyperlink>
      <w:r w:rsidDel="00000000" w:rsidR="00000000" w:rsidRPr="00000000">
        <w:rPr>
          <w:rFonts w:ascii="Arial" w:cs="Arial" w:eastAsia="Arial" w:hAnsi="Arial"/>
          <w:rtl w:val="0"/>
        </w:rPr>
        <w:t xml:space="preserve"> (Accessed 15th November 2025).</w:t>
      </w:r>
    </w:p>
    <w:p w:rsidR="00000000" w:rsidDel="00000000" w:rsidP="00000000" w:rsidRDefault="00000000" w:rsidRPr="00000000" w14:paraId="0000008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Veal, A.J. (2017) </w:t>
      </w:r>
      <w:r w:rsidDel="00000000" w:rsidR="00000000" w:rsidRPr="00000000">
        <w:rPr>
          <w:rFonts w:ascii="Arial" w:cs="Arial" w:eastAsia="Arial" w:hAnsi="Arial"/>
          <w:i w:val="1"/>
          <w:iCs w:val="1"/>
          <w:rtl w:val="0"/>
        </w:rPr>
        <w:t xml:space="preserve">Research Methods for Leisure and Tourism</w:t>
      </w:r>
      <w:r w:rsidDel="00000000" w:rsidR="00000000" w:rsidRPr="00000000">
        <w:rPr>
          <w:rFonts w:ascii="Arial" w:cs="Arial" w:eastAsia="Arial" w:hAnsi="Arial"/>
          <w:rtl w:val="0"/>
        </w:rPr>
        <w:t xml:space="preserve">. 5th edn. Harlow: Pearson. (Accessed 11th November).</w:t>
      </w:r>
    </w:p>
    <w:p w:rsidR="00000000" w:rsidDel="00000000" w:rsidP="00000000" w:rsidRDefault="00000000" w:rsidRPr="00000000" w14:paraId="0000008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Wearing, S., Stevenson, D. and Young, T. (2010) </w:t>
      </w:r>
      <w:r w:rsidDel="00000000" w:rsidR="00000000" w:rsidRPr="00000000">
        <w:rPr>
          <w:rFonts w:ascii="Arial" w:cs="Arial" w:eastAsia="Arial" w:hAnsi="Arial"/>
          <w:i w:val="1"/>
          <w:iCs w:val="1"/>
          <w:rtl w:val="0"/>
        </w:rPr>
        <w:t xml:space="preserve">Tourism Cultures and Cultural Tourism</w:t>
      </w:r>
      <w:r w:rsidDel="00000000" w:rsidR="00000000" w:rsidRPr="00000000">
        <w:rPr>
          <w:rFonts w:ascii="Arial" w:cs="Arial" w:eastAsia="Arial" w:hAnsi="Arial"/>
          <w:rtl w:val="0"/>
        </w:rPr>
        <w:t xml:space="preserve">. London: Routledge. (Accessed 11th November).</w:t>
      </w:r>
    </w:p>
    <w:p w:rsidR="00000000" w:rsidDel="00000000" w:rsidP="00000000" w:rsidRDefault="00000000" w:rsidRPr="00000000" w14:paraId="00000084">
      <w:pPr>
        <w:spacing w:after="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5">
      <w:pPr>
        <w:spacing w:after="24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86">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rPr>
      </w:pPr>
      <w:r w:rsidDel="00000000" w:rsidR="00000000" w:rsidRPr="00000000">
        <w:rPr>
          <w:rtl w:val="0"/>
        </w:rPr>
      </w:r>
    </w:p>
    <w:sectPr>
      <w:headerReference r:id="rId45" w:type="default"/>
      <w:footerReference r:id="rId4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Arial"/>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D">
    <w:pPr>
      <w:widowControl w:val="0"/>
      <w:pBdr>
        <w:top w:space="0" w:sz="0" w:val="nil"/>
        <w:left w:space="0" w:sz="0" w:val="nil"/>
        <w:bottom w:space="0" w:sz="0" w:val="nil"/>
        <w:right w:space="0" w:sz="0" w:val="nil"/>
        <w:between w:space="0" w:sz="0" w:val="nil"/>
      </w:pBdr>
      <w:spacing w:after="0" w:line="276" w:lineRule="auto"/>
      <w:rPr>
        <w:color w:val="000000"/>
      </w:rPr>
    </w:pPr>
    <w:r w:rsidDel="00000000" w:rsidR="00000000" w:rsidRPr="00000000">
      <w:rPr>
        <w:rtl w:val="0"/>
      </w:rPr>
    </w:r>
  </w:p>
  <w:tbl>
    <w:tblPr>
      <w:tblStyle w:val="Table3"/>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8E">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left="-115" w:firstLine="0"/>
            <w:rPr>
              <w:color w:val="000000"/>
            </w:rPr>
          </w:pPr>
          <w:r w:rsidDel="00000000" w:rsidR="00000000" w:rsidRPr="00000000">
            <w:rPr>
              <w:rtl w:val="0"/>
            </w:rPr>
          </w:r>
        </w:p>
      </w:tc>
      <w:tc>
        <w:tcPr/>
        <w:p w:rsidR="00000000" w:rsidDel="00000000" w:rsidP="00000000" w:rsidRDefault="00000000" w:rsidRPr="00000000" w14:paraId="0000008F">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090">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right="-115"/>
            <w:jc w:val="right"/>
            <w:rPr>
              <w:color w:val="000000"/>
            </w:rPr>
          </w:pPr>
          <w:r w:rsidDel="00000000" w:rsidR="00000000" w:rsidRPr="00000000">
            <w:rPr>
              <w:rtl w:val="0"/>
            </w:rPr>
          </w:r>
        </w:p>
      </w:tc>
    </w:tr>
  </w:tbl>
  <w:p w:rsidR="00000000" w:rsidDel="00000000" w:rsidP="00000000" w:rsidRDefault="00000000" w:rsidRPr="00000000" w14:paraId="00000091">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spacing w:after="0" w:line="276" w:lineRule="auto"/>
      <w:rPr>
        <w:rFonts w:ascii="Times New Roman" w:cs="Times New Roman" w:eastAsia="Times New Roman" w:hAnsi="Times New Roman"/>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89">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left="-115" w:firstLine="0"/>
            <w:rPr>
              <w:color w:val="000000"/>
            </w:rPr>
          </w:pPr>
          <w:r w:rsidDel="00000000" w:rsidR="00000000" w:rsidRPr="00000000">
            <w:rPr>
              <w:rtl w:val="0"/>
            </w:rPr>
          </w:r>
        </w:p>
      </w:tc>
      <w:tc>
        <w:tcPr/>
        <w:p w:rsidR="00000000" w:rsidDel="00000000" w:rsidP="00000000" w:rsidRDefault="00000000" w:rsidRPr="00000000" w14:paraId="0000008A">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center"/>
            <w:rPr>
              <w:color w:val="000000"/>
            </w:rPr>
          </w:pPr>
          <w:r w:rsidDel="00000000" w:rsidR="00000000" w:rsidRPr="00000000">
            <w:rPr>
              <w:rtl w:val="0"/>
            </w:rPr>
          </w:r>
        </w:p>
      </w:tc>
      <w:tc>
        <w:tcPr/>
        <w:p w:rsidR="00000000" w:rsidDel="00000000" w:rsidP="00000000" w:rsidRDefault="00000000" w:rsidRPr="00000000" w14:paraId="0000008B">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right="-115"/>
            <w:jc w:val="right"/>
            <w:rPr>
              <w:color w:val="000000"/>
            </w:rPr>
          </w:pPr>
          <w:r w:rsidDel="00000000" w:rsidR="00000000" w:rsidRPr="00000000">
            <w:rPr>
              <w:rtl w:val="0"/>
            </w:rPr>
          </w:r>
        </w:p>
      </w:tc>
    </w:tr>
  </w:tbl>
  <w:p w:rsidR="00000000" w:rsidDel="00000000" w:rsidP="00000000" w:rsidRDefault="00000000" w:rsidRPr="00000000" w14:paraId="0000008C">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80" w:lineRule="auto"/>
    </w:pPr>
    <w:rPr>
      <w:b w:val="1"/>
      <w:bCs w:val="1"/>
      <w:sz w:val="48"/>
      <w:szCs w:val="48"/>
    </w:rPr>
  </w:style>
  <w:style w:type="paragraph" w:styleId="Heading2">
    <w:name w:val="heading 2"/>
    <w:basedOn w:val="Normal"/>
    <w:next w:val="Normal"/>
    <w:pPr>
      <w:keepNext w:val="1"/>
      <w:keepLines w:val="1"/>
      <w:spacing w:after="80" w:before="360" w:lineRule="auto"/>
    </w:pPr>
    <w:rPr>
      <w:b w:val="1"/>
      <w:bCs w:val="1"/>
      <w:sz w:val="36"/>
      <w:szCs w:val="3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rPr>
  </w:style>
  <w:style w:type="paragraph" w:styleId="Heading5">
    <w:name w:val="heading 5"/>
    <w:basedOn w:val="Normal"/>
    <w:next w:val="Normal"/>
    <w:pPr>
      <w:keepNext w:val="1"/>
      <w:keepLines w:val="1"/>
      <w:spacing w:after="40" w:before="220" w:lineRule="auto"/>
    </w:pPr>
    <w:rPr>
      <w:b w:val="1"/>
      <w:bCs w:val="1"/>
      <w:sz w:val="22"/>
      <w:szCs w:val="22"/>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character" w:styleId="Hyperlink">
    <w:name w:val="Hyperlink"/>
    <w:basedOn w:val="DefaultParagraphFont"/>
    <w:uiPriority w:val="99"/>
    <w:unhideWhenUsed w:val="1"/>
    <w:rsid w:val="6287830E"/>
    <w:rPr>
      <w:color w:val="467886"/>
      <w:u w:val="single"/>
    </w:rPr>
  </w:style>
  <w:style w:type="paragraph" w:styleId="Header">
    <w:name w:val="header"/>
    <w:basedOn w:val="Normal"/>
    <w:uiPriority w:val="99"/>
    <w:unhideWhenUsed w:val="1"/>
    <w:rsid w:val="3FE37528"/>
    <w:pPr>
      <w:tabs>
        <w:tab w:val="center" w:pos="4680"/>
        <w:tab w:val="right" w:pos="9360"/>
      </w:tabs>
      <w:spacing w:after="0" w:line="240" w:lineRule="auto"/>
    </w:pPr>
  </w:style>
  <w:style w:type="paragraph" w:styleId="Footer">
    <w:name w:val="footer"/>
    <w:basedOn w:val="Normal"/>
    <w:uiPriority w:val="99"/>
    <w:unhideWhenUsed w:val="1"/>
    <w:rsid w:val="3FE3752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table" w:styleId="a" w:customStyle="1">
    <w:basedOn w:val="TableNormal"/>
    <w:pPr>
      <w:spacing w:after="0" w:line="240" w:lineRule="auto"/>
    </w:pPr>
    <w:tblPr>
      <w:tblStyleRowBandSize w:val="1"/>
      <w:tblStyleColBandSize w:val="1"/>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Pr>
  </w:style>
  <w:style w:type="paragraph" w:styleId="TOC1">
    <w:name w:val="toc 1"/>
    <w:basedOn w:val="Normal"/>
    <w:next w:val="Normal"/>
    <w:uiPriority w:val="39"/>
    <w:unhideWhenUsed w:val="1"/>
    <w:rsid w:val="73E423D0"/>
    <w:pPr>
      <w:spacing w:after="100"/>
    </w:pPr>
  </w:style>
  <w:style w:type="paragraph" w:styleId="ListParagraph">
    <w:name w:val="List Paragraph"/>
    <w:basedOn w:val="Normal"/>
    <w:uiPriority w:val="34"/>
    <w:qFormat w:val="1"/>
    <w:rsid w:val="73E423D0"/>
    <w:pPr>
      <w:spacing/>
      <w:ind w:left="720"/>
      <w:contextualSpacing w:val="1"/>
    </w:pPr>
  </w:style>
  <w:style w:type="paragraph" w:styleId="TOC2">
    <w:name w:val="toc 2"/>
    <w:basedOn w:val="Normal"/>
    <w:next w:val="Normal"/>
    <w:uiPriority w:val="39"/>
    <w:unhideWhenUsed w:val="1"/>
    <w:rsid w:val="73E423D0"/>
    <w:pPr>
      <w:spacing w:after="100"/>
      <w:ind w:left="220"/>
    </w:p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tfl.gov.uk/" TargetMode="External"/><Relationship Id="rId20" Type="http://schemas.openxmlformats.org/officeDocument/2006/relationships/hyperlink" Target="https://www.smartsurvey.co.uk/blog/10-ethical-considerations-for-your-next-survey" TargetMode="External"/><Relationship Id="rId42" Type="http://schemas.openxmlformats.org/officeDocument/2006/relationships/hyperlink" Target="https://tfl.gov.uk/info-for/media/press-releases/2023/february/congestion-charge-marks-20-years-of-keeping-london-moving-sustainably" TargetMode="External"/><Relationship Id="rId41" Type="http://schemas.openxmlformats.org/officeDocument/2006/relationships/hyperlink" Target="https://tfl.gov.uk/info-for/media/press-releases/2023/february/congestion-charge-marks-20-years-of-keeping-london-moving-sustainably" TargetMode="External"/><Relationship Id="rId22" Type="http://schemas.openxmlformats.org/officeDocument/2006/relationships/hyperlink" Target="https://doi.org/10.1108/IJTC-12-2021-290" TargetMode="External"/><Relationship Id="rId44" Type="http://schemas.openxmlformats.org/officeDocument/2006/relationships/hyperlink" Target="https://www.unwto.org" TargetMode="External"/><Relationship Id="rId21" Type="http://schemas.openxmlformats.org/officeDocument/2006/relationships/hyperlink" Target="https://doi.org/10.1108/IJTC-12-2021-290" TargetMode="External"/><Relationship Id="rId43" Type="http://schemas.openxmlformats.org/officeDocument/2006/relationships/hyperlink" Target="https://www.unwto.org" TargetMode="External"/><Relationship Id="rId24" Type="http://schemas.openxmlformats.org/officeDocument/2006/relationships/hyperlink" Target="https://www.gov.uk/government/publications/transport-decarbonisation-plan" TargetMode="External"/><Relationship Id="rId46" Type="http://schemas.openxmlformats.org/officeDocument/2006/relationships/footer" Target="footer1.xml"/><Relationship Id="rId23" Type="http://schemas.openxmlformats.org/officeDocument/2006/relationships/hyperlink" Target="https://www.gov.uk/government/publications/transport-decarbonisation-plan" TargetMode="External"/><Relationship Id="rId45"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bitesize/articles/zpr3bqt" TargetMode="External"/><Relationship Id="rId26" Type="http://schemas.openxmlformats.org/officeDocument/2006/relationships/hyperlink" Target="https://www.gov.uk/government/publications" TargetMode="External"/><Relationship Id="rId25" Type="http://schemas.openxmlformats.org/officeDocument/2006/relationships/hyperlink" Target="https://www.gov.uk/government/publications" TargetMode="External"/><Relationship Id="rId28" Type="http://schemas.openxmlformats.org/officeDocument/2006/relationships/hyperlink" Target="https://www.london.gov.uk/programmes-strategies/transport/green-transport" TargetMode="External"/><Relationship Id="rId27" Type="http://schemas.openxmlformats.org/officeDocument/2006/relationships/hyperlink" Target="https://www.london.gov.uk/programmes-strategies/transport/green-transport"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purplegriffon.com/blog/focus-groups-advantages-and-disadvantages-in-research" TargetMode="External"/><Relationship Id="rId7" Type="http://schemas.openxmlformats.org/officeDocument/2006/relationships/image" Target="media/image1.jpg"/><Relationship Id="rId8" Type="http://schemas.openxmlformats.org/officeDocument/2006/relationships/hyperlink" Target="https://www.questionpro.com/blog/what-is-research/" TargetMode="External"/><Relationship Id="rId31" Type="http://schemas.openxmlformats.org/officeDocument/2006/relationships/hyperlink" Target="https://www.unwto.org" TargetMode="External"/><Relationship Id="rId30" Type="http://schemas.openxmlformats.org/officeDocument/2006/relationships/hyperlink" Target="https://purplegriffon.com/blog/focus-groups-advantages-and-disadvantages-in-research" TargetMode="External"/><Relationship Id="rId11" Type="http://schemas.openxmlformats.org/officeDocument/2006/relationships/hyperlink" Target="https://www.bera.ac.uk" TargetMode="External"/><Relationship Id="rId33" Type="http://schemas.openxmlformats.org/officeDocument/2006/relationships/hyperlink" Target="https://www.simplypsychology.org/sampling.html" TargetMode="External"/><Relationship Id="rId10" Type="http://schemas.openxmlformats.org/officeDocument/2006/relationships/hyperlink" Target="https://www.bbc.co.uk/bitesize/articles/zpr3bqt" TargetMode="External"/><Relationship Id="rId32" Type="http://schemas.openxmlformats.org/officeDocument/2006/relationships/hyperlink" Target="https://www.unwto.org" TargetMode="External"/><Relationship Id="rId13" Type="http://schemas.openxmlformats.org/officeDocument/2006/relationships/hyperlink" Target="https://www.scribbr.co.uk/research-methods/ethical-considerations/" TargetMode="External"/><Relationship Id="rId35" Type="http://schemas.openxmlformats.org/officeDocument/2006/relationships/hyperlink" Target="https://www.simplypsychology.org/qualitative-quantitative.html" TargetMode="External"/><Relationship Id="rId12" Type="http://schemas.openxmlformats.org/officeDocument/2006/relationships/hyperlink" Target="https://www.bera.ac.uk" TargetMode="External"/><Relationship Id="rId34" Type="http://schemas.openxmlformats.org/officeDocument/2006/relationships/hyperlink" Target="https://www.simplypsychology.org/sampling.html" TargetMode="External"/><Relationship Id="rId15" Type="http://schemas.openxmlformats.org/officeDocument/2006/relationships/hyperlink" Target="https://centreforlondon.org/blog/reimagining-london-transport/" TargetMode="External"/><Relationship Id="rId37" Type="http://schemas.openxmlformats.org/officeDocument/2006/relationships/hyperlink" Target="https://www.gov.uk/guidance/mixed-methods-study" TargetMode="External"/><Relationship Id="rId14" Type="http://schemas.openxmlformats.org/officeDocument/2006/relationships/hyperlink" Target="https://www.scribbr.co.uk/research-methods/ethical-considerations/" TargetMode="External"/><Relationship Id="rId36" Type="http://schemas.openxmlformats.org/officeDocument/2006/relationships/hyperlink" Target="https://www.simplypsychology.org/qualitative-quantitative.html" TargetMode="External"/><Relationship Id="rId17" Type="http://schemas.openxmlformats.org/officeDocument/2006/relationships/hyperlink" Target="https://centreforlondon.org/blog/conference-page-type/overview/" TargetMode="External"/><Relationship Id="rId39" Type="http://schemas.openxmlformats.org/officeDocument/2006/relationships/hyperlink" Target="https://tfl.gov.uk/" TargetMode="External"/><Relationship Id="rId16" Type="http://schemas.openxmlformats.org/officeDocument/2006/relationships/hyperlink" Target="https://centreforlondon.org/blog/reimagining-london-transport/" TargetMode="External"/><Relationship Id="rId38" Type="http://schemas.openxmlformats.org/officeDocument/2006/relationships/hyperlink" Target="https://www.gov.uk/guidance/mixed-methods-study" TargetMode="External"/><Relationship Id="rId19" Type="http://schemas.openxmlformats.org/officeDocument/2006/relationships/hyperlink" Target="https://www.smartsurvey.co.uk/blog/10-ethical-considerations-for-your-next-survey" TargetMode="External"/><Relationship Id="rId18" Type="http://schemas.openxmlformats.org/officeDocument/2006/relationships/hyperlink" Target="https://centreforlondon.org/blog/conference-page-type/overview/"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CNs+eRTPd0k34/pTn/O7ocTbXw==">CgMxLjAyDmguajU4OGN2dHp6NDVjMg5oLnR0MjU0N2Y1NDM5NDIOaC5ueXIxZndiMnVlZDgyDmguYzc3Z2g0YndyN2JiMg5oLjJ0Y3U0cHk3Y3dvZjIOaC42eG80ZXVoMWdlZG0yDmguM3o0a3BodmxuaXFyMg5oLnI5Z2p6N3loZWZqMDgAciExdHVzS0ZKeGtaZXJmWGFnV1AtbXU3bFczS3AzY0lwbWw=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2025-11-07T12:15:00.0000000Z</dcterms:created>
  <dc:creator>294207 (Kirsty Skidmore)</dc:creator>
</cp:coreProperties>
</file>