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2630" w:rsidRDefault="00DE7734" w:rsidP="00CB4BCB">
      <w:pPr>
        <w:jc w:val="both"/>
        <w:rPr>
          <w:rFonts w:ascii="Arial" w:hAnsi="Arial" w:cs="Arial"/>
          <w:b/>
          <w:bCs/>
          <w:color w:val="000000" w:themeColor="text1"/>
          <w:sz w:val="24"/>
          <w:szCs w:val="24"/>
        </w:rPr>
      </w:pPr>
      <w:r>
        <w:rPr>
          <w:rFonts w:ascii="Arial" w:hAnsi="Arial" w:cs="Arial"/>
          <w:b/>
          <w:bCs/>
          <w:color w:val="000000" w:themeColor="text1"/>
          <w:sz w:val="24"/>
          <w:szCs w:val="24"/>
        </w:rPr>
        <w:t>Contract</w:t>
      </w:r>
      <w:r w:rsidR="00E01C4E">
        <w:rPr>
          <w:rFonts w:ascii="Arial" w:hAnsi="Arial" w:cs="Arial"/>
          <w:b/>
          <w:bCs/>
          <w:color w:val="000000" w:themeColor="text1"/>
          <w:sz w:val="24"/>
          <w:szCs w:val="24"/>
        </w:rPr>
        <w:t xml:space="preserve"> Law</w:t>
      </w:r>
    </w:p>
    <w:p w:rsidR="00E01C4E" w:rsidRDefault="00E01C4E" w:rsidP="00CB4BCB">
      <w:pPr>
        <w:jc w:val="both"/>
        <w:rPr>
          <w:rFonts w:ascii="Arial" w:hAnsi="Arial" w:cs="Arial"/>
          <w:b/>
          <w:bCs/>
          <w:color w:val="000000" w:themeColor="text1"/>
          <w:sz w:val="24"/>
          <w:szCs w:val="24"/>
        </w:rPr>
      </w:pPr>
      <w:bookmarkStart w:id="0" w:name="_GoBack"/>
      <w:bookmarkEnd w:id="0"/>
    </w:p>
    <w:p w:rsidR="00E01C4E" w:rsidRDefault="00E01C4E" w:rsidP="00CB4BCB">
      <w:pPr>
        <w:jc w:val="both"/>
        <w:rPr>
          <w:rFonts w:ascii="Arial" w:hAnsi="Arial" w:cs="Arial"/>
          <w:b/>
          <w:bCs/>
          <w:color w:val="000000" w:themeColor="text1"/>
          <w:sz w:val="24"/>
          <w:szCs w:val="24"/>
        </w:rPr>
      </w:pPr>
      <w:r>
        <w:rPr>
          <w:rFonts w:ascii="Arial" w:hAnsi="Arial" w:cs="Arial"/>
          <w:b/>
          <w:bCs/>
          <w:color w:val="000000" w:themeColor="text1"/>
          <w:sz w:val="24"/>
          <w:szCs w:val="24"/>
        </w:rPr>
        <w:t xml:space="preserve">Assignment 2 </w:t>
      </w:r>
    </w:p>
    <w:p w:rsidR="00E01C4E" w:rsidRDefault="00E01C4E" w:rsidP="00CB4BCB">
      <w:pPr>
        <w:jc w:val="both"/>
        <w:rPr>
          <w:rFonts w:ascii="Arial" w:hAnsi="Arial" w:cs="Arial"/>
          <w:b/>
          <w:bCs/>
          <w:color w:val="000000" w:themeColor="text1"/>
          <w:sz w:val="24"/>
          <w:szCs w:val="24"/>
        </w:rPr>
      </w:pPr>
    </w:p>
    <w:p w:rsidR="00E01C4E" w:rsidRDefault="00E01C4E" w:rsidP="00CB4BCB">
      <w:pPr>
        <w:jc w:val="both"/>
        <w:rPr>
          <w:rFonts w:ascii="Arial" w:hAnsi="Arial" w:cs="Arial"/>
          <w:b/>
          <w:bCs/>
          <w:color w:val="000000" w:themeColor="text1"/>
          <w:sz w:val="24"/>
          <w:szCs w:val="24"/>
        </w:rPr>
      </w:pPr>
    </w:p>
    <w:p w:rsidR="00F02630" w:rsidRDefault="00F02630" w:rsidP="00CB4BCB">
      <w:pPr>
        <w:jc w:val="both"/>
        <w:rPr>
          <w:rFonts w:ascii="Arial" w:hAnsi="Arial" w:cs="Arial"/>
          <w:b/>
          <w:bCs/>
          <w:color w:val="000000" w:themeColor="text1"/>
          <w:sz w:val="24"/>
          <w:szCs w:val="24"/>
        </w:rPr>
      </w:pPr>
    </w:p>
    <w:p w:rsidR="00CB4BCB" w:rsidRDefault="00CB4BCB" w:rsidP="00CB4BCB">
      <w:pPr>
        <w:jc w:val="both"/>
        <w:rPr>
          <w:rFonts w:ascii="Arial" w:hAnsi="Arial" w:cs="Arial"/>
          <w:b/>
          <w:bCs/>
          <w:color w:val="000000" w:themeColor="text1"/>
          <w:sz w:val="24"/>
          <w:szCs w:val="24"/>
        </w:rPr>
      </w:pPr>
      <w:r w:rsidRPr="009B3074">
        <w:rPr>
          <w:rFonts w:ascii="Arial" w:hAnsi="Arial" w:cs="Arial"/>
          <w:b/>
          <w:bCs/>
          <w:color w:val="000000" w:themeColor="text1"/>
          <w:sz w:val="24"/>
          <w:szCs w:val="24"/>
        </w:rPr>
        <w:t>Introduction</w:t>
      </w:r>
    </w:p>
    <w:p w:rsidR="00F02630" w:rsidRPr="009B3074" w:rsidRDefault="00F02630" w:rsidP="00CB4BCB">
      <w:pPr>
        <w:jc w:val="both"/>
        <w:rPr>
          <w:rFonts w:ascii="Arial" w:hAnsi="Arial" w:cs="Arial"/>
          <w:b/>
          <w:bCs/>
          <w:color w:val="000000" w:themeColor="text1"/>
          <w:sz w:val="24"/>
          <w:szCs w:val="24"/>
        </w:rPr>
      </w:pPr>
    </w:p>
    <w:p w:rsidR="00CB4BCB" w:rsidRDefault="00CB4BCB" w:rsidP="00CB4BCB">
      <w:pPr>
        <w:jc w:val="both"/>
        <w:rPr>
          <w:rFonts w:ascii="Arial" w:hAnsi="Arial" w:cs="Arial"/>
          <w:sz w:val="24"/>
          <w:szCs w:val="24"/>
        </w:rPr>
      </w:pPr>
      <w:proofErr w:type="spellStart"/>
      <w:r w:rsidRPr="00F70E5E">
        <w:rPr>
          <w:rFonts w:ascii="Arial" w:hAnsi="Arial" w:cs="Arial"/>
          <w:sz w:val="24"/>
          <w:szCs w:val="24"/>
        </w:rPr>
        <w:t>Gilker</w:t>
      </w:r>
      <w:proofErr w:type="spellEnd"/>
      <w:r w:rsidRPr="00F70E5E">
        <w:rPr>
          <w:rFonts w:ascii="Arial" w:hAnsi="Arial" w:cs="Arial"/>
          <w:sz w:val="24"/>
          <w:szCs w:val="24"/>
        </w:rPr>
        <w:t xml:space="preserve"> (2017) argues that the Consumer Rights Act was ‘the biggest shake up in consumer rights law in generation.’ This essay will argue that this is indeed correct. The CRA 2015, as the name suggests, focusses on protecting consumers against unfair terms and exclusion clauses in relation to traders. Under S3 CRA 2015 a consumer is defined as ‘an individual acting for purposes that are wholly or mainly outside that individual's trade, business, craft or profession,’ which is noticeably wider than previous UK and EU definitions of the term. Further, a trader, under S2 CRA 2015, is defined as ‘a person acting for purposes relating to that person's trade, business, craft or profession, whether acting personally or through another person acting in the trader's name or on the trader's behalf,’ thus including both public authorities and government departments. </w:t>
      </w:r>
    </w:p>
    <w:p w:rsidR="00CB4BCB" w:rsidRDefault="00CB4BCB" w:rsidP="00CB4BCB">
      <w:pPr>
        <w:jc w:val="both"/>
        <w:rPr>
          <w:rFonts w:ascii="Arial" w:hAnsi="Arial" w:cs="Arial"/>
          <w:sz w:val="24"/>
          <w:szCs w:val="24"/>
        </w:rPr>
      </w:pPr>
    </w:p>
    <w:p w:rsidR="00CB4BCB" w:rsidRPr="009B3074" w:rsidRDefault="00CB4BCB" w:rsidP="00CB4BCB">
      <w:pPr>
        <w:jc w:val="both"/>
        <w:rPr>
          <w:rFonts w:ascii="Arial" w:hAnsi="Arial" w:cs="Arial"/>
          <w:b/>
          <w:bCs/>
          <w:sz w:val="24"/>
          <w:szCs w:val="24"/>
        </w:rPr>
      </w:pPr>
      <w:r>
        <w:rPr>
          <w:rFonts w:ascii="Arial" w:hAnsi="Arial" w:cs="Arial"/>
          <w:b/>
          <w:bCs/>
          <w:sz w:val="24"/>
          <w:szCs w:val="24"/>
        </w:rPr>
        <w:t xml:space="preserve">The </w:t>
      </w:r>
      <w:r w:rsidRPr="009B3074">
        <w:rPr>
          <w:rFonts w:ascii="Arial" w:hAnsi="Arial" w:cs="Arial"/>
          <w:b/>
          <w:bCs/>
          <w:sz w:val="24"/>
          <w:szCs w:val="24"/>
        </w:rPr>
        <w:t>Aims of the CRA 2015</w:t>
      </w:r>
    </w:p>
    <w:p w:rsidR="00CB4BCB" w:rsidRPr="00F70E5E" w:rsidRDefault="00CB4BCB" w:rsidP="00CB4BCB">
      <w:pPr>
        <w:jc w:val="both"/>
        <w:rPr>
          <w:rFonts w:ascii="Arial" w:hAnsi="Arial" w:cs="Arial"/>
          <w:sz w:val="24"/>
          <w:szCs w:val="24"/>
        </w:rPr>
      </w:pPr>
      <w:r w:rsidRPr="00F70E5E">
        <w:rPr>
          <w:rFonts w:ascii="Arial" w:hAnsi="Arial" w:cs="Arial"/>
          <w:sz w:val="24"/>
          <w:szCs w:val="24"/>
        </w:rPr>
        <w:t>The rationale and aims behind this new piece of legislation were firstly one of consolidation- all existing law concerning the rights of consumers (under contracts for goods, digital content and services) is now found in one sole piece of legislation, as opposed to the 12 previous existing pieces of consumer rights legislation (but namely consolidating elements of the Sale of Goods Act 1979, the Supply of Goods and Services Act 1982, the Unfair Contract Terms Act 1977 and subsequent relevant EU legislation). Part 2 of the CRA 2015 specifically focusses on reforming and consolidation of the law surrounding unfair terms in consumer contracts. The Commons Library Research Briefing Paper (2021) criticised the old consumer rights legislative regime as being ‘unnecessarily complex, fragmented and... unclear. The law had also failed to keep up with technological change...There were overlaps and inconsistencies between EU and pre-existing UK legislation.’ The Department for Business, Innovation and Skills (2015) also raised the criticism that consumers in the UK struggled to understand their own legal rights, therefore suggesting the language used in previous pieces of consumer legislation was outdated and complex for the ordinary layperson.</w:t>
      </w:r>
    </w:p>
    <w:p w:rsidR="00CB4BCB" w:rsidRPr="00F70E5E" w:rsidRDefault="00CB4BCB" w:rsidP="00CB4BCB">
      <w:pPr>
        <w:jc w:val="both"/>
        <w:rPr>
          <w:rFonts w:ascii="Arial" w:hAnsi="Arial" w:cs="Arial"/>
          <w:b/>
          <w:bCs/>
          <w:sz w:val="24"/>
          <w:szCs w:val="24"/>
        </w:rPr>
      </w:pPr>
    </w:p>
    <w:p w:rsidR="00CB4BCB" w:rsidRDefault="00CB4BCB" w:rsidP="00CB4BCB">
      <w:pPr>
        <w:jc w:val="both"/>
        <w:rPr>
          <w:rFonts w:ascii="Arial" w:hAnsi="Arial" w:cs="Arial"/>
          <w:b/>
          <w:bCs/>
          <w:sz w:val="24"/>
          <w:szCs w:val="24"/>
        </w:rPr>
      </w:pPr>
      <w:r w:rsidRPr="00F70E5E">
        <w:rPr>
          <w:rFonts w:ascii="Arial" w:hAnsi="Arial" w:cs="Arial"/>
          <w:b/>
          <w:bCs/>
          <w:sz w:val="24"/>
          <w:szCs w:val="24"/>
        </w:rPr>
        <w:lastRenderedPageBreak/>
        <w:t>Part 1 of the Consumer Rights Act 2015 (sale of goods, digital content and services)</w:t>
      </w:r>
    </w:p>
    <w:p w:rsidR="00CB4BCB" w:rsidRDefault="00CB4BCB" w:rsidP="00CB4BCB">
      <w:pPr>
        <w:jc w:val="both"/>
        <w:rPr>
          <w:rFonts w:ascii="Arial" w:hAnsi="Arial" w:cs="Arial"/>
          <w:b/>
          <w:bCs/>
          <w:sz w:val="24"/>
          <w:szCs w:val="24"/>
        </w:rPr>
      </w:pPr>
    </w:p>
    <w:p w:rsidR="00CB4BCB" w:rsidRPr="00F70E5E" w:rsidRDefault="00CB4BCB" w:rsidP="00CB4BCB">
      <w:pPr>
        <w:jc w:val="both"/>
        <w:rPr>
          <w:rFonts w:ascii="Arial" w:hAnsi="Arial" w:cs="Arial"/>
          <w:b/>
          <w:bCs/>
          <w:sz w:val="24"/>
          <w:szCs w:val="24"/>
        </w:rPr>
      </w:pPr>
      <w:r>
        <w:rPr>
          <w:rFonts w:ascii="Arial" w:hAnsi="Arial" w:cs="Arial"/>
          <w:b/>
          <w:bCs/>
          <w:sz w:val="24"/>
          <w:szCs w:val="24"/>
        </w:rPr>
        <w:t>The Sale of Goods</w:t>
      </w:r>
    </w:p>
    <w:p w:rsidR="00CB4BCB" w:rsidRDefault="00CB4BCB" w:rsidP="00CB4BCB">
      <w:pPr>
        <w:jc w:val="both"/>
        <w:rPr>
          <w:rFonts w:ascii="Arial" w:hAnsi="Arial" w:cs="Arial"/>
          <w:sz w:val="24"/>
          <w:szCs w:val="24"/>
        </w:rPr>
      </w:pPr>
      <w:r w:rsidRPr="00F70E5E">
        <w:rPr>
          <w:rFonts w:ascii="Arial" w:hAnsi="Arial" w:cs="Arial"/>
          <w:sz w:val="24"/>
          <w:szCs w:val="24"/>
        </w:rPr>
        <w:t xml:space="preserve">Part 1 of the CRA 2015 notably </w:t>
      </w:r>
      <w:r w:rsidR="006C5E84">
        <w:rPr>
          <w:rFonts w:ascii="Arial" w:hAnsi="Arial" w:cs="Arial"/>
          <w:sz w:val="24"/>
          <w:szCs w:val="24"/>
        </w:rPr>
        <w:t xml:space="preserve">came as a </w:t>
      </w:r>
      <w:r w:rsidRPr="00F70E5E">
        <w:rPr>
          <w:rFonts w:ascii="Arial" w:hAnsi="Arial" w:cs="Arial"/>
          <w:sz w:val="24"/>
          <w:szCs w:val="24"/>
        </w:rPr>
        <w:t>replac</w:t>
      </w:r>
      <w:r w:rsidR="006C5E84">
        <w:rPr>
          <w:rFonts w:ascii="Arial" w:hAnsi="Arial" w:cs="Arial"/>
          <w:sz w:val="24"/>
          <w:szCs w:val="24"/>
        </w:rPr>
        <w:t>ement</w:t>
      </w:r>
      <w:r w:rsidRPr="00F70E5E">
        <w:rPr>
          <w:rFonts w:ascii="Arial" w:hAnsi="Arial" w:cs="Arial"/>
          <w:sz w:val="24"/>
          <w:szCs w:val="24"/>
        </w:rPr>
        <w:t xml:space="preserve"> </w:t>
      </w:r>
      <w:r w:rsidR="006C5E84">
        <w:rPr>
          <w:rFonts w:ascii="Arial" w:hAnsi="Arial" w:cs="Arial"/>
          <w:sz w:val="24"/>
          <w:szCs w:val="24"/>
        </w:rPr>
        <w:t xml:space="preserve">for the 1979 </w:t>
      </w:r>
      <w:proofErr w:type="gramStart"/>
      <w:r w:rsidR="006C5E84">
        <w:rPr>
          <w:rFonts w:ascii="Arial" w:hAnsi="Arial" w:cs="Arial"/>
          <w:sz w:val="24"/>
          <w:szCs w:val="24"/>
        </w:rPr>
        <w:t xml:space="preserve">Act, </w:t>
      </w:r>
      <w:r w:rsidRPr="00F70E5E">
        <w:rPr>
          <w:rFonts w:ascii="Arial" w:hAnsi="Arial" w:cs="Arial"/>
          <w:sz w:val="24"/>
          <w:szCs w:val="24"/>
        </w:rPr>
        <w:t xml:space="preserve"> and</w:t>
      </w:r>
      <w:proofErr w:type="gramEnd"/>
      <w:r w:rsidRPr="00F70E5E">
        <w:rPr>
          <w:rFonts w:ascii="Arial" w:hAnsi="Arial" w:cs="Arial"/>
          <w:sz w:val="24"/>
          <w:szCs w:val="24"/>
        </w:rPr>
        <w:t xml:space="preserve"> concerns the sale of consumer goods, digital content and services. Mainly following and replicating the previous law under the Sales of Goods Act 1979, the CRA 2015 states that goods must be of satisfactory quality adhering to the reasonable person test (i.e. under S9(2) CRA 2015, ‘The quality of goods is satisfactory if they meet the standard that a reasonable person would consider satisfactory’); the goods must be fit for purpose (i.e. ‘fit for the purpose they are supplied for, as well as any specific purpose you made known to the retailer before you agreed to buy the goods’ (Consumer Rights UK, 2021)); and the goods must match their description which was initially provided by the retailer</w:t>
      </w:r>
      <w:r>
        <w:rPr>
          <w:rFonts w:ascii="Arial" w:hAnsi="Arial" w:cs="Arial"/>
          <w:sz w:val="24"/>
          <w:szCs w:val="24"/>
        </w:rPr>
        <w:t>. Furthermore, S14 CRA 2015 introduced a new requirement that consumer goods must match any model seen or examined by the consumer, unless the consumer is made aware of explicit differences by the trader. Examples of such scenarios may include purchasing a car in a car showroom. L</w:t>
      </w:r>
      <w:r w:rsidRPr="00F70E5E">
        <w:rPr>
          <w:rFonts w:ascii="Arial" w:hAnsi="Arial" w:cs="Arial"/>
          <w:sz w:val="24"/>
          <w:szCs w:val="24"/>
        </w:rPr>
        <w:t xml:space="preserve">iability has somewhat been extended under the CRA 2015 including a novel statutory implied term that the trader </w:t>
      </w:r>
      <w:r>
        <w:rPr>
          <w:rFonts w:ascii="Arial" w:hAnsi="Arial" w:cs="Arial"/>
          <w:sz w:val="24"/>
          <w:szCs w:val="24"/>
        </w:rPr>
        <w:t>possesses a legal right to supply the goods, meaning that the consumer’s contracted rights can be implemented against the retailer who sells the goods, rather than the manufacturer of the goods themselves.</w:t>
      </w:r>
    </w:p>
    <w:p w:rsidR="00CB4BCB" w:rsidRDefault="00CB4BCB" w:rsidP="00CB4BCB">
      <w:pPr>
        <w:jc w:val="both"/>
        <w:rPr>
          <w:rFonts w:ascii="Arial" w:hAnsi="Arial" w:cs="Arial"/>
          <w:sz w:val="24"/>
          <w:szCs w:val="24"/>
        </w:rPr>
      </w:pPr>
    </w:p>
    <w:p w:rsidR="00CB4BCB" w:rsidRDefault="00CB4BCB" w:rsidP="00CB4BCB">
      <w:pPr>
        <w:jc w:val="both"/>
        <w:rPr>
          <w:rFonts w:ascii="Arial" w:hAnsi="Arial" w:cs="Arial"/>
          <w:b/>
          <w:bCs/>
          <w:sz w:val="24"/>
          <w:szCs w:val="24"/>
        </w:rPr>
      </w:pPr>
      <w:r>
        <w:rPr>
          <w:rFonts w:ascii="Arial" w:hAnsi="Arial" w:cs="Arial"/>
          <w:b/>
          <w:bCs/>
          <w:sz w:val="24"/>
          <w:szCs w:val="24"/>
        </w:rPr>
        <w:t xml:space="preserve">New Statutory </w:t>
      </w:r>
      <w:r w:rsidRPr="00F70E5E">
        <w:rPr>
          <w:rFonts w:ascii="Arial" w:hAnsi="Arial" w:cs="Arial"/>
          <w:b/>
          <w:bCs/>
          <w:sz w:val="24"/>
          <w:szCs w:val="24"/>
        </w:rPr>
        <w:t>Remedies</w:t>
      </w:r>
    </w:p>
    <w:p w:rsidR="00CB4BCB" w:rsidRPr="00F70E5E" w:rsidRDefault="00CB4BCB" w:rsidP="00CB4BCB">
      <w:pPr>
        <w:jc w:val="both"/>
        <w:rPr>
          <w:rFonts w:ascii="Arial" w:hAnsi="Arial" w:cs="Arial"/>
          <w:sz w:val="24"/>
          <w:szCs w:val="24"/>
        </w:rPr>
      </w:pPr>
      <w:r>
        <w:rPr>
          <w:rFonts w:ascii="Arial" w:hAnsi="Arial" w:cs="Arial"/>
          <w:sz w:val="24"/>
          <w:szCs w:val="24"/>
        </w:rPr>
        <w:t xml:space="preserve">Following the implementation of the CRA 2015, consumers now enjoy a tiered system of remedies based on the time period that has passed since the consumer first purchased their goods. </w:t>
      </w:r>
      <w:r w:rsidR="004B79FE">
        <w:rPr>
          <w:rFonts w:ascii="Arial" w:hAnsi="Arial" w:cs="Arial"/>
          <w:sz w:val="24"/>
          <w:szCs w:val="24"/>
        </w:rPr>
        <w:t>When</w:t>
      </w:r>
      <w:r w:rsidR="006C5E84">
        <w:rPr>
          <w:rFonts w:ascii="Arial" w:hAnsi="Arial" w:cs="Arial"/>
          <w:sz w:val="24"/>
          <w:szCs w:val="24"/>
        </w:rPr>
        <w:t xml:space="preserve"> </w:t>
      </w:r>
      <w:r>
        <w:rPr>
          <w:rFonts w:ascii="Arial" w:hAnsi="Arial" w:cs="Arial"/>
          <w:sz w:val="24"/>
          <w:szCs w:val="24"/>
        </w:rPr>
        <w:t xml:space="preserve">the </w:t>
      </w:r>
      <w:r w:rsidR="006C5E84">
        <w:rPr>
          <w:rFonts w:ascii="Arial" w:hAnsi="Arial" w:cs="Arial"/>
          <w:sz w:val="24"/>
          <w:szCs w:val="24"/>
        </w:rPr>
        <w:t xml:space="preserve">item </w:t>
      </w:r>
      <w:r>
        <w:rPr>
          <w:rFonts w:ascii="Arial" w:hAnsi="Arial" w:cs="Arial"/>
          <w:sz w:val="24"/>
          <w:szCs w:val="24"/>
        </w:rPr>
        <w:t xml:space="preserve">is faulty and returned within 30 days of purchasing (unlike the previous law which outlined an </w:t>
      </w:r>
      <w:proofErr w:type="spellStart"/>
      <w:r>
        <w:rPr>
          <w:rFonts w:ascii="Arial" w:hAnsi="Arial" w:cs="Arial"/>
          <w:sz w:val="24"/>
          <w:szCs w:val="24"/>
        </w:rPr>
        <w:t>ambigous</w:t>
      </w:r>
      <w:proofErr w:type="spellEnd"/>
      <w:r>
        <w:rPr>
          <w:rFonts w:ascii="Arial" w:hAnsi="Arial" w:cs="Arial"/>
          <w:sz w:val="24"/>
          <w:szCs w:val="24"/>
        </w:rPr>
        <w:t xml:space="preserve"> ‘reasonable’ time), then the consumer has the short term right to reject such faulty goods (should they fail to meet the three aforementioned standards). If the consumer agrees to the good being repaired or replaced then the time frame is paused. However, should the goods still remain faulty, the final right to reject goods may be utilised. Prior to the CRA 2015, this final right to reject was outlined only at the common law. In order to utilise this final right, the consumer is only required to accept either one repair or replacement of their preached goods before climbing to the next tier of final remedies (i.e. price reduction, rejection or refund). Should the faulty good is returned after the </w:t>
      </w:r>
      <w:proofErr w:type="gramStart"/>
      <w:r>
        <w:rPr>
          <w:rFonts w:ascii="Arial" w:hAnsi="Arial" w:cs="Arial"/>
          <w:sz w:val="24"/>
          <w:szCs w:val="24"/>
        </w:rPr>
        <w:t>30 day</w:t>
      </w:r>
      <w:proofErr w:type="gramEnd"/>
      <w:r>
        <w:rPr>
          <w:rFonts w:ascii="Arial" w:hAnsi="Arial" w:cs="Arial"/>
          <w:sz w:val="24"/>
          <w:szCs w:val="24"/>
        </w:rPr>
        <w:t xml:space="preserve"> time period, the consumer cannot legally find entitlement to a full refund. The trader must either repair or replace the faulty good at least once. However, a consumer may be entitled to a full or partial refund should, under S7 CRA 2015, ‘</w:t>
      </w:r>
      <w:r w:rsidRPr="00F70E5E">
        <w:rPr>
          <w:rFonts w:ascii="Arial" w:hAnsi="Arial" w:cs="Arial"/>
          <w:sz w:val="24"/>
          <w:szCs w:val="24"/>
        </w:rPr>
        <w:t>the cost of the repair or replacement is disproportionate to the value of</w:t>
      </w:r>
      <w:r>
        <w:rPr>
          <w:rFonts w:ascii="Arial" w:hAnsi="Arial" w:cs="Arial"/>
          <w:sz w:val="24"/>
          <w:szCs w:val="24"/>
        </w:rPr>
        <w:t xml:space="preserve"> </w:t>
      </w:r>
      <w:r w:rsidRPr="00F70E5E">
        <w:rPr>
          <w:rFonts w:ascii="Arial" w:hAnsi="Arial" w:cs="Arial"/>
          <w:sz w:val="24"/>
          <w:szCs w:val="24"/>
        </w:rPr>
        <w:t>the goods or digital content;</w:t>
      </w:r>
      <w:r>
        <w:rPr>
          <w:rFonts w:ascii="Arial" w:hAnsi="Arial" w:cs="Arial"/>
          <w:sz w:val="24"/>
          <w:szCs w:val="24"/>
        </w:rPr>
        <w:t xml:space="preserve"> </w:t>
      </w:r>
      <w:r w:rsidRPr="00F70E5E">
        <w:rPr>
          <w:rFonts w:ascii="Arial" w:hAnsi="Arial" w:cs="Arial"/>
          <w:sz w:val="24"/>
          <w:szCs w:val="24"/>
        </w:rPr>
        <w:t>a repair or replacement is impossible;</w:t>
      </w:r>
      <w:r>
        <w:rPr>
          <w:rFonts w:ascii="Arial" w:hAnsi="Arial" w:cs="Arial"/>
          <w:sz w:val="24"/>
          <w:szCs w:val="24"/>
        </w:rPr>
        <w:t xml:space="preserve"> </w:t>
      </w:r>
      <w:r w:rsidRPr="00F70E5E">
        <w:rPr>
          <w:rFonts w:ascii="Arial" w:hAnsi="Arial" w:cs="Arial"/>
          <w:sz w:val="24"/>
          <w:szCs w:val="24"/>
        </w:rPr>
        <w:t>a repair or replacement would cause the consumer significant</w:t>
      </w:r>
      <w:r>
        <w:rPr>
          <w:rFonts w:ascii="Arial" w:hAnsi="Arial" w:cs="Arial"/>
          <w:sz w:val="24"/>
          <w:szCs w:val="24"/>
        </w:rPr>
        <w:t xml:space="preserve"> </w:t>
      </w:r>
      <w:r w:rsidRPr="00F70E5E">
        <w:rPr>
          <w:rFonts w:ascii="Arial" w:hAnsi="Arial" w:cs="Arial"/>
          <w:sz w:val="24"/>
          <w:szCs w:val="24"/>
        </w:rPr>
        <w:t>inconvenience;</w:t>
      </w:r>
      <w:r>
        <w:rPr>
          <w:rFonts w:ascii="Arial" w:hAnsi="Arial" w:cs="Arial"/>
          <w:sz w:val="24"/>
          <w:szCs w:val="24"/>
        </w:rPr>
        <w:t xml:space="preserve"> </w:t>
      </w:r>
      <w:r w:rsidRPr="00F70E5E">
        <w:rPr>
          <w:rFonts w:ascii="Arial" w:hAnsi="Arial" w:cs="Arial"/>
          <w:sz w:val="24"/>
          <w:szCs w:val="24"/>
        </w:rPr>
        <w:t>or the repair would take an unreasonably long time to complete.</w:t>
      </w:r>
      <w:r>
        <w:rPr>
          <w:rFonts w:ascii="Arial" w:hAnsi="Arial" w:cs="Arial"/>
          <w:sz w:val="24"/>
          <w:szCs w:val="24"/>
        </w:rPr>
        <w:t xml:space="preserve">’ </w:t>
      </w:r>
    </w:p>
    <w:p w:rsidR="00CB4BCB" w:rsidRDefault="00CB4BCB" w:rsidP="00CB4BCB">
      <w:pPr>
        <w:jc w:val="both"/>
        <w:rPr>
          <w:rFonts w:ascii="Arial" w:hAnsi="Arial" w:cs="Arial"/>
          <w:sz w:val="24"/>
          <w:szCs w:val="24"/>
        </w:rPr>
      </w:pPr>
    </w:p>
    <w:p w:rsidR="00CB4BCB" w:rsidRDefault="00CB4BCB" w:rsidP="00CB4BCB">
      <w:pPr>
        <w:jc w:val="both"/>
        <w:rPr>
          <w:rFonts w:ascii="Arial" w:hAnsi="Arial" w:cs="Arial"/>
          <w:b/>
          <w:bCs/>
          <w:sz w:val="24"/>
          <w:szCs w:val="24"/>
        </w:rPr>
      </w:pPr>
      <w:r>
        <w:rPr>
          <w:rFonts w:ascii="Arial" w:hAnsi="Arial" w:cs="Arial"/>
          <w:b/>
          <w:bCs/>
          <w:sz w:val="24"/>
          <w:szCs w:val="24"/>
        </w:rPr>
        <w:lastRenderedPageBreak/>
        <w:t xml:space="preserve">New </w:t>
      </w:r>
      <w:r w:rsidRPr="00F70E5E">
        <w:rPr>
          <w:rFonts w:ascii="Arial" w:hAnsi="Arial" w:cs="Arial"/>
          <w:b/>
          <w:bCs/>
          <w:sz w:val="24"/>
          <w:szCs w:val="24"/>
        </w:rPr>
        <w:t>Digital Content and Services</w:t>
      </w:r>
    </w:p>
    <w:p w:rsidR="00CB4BCB" w:rsidRPr="00F70E5E" w:rsidRDefault="00CB4BCB" w:rsidP="00CB4BCB">
      <w:pPr>
        <w:jc w:val="both"/>
        <w:rPr>
          <w:rFonts w:ascii="Arial" w:hAnsi="Arial" w:cs="Arial"/>
          <w:sz w:val="24"/>
          <w:szCs w:val="24"/>
        </w:rPr>
      </w:pPr>
      <w:r w:rsidRPr="00F70E5E">
        <w:rPr>
          <w:rFonts w:ascii="Arial" w:hAnsi="Arial" w:cs="Arial"/>
          <w:sz w:val="24"/>
          <w:szCs w:val="24"/>
        </w:rPr>
        <w:t xml:space="preserve">This </w:t>
      </w:r>
      <w:r>
        <w:rPr>
          <w:rFonts w:ascii="Arial" w:hAnsi="Arial" w:cs="Arial"/>
          <w:sz w:val="24"/>
          <w:szCs w:val="24"/>
        </w:rPr>
        <w:t>is an entirely new section concerning the statutory binding rights of consumers regarding digital content. Under CRA 2015, digital content is widely defined as ‘</w:t>
      </w:r>
      <w:r w:rsidRPr="00F70E5E">
        <w:rPr>
          <w:rFonts w:ascii="Arial" w:hAnsi="Arial" w:cs="Arial"/>
          <w:sz w:val="24"/>
          <w:szCs w:val="24"/>
        </w:rPr>
        <w:t>data which are produced and supplied in digital form</w:t>
      </w:r>
      <w:r>
        <w:rPr>
          <w:rFonts w:ascii="Arial" w:hAnsi="Arial" w:cs="Arial"/>
          <w:sz w:val="24"/>
          <w:szCs w:val="24"/>
        </w:rPr>
        <w:t>,’ and may include ‘</w:t>
      </w:r>
      <w:r w:rsidRPr="00F70E5E">
        <w:rPr>
          <w:rFonts w:ascii="Arial" w:hAnsi="Arial" w:cs="Arial"/>
          <w:sz w:val="24"/>
          <w:szCs w:val="24"/>
        </w:rPr>
        <w:t>downloadable apps,</w:t>
      </w:r>
      <w:r>
        <w:rPr>
          <w:rFonts w:ascii="Arial" w:hAnsi="Arial" w:cs="Arial"/>
          <w:sz w:val="24"/>
          <w:szCs w:val="24"/>
        </w:rPr>
        <w:t xml:space="preserve"> </w:t>
      </w:r>
      <w:r w:rsidRPr="00F70E5E">
        <w:rPr>
          <w:rFonts w:ascii="Arial" w:hAnsi="Arial" w:cs="Arial"/>
          <w:sz w:val="24"/>
          <w:szCs w:val="24"/>
        </w:rPr>
        <w:t>downloadable films, music, computer games,</w:t>
      </w:r>
      <w:r>
        <w:rPr>
          <w:rFonts w:ascii="Arial" w:hAnsi="Arial" w:cs="Arial"/>
          <w:sz w:val="24"/>
          <w:szCs w:val="24"/>
        </w:rPr>
        <w:t xml:space="preserve"> </w:t>
      </w:r>
      <w:r w:rsidRPr="00F70E5E">
        <w:rPr>
          <w:rFonts w:ascii="Arial" w:hAnsi="Arial" w:cs="Arial"/>
          <w:sz w:val="24"/>
          <w:szCs w:val="24"/>
        </w:rPr>
        <w:t>e-books, and</w:t>
      </w:r>
      <w:r>
        <w:rPr>
          <w:rFonts w:ascii="Arial" w:hAnsi="Arial" w:cs="Arial"/>
          <w:sz w:val="24"/>
          <w:szCs w:val="24"/>
        </w:rPr>
        <w:t xml:space="preserve"> </w:t>
      </w:r>
      <w:r w:rsidRPr="00F70E5E">
        <w:rPr>
          <w:rFonts w:ascii="Arial" w:hAnsi="Arial" w:cs="Arial"/>
          <w:sz w:val="24"/>
          <w:szCs w:val="24"/>
        </w:rPr>
        <w:t>computer software</w:t>
      </w:r>
      <w:r>
        <w:rPr>
          <w:rFonts w:ascii="Arial" w:hAnsi="Arial" w:cs="Arial"/>
          <w:sz w:val="24"/>
          <w:szCs w:val="24"/>
        </w:rPr>
        <w:t xml:space="preserve">’ (Commons Library Research Briefing, 2021). Such digital content will fall into the realm of the CRA 2015 where it has either been </w:t>
      </w:r>
      <w:r w:rsidR="006C5E84">
        <w:rPr>
          <w:rFonts w:ascii="Arial" w:hAnsi="Arial" w:cs="Arial"/>
          <w:sz w:val="24"/>
          <w:szCs w:val="24"/>
        </w:rPr>
        <w:t>purchased</w:t>
      </w:r>
      <w:r>
        <w:rPr>
          <w:rFonts w:ascii="Arial" w:hAnsi="Arial" w:cs="Arial"/>
          <w:sz w:val="24"/>
          <w:szCs w:val="24"/>
        </w:rPr>
        <w:t xml:space="preserve"> or</w:t>
      </w:r>
      <w:r w:rsidR="006C5E84">
        <w:rPr>
          <w:rFonts w:ascii="Arial" w:hAnsi="Arial" w:cs="Arial"/>
          <w:sz w:val="24"/>
          <w:szCs w:val="24"/>
        </w:rPr>
        <w:t xml:space="preserve"> given with a purchased produc</w:t>
      </w:r>
      <w:r w:rsidR="00D30B7C">
        <w:rPr>
          <w:rFonts w:ascii="Arial" w:hAnsi="Arial" w:cs="Arial"/>
          <w:sz w:val="24"/>
          <w:szCs w:val="24"/>
        </w:rPr>
        <w:t>t</w:t>
      </w:r>
      <w:r>
        <w:rPr>
          <w:rFonts w:ascii="Arial" w:hAnsi="Arial" w:cs="Arial"/>
          <w:sz w:val="24"/>
          <w:szCs w:val="24"/>
        </w:rPr>
        <w:t xml:space="preserve"> by the consumer (and </w:t>
      </w:r>
      <w:r w:rsidR="00D30B7C">
        <w:rPr>
          <w:rFonts w:ascii="Arial" w:hAnsi="Arial" w:cs="Arial"/>
          <w:sz w:val="24"/>
          <w:szCs w:val="24"/>
        </w:rPr>
        <w:t>cannot</w:t>
      </w:r>
      <w:r>
        <w:rPr>
          <w:rFonts w:ascii="Arial" w:hAnsi="Arial" w:cs="Arial"/>
          <w:sz w:val="24"/>
          <w:szCs w:val="24"/>
        </w:rPr>
        <w:t xml:space="preserve"> be otherwise </w:t>
      </w:r>
      <w:r w:rsidR="00D30B7C">
        <w:rPr>
          <w:rFonts w:ascii="Arial" w:hAnsi="Arial" w:cs="Arial"/>
          <w:sz w:val="24"/>
          <w:szCs w:val="24"/>
        </w:rPr>
        <w:t>awarded</w:t>
      </w:r>
      <w:r>
        <w:rPr>
          <w:rFonts w:ascii="Arial" w:hAnsi="Arial" w:cs="Arial"/>
          <w:sz w:val="24"/>
          <w:szCs w:val="24"/>
        </w:rPr>
        <w:t xml:space="preserve"> to </w:t>
      </w:r>
      <w:r w:rsidR="00D30B7C">
        <w:rPr>
          <w:rFonts w:ascii="Arial" w:hAnsi="Arial" w:cs="Arial"/>
          <w:sz w:val="24"/>
          <w:szCs w:val="24"/>
        </w:rPr>
        <w:t xml:space="preserve">the </w:t>
      </w:r>
      <w:r>
        <w:rPr>
          <w:rFonts w:ascii="Arial" w:hAnsi="Arial" w:cs="Arial"/>
          <w:sz w:val="24"/>
          <w:szCs w:val="24"/>
        </w:rPr>
        <w:t xml:space="preserve">said consumer- </w:t>
      </w:r>
      <w:proofErr w:type="gramStart"/>
      <w:r>
        <w:rPr>
          <w:rFonts w:ascii="Arial" w:hAnsi="Arial" w:cs="Arial"/>
          <w:sz w:val="24"/>
          <w:szCs w:val="24"/>
        </w:rPr>
        <w:t>therefore  completely</w:t>
      </w:r>
      <w:proofErr w:type="gramEnd"/>
      <w:r>
        <w:rPr>
          <w:rFonts w:ascii="Arial" w:hAnsi="Arial" w:cs="Arial"/>
          <w:sz w:val="24"/>
          <w:szCs w:val="24"/>
        </w:rPr>
        <w:t xml:space="preserve"> free digital content is not covered by the 2015 Act). </w:t>
      </w:r>
      <w:proofErr w:type="gramStart"/>
      <w:r>
        <w:rPr>
          <w:rFonts w:ascii="Arial" w:hAnsi="Arial" w:cs="Arial"/>
          <w:sz w:val="24"/>
          <w:szCs w:val="24"/>
        </w:rPr>
        <w:t>Similarly</w:t>
      </w:r>
      <w:proofErr w:type="gramEnd"/>
      <w:r>
        <w:rPr>
          <w:rFonts w:ascii="Arial" w:hAnsi="Arial" w:cs="Arial"/>
          <w:sz w:val="24"/>
          <w:szCs w:val="24"/>
        </w:rPr>
        <w:t xml:space="preserve"> to their tangible goods counterparts as above, digital goods must also comply with outlined statutory standards (satisfactory quality, fit for purpose and as described by the seller). These standards are implied under statute and therefore, if breached, several statutory remedies may be available to be claimed by the consumer, namely: repairing or replacing the digital product or a reduction in price should repair be impossible. It should be noted that unlike the sale of goods, there exists no limit on how many times such digital content may be repaired or replaced.</w:t>
      </w:r>
    </w:p>
    <w:p w:rsidR="00CB4BCB" w:rsidRPr="00F70E5E" w:rsidRDefault="00CB4BCB" w:rsidP="00CB4BCB">
      <w:pPr>
        <w:jc w:val="both"/>
        <w:rPr>
          <w:rFonts w:ascii="Arial" w:hAnsi="Arial" w:cs="Arial"/>
          <w:b/>
          <w:bCs/>
          <w:sz w:val="24"/>
          <w:szCs w:val="24"/>
        </w:rPr>
      </w:pPr>
    </w:p>
    <w:p w:rsidR="00CB4BCB" w:rsidRPr="00A64272" w:rsidRDefault="00CB4BCB" w:rsidP="00CB4BCB">
      <w:pPr>
        <w:jc w:val="both"/>
        <w:rPr>
          <w:rFonts w:ascii="Arial" w:hAnsi="Arial" w:cs="Arial"/>
          <w:b/>
          <w:bCs/>
          <w:sz w:val="24"/>
          <w:szCs w:val="24"/>
        </w:rPr>
      </w:pPr>
      <w:r w:rsidRPr="00F70E5E">
        <w:rPr>
          <w:rFonts w:ascii="Arial" w:hAnsi="Arial" w:cs="Arial"/>
          <w:b/>
          <w:bCs/>
          <w:sz w:val="24"/>
          <w:szCs w:val="24"/>
        </w:rPr>
        <w:t>Services</w:t>
      </w:r>
    </w:p>
    <w:p w:rsidR="00CB4BCB" w:rsidRPr="00F70E5E" w:rsidRDefault="00CB4BCB" w:rsidP="00CB4BCB">
      <w:pPr>
        <w:jc w:val="both"/>
        <w:rPr>
          <w:rFonts w:ascii="Arial" w:hAnsi="Arial" w:cs="Arial"/>
          <w:sz w:val="24"/>
          <w:szCs w:val="24"/>
        </w:rPr>
      </w:pPr>
      <w:r>
        <w:rPr>
          <w:rFonts w:ascii="Arial" w:hAnsi="Arial" w:cs="Arial"/>
          <w:sz w:val="24"/>
          <w:szCs w:val="24"/>
        </w:rPr>
        <w:t xml:space="preserve">No explicit definition of services exists under the CRA 2015, but current guidance provided by the UK </w:t>
      </w:r>
      <w:r w:rsidRPr="00F70E5E">
        <w:rPr>
          <w:rFonts w:ascii="Arial" w:hAnsi="Arial" w:cs="Arial"/>
          <w:sz w:val="24"/>
          <w:szCs w:val="24"/>
        </w:rPr>
        <w:t>Department for Business, Innovation &amp; Skills</w:t>
      </w:r>
      <w:r>
        <w:rPr>
          <w:rFonts w:ascii="Arial" w:hAnsi="Arial" w:cs="Arial"/>
          <w:sz w:val="24"/>
          <w:szCs w:val="24"/>
        </w:rPr>
        <w:t xml:space="preserve"> (2021) provides a somewhat wide remit of definitional scope, e.g. hairdressing or painting and decorating. </w:t>
      </w:r>
      <w:proofErr w:type="gramStart"/>
      <w:r>
        <w:rPr>
          <w:rFonts w:ascii="Arial" w:hAnsi="Arial" w:cs="Arial"/>
          <w:sz w:val="24"/>
          <w:szCs w:val="24"/>
        </w:rPr>
        <w:t>Similarly</w:t>
      </w:r>
      <w:proofErr w:type="gramEnd"/>
      <w:r>
        <w:rPr>
          <w:rFonts w:ascii="Arial" w:hAnsi="Arial" w:cs="Arial"/>
          <w:sz w:val="24"/>
          <w:szCs w:val="24"/>
        </w:rPr>
        <w:t xml:space="preserve"> to the above, there are quality standards for services outline by the 2015 Act which reflect the previous position (services must be implemented with reasonable skill and care), such a standard is now fault based, rather than previously result based with the actual performance of the service being evaluated. Such services must also be provided within a reasonable time frame and for a reasonable price. Should the service be defective (lacking reasonable skill and care), the consumer can claim re-performance, should reperformance be impossible, then the consumer may claim a reduction in price.</w:t>
      </w:r>
    </w:p>
    <w:p w:rsidR="00CB4BCB" w:rsidRPr="00F70E5E" w:rsidRDefault="00CB4BCB" w:rsidP="00CB4BCB">
      <w:pPr>
        <w:jc w:val="both"/>
        <w:rPr>
          <w:rFonts w:ascii="Arial" w:hAnsi="Arial" w:cs="Arial"/>
          <w:b/>
          <w:bCs/>
          <w:sz w:val="24"/>
          <w:szCs w:val="24"/>
        </w:rPr>
      </w:pPr>
    </w:p>
    <w:p w:rsidR="00CB4BCB" w:rsidRPr="00A64272" w:rsidRDefault="00CB4BCB" w:rsidP="00CB4BCB">
      <w:pPr>
        <w:jc w:val="both"/>
        <w:rPr>
          <w:rFonts w:ascii="Arial" w:hAnsi="Arial" w:cs="Arial"/>
          <w:b/>
          <w:bCs/>
          <w:sz w:val="24"/>
          <w:szCs w:val="24"/>
        </w:rPr>
      </w:pPr>
      <w:r w:rsidRPr="00F70E5E">
        <w:rPr>
          <w:rFonts w:ascii="Arial" w:hAnsi="Arial" w:cs="Arial"/>
          <w:b/>
          <w:bCs/>
          <w:sz w:val="24"/>
          <w:szCs w:val="24"/>
        </w:rPr>
        <w:t xml:space="preserve">Part 2 of the Consumer Rights Act </w:t>
      </w:r>
      <w:r w:rsidRPr="00A64272">
        <w:rPr>
          <w:rFonts w:ascii="Arial" w:eastAsia="Times New Roman" w:hAnsi="Arial" w:cs="Arial"/>
          <w:color w:val="FF0000"/>
          <w:sz w:val="28"/>
          <w:szCs w:val="28"/>
          <w:lang w:eastAsia="en-GB"/>
        </w:rPr>
        <w:t> </w:t>
      </w:r>
    </w:p>
    <w:p w:rsidR="00CB4BCB" w:rsidRPr="00F70E5E" w:rsidRDefault="00CB4BCB" w:rsidP="00CB4BCB">
      <w:pPr>
        <w:jc w:val="both"/>
        <w:rPr>
          <w:rFonts w:ascii="Arial" w:hAnsi="Arial" w:cs="Arial"/>
          <w:color w:val="000000" w:themeColor="text1"/>
          <w:sz w:val="24"/>
          <w:szCs w:val="24"/>
        </w:rPr>
      </w:pPr>
      <w:r w:rsidRPr="00F70E5E">
        <w:rPr>
          <w:rFonts w:ascii="Arial" w:hAnsi="Arial" w:cs="Arial"/>
          <w:color w:val="000000" w:themeColor="text1"/>
          <w:sz w:val="24"/>
          <w:szCs w:val="24"/>
        </w:rPr>
        <w:t>The Unfair Contract Terms Act (1977) related to certain contractual obligations which ‘restricts the use of terms that exclude or limit liability in commercial contracts’ (Naidoo, 2021), thus namely covering the use of exemption clauses in business contracts.</w:t>
      </w:r>
      <w:r>
        <w:rPr>
          <w:rFonts w:ascii="Arial" w:hAnsi="Arial" w:cs="Arial"/>
          <w:color w:val="000000" w:themeColor="text1"/>
          <w:sz w:val="24"/>
          <w:szCs w:val="24"/>
        </w:rPr>
        <w:t xml:space="preserve"> Such protections are now covered under the 2015 Act. A term is unfair under the ‘fairness test’ of S64 (4) CRA 2015 if ‘</w:t>
      </w:r>
      <w:r w:rsidRPr="009B3074">
        <w:rPr>
          <w:rFonts w:ascii="Arial" w:hAnsi="Arial" w:cs="Arial"/>
          <w:color w:val="000000" w:themeColor="text1"/>
          <w:sz w:val="24"/>
          <w:szCs w:val="24"/>
        </w:rPr>
        <w:t>contrary to the requirement of good faith, it causes a significant imbalance in the parties’ rights and obligations to the detriment of the consumer</w:t>
      </w:r>
      <w:r>
        <w:rPr>
          <w:rFonts w:ascii="Arial" w:hAnsi="Arial" w:cs="Arial"/>
          <w:color w:val="000000" w:themeColor="text1"/>
          <w:sz w:val="24"/>
          <w:szCs w:val="24"/>
        </w:rPr>
        <w:t>.’ This essentially replicates the wording of the 1977 Act. However, under the new 2015 regime some further requirements must be proved.</w:t>
      </w:r>
    </w:p>
    <w:p w:rsidR="00CB4BCB" w:rsidRDefault="00CB4BCB" w:rsidP="00CB4BCB">
      <w:pPr>
        <w:jc w:val="both"/>
        <w:rPr>
          <w:rFonts w:ascii="Arial" w:hAnsi="Arial" w:cs="Arial"/>
          <w:sz w:val="24"/>
          <w:szCs w:val="24"/>
        </w:rPr>
      </w:pPr>
    </w:p>
    <w:p w:rsidR="00CB4BCB" w:rsidRPr="009B3074" w:rsidRDefault="00CB4BCB" w:rsidP="00CB4BCB">
      <w:pPr>
        <w:jc w:val="both"/>
        <w:rPr>
          <w:rFonts w:ascii="Arial" w:hAnsi="Arial" w:cs="Arial"/>
          <w:b/>
          <w:bCs/>
          <w:sz w:val="24"/>
          <w:szCs w:val="24"/>
        </w:rPr>
      </w:pPr>
      <w:r w:rsidRPr="009B3074">
        <w:rPr>
          <w:rFonts w:ascii="Arial" w:hAnsi="Arial" w:cs="Arial"/>
          <w:b/>
          <w:bCs/>
          <w:sz w:val="24"/>
          <w:szCs w:val="24"/>
        </w:rPr>
        <w:t>Consumer Notices</w:t>
      </w:r>
    </w:p>
    <w:p w:rsidR="00CB4BCB" w:rsidRDefault="00CB4BCB" w:rsidP="00CB4BCB">
      <w:pPr>
        <w:jc w:val="both"/>
        <w:rPr>
          <w:rFonts w:ascii="Arial" w:hAnsi="Arial" w:cs="Arial"/>
          <w:sz w:val="24"/>
          <w:szCs w:val="24"/>
        </w:rPr>
      </w:pPr>
      <w:r>
        <w:rPr>
          <w:rFonts w:ascii="Arial" w:hAnsi="Arial" w:cs="Arial"/>
          <w:sz w:val="24"/>
          <w:szCs w:val="24"/>
        </w:rPr>
        <w:lastRenderedPageBreak/>
        <w:t>A consumer notice term, like a contract term, will too be subject to the aforementioned fairness requirements. Such a notice concerns the rights of a trader and a consumer, but, commonly excludes trader liability. A notice may be written, but need not always be communicated in writing- a notice may be implemented in the form of an announcement with the intention of being seen or heard by a consumer. However, terms of a written notice must be both transparent (existing under the previous law) and prominent, which is a new requirement under the CRA 2015. Under S68 CRA 2015, a term is transparent if it is ‘</w:t>
      </w:r>
      <w:r w:rsidRPr="009B3074">
        <w:rPr>
          <w:rFonts w:ascii="Arial" w:hAnsi="Arial" w:cs="Arial"/>
          <w:sz w:val="24"/>
          <w:szCs w:val="24"/>
        </w:rPr>
        <w:t>legible and written in plain and intelligible language.</w:t>
      </w:r>
      <w:r>
        <w:rPr>
          <w:rFonts w:ascii="Arial" w:hAnsi="Arial" w:cs="Arial"/>
          <w:sz w:val="24"/>
          <w:szCs w:val="24"/>
        </w:rPr>
        <w:t>’ Under S64 CRA 2015, a term is prominent ‘</w:t>
      </w:r>
      <w:r w:rsidRPr="009B3074">
        <w:rPr>
          <w:rFonts w:ascii="Arial" w:hAnsi="Arial" w:cs="Arial"/>
          <w:sz w:val="24"/>
          <w:szCs w:val="24"/>
        </w:rPr>
        <w:t>if it is brought to the consumer’s attention in such a way that an average consumer would be aware of the term</w:t>
      </w:r>
      <w:r>
        <w:rPr>
          <w:rFonts w:ascii="Arial" w:hAnsi="Arial" w:cs="Arial"/>
          <w:sz w:val="24"/>
          <w:szCs w:val="24"/>
        </w:rPr>
        <w:t>.’ An average customer is ‘</w:t>
      </w:r>
      <w:r w:rsidRPr="009B3074">
        <w:rPr>
          <w:rFonts w:ascii="Arial" w:hAnsi="Arial" w:cs="Arial"/>
          <w:sz w:val="24"/>
          <w:szCs w:val="24"/>
        </w:rPr>
        <w:t>a consumer who is reasonably well-informed, observant and circumspect.</w:t>
      </w:r>
      <w:r>
        <w:rPr>
          <w:rFonts w:ascii="Arial" w:hAnsi="Arial" w:cs="Arial"/>
          <w:sz w:val="24"/>
          <w:szCs w:val="24"/>
        </w:rPr>
        <w:t>’ The addition of prominent and transparent terms under the 2015 Act aims to stop traders from concealing potential unfair terms in ‘the small print.’ If the consumer notice fails to meet the fairness test requirements, such a notice will become unenforceable, non-binding upon any intended consumer and open to Court challenge.</w:t>
      </w:r>
    </w:p>
    <w:p w:rsidR="00CB4BCB" w:rsidRDefault="00CB4BCB" w:rsidP="00CB4BCB">
      <w:pPr>
        <w:jc w:val="both"/>
        <w:rPr>
          <w:rFonts w:ascii="Arial" w:hAnsi="Arial" w:cs="Arial"/>
          <w:b/>
          <w:bCs/>
          <w:sz w:val="24"/>
          <w:szCs w:val="24"/>
        </w:rPr>
      </w:pPr>
    </w:p>
    <w:p w:rsidR="00CB4BCB" w:rsidRDefault="00CB4BCB" w:rsidP="00CB4BCB">
      <w:pPr>
        <w:jc w:val="both"/>
        <w:rPr>
          <w:rFonts w:ascii="Arial" w:hAnsi="Arial" w:cs="Arial"/>
          <w:b/>
          <w:bCs/>
          <w:sz w:val="24"/>
          <w:szCs w:val="24"/>
        </w:rPr>
      </w:pPr>
      <w:r>
        <w:rPr>
          <w:rFonts w:ascii="Arial" w:hAnsi="Arial" w:cs="Arial"/>
          <w:b/>
          <w:bCs/>
          <w:sz w:val="24"/>
          <w:szCs w:val="24"/>
        </w:rPr>
        <w:t>Conclusion: Have the main aims of the CRA 2015 in protecting consumers been met?</w:t>
      </w:r>
    </w:p>
    <w:p w:rsidR="00CB4BCB" w:rsidRDefault="00CB4BCB" w:rsidP="00CB4BCB">
      <w:pPr>
        <w:jc w:val="both"/>
        <w:rPr>
          <w:rFonts w:ascii="Arial" w:hAnsi="Arial" w:cs="Arial"/>
          <w:sz w:val="24"/>
          <w:szCs w:val="24"/>
        </w:rPr>
      </w:pPr>
      <w:r>
        <w:rPr>
          <w:rFonts w:ascii="Arial" w:hAnsi="Arial" w:cs="Arial"/>
          <w:sz w:val="24"/>
          <w:szCs w:val="24"/>
        </w:rPr>
        <w:t xml:space="preserve">The first aim of the CRA 2015 was one of consolidation. Whilst it is certainly arguable that the CRA 2015 did indeed consolidate the majority of law concerning consumer rights, the CRA 2015 itself is still required to be read in conjunction with other statute and regulations in order to be fully understood (Wrench and Farrant, 2017), for example, the CRA unfair terms must be read in conjunction with the </w:t>
      </w:r>
      <w:r w:rsidRPr="009B3074">
        <w:rPr>
          <w:rFonts w:ascii="Arial" w:hAnsi="Arial" w:cs="Arial"/>
          <w:sz w:val="24"/>
          <w:szCs w:val="24"/>
        </w:rPr>
        <w:t>Consumer Protection from Unfair Trading Regulations</w:t>
      </w:r>
      <w:r>
        <w:rPr>
          <w:rFonts w:ascii="Arial" w:hAnsi="Arial" w:cs="Arial"/>
          <w:sz w:val="24"/>
          <w:szCs w:val="24"/>
        </w:rPr>
        <w:t xml:space="preserve"> 2008, whilst consumer contracts under the CRA can also be read in conjunction with the </w:t>
      </w:r>
      <w:r w:rsidRPr="009B3074">
        <w:rPr>
          <w:rFonts w:ascii="Arial" w:hAnsi="Arial" w:cs="Arial"/>
          <w:sz w:val="24"/>
          <w:szCs w:val="24"/>
        </w:rPr>
        <w:t>Consumer Contracts (Information, Cancellation and Additional Charges) Regulations 2013</w:t>
      </w:r>
      <w:r>
        <w:rPr>
          <w:rFonts w:ascii="Arial" w:hAnsi="Arial" w:cs="Arial"/>
          <w:sz w:val="24"/>
          <w:szCs w:val="24"/>
        </w:rPr>
        <w:t>. Therefore, though consolidated to some extent, consumers themselves may find it somewhat difficult to locate all relevant law under one particular and explicit piece of legislation.</w:t>
      </w:r>
    </w:p>
    <w:p w:rsidR="00CB4BCB" w:rsidRDefault="00CB4BCB" w:rsidP="00CB4BCB">
      <w:pPr>
        <w:jc w:val="both"/>
        <w:rPr>
          <w:rFonts w:ascii="Arial" w:hAnsi="Arial" w:cs="Arial"/>
          <w:sz w:val="24"/>
          <w:szCs w:val="24"/>
        </w:rPr>
      </w:pPr>
    </w:p>
    <w:p w:rsidR="00CB4BCB" w:rsidRPr="009B3074" w:rsidRDefault="00CB4BCB" w:rsidP="00CB4BCB">
      <w:pPr>
        <w:jc w:val="both"/>
        <w:rPr>
          <w:rFonts w:ascii="Arial" w:hAnsi="Arial" w:cs="Arial"/>
          <w:sz w:val="24"/>
          <w:szCs w:val="24"/>
        </w:rPr>
      </w:pPr>
      <w:r>
        <w:rPr>
          <w:rFonts w:ascii="Arial" w:hAnsi="Arial" w:cs="Arial"/>
          <w:sz w:val="24"/>
          <w:szCs w:val="24"/>
        </w:rPr>
        <w:t>A further aim sought by the CRA 2015 was to make the law surrounding consumer rights and protection clearer and easier to understand by using simpler language and therefore better utilised by consumers, affording further consumer protection. Though somewhat simpler than the previously existing law, some terms still remain technical and complex. Wrench and Farrant (2017) argue that ‘</w:t>
      </w:r>
      <w:r w:rsidRPr="009B3074">
        <w:rPr>
          <w:rFonts w:ascii="Arial" w:hAnsi="Arial" w:cs="Arial"/>
          <w:sz w:val="24"/>
          <w:szCs w:val="24"/>
        </w:rPr>
        <w:t>the CRA is by no means a simple piece of legislation that can be easily navigated by consumers, leaving its full comprehension available only to those with deep knowledge and understanding of its workings.</w:t>
      </w:r>
      <w:r>
        <w:rPr>
          <w:rFonts w:ascii="Arial" w:hAnsi="Arial" w:cs="Arial"/>
          <w:sz w:val="24"/>
          <w:szCs w:val="24"/>
        </w:rPr>
        <w:t xml:space="preserve">’ </w:t>
      </w:r>
    </w:p>
    <w:p w:rsidR="00CB4BCB" w:rsidRDefault="00CB4BCB" w:rsidP="00CB4BCB">
      <w:pPr>
        <w:jc w:val="both"/>
        <w:rPr>
          <w:rFonts w:ascii="Arial" w:hAnsi="Arial" w:cs="Arial"/>
          <w:sz w:val="24"/>
          <w:szCs w:val="24"/>
        </w:rPr>
      </w:pPr>
    </w:p>
    <w:p w:rsidR="00CB4BCB" w:rsidRDefault="00CB4BCB" w:rsidP="00CB4BCB">
      <w:pPr>
        <w:jc w:val="both"/>
        <w:rPr>
          <w:rFonts w:ascii="Arial" w:hAnsi="Arial" w:cs="Arial"/>
          <w:sz w:val="24"/>
          <w:szCs w:val="24"/>
        </w:rPr>
      </w:pPr>
      <w:r>
        <w:rPr>
          <w:rFonts w:ascii="Arial" w:hAnsi="Arial" w:cs="Arial"/>
          <w:sz w:val="24"/>
          <w:szCs w:val="24"/>
        </w:rPr>
        <w:t xml:space="preserve">However, it is undeniable that the CRA 2015 has provided at least in part, some additional protections for the consumer that did not exist prior to 2015. Consumers now have 30 days to return any faulty good and be entitled to a full refund, as opposed to the previous law, which stated that consumers would only be entitled to a full refund </w:t>
      </w:r>
      <w:r>
        <w:rPr>
          <w:rFonts w:ascii="Arial" w:hAnsi="Arial" w:cs="Arial"/>
          <w:sz w:val="24"/>
          <w:szCs w:val="24"/>
        </w:rPr>
        <w:lastRenderedPageBreak/>
        <w:t xml:space="preserve">should the goods be returned within a ‘reasonable time,’ which, given its </w:t>
      </w:r>
      <w:r w:rsidR="00E144E2">
        <w:rPr>
          <w:rFonts w:ascii="Arial" w:hAnsi="Arial" w:cs="Arial"/>
          <w:sz w:val="24"/>
          <w:szCs w:val="24"/>
        </w:rPr>
        <w:t>ambiguous wording</w:t>
      </w:r>
      <w:r>
        <w:rPr>
          <w:rFonts w:ascii="Arial" w:hAnsi="Arial" w:cs="Arial"/>
          <w:sz w:val="24"/>
          <w:szCs w:val="24"/>
        </w:rPr>
        <w:t>, was imprecise and therefore far more open to dispute. Furthermore, under the 2015 Act, consumers are now afforded ‘</w:t>
      </w:r>
      <w:r w:rsidRPr="009B3074">
        <w:rPr>
          <w:rFonts w:ascii="Arial" w:hAnsi="Arial" w:cs="Arial"/>
          <w:sz w:val="24"/>
          <w:szCs w:val="24"/>
        </w:rPr>
        <w:t>greater protection from unfair charges hidden in small print, under other Law Commission reforms implemented in the Act. Prices in consumer contracts that are not transparent or prominent will now be open to challenge by the courts. As well as strengthening consumer rights, this reform gives traders control over which charges are exempt from review and, by encouraging transparency, reduces opportunities for unfair competition.</w:t>
      </w:r>
      <w:r>
        <w:rPr>
          <w:rFonts w:ascii="Arial" w:hAnsi="Arial" w:cs="Arial"/>
          <w:sz w:val="24"/>
          <w:szCs w:val="24"/>
        </w:rPr>
        <w:t xml:space="preserve">’ (The Law Commission, 2015). </w:t>
      </w:r>
    </w:p>
    <w:p w:rsidR="002A5AAA" w:rsidRDefault="002A5AAA"/>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Default="00C469E8"/>
    <w:p w:rsidR="00C469E8" w:rsidRPr="00C469E8" w:rsidRDefault="00C469E8">
      <w:pPr>
        <w:rPr>
          <w:rFonts w:ascii="Arial" w:hAnsi="Arial" w:cs="Arial"/>
          <w:b/>
          <w:sz w:val="28"/>
          <w:szCs w:val="28"/>
        </w:rPr>
      </w:pPr>
      <w:r w:rsidRPr="00C469E8">
        <w:rPr>
          <w:rFonts w:ascii="Arial" w:hAnsi="Arial" w:cs="Arial"/>
          <w:b/>
          <w:sz w:val="28"/>
          <w:szCs w:val="28"/>
        </w:rPr>
        <w:t xml:space="preserve">References </w:t>
      </w:r>
    </w:p>
    <w:p w:rsidR="00C469E8" w:rsidRDefault="00C469E8"/>
    <w:p w:rsidR="00C469E8" w:rsidRDefault="00C469E8" w:rsidP="00C469E8">
      <w:pPr>
        <w:jc w:val="both"/>
        <w:rPr>
          <w:rFonts w:ascii="Arial" w:hAnsi="Arial" w:cs="Arial"/>
          <w:sz w:val="24"/>
          <w:szCs w:val="24"/>
        </w:rPr>
      </w:pPr>
      <w:r>
        <w:rPr>
          <w:rFonts w:ascii="Arial" w:hAnsi="Arial" w:cs="Arial"/>
          <w:sz w:val="24"/>
          <w:szCs w:val="24"/>
        </w:rPr>
        <w:t xml:space="preserve">Andre Naidoo, The Contract Law: Txt, Cases and Materials – Complete (first edition) </w:t>
      </w:r>
    </w:p>
    <w:p w:rsidR="00C469E8" w:rsidRDefault="00C469E8" w:rsidP="00C469E8">
      <w:pPr>
        <w:jc w:val="both"/>
        <w:rPr>
          <w:rFonts w:ascii="Arial" w:hAnsi="Arial" w:cs="Arial"/>
          <w:sz w:val="24"/>
          <w:szCs w:val="24"/>
        </w:rPr>
      </w:pPr>
      <w:r w:rsidRPr="00C0019D">
        <w:rPr>
          <w:rFonts w:ascii="Arial" w:hAnsi="Arial" w:cs="Arial"/>
          <w:sz w:val="24"/>
          <w:szCs w:val="24"/>
        </w:rPr>
        <w:t xml:space="preserve">Barry J. Rodger, The Consumer Rights Act 2015 and collective redress for competition law infringements in the UK: a class </w:t>
      </w:r>
      <w:proofErr w:type="gramStart"/>
      <w:r w:rsidRPr="00C0019D">
        <w:rPr>
          <w:rFonts w:ascii="Arial" w:hAnsi="Arial" w:cs="Arial"/>
          <w:sz w:val="24"/>
          <w:szCs w:val="24"/>
        </w:rPr>
        <w:t>act?,</w:t>
      </w:r>
      <w:proofErr w:type="gramEnd"/>
      <w:r w:rsidRPr="00C0019D">
        <w:rPr>
          <w:rFonts w:ascii="Arial" w:hAnsi="Arial" w:cs="Arial"/>
          <w:sz w:val="24"/>
          <w:szCs w:val="24"/>
        </w:rPr>
        <w:t> </w:t>
      </w:r>
      <w:r w:rsidRPr="00C0019D">
        <w:rPr>
          <w:rFonts w:ascii="Arial" w:hAnsi="Arial" w:cs="Arial"/>
          <w:i/>
          <w:iCs/>
          <w:sz w:val="24"/>
          <w:szCs w:val="24"/>
        </w:rPr>
        <w:t>Journal of Antitrust Enforcement</w:t>
      </w:r>
      <w:r w:rsidRPr="00C0019D">
        <w:rPr>
          <w:rFonts w:ascii="Arial" w:hAnsi="Arial" w:cs="Arial"/>
          <w:sz w:val="24"/>
          <w:szCs w:val="24"/>
        </w:rPr>
        <w:t>, Volume 3, Issue 2, October 2015, Pages 258–286, </w:t>
      </w:r>
      <w:hyperlink r:id="rId4" w:history="1">
        <w:r w:rsidRPr="00C0019D">
          <w:rPr>
            <w:rStyle w:val="Hyperlink"/>
            <w:rFonts w:ascii="Arial" w:hAnsi="Arial" w:cs="Arial"/>
            <w:sz w:val="24"/>
            <w:szCs w:val="24"/>
          </w:rPr>
          <w:t>https://doi.org/10.1093/jaenfo/jnv027</w:t>
        </w:r>
      </w:hyperlink>
    </w:p>
    <w:p w:rsidR="00C469E8" w:rsidRPr="00C0019D" w:rsidRDefault="00C469E8" w:rsidP="00C469E8">
      <w:pPr>
        <w:jc w:val="both"/>
        <w:rPr>
          <w:rFonts w:ascii="Arial" w:hAnsi="Arial" w:cs="Arial"/>
          <w:sz w:val="24"/>
          <w:szCs w:val="24"/>
        </w:rPr>
      </w:pPr>
      <w:r w:rsidRPr="00C0019D">
        <w:rPr>
          <w:rFonts w:ascii="Arial" w:hAnsi="Arial" w:cs="Arial"/>
          <w:sz w:val="24"/>
          <w:szCs w:val="24"/>
        </w:rPr>
        <w:t>Department for Business, Innovation and Skills press notice, New rights for consumers when buying digital content, 1 October 2015</w:t>
      </w:r>
    </w:p>
    <w:p w:rsidR="00C469E8" w:rsidRDefault="00C469E8" w:rsidP="00C469E8">
      <w:pPr>
        <w:jc w:val="both"/>
        <w:rPr>
          <w:rFonts w:ascii="Arial" w:hAnsi="Arial" w:cs="Arial"/>
          <w:sz w:val="24"/>
          <w:szCs w:val="24"/>
        </w:rPr>
      </w:pPr>
      <w:proofErr w:type="spellStart"/>
      <w:r w:rsidRPr="00CB2160">
        <w:rPr>
          <w:rFonts w:ascii="Arial" w:hAnsi="Arial" w:cs="Arial"/>
          <w:sz w:val="24"/>
          <w:szCs w:val="24"/>
        </w:rPr>
        <w:t>Giliker</w:t>
      </w:r>
      <w:proofErr w:type="spellEnd"/>
      <w:r w:rsidRPr="00CB2160">
        <w:rPr>
          <w:rFonts w:ascii="Arial" w:hAnsi="Arial" w:cs="Arial"/>
          <w:sz w:val="24"/>
          <w:szCs w:val="24"/>
        </w:rPr>
        <w:t xml:space="preserve">, P. (2017) “The Consumer Rights Act 2015 – a bastion of European consumer </w:t>
      </w:r>
      <w:proofErr w:type="gramStart"/>
      <w:r w:rsidRPr="00CB2160">
        <w:rPr>
          <w:rFonts w:ascii="Arial" w:hAnsi="Arial" w:cs="Arial"/>
          <w:sz w:val="24"/>
          <w:szCs w:val="24"/>
        </w:rPr>
        <w:t>rights?,</w:t>
      </w:r>
      <w:proofErr w:type="gramEnd"/>
      <w:r w:rsidRPr="00CB2160">
        <w:rPr>
          <w:rFonts w:ascii="Arial" w:hAnsi="Arial" w:cs="Arial"/>
          <w:sz w:val="24"/>
          <w:szCs w:val="24"/>
        </w:rPr>
        <w:t>” </w:t>
      </w:r>
      <w:r w:rsidRPr="00CB2160">
        <w:rPr>
          <w:rFonts w:ascii="Arial" w:hAnsi="Arial" w:cs="Arial"/>
          <w:i/>
          <w:iCs/>
          <w:sz w:val="24"/>
          <w:szCs w:val="24"/>
        </w:rPr>
        <w:t>Legal Studies</w:t>
      </w:r>
      <w:r w:rsidRPr="00CB2160">
        <w:rPr>
          <w:rFonts w:ascii="Arial" w:hAnsi="Arial" w:cs="Arial"/>
          <w:sz w:val="24"/>
          <w:szCs w:val="24"/>
        </w:rPr>
        <w:t xml:space="preserve">. Cambridge University Press, 37(1), pp. 78–102. </w:t>
      </w:r>
      <w:proofErr w:type="spellStart"/>
      <w:r w:rsidRPr="00CB2160">
        <w:rPr>
          <w:rFonts w:ascii="Arial" w:hAnsi="Arial" w:cs="Arial"/>
          <w:sz w:val="24"/>
          <w:szCs w:val="24"/>
        </w:rPr>
        <w:t>doi</w:t>
      </w:r>
      <w:proofErr w:type="spellEnd"/>
      <w:r w:rsidRPr="00CB2160">
        <w:rPr>
          <w:rFonts w:ascii="Arial" w:hAnsi="Arial" w:cs="Arial"/>
          <w:sz w:val="24"/>
          <w:szCs w:val="24"/>
        </w:rPr>
        <w:t>: 10.1111/lest.12139</w:t>
      </w:r>
    </w:p>
    <w:p w:rsidR="00C469E8" w:rsidRPr="00F70E5E" w:rsidRDefault="00C469E8" w:rsidP="00C469E8">
      <w:pPr>
        <w:jc w:val="both"/>
        <w:rPr>
          <w:rFonts w:ascii="Arial" w:hAnsi="Arial" w:cs="Arial"/>
          <w:sz w:val="24"/>
          <w:szCs w:val="24"/>
        </w:rPr>
      </w:pPr>
    </w:p>
    <w:p w:rsidR="00C469E8" w:rsidRDefault="00DE7734" w:rsidP="00C469E8">
      <w:pPr>
        <w:jc w:val="both"/>
        <w:rPr>
          <w:rFonts w:ascii="Arial" w:hAnsi="Arial" w:cs="Arial"/>
          <w:sz w:val="24"/>
          <w:szCs w:val="24"/>
        </w:rPr>
      </w:pPr>
      <w:hyperlink r:id="rId5" w:anchor=":~:text=Fit%20for%20purpose%20The%20goods,at%20the%20time%20of%20purchase" w:history="1">
        <w:r w:rsidR="00C469E8" w:rsidRPr="00F70E5E">
          <w:rPr>
            <w:rStyle w:val="Hyperlink"/>
            <w:rFonts w:ascii="Arial" w:hAnsi="Arial" w:cs="Arial"/>
            <w:sz w:val="24"/>
            <w:szCs w:val="24"/>
          </w:rPr>
          <w:t>https://www.consumerrightsuk.com/consumerights2015#:~:text=Fit%20for%20purpose%20The%20goods,at%20the%20time%20of%20purchase</w:t>
        </w:r>
      </w:hyperlink>
      <w:r w:rsidR="00C469E8" w:rsidRPr="00F70E5E">
        <w:rPr>
          <w:rFonts w:ascii="Arial" w:hAnsi="Arial" w:cs="Arial"/>
          <w:sz w:val="24"/>
          <w:szCs w:val="24"/>
        </w:rPr>
        <w:t xml:space="preserve">. </w:t>
      </w:r>
    </w:p>
    <w:p w:rsidR="00C469E8" w:rsidRPr="00C469E8" w:rsidRDefault="00DE7734" w:rsidP="00C469E8">
      <w:pPr>
        <w:jc w:val="both"/>
        <w:rPr>
          <w:rFonts w:ascii="Arial" w:hAnsi="Arial" w:cs="Arial"/>
          <w:sz w:val="24"/>
          <w:szCs w:val="24"/>
        </w:rPr>
      </w:pPr>
      <w:hyperlink r:id="rId6" w:history="1">
        <w:r w:rsidR="00C469E8" w:rsidRPr="00C469E8">
          <w:rPr>
            <w:rStyle w:val="Hyperlink"/>
            <w:rFonts w:ascii="Arial" w:hAnsi="Arial" w:cs="Arial"/>
            <w:sz w:val="24"/>
            <w:szCs w:val="24"/>
          </w:rPr>
          <w:t>www.gov.uk</w:t>
        </w:r>
      </w:hyperlink>
    </w:p>
    <w:p w:rsidR="00C469E8" w:rsidRDefault="00DE7734" w:rsidP="00C469E8">
      <w:pPr>
        <w:jc w:val="both"/>
        <w:rPr>
          <w:rFonts w:ascii="Arial" w:hAnsi="Arial" w:cs="Arial"/>
          <w:sz w:val="24"/>
          <w:szCs w:val="24"/>
        </w:rPr>
      </w:pPr>
      <w:hyperlink r:id="rId7" w:history="1">
        <w:r w:rsidR="00C469E8" w:rsidRPr="00670D7D">
          <w:rPr>
            <w:rStyle w:val="Hyperlink"/>
            <w:rFonts w:ascii="Arial" w:hAnsi="Arial" w:cs="Arial"/>
            <w:sz w:val="24"/>
            <w:szCs w:val="24"/>
          </w:rPr>
          <w:t>https://www.lawcom.gov.uk/reformed-consumer-law-brings-new-protections/</w:t>
        </w:r>
      </w:hyperlink>
    </w:p>
    <w:p w:rsidR="00C469E8" w:rsidRPr="00C469E8" w:rsidRDefault="00DE7734" w:rsidP="00C469E8">
      <w:pPr>
        <w:jc w:val="both"/>
        <w:rPr>
          <w:rFonts w:ascii="Arial" w:hAnsi="Arial" w:cs="Arial"/>
          <w:sz w:val="24"/>
          <w:szCs w:val="24"/>
        </w:rPr>
      </w:pPr>
      <w:hyperlink r:id="rId8" w:history="1">
        <w:r w:rsidR="00C469E8" w:rsidRPr="00C469E8">
          <w:rPr>
            <w:rStyle w:val="Hyperlink"/>
            <w:rFonts w:ascii="Arial" w:hAnsi="Arial" w:cs="Arial"/>
            <w:sz w:val="24"/>
            <w:szCs w:val="24"/>
          </w:rPr>
          <w:t>www.legislation.gov</w:t>
        </w:r>
      </w:hyperlink>
      <w:r w:rsidR="00C469E8" w:rsidRPr="00C469E8">
        <w:rPr>
          <w:rFonts w:ascii="Arial" w:hAnsi="Arial" w:cs="Arial"/>
          <w:sz w:val="24"/>
          <w:szCs w:val="24"/>
        </w:rPr>
        <w:t xml:space="preserve"> </w:t>
      </w:r>
    </w:p>
    <w:p w:rsidR="00C469E8" w:rsidRPr="00670D7D" w:rsidRDefault="00DE7734" w:rsidP="00C469E8">
      <w:pPr>
        <w:jc w:val="both"/>
        <w:rPr>
          <w:rFonts w:ascii="Arial" w:hAnsi="Arial" w:cs="Arial"/>
          <w:sz w:val="24"/>
          <w:szCs w:val="24"/>
        </w:rPr>
      </w:pPr>
      <w:hyperlink r:id="rId9" w:history="1">
        <w:r w:rsidR="00C469E8" w:rsidRPr="00670D7D">
          <w:rPr>
            <w:rStyle w:val="Hyperlink"/>
            <w:rFonts w:ascii="Arial" w:hAnsi="Arial" w:cs="Arial"/>
            <w:sz w:val="24"/>
            <w:szCs w:val="24"/>
          </w:rPr>
          <w:t>https://researchbriefings.files.parliament.uk/documents/SN06588/SN06588.pdf</w:t>
        </w:r>
      </w:hyperlink>
      <w:r w:rsidR="00C469E8" w:rsidRPr="00670D7D">
        <w:rPr>
          <w:rFonts w:ascii="Arial" w:hAnsi="Arial" w:cs="Arial"/>
          <w:sz w:val="24"/>
          <w:szCs w:val="24"/>
        </w:rPr>
        <w:t xml:space="preserve"> </w:t>
      </w:r>
    </w:p>
    <w:p w:rsidR="00C469E8" w:rsidRDefault="00DE7734" w:rsidP="00C469E8">
      <w:hyperlink r:id="rId10" w:history="1">
        <w:r w:rsidR="00C469E8" w:rsidRPr="002D3E6C">
          <w:rPr>
            <w:rStyle w:val="Hyperlink"/>
            <w:rFonts w:ascii="Arial" w:hAnsi="Arial" w:cs="Arial"/>
            <w:sz w:val="24"/>
            <w:szCs w:val="24"/>
          </w:rPr>
          <w:t>https://www.taylorvinters.com/article/the-consumer-rights-act-2015-two-years-on-a-seismic-change-in-the-business-to-consumer-relationship</w:t>
        </w:r>
      </w:hyperlink>
    </w:p>
    <w:p w:rsidR="00C469E8" w:rsidRDefault="00C469E8"/>
    <w:p w:rsidR="00C469E8" w:rsidRDefault="00C469E8"/>
    <w:sectPr w:rsidR="00C469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BCB"/>
    <w:rsid w:val="002A5AAA"/>
    <w:rsid w:val="004B79FE"/>
    <w:rsid w:val="006C5E84"/>
    <w:rsid w:val="00C469E8"/>
    <w:rsid w:val="00CB4BCB"/>
    <w:rsid w:val="00D30B7C"/>
    <w:rsid w:val="00DE7734"/>
    <w:rsid w:val="00E01C4E"/>
    <w:rsid w:val="00E144E2"/>
    <w:rsid w:val="00F0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3D4B7"/>
  <w15:chartTrackingRefBased/>
  <w15:docId w15:val="{E9EC9C1D-C620-4558-97C6-D398497B2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4B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69E8"/>
    <w:rPr>
      <w:color w:val="0563C1" w:themeColor="hyperlink"/>
      <w:u w:val="single"/>
    </w:rPr>
  </w:style>
  <w:style w:type="character" w:styleId="UnresolvedMention">
    <w:name w:val="Unresolved Mention"/>
    <w:basedOn w:val="DefaultParagraphFont"/>
    <w:uiPriority w:val="99"/>
    <w:semiHidden/>
    <w:unhideWhenUsed/>
    <w:rsid w:val="00C469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 TargetMode="External"/><Relationship Id="rId3" Type="http://schemas.openxmlformats.org/officeDocument/2006/relationships/webSettings" Target="webSettings.xml"/><Relationship Id="rId7" Type="http://schemas.openxmlformats.org/officeDocument/2006/relationships/hyperlink" Target="https://www.lawcom.gov.uk/reformed-consumer-law-brings-new-protection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 TargetMode="External"/><Relationship Id="rId11" Type="http://schemas.openxmlformats.org/officeDocument/2006/relationships/fontTable" Target="fontTable.xml"/><Relationship Id="rId5" Type="http://schemas.openxmlformats.org/officeDocument/2006/relationships/hyperlink" Target="https://www.consumerrightsuk.com/consumerights2015" TargetMode="External"/><Relationship Id="rId10" Type="http://schemas.openxmlformats.org/officeDocument/2006/relationships/hyperlink" Target="https://www.taylorvinters.com/article/the-consumer-rights-act-2015-two-years-on-a-seismic-change-in-the-business-to-consumer-relationship" TargetMode="External"/><Relationship Id="rId4" Type="http://schemas.openxmlformats.org/officeDocument/2006/relationships/hyperlink" Target="https://doi.org/10.1093/jaenfo/jnv027" TargetMode="External"/><Relationship Id="rId9" Type="http://schemas.openxmlformats.org/officeDocument/2006/relationships/hyperlink" Target="https://researchbriefings.files.parliament.uk/documents/SN06588/SN0658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6</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3</cp:revision>
  <dcterms:created xsi:type="dcterms:W3CDTF">2022-05-06T15:02:00Z</dcterms:created>
  <dcterms:modified xsi:type="dcterms:W3CDTF">2022-05-06T18:42:00Z</dcterms:modified>
</cp:coreProperties>
</file>