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A40A0" w14:textId="2F869601" w:rsidR="009858EC" w:rsidRDefault="009858EC" w:rsidP="00AE42E2">
      <w:pPr>
        <w:pStyle w:val="ListParagraph"/>
        <w:numPr>
          <w:ilvl w:val="0"/>
          <w:numId w:val="10"/>
        </w:numPr>
      </w:pPr>
      <w:r>
        <w:t xml:space="preserve">Critically analyse how a freezing order may protect the interest of claimants and defendants </w:t>
      </w:r>
    </w:p>
    <w:p w14:paraId="4944CD51" w14:textId="2BE952B0" w:rsidR="0057105D" w:rsidRDefault="00FC3E11" w:rsidP="009858EC">
      <w:r>
        <w:t xml:space="preserve">A freezing injunction </w:t>
      </w:r>
      <w:r w:rsidR="009A0287">
        <w:t>is an</w:t>
      </w:r>
      <w:r w:rsidR="009B75FD">
        <w:t xml:space="preserve"> equitable remedy that</w:t>
      </w:r>
      <w:r>
        <w:t xml:space="preserve"> prohibits a party from disposing of or dealing with assets. </w:t>
      </w:r>
      <w:r w:rsidR="00A66594">
        <w:t>Generally,</w:t>
      </w:r>
      <w:r>
        <w:t xml:space="preserve"> such injunctions are sought to preserve a </w:t>
      </w:r>
      <w:r w:rsidR="00A66594">
        <w:t>defendant’s</w:t>
      </w:r>
      <w:r>
        <w:t xml:space="preserve"> assets until a judgement can be obtained from a criminal or civil litigation proceeding</w:t>
      </w:r>
      <w:r w:rsidR="009A682F">
        <w:t xml:space="preserve">, Davies, (2015). </w:t>
      </w:r>
      <w:r w:rsidR="00A66594">
        <w:t>The several types of assets that can be froze</w:t>
      </w:r>
      <w:r w:rsidR="00221875">
        <w:t>n</w:t>
      </w:r>
      <w:r w:rsidR="00A66594">
        <w:t xml:space="preserve"> include</w:t>
      </w:r>
      <w:r w:rsidR="00221875">
        <w:t>,</w:t>
      </w:r>
      <w:r w:rsidR="00A66594">
        <w:t xml:space="preserve"> bank accounts, shares, land, investments, motor vehicles so on.</w:t>
      </w:r>
      <w:r w:rsidR="0057105D">
        <w:t xml:space="preserve"> A freezing injunction </w:t>
      </w:r>
      <w:r w:rsidR="00513D6B">
        <w:t xml:space="preserve">application will often be made without notice, meaning that the party may not be aware of the </w:t>
      </w:r>
      <w:r w:rsidR="000763F3">
        <w:t>applicatio</w:t>
      </w:r>
      <w:r w:rsidR="00735A79">
        <w:t xml:space="preserve">n </w:t>
      </w:r>
      <w:r w:rsidR="00DE4538">
        <w:t xml:space="preserve">being made against them </w:t>
      </w:r>
      <w:r w:rsidR="00735A79">
        <w:t xml:space="preserve">or </w:t>
      </w:r>
      <w:r w:rsidR="00DE4538">
        <w:t xml:space="preserve">even </w:t>
      </w:r>
      <w:r w:rsidR="00735A79">
        <w:t xml:space="preserve">present at court. Without notice prevents the respondent </w:t>
      </w:r>
      <w:r w:rsidR="00916F63">
        <w:t xml:space="preserve">from dealing with the assets before a freezing junction is </w:t>
      </w:r>
      <w:r w:rsidR="00580B5C">
        <w:t>granted</w:t>
      </w:r>
      <w:r w:rsidR="005C72EB">
        <w:t xml:space="preserve">, Davies, (2015). </w:t>
      </w:r>
      <w:r w:rsidR="00B117E2">
        <w:t xml:space="preserve">This type of </w:t>
      </w:r>
      <w:r w:rsidR="000C2694">
        <w:t>injunction acts against the party its subject too, the defendant</w:t>
      </w:r>
      <w:r w:rsidR="00993345">
        <w:t xml:space="preserve"> like mentioned but t</w:t>
      </w:r>
      <w:r w:rsidR="000C2694">
        <w:t xml:space="preserve">here is also the possibility the injunction will be made against a third party that is holding assets on behalf of the potential defendant, like the bank or a trustee. </w:t>
      </w:r>
    </w:p>
    <w:p w14:paraId="728C90A6" w14:textId="2CD2E1F2" w:rsidR="00CC1D78" w:rsidRDefault="0041349B" w:rsidP="00DF5F0D">
      <w:r>
        <w:t>To</w:t>
      </w:r>
      <w:r w:rsidR="00B62CDA">
        <w:t xml:space="preserve"> obtain a freezing </w:t>
      </w:r>
      <w:r w:rsidR="00DC254F">
        <w:t>order,</w:t>
      </w:r>
      <w:r w:rsidR="00B62CDA">
        <w:t xml:space="preserve"> there are several criteria’s that </w:t>
      </w:r>
      <w:r w:rsidR="003110A3">
        <w:t>must</w:t>
      </w:r>
      <w:r w:rsidR="00B62CDA">
        <w:t xml:space="preserve"> be met</w:t>
      </w:r>
      <w:r w:rsidR="004B4E8C">
        <w:t xml:space="preserve"> by the applicants and tests </w:t>
      </w:r>
      <w:r w:rsidR="000267E5">
        <w:t xml:space="preserve">that are </w:t>
      </w:r>
      <w:r w:rsidR="004B4E8C">
        <w:t xml:space="preserve">applied by the courts to see if a case is worthy of </w:t>
      </w:r>
      <w:r w:rsidR="008119CB">
        <w:t>an order</w:t>
      </w:r>
      <w:r w:rsidR="00B62CDA">
        <w:t xml:space="preserve">. </w:t>
      </w:r>
      <w:r>
        <w:t>Firstly,</w:t>
      </w:r>
      <w:r w:rsidR="0009287A">
        <w:t xml:space="preserve"> </w:t>
      </w:r>
      <w:r w:rsidR="00EC0D97">
        <w:t xml:space="preserve">under section 37 of the Senior Courts Act </w:t>
      </w:r>
      <w:r w:rsidR="00527F77">
        <w:t>(</w:t>
      </w:r>
      <w:r w:rsidR="00EC0D97">
        <w:t>1981</w:t>
      </w:r>
      <w:r w:rsidR="00527F77">
        <w:t xml:space="preserve">), </w:t>
      </w:r>
      <w:r w:rsidR="003110A3">
        <w:t>an application will be refused if the cour</w:t>
      </w:r>
      <w:r w:rsidR="001160F3">
        <w:t>ts believe the order will cause unnecessary hardship to the defendant</w:t>
      </w:r>
      <w:r w:rsidR="00FF3C95">
        <w:t>,</w:t>
      </w:r>
      <w:r w:rsidR="00AC6C67">
        <w:t xml:space="preserve"> requiring</w:t>
      </w:r>
      <w:r w:rsidR="00FF3C95">
        <w:t xml:space="preserve"> the order </w:t>
      </w:r>
      <w:r w:rsidR="00807458">
        <w:t>to</w:t>
      </w:r>
      <w:r w:rsidR="00FF3C95">
        <w:t xml:space="preserve"> be ‘just and convenient’</w:t>
      </w:r>
      <w:r w:rsidR="00D2704B">
        <w:t>, Davies, (2015).</w:t>
      </w:r>
      <w:r w:rsidR="00EF63EA">
        <w:t xml:space="preserve"> Additionally,</w:t>
      </w:r>
      <w:r w:rsidR="00204EB0">
        <w:t xml:space="preserve"> </w:t>
      </w:r>
      <w:r w:rsidR="00EF63EA">
        <w:t>the overall conduct of the applicant will be considered, they should act reasonably, conscionable and without undue delay,</w:t>
      </w:r>
      <w:r w:rsidR="00EF63EA" w:rsidRPr="00D2704B">
        <w:t xml:space="preserve"> </w:t>
      </w:r>
      <w:r w:rsidR="00EF63EA">
        <w:t>Davies, (2015).</w:t>
      </w:r>
      <w:r w:rsidR="00D2704B">
        <w:t xml:space="preserve"> </w:t>
      </w:r>
      <w:r w:rsidR="00657660">
        <w:t>The applicant must also have a s</w:t>
      </w:r>
      <w:r w:rsidR="00355D13">
        <w:t xml:space="preserve">ubstantive cause </w:t>
      </w:r>
      <w:r w:rsidR="00EF63EA">
        <w:t xml:space="preserve">for </w:t>
      </w:r>
      <w:r w:rsidR="00355D13">
        <w:t>action against the respondent, this being a legal or equitable right</w:t>
      </w:r>
      <w:r w:rsidR="00F33832">
        <w:t>. T</w:t>
      </w:r>
      <w:r w:rsidR="00A078DA">
        <w:t>he courts must be satisfied that they have a</w:t>
      </w:r>
      <w:r w:rsidR="005B5367">
        <w:t xml:space="preserve"> </w:t>
      </w:r>
      <w:r w:rsidR="00AC382D">
        <w:t xml:space="preserve">strong </w:t>
      </w:r>
      <w:r w:rsidR="005B5367">
        <w:t>arguable case</w:t>
      </w:r>
      <w:r w:rsidR="00DA58B8">
        <w:t>, as well as, them having jurisdiction over the assets</w:t>
      </w:r>
      <w:r w:rsidR="00CC1D78">
        <w:t xml:space="preserve">. </w:t>
      </w:r>
      <w:r w:rsidR="00C65EF8">
        <w:t xml:space="preserve">Lastly, </w:t>
      </w:r>
      <w:r w:rsidR="006B448C">
        <w:t xml:space="preserve">the case of Third Chandris Shipping v Unimarnie (1979) set out </w:t>
      </w:r>
      <w:r w:rsidR="007B2594">
        <w:t>extra guidelines</w:t>
      </w:r>
      <w:r w:rsidR="009E306B">
        <w:t xml:space="preserve"> </w:t>
      </w:r>
      <w:r w:rsidR="007B2594">
        <w:t xml:space="preserve">for granting an injunction; </w:t>
      </w:r>
      <w:r w:rsidR="009E306B">
        <w:t xml:space="preserve">the plaintiff should make full and frank </w:t>
      </w:r>
      <w:r w:rsidR="00774CFE">
        <w:t xml:space="preserve">disclosure of all matter to their knowledge, while also giving particulars </w:t>
      </w:r>
      <w:r w:rsidR="00890452">
        <w:t>about their claim, for instance the ground</w:t>
      </w:r>
      <w:r w:rsidR="00124E65">
        <w:t>s</w:t>
      </w:r>
      <w:r w:rsidR="00890452">
        <w:t xml:space="preserve"> of which they are making an application</w:t>
      </w:r>
      <w:r w:rsidR="00E822C9">
        <w:t xml:space="preserve">. The applicant must prove </w:t>
      </w:r>
      <w:r w:rsidR="00C65EF8">
        <w:t xml:space="preserve">the existence of the </w:t>
      </w:r>
      <w:r w:rsidR="00A81728">
        <w:t xml:space="preserve">assets along with proof that there is a high possibility of the defendant disposing them, Davies, (2015). </w:t>
      </w:r>
    </w:p>
    <w:p w14:paraId="11CEF44F" w14:textId="55FD6296" w:rsidR="00835EE1" w:rsidRDefault="00246A92" w:rsidP="00DF5F0D">
      <w:r>
        <w:t xml:space="preserve">In the case of </w:t>
      </w:r>
      <w:r w:rsidR="00835EE1">
        <w:t>Metropolitan Housing Trust v Taylor (</w:t>
      </w:r>
      <w:r w:rsidR="00A64DA5">
        <w:t>2015</w:t>
      </w:r>
      <w:r w:rsidR="00835EE1">
        <w:t xml:space="preserve">) </w:t>
      </w:r>
      <w:r w:rsidR="00DA0871">
        <w:t xml:space="preserve">an applicant sought to establish a risk of dissipation through the </w:t>
      </w:r>
      <w:r w:rsidR="00707743">
        <w:t>respondent’s</w:t>
      </w:r>
      <w:r w:rsidR="00DA0871">
        <w:t xml:space="preserve"> allegedly dishonest conduct. </w:t>
      </w:r>
      <w:r w:rsidR="00707743">
        <w:t xml:space="preserve">Although it is sometimes possible to prove a risk of dissipation </w:t>
      </w:r>
      <w:r w:rsidR="00755529">
        <w:t>this</w:t>
      </w:r>
      <w:r w:rsidR="009E65A6">
        <w:t xml:space="preserve"> way</w:t>
      </w:r>
      <w:r w:rsidR="00755529">
        <w:t>, the court held the mere assertion of dishonestly wasn’t enough</w:t>
      </w:r>
      <w:r w:rsidR="00DD526D">
        <w:t xml:space="preserve">, Brook, (2021). </w:t>
      </w:r>
      <w:r w:rsidR="009E65A6">
        <w:t>The judge</w:t>
      </w:r>
      <w:r w:rsidR="00E57939">
        <w:t xml:space="preserve"> stated that</w:t>
      </w:r>
      <w:r w:rsidR="009E65A6">
        <w:t xml:space="preserve">: </w:t>
      </w:r>
    </w:p>
    <w:p w14:paraId="20D4E577" w14:textId="216796DF" w:rsidR="00E57939" w:rsidRDefault="00CD7099" w:rsidP="00DD1881">
      <w:r w:rsidRPr="00DD1881">
        <w:rPr>
          <w:i/>
          <w:iCs/>
        </w:rPr>
        <w:t>“Where</w:t>
      </w:r>
      <w:r w:rsidR="00E57939" w:rsidRPr="00DD1881">
        <w:rPr>
          <w:i/>
          <w:iCs/>
        </w:rPr>
        <w:t xml:space="preserve"> alleged dishonesty is relied on… in support of a risk of </w:t>
      </w:r>
      <w:r w:rsidRPr="00DD1881">
        <w:rPr>
          <w:i/>
          <w:iCs/>
        </w:rPr>
        <w:t>dissipation</w:t>
      </w:r>
      <w:r w:rsidR="00E57939" w:rsidRPr="00DD1881">
        <w:rPr>
          <w:i/>
          <w:iCs/>
        </w:rPr>
        <w:t xml:space="preserve">, it is important to consider weather a good arguable case of </w:t>
      </w:r>
      <w:r w:rsidRPr="00DD1881">
        <w:rPr>
          <w:i/>
          <w:iCs/>
        </w:rPr>
        <w:t>dishonesty is established in relation to the conduct relied on. If not, that conduct is not relevant to the argument that there is risk of dissipation”</w:t>
      </w:r>
      <w:r w:rsidR="00DD1881" w:rsidRPr="00DD1881">
        <w:rPr>
          <w:i/>
          <w:iCs/>
        </w:rPr>
        <w:t>,</w:t>
      </w:r>
      <w:r w:rsidR="00DD1881">
        <w:t xml:space="preserve"> Davies, (2015).</w:t>
      </w:r>
    </w:p>
    <w:p w14:paraId="1C2EFF44" w14:textId="5EB93446" w:rsidR="007B6DE1" w:rsidRDefault="00736AA3" w:rsidP="00DF5F0D">
      <w:r>
        <w:t xml:space="preserve">For an applicant to </w:t>
      </w:r>
      <w:r w:rsidR="00EE41DD">
        <w:t xml:space="preserve">convince the court that there is a real risk of dissipation, the applicants need to </w:t>
      </w:r>
      <w:r w:rsidR="00A81728">
        <w:t>present</w:t>
      </w:r>
      <w:r w:rsidR="00EE41DD">
        <w:t xml:space="preserve"> solid </w:t>
      </w:r>
      <w:r w:rsidR="00EF63EA">
        <w:t xml:space="preserve">evidence </w:t>
      </w:r>
      <w:r w:rsidR="00A81728">
        <w:t xml:space="preserve">that </w:t>
      </w:r>
      <w:r w:rsidR="003258E5">
        <w:t>the defendant will do so</w:t>
      </w:r>
      <w:r w:rsidR="00642380">
        <w:t xml:space="preserve">, Salton- Brook, (2021). </w:t>
      </w:r>
      <w:r w:rsidR="0058313F">
        <w:t xml:space="preserve">Some </w:t>
      </w:r>
      <w:r w:rsidR="007C1725">
        <w:t xml:space="preserve">factors that may be used to show </w:t>
      </w:r>
      <w:r w:rsidR="00586F83">
        <w:t xml:space="preserve">a risk of dissipation are as follows: </w:t>
      </w:r>
      <w:r w:rsidR="006166CC">
        <w:t xml:space="preserve">the ease of which the assets could be disposed of, the financial standing of the </w:t>
      </w:r>
      <w:r w:rsidR="00BD5088">
        <w:t xml:space="preserve">respondent, </w:t>
      </w:r>
      <w:r w:rsidR="00AC4319">
        <w:t>whether the defendant has a business</w:t>
      </w:r>
      <w:r w:rsidR="0067104E">
        <w:t>, how well established and reputable is it</w:t>
      </w:r>
      <w:r w:rsidR="00160504">
        <w:t>? W</w:t>
      </w:r>
      <w:r w:rsidR="00746E07">
        <w:t>ould it make enforcement more difficult</w:t>
      </w:r>
      <w:r w:rsidR="00160504">
        <w:t xml:space="preserve">? </w:t>
      </w:r>
      <w:r w:rsidR="00E85246">
        <w:t>Where is the business based? There is always a higher risk of d</w:t>
      </w:r>
      <w:r w:rsidR="00910B8E">
        <w:t>issipation from those domiciled or incorporated abroad</w:t>
      </w:r>
      <w:r w:rsidR="00DD526D">
        <w:t xml:space="preserve">, Brook, (2021). </w:t>
      </w:r>
      <w:r w:rsidR="00910B8E">
        <w:t xml:space="preserve"> </w:t>
      </w:r>
      <w:r w:rsidR="00E06FF3">
        <w:t>A</w:t>
      </w:r>
      <w:r w:rsidR="008D0BC7">
        <w:t xml:space="preserve">s mentioned previously, </w:t>
      </w:r>
      <w:r w:rsidR="00160504">
        <w:t>the defendant’s behaviour</w:t>
      </w:r>
      <w:r w:rsidR="00330FBD">
        <w:t xml:space="preserve"> is considered</w:t>
      </w:r>
      <w:r w:rsidR="00E728FA">
        <w:t xml:space="preserve">, the applicant </w:t>
      </w:r>
      <w:r w:rsidR="00B26093">
        <w:t>must</w:t>
      </w:r>
      <w:r w:rsidR="00E728FA">
        <w:t xml:space="preserve"> bring more than just an allegation of dishonesty, they can consider other factors like, </w:t>
      </w:r>
      <w:r w:rsidR="006228D0">
        <w:t>how have they responded to the claims?</w:t>
      </w:r>
      <w:r w:rsidR="00DE7A98">
        <w:t xml:space="preserve"> How long did it take? Is</w:t>
      </w:r>
      <w:r w:rsidR="006A6814">
        <w:t xml:space="preserve"> there</w:t>
      </w:r>
      <w:r w:rsidR="00DE7A98">
        <w:t xml:space="preserve"> any previous</w:t>
      </w:r>
      <w:r w:rsidR="006A6814">
        <w:t xml:space="preserve"> evidence of dishonestly especially regarding </w:t>
      </w:r>
      <w:r w:rsidR="009501B6">
        <w:t xml:space="preserve">assets? Davies, (2015). </w:t>
      </w:r>
      <w:r w:rsidR="00016AA5">
        <w:t>All</w:t>
      </w:r>
      <w:r w:rsidR="00DE7A98">
        <w:t xml:space="preserve"> these things will help solidify the idea that the </w:t>
      </w:r>
      <w:r w:rsidR="00016AA5">
        <w:t xml:space="preserve">defendant may dissipate said assets. </w:t>
      </w:r>
    </w:p>
    <w:p w14:paraId="625883F3" w14:textId="3D74EFFE" w:rsidR="00063C96" w:rsidRDefault="00B74F3D" w:rsidP="00DF5F0D">
      <w:r>
        <w:t xml:space="preserve">On some occasions </w:t>
      </w:r>
      <w:r w:rsidR="00EB073C">
        <w:t xml:space="preserve">the applicant cannot provide </w:t>
      </w:r>
      <w:r w:rsidR="00B6480C">
        <w:t xml:space="preserve">all the necessary information as they are </w:t>
      </w:r>
      <w:r w:rsidR="00951756">
        <w:t>un</w:t>
      </w:r>
      <w:r w:rsidR="00B6480C">
        <w:t>aware of the extent</w:t>
      </w:r>
      <w:r w:rsidR="002A3B4C">
        <w:t xml:space="preserve">, nature of, or whereabouts of the </w:t>
      </w:r>
      <w:r w:rsidR="0054147A">
        <w:t>respondent’s</w:t>
      </w:r>
      <w:r w:rsidR="002A3B4C">
        <w:t xml:space="preserve"> assets</w:t>
      </w:r>
      <w:r w:rsidR="00112475">
        <w:t>,</w:t>
      </w:r>
      <w:r w:rsidR="00D86C21" w:rsidRPr="00D86C21">
        <w:t xml:space="preserve"> </w:t>
      </w:r>
      <w:r w:rsidR="00D86C21">
        <w:t>Brumby,</w:t>
      </w:r>
      <w:r w:rsidR="005F0E18">
        <w:t xml:space="preserve"> </w:t>
      </w:r>
      <w:r w:rsidR="00D86C21">
        <w:t>(2015).</w:t>
      </w:r>
      <w:r w:rsidR="00112475">
        <w:t xml:space="preserve"> </w:t>
      </w:r>
      <w:r w:rsidR="006E0BB8">
        <w:t xml:space="preserve">In these </w:t>
      </w:r>
      <w:r w:rsidR="006E0BB8">
        <w:lastRenderedPageBreak/>
        <w:t xml:space="preserve">circumstances </w:t>
      </w:r>
      <w:r w:rsidR="005E28EB">
        <w:t xml:space="preserve">additional orders can be </w:t>
      </w:r>
      <w:r w:rsidR="00143FAE">
        <w:t>granted</w:t>
      </w:r>
      <w:r w:rsidR="005E28EB">
        <w:t xml:space="preserve"> </w:t>
      </w:r>
      <w:r w:rsidR="00756607">
        <w:t xml:space="preserve">that would </w:t>
      </w:r>
      <w:r w:rsidR="00143FAE">
        <w:t>acquire</w:t>
      </w:r>
      <w:r w:rsidR="00756607">
        <w:t xml:space="preserve"> the </w:t>
      </w:r>
      <w:r w:rsidR="00143FAE">
        <w:t xml:space="preserve">needed </w:t>
      </w:r>
      <w:r w:rsidR="00756607">
        <w:t xml:space="preserve">information from the respondent, some include: an order for the </w:t>
      </w:r>
      <w:r w:rsidR="00345784">
        <w:t>disclose of documents about the assets, an order that the respondent be cross-examined</w:t>
      </w:r>
      <w:r w:rsidR="003563FA">
        <w:t xml:space="preserve"> about them</w:t>
      </w:r>
      <w:r w:rsidR="00E4253D">
        <w:t>, there is also a passport order</w:t>
      </w:r>
      <w:r w:rsidR="00803A26">
        <w:t xml:space="preserve"> that</w:t>
      </w:r>
      <w:r w:rsidR="00E4253D">
        <w:t xml:space="preserve"> </w:t>
      </w:r>
      <w:r w:rsidR="00063C96">
        <w:t xml:space="preserve">requires them to provide </w:t>
      </w:r>
      <w:r w:rsidR="00503B4A">
        <w:t xml:space="preserve">a </w:t>
      </w:r>
      <w:r w:rsidR="00063C96">
        <w:t xml:space="preserve">passport </w:t>
      </w:r>
      <w:r w:rsidR="00AE4A9B">
        <w:t>and any other travel document</w:t>
      </w:r>
      <w:r w:rsidR="00503B4A">
        <w:t>,</w:t>
      </w:r>
      <w:r w:rsidR="00AE4A9B">
        <w:t xml:space="preserve"> prohibiting them from leaving th</w:t>
      </w:r>
      <w:r w:rsidR="00503B4A">
        <w:t>at</w:t>
      </w:r>
      <w:r w:rsidR="00AE4A9B">
        <w:t xml:space="preserve"> jurisdiction</w:t>
      </w:r>
      <w:r w:rsidR="00EA58C1">
        <w:t xml:space="preserve">. </w:t>
      </w:r>
      <w:r w:rsidR="005E74C5">
        <w:t xml:space="preserve">They respondent may also be required to appoint a receiver to deal with their </w:t>
      </w:r>
      <w:r w:rsidR="008F4F0E">
        <w:t>assets or</w:t>
      </w:r>
      <w:r w:rsidR="00503B4A">
        <w:t xml:space="preserve"> given a</w:t>
      </w:r>
      <w:r w:rsidR="00F75E02">
        <w:t xml:space="preserve">n order that </w:t>
      </w:r>
      <w:r w:rsidR="004F1956">
        <w:t>entails signing a document that authorise</w:t>
      </w:r>
      <w:r w:rsidR="008F4F0E">
        <w:t>s</w:t>
      </w:r>
      <w:r w:rsidR="00525566">
        <w:t xml:space="preserve"> bank details and lastly a search order</w:t>
      </w:r>
      <w:r w:rsidR="00112475">
        <w:t xml:space="preserve">, </w:t>
      </w:r>
      <w:r w:rsidR="00D86C21">
        <w:t>Brumby,</w:t>
      </w:r>
      <w:r w:rsidR="005F0E18">
        <w:t xml:space="preserve"> </w:t>
      </w:r>
      <w:r w:rsidR="00D86C21">
        <w:t>(2015).</w:t>
      </w:r>
    </w:p>
    <w:p w14:paraId="0D4ED306" w14:textId="6DB79334" w:rsidR="00DA7BB1" w:rsidRDefault="00B26093" w:rsidP="009858EC">
      <w:r>
        <w:t>As mentioned previously</w:t>
      </w:r>
      <w:r w:rsidR="00CE39F3">
        <w:t xml:space="preserve"> a </w:t>
      </w:r>
      <w:r w:rsidR="00925827">
        <w:t xml:space="preserve">criterion </w:t>
      </w:r>
      <w:r w:rsidR="00CE39F3">
        <w:t>for an application to meet is that the assets are within the court’s jurisdiction. However, t</w:t>
      </w:r>
      <w:r w:rsidR="00016AA5">
        <w:t>here</w:t>
      </w:r>
      <w:r w:rsidR="00DF5F0D">
        <w:t xml:space="preserve"> is always the possibility that the assets that wish to be frozen are outside</w:t>
      </w:r>
      <w:r w:rsidR="005364E7">
        <w:t xml:space="preserve"> of it</w:t>
      </w:r>
      <w:r w:rsidR="00DF5F0D">
        <w:t>, that’s when a worldwide freezing order (WFO) comes in</w:t>
      </w:r>
      <w:r w:rsidR="00925827">
        <w:t>to use</w:t>
      </w:r>
      <w:r w:rsidR="00D67E36">
        <w:t xml:space="preserve">, Gare, (2019). </w:t>
      </w:r>
      <w:r w:rsidR="00DF5F0D">
        <w:t xml:space="preserve"> </w:t>
      </w:r>
      <w:r w:rsidR="00925827">
        <w:t>T</w:t>
      </w:r>
      <w:r w:rsidR="00DF5F0D">
        <w:t>his injunction extents to assets that are located anywhere in the word. A WFO was used in the recent case of GML International v Hardfield (2020). The High Court granted an application for a WFO, after the debtor’s dishonesty during the trail created a significant risk that they would dispose of any assets, Butler, (2020)</w:t>
      </w:r>
      <w:r w:rsidR="009E09CC">
        <w:t xml:space="preserve">. There </w:t>
      </w:r>
      <w:r w:rsidR="00725BBF">
        <w:t xml:space="preserve">are some additional evidential difficulties in obtaining and enforcing a WFO, consequently the Court of Appeal </w:t>
      </w:r>
      <w:r w:rsidR="00257D70">
        <w:t>has created new guidelines for the courts on how they should exercise their discretion</w:t>
      </w:r>
      <w:r w:rsidR="001E41E3">
        <w:t xml:space="preserve"> of permitting a WFO. </w:t>
      </w:r>
      <w:r w:rsidR="00F01C3A">
        <w:t>T</w:t>
      </w:r>
      <w:r w:rsidR="00BC71A3">
        <w:t xml:space="preserve">he case of Dadourian Group v Simms (2006) </w:t>
      </w:r>
      <w:r w:rsidR="00F01C3A">
        <w:t>set out</w:t>
      </w:r>
      <w:r w:rsidR="002C6ABE">
        <w:t xml:space="preserve"> how these guidelines are likely to apply in practice</w:t>
      </w:r>
      <w:r w:rsidR="002363E2">
        <w:t xml:space="preserve">, Hermit Smith Freehills, (2006). </w:t>
      </w:r>
      <w:r w:rsidR="00413D75">
        <w:t xml:space="preserve">A few examples </w:t>
      </w:r>
      <w:r w:rsidR="00092330">
        <w:t>include</w:t>
      </w:r>
      <w:r w:rsidR="00413D75">
        <w:t xml:space="preserve"> </w:t>
      </w:r>
      <w:r w:rsidR="00BD785D">
        <w:t xml:space="preserve">a </w:t>
      </w:r>
      <w:r w:rsidR="006109B5">
        <w:t xml:space="preserve">grant of permission to enforce a WFO </w:t>
      </w:r>
      <w:r w:rsidR="004A2BB3">
        <w:t xml:space="preserve">should be just and convenient, this </w:t>
      </w:r>
      <w:r w:rsidR="00F12564">
        <w:t>ensures</w:t>
      </w:r>
      <w:r w:rsidR="004A2BB3">
        <w:t xml:space="preserve"> the effectiveness </w:t>
      </w:r>
      <w:r w:rsidR="00F27EB4">
        <w:t>of it</w:t>
      </w:r>
      <w:r w:rsidR="004A2BB3">
        <w:t xml:space="preserve">. It should also not be oppressive to the parties involved </w:t>
      </w:r>
      <w:r w:rsidR="00F12564">
        <w:t>in the English proceedings</w:t>
      </w:r>
      <w:r w:rsidR="00F27EB4">
        <w:t xml:space="preserve"> or </w:t>
      </w:r>
      <w:r w:rsidR="00083443">
        <w:t xml:space="preserve">any third parties involved. Secondly, </w:t>
      </w:r>
      <w:r w:rsidR="00A62569">
        <w:t>the</w:t>
      </w:r>
      <w:r w:rsidR="00DD4B9F">
        <w:t xml:space="preserve"> evidence in support of the application should contain all the information necessary to allow the judge to reach an informed decision. </w:t>
      </w:r>
      <w:r w:rsidR="00E75FC5">
        <w:t>Finally</w:t>
      </w:r>
      <w:r w:rsidR="00587337">
        <w:t>, the interest of the application should be</w:t>
      </w:r>
      <w:r w:rsidR="00E75FC5">
        <w:t xml:space="preserve"> </w:t>
      </w:r>
      <w:r w:rsidR="002B6708">
        <w:t>balanced</w:t>
      </w:r>
      <w:r w:rsidR="00587337">
        <w:t xml:space="preserve"> against the interest of the other parties in the proceedings</w:t>
      </w:r>
      <w:r w:rsidR="0089480E">
        <w:t xml:space="preserve">, Hermit Smith Freehills, (2006). </w:t>
      </w:r>
    </w:p>
    <w:p w14:paraId="206E0CBB" w14:textId="203C3456" w:rsidR="00353710" w:rsidRDefault="00986423" w:rsidP="00353710">
      <w:r>
        <w:t>There are several factors that</w:t>
      </w:r>
      <w:r w:rsidR="00DE4175">
        <w:t xml:space="preserve"> the applicant </w:t>
      </w:r>
      <w:r w:rsidR="002B6708">
        <w:t>needs to</w:t>
      </w:r>
      <w:r w:rsidR="00DE4175">
        <w:t xml:space="preserve"> consider </w:t>
      </w:r>
      <w:r w:rsidR="00996BF9">
        <w:t xml:space="preserve">and be aware of </w:t>
      </w:r>
      <w:r w:rsidR="00DE4175">
        <w:t xml:space="preserve">when </w:t>
      </w:r>
      <w:r w:rsidR="00487FE7">
        <w:t xml:space="preserve">applying for a freezing order. </w:t>
      </w:r>
      <w:r w:rsidR="00665855">
        <w:t xml:space="preserve">Firstly, </w:t>
      </w:r>
      <w:r w:rsidR="006A19C7">
        <w:t>obtaining a freezing injunction can be an expensive process, so the applicant should be made clear of the cost</w:t>
      </w:r>
      <w:r w:rsidR="00C97E32">
        <w:t>s</w:t>
      </w:r>
      <w:r w:rsidR="00670816">
        <w:t xml:space="preserve">. </w:t>
      </w:r>
      <w:r w:rsidR="00B71F27">
        <w:t>The level of the costs will be affected by the urgency of the application, the number of witnesses involved</w:t>
      </w:r>
      <w:r w:rsidR="00F832FA">
        <w:t xml:space="preserve"> and whether the matter is with or without notice</w:t>
      </w:r>
      <w:r w:rsidR="00353710">
        <w:t>, Noren, (2009</w:t>
      </w:r>
      <w:r w:rsidR="00AA2CA2">
        <w:t>). They</w:t>
      </w:r>
      <w:r w:rsidR="0064490B">
        <w:t xml:space="preserve"> also have the obligation to give full and </w:t>
      </w:r>
      <w:r w:rsidR="005C16FA">
        <w:t>f</w:t>
      </w:r>
      <w:r w:rsidR="0064490B">
        <w:t xml:space="preserve">rank disclosure of relevant information to the court. </w:t>
      </w:r>
      <w:r w:rsidR="00CF4020">
        <w:t xml:space="preserve">Its not </w:t>
      </w:r>
      <w:r w:rsidR="00CF713A">
        <w:t xml:space="preserve">for the applicant to decide what information the court needs, so </w:t>
      </w:r>
      <w:r w:rsidR="00F82710">
        <w:t>again t</w:t>
      </w:r>
      <w:r w:rsidR="00CF713A">
        <w:t>hey shoul</w:t>
      </w:r>
      <w:r w:rsidR="002B68EB">
        <w:t>d disclose all facts and information</w:t>
      </w:r>
      <w:r w:rsidR="00FE12A9">
        <w:t xml:space="preserve">, this is due to </w:t>
      </w:r>
      <w:r w:rsidR="004A4F1D">
        <w:t>most</w:t>
      </w:r>
      <w:r w:rsidR="00FE12A9">
        <w:t xml:space="preserve"> applications being made without notice. </w:t>
      </w:r>
      <w:r w:rsidR="00EF1A11">
        <w:t xml:space="preserve"> </w:t>
      </w:r>
      <w:r w:rsidR="007361C5">
        <w:t>If the applicant fails to comply with the duty of full and frank disclosure, there is a ri</w:t>
      </w:r>
      <w:r w:rsidR="00DC5F36">
        <w:t>sk</w:t>
      </w:r>
      <w:r w:rsidR="007361C5">
        <w:t xml:space="preserve"> that the respondent may successfully apply to have </w:t>
      </w:r>
      <w:r w:rsidR="00DC5F36">
        <w:t>the order discharged</w:t>
      </w:r>
      <w:r w:rsidR="003B3239">
        <w:t xml:space="preserve"> and be awa</w:t>
      </w:r>
      <w:r w:rsidR="00A902B4">
        <w:t>rded</w:t>
      </w:r>
      <w:r w:rsidR="003B3239">
        <w:t xml:space="preserve"> costs on an indemnity basis</w:t>
      </w:r>
      <w:r w:rsidR="00353710">
        <w:t>,</w:t>
      </w:r>
      <w:r w:rsidR="00670816">
        <w:t xml:space="preserve"> </w:t>
      </w:r>
      <w:r w:rsidR="00353710">
        <w:t>Noren, (2009).</w:t>
      </w:r>
    </w:p>
    <w:p w14:paraId="154FCFFF" w14:textId="777413E7" w:rsidR="00C73642" w:rsidRDefault="00CF721F" w:rsidP="00C863B4">
      <w:r>
        <w:t>There are numerous opportunities for an application of a freezing injunction to be</w:t>
      </w:r>
      <w:r w:rsidR="00467AD9">
        <w:t xml:space="preserve"> created</w:t>
      </w:r>
      <w:r>
        <w:t>. The most common is one made prior to court proceedings, as an application will help prevent the other party from disposing those assets before a judgement is obtained. One can also be obtained during the proceedings or after a judgement is made. In any case, it’s important that the applicant acts swiftly because the court will take into consideration any undue delays</w:t>
      </w:r>
      <w:r w:rsidR="009018EF">
        <w:t>, Sheeley, (2015)</w:t>
      </w:r>
      <w:r w:rsidR="00AA0B9F">
        <w:t xml:space="preserve"> </w:t>
      </w:r>
      <w:r w:rsidR="00EA1C43">
        <w:t xml:space="preserve">A common misconception is that an injunction is only for </w:t>
      </w:r>
      <w:r w:rsidR="00943DD0">
        <w:t>the</w:t>
      </w:r>
      <w:r w:rsidR="00EA1C43">
        <w:t xml:space="preserve"> claimant, but in fact a defendant</w:t>
      </w:r>
      <w:r w:rsidR="00FA3683">
        <w:t xml:space="preserve"> </w:t>
      </w:r>
      <w:r w:rsidR="00EA1C43">
        <w:t>can seek a freezing order</w:t>
      </w:r>
      <w:r w:rsidR="000E7B31">
        <w:t xml:space="preserve"> too.</w:t>
      </w:r>
      <w:r w:rsidR="00AA0B9F">
        <w:t xml:space="preserve"> </w:t>
      </w:r>
      <w:r w:rsidR="0042063C">
        <w:t>I</w:t>
      </w:r>
      <w:r w:rsidR="000E7B31">
        <w:t xml:space="preserve">f </w:t>
      </w:r>
      <w:r w:rsidR="00297493">
        <w:t xml:space="preserve">the application is being sought by a </w:t>
      </w:r>
      <w:r w:rsidR="00514242">
        <w:t>defendant,</w:t>
      </w:r>
      <w:r w:rsidR="00297493">
        <w:t xml:space="preserve"> he cannot make the application until after he made an</w:t>
      </w:r>
      <w:r w:rsidR="00514242">
        <w:t xml:space="preserve"> acknowledgement of service of defence</w:t>
      </w:r>
      <w:r w:rsidR="00C863B4">
        <w:t xml:space="preserve">, Sheeley, (2015). </w:t>
      </w:r>
      <w:r w:rsidR="00C30064">
        <w:t xml:space="preserve">After filing an </w:t>
      </w:r>
      <w:r w:rsidR="00874005">
        <w:t xml:space="preserve">acknowledgment of </w:t>
      </w:r>
      <w:r w:rsidR="001D10C5">
        <w:t>service,</w:t>
      </w:r>
      <w:r w:rsidR="00874005">
        <w:t xml:space="preserve"> the defendant may apply for an interim remedy</w:t>
      </w:r>
      <w:r w:rsidR="00CD2391">
        <w:t>, unde</w:t>
      </w:r>
      <w:r w:rsidR="00AB71BC">
        <w:t>3</w:t>
      </w:r>
      <w:r w:rsidR="00CD2391">
        <w:t xml:space="preserve"> the C</w:t>
      </w:r>
      <w:r w:rsidR="00AB71BC">
        <w:t xml:space="preserve">ivil Procedure Rules section 25, </w:t>
      </w:r>
      <w:r w:rsidR="00D71AA5">
        <w:t>this is seen in the American Cyanamid Co v Ethicon Ltd 1975</w:t>
      </w:r>
      <w:r w:rsidR="002D0502">
        <w:t xml:space="preserve"> case, </w:t>
      </w:r>
      <w:r w:rsidR="00AB71BC">
        <w:t xml:space="preserve">Sheeley, (2015). </w:t>
      </w:r>
    </w:p>
    <w:p w14:paraId="4CDF8FD2" w14:textId="2A7F0EE9" w:rsidR="0064490B" w:rsidRDefault="007B0FED" w:rsidP="009858EC">
      <w:r>
        <w:t xml:space="preserve">The duration of </w:t>
      </w:r>
      <w:r w:rsidR="00F81E43">
        <w:t>a freezing order often depends on whether the application was made with or without notice</w:t>
      </w:r>
      <w:r w:rsidR="00024DD7">
        <w:t xml:space="preserve">. Most of these injunctions like mentioned previously are made without notice, </w:t>
      </w:r>
      <w:r w:rsidR="005121D7">
        <w:t xml:space="preserve">hence </w:t>
      </w:r>
      <w:r w:rsidR="005121D7">
        <w:lastRenderedPageBreak/>
        <w:t xml:space="preserve">the order will only be granted until the return date </w:t>
      </w:r>
      <w:r w:rsidR="00BB1C27">
        <w:t xml:space="preserve">of </w:t>
      </w:r>
      <w:r w:rsidR="005121D7">
        <w:t>a full notice hearing</w:t>
      </w:r>
      <w:r w:rsidR="0023196B">
        <w:t xml:space="preserve">. This way the respondent has time to challenge the </w:t>
      </w:r>
      <w:r w:rsidR="00645A00">
        <w:t>order</w:t>
      </w:r>
      <w:r w:rsidR="00A712BB">
        <w:t xml:space="preserve">. </w:t>
      </w:r>
      <w:r w:rsidR="00645A00">
        <w:t xml:space="preserve">However, if the notice isn’t discharged </w:t>
      </w:r>
      <w:r w:rsidR="00597F14">
        <w:t>at the full hearing the order will continue</w:t>
      </w:r>
      <w:r w:rsidR="00AF047A">
        <w:t xml:space="preserve"> until judgement</w:t>
      </w:r>
      <w:r w:rsidR="00A712BB">
        <w:t xml:space="preserve">, Noren, (2009). </w:t>
      </w:r>
      <w:r w:rsidR="00AF047A">
        <w:t xml:space="preserve">Meaning </w:t>
      </w:r>
      <w:r w:rsidR="00AA5B94">
        <w:t xml:space="preserve">generally a freezing order will be granted for a period of 7 to 14 days, after this has expired </w:t>
      </w:r>
      <w:r w:rsidR="008933E1">
        <w:t>the court will convene again and may choose to extent the order</w:t>
      </w:r>
      <w:r w:rsidR="00C67664">
        <w:t>, Noren, (2009).</w:t>
      </w:r>
    </w:p>
    <w:p w14:paraId="3E673BCD" w14:textId="2CB2C4BE" w:rsidR="00CF782C" w:rsidRDefault="009A0287" w:rsidP="00CF782C">
      <w:pPr>
        <w:pStyle w:val="ListParagraph"/>
        <w:numPr>
          <w:ilvl w:val="0"/>
          <w:numId w:val="10"/>
        </w:numPr>
      </w:pPr>
      <w:r>
        <w:t xml:space="preserve">Discuss when the courts may make an order for specific performance </w:t>
      </w:r>
    </w:p>
    <w:p w14:paraId="3F13B65E" w14:textId="7CBF39BF" w:rsidR="009E6DA2" w:rsidRDefault="002E5C8C" w:rsidP="009858EC">
      <w:r>
        <w:t xml:space="preserve">Equity has developed </w:t>
      </w:r>
      <w:r w:rsidR="00A05501">
        <w:t xml:space="preserve">remedies </w:t>
      </w:r>
      <w:r>
        <w:t xml:space="preserve">that can be used when damages are not </w:t>
      </w:r>
      <w:r w:rsidR="00227AA9">
        <w:t xml:space="preserve">satisfactory </w:t>
      </w:r>
      <w:r w:rsidR="00857969">
        <w:t>enough,</w:t>
      </w:r>
      <w:r w:rsidR="009E6DA2">
        <w:t xml:space="preserve"> damages might be inade</w:t>
      </w:r>
      <w:r w:rsidR="00AF64BB">
        <w:t xml:space="preserve">quate where the justice of the case demands </w:t>
      </w:r>
      <w:r w:rsidR="00AA3B96">
        <w:t>more</w:t>
      </w:r>
      <w:r w:rsidR="00857969">
        <w:t xml:space="preserve"> or </w:t>
      </w:r>
      <w:r w:rsidR="00AA3B96">
        <w:t>the reward of damages for a particular case are too difficult to quantify</w:t>
      </w:r>
      <w:r w:rsidR="00857969">
        <w:t xml:space="preserve">, </w:t>
      </w:r>
      <w:r w:rsidR="00857969">
        <w:t>Saleem, (2015).</w:t>
      </w:r>
      <w:r w:rsidR="00FA55E8">
        <w:t xml:space="preserve"> </w:t>
      </w:r>
      <w:r w:rsidR="003A6C1C">
        <w:t xml:space="preserve">In the case of Wilson v Northampton and Banbury Junction Railway co (1874), </w:t>
      </w:r>
      <w:r w:rsidR="00F736BA">
        <w:t>confirms that</w:t>
      </w:r>
      <w:r w:rsidR="002E5D65">
        <w:t>:</w:t>
      </w:r>
      <w:r w:rsidR="0034640A">
        <w:t xml:space="preserve"> </w:t>
      </w:r>
    </w:p>
    <w:p w14:paraId="04AE7513" w14:textId="1DF53FE8" w:rsidR="002E5D65" w:rsidRDefault="002E5D65" w:rsidP="009858EC">
      <w:r w:rsidRPr="0034640A">
        <w:rPr>
          <w:i/>
          <w:iCs/>
        </w:rPr>
        <w:t>“</w:t>
      </w:r>
      <w:r w:rsidR="0034640A" w:rsidRPr="0034640A">
        <w:rPr>
          <w:i/>
          <w:iCs/>
        </w:rPr>
        <w:t>The</w:t>
      </w:r>
      <w:r w:rsidRPr="0034640A">
        <w:rPr>
          <w:i/>
          <w:iCs/>
        </w:rPr>
        <w:t xml:space="preserve"> purpose of equity was to do more perfect and complete</w:t>
      </w:r>
      <w:r w:rsidR="0034640A" w:rsidRPr="0034640A">
        <w:rPr>
          <w:i/>
          <w:iCs/>
        </w:rPr>
        <w:t xml:space="preserve"> justice than would be the case if the parties were left to their common law remedies”</w:t>
      </w:r>
      <w:r w:rsidR="00F11E29">
        <w:rPr>
          <w:i/>
          <w:iCs/>
        </w:rPr>
        <w:t xml:space="preserve">, </w:t>
      </w:r>
      <w:r w:rsidR="00F11E29">
        <w:t xml:space="preserve">Saleem, (2015). </w:t>
      </w:r>
    </w:p>
    <w:p w14:paraId="69DF6851" w14:textId="533F08D6" w:rsidR="004D6F18" w:rsidRDefault="00FA55E8" w:rsidP="00D17E27">
      <w:r>
        <w:t xml:space="preserve">Specific performance is one of the equitable remedies </w:t>
      </w:r>
      <w:r w:rsidR="00D17E27">
        <w:t xml:space="preserve">developed, it </w:t>
      </w:r>
      <w:r w:rsidR="00393293">
        <w:t>is a</w:t>
      </w:r>
      <w:r w:rsidR="00393293" w:rsidRPr="00393293">
        <w:t xml:space="preserve"> </w:t>
      </w:r>
      <w:r w:rsidR="00393293">
        <w:t>court order that during a legal proceeding requires a litigant to do something</w:t>
      </w:r>
      <w:r w:rsidR="009F55F0">
        <w:t>, a force of action that is used to complete a previous established transaction, in hopes to meet the needs of justice</w:t>
      </w:r>
      <w:r w:rsidR="007B3C82">
        <w:t xml:space="preserve">, </w:t>
      </w:r>
      <w:r w:rsidR="007B3C82">
        <w:t xml:space="preserve">Saleem, (2015). </w:t>
      </w:r>
    </w:p>
    <w:p w14:paraId="5841F849" w14:textId="349A817C" w:rsidR="0001466B" w:rsidRDefault="0001466B" w:rsidP="00D17E27">
      <w:r>
        <w:t>As mentioned previously, a specific performance remedy is usually granted when damages are an inadequate remedy. This is often the case when the matter of the contract is something unique or in short supply. This is evident in the case of Penn v Lord Baltimore (1750), where the uniqueness of the land meant that an order of damages was an insufficient remedy</w:t>
      </w:r>
      <w:r w:rsidR="007B3C82">
        <w:t xml:space="preserve">, </w:t>
      </w:r>
      <w:r w:rsidR="007B3C82">
        <w:t>Bryson, W., (1987).</w:t>
      </w:r>
      <w:r w:rsidR="007B3C82">
        <w:t xml:space="preserve"> </w:t>
      </w:r>
    </w:p>
    <w:p w14:paraId="09E204A4" w14:textId="4265E4EE" w:rsidR="002D2382" w:rsidRDefault="0032328D" w:rsidP="009858EC">
      <w:r>
        <w:t>E</w:t>
      </w:r>
      <w:r w:rsidR="00767FB3">
        <w:t>quitable</w:t>
      </w:r>
      <w:r w:rsidR="00974F88">
        <w:t xml:space="preserve"> remedies supplement</w:t>
      </w:r>
      <w:r w:rsidR="00767FB3">
        <w:t xml:space="preserve"> common law remedies, rather than compete with them. </w:t>
      </w:r>
      <w:r w:rsidR="00177B80">
        <w:t>Specific performance remedy has several identifiable features</w:t>
      </w:r>
      <w:r w:rsidR="00174B16">
        <w:t>.</w:t>
      </w:r>
      <w:r w:rsidR="00937D69">
        <w:t xml:space="preserve"> Firstly, the remedy is always </w:t>
      </w:r>
      <w:r w:rsidR="00937D69">
        <w:t>discretionary</w:t>
      </w:r>
      <w:r w:rsidR="008D2A8C">
        <w:t xml:space="preserve">, </w:t>
      </w:r>
      <w:r w:rsidR="004528AA">
        <w:t xml:space="preserve">meaning the </w:t>
      </w:r>
      <w:r w:rsidR="00C32D21">
        <w:t xml:space="preserve">court has a choice </w:t>
      </w:r>
      <w:r w:rsidR="003F0A68">
        <w:t>whether</w:t>
      </w:r>
      <w:r w:rsidR="00C32D21">
        <w:t xml:space="preserve"> to award the remedy</w:t>
      </w:r>
      <w:r w:rsidR="00A962E8">
        <w:t xml:space="preserve"> or not</w:t>
      </w:r>
      <w:r w:rsidR="00C203AB">
        <w:t xml:space="preserve">, the courts </w:t>
      </w:r>
      <w:r w:rsidR="00DE41A3">
        <w:t>discretion</w:t>
      </w:r>
      <w:r w:rsidR="0090426A">
        <w:t xml:space="preserve"> is</w:t>
      </w:r>
      <w:r w:rsidR="00AC67A5">
        <w:t xml:space="preserve"> exercised in line with established rules </w:t>
      </w:r>
      <w:r w:rsidR="002A2F65">
        <w:t>and principle.</w:t>
      </w:r>
      <w:r w:rsidR="00D52FB8">
        <w:t xml:space="preserve"> </w:t>
      </w:r>
      <w:r w:rsidR="008B35CA">
        <w:t>T</w:t>
      </w:r>
      <w:r w:rsidR="007B11B7">
        <w:t>hey also act ‘in personam’</w:t>
      </w:r>
      <w:r w:rsidR="00E86A41">
        <w:t xml:space="preserve">, </w:t>
      </w:r>
      <w:r w:rsidR="007B11B7">
        <w:t>they are personal and exercised against a specific individual</w:t>
      </w:r>
      <w:r w:rsidR="002D2382">
        <w:t xml:space="preserve">, </w:t>
      </w:r>
      <w:r w:rsidR="002D2382">
        <w:t>Bryson, W., (1987).</w:t>
      </w:r>
    </w:p>
    <w:p w14:paraId="4F8FEAAA" w14:textId="008DBE06" w:rsidR="00986D41" w:rsidRDefault="00EE7759" w:rsidP="009858EC">
      <w:r>
        <w:t xml:space="preserve">There are several factors that the court will consider before </w:t>
      </w:r>
      <w:r w:rsidR="00B21253">
        <w:t>granted a specific performance remedy</w:t>
      </w:r>
      <w:r w:rsidR="00FC7ADE">
        <w:t xml:space="preserve">. Firstly, </w:t>
      </w:r>
      <w:r w:rsidR="00E962B1">
        <w:t>they will look at the</w:t>
      </w:r>
      <w:r w:rsidR="00850377">
        <w:t xml:space="preserve"> structure of the</w:t>
      </w:r>
      <w:r w:rsidR="00E962B1">
        <w:t xml:space="preserve"> contract to see if the</w:t>
      </w:r>
      <w:r w:rsidR="00BE6AF4">
        <w:t xml:space="preserve"> </w:t>
      </w:r>
      <w:r w:rsidR="002D2382">
        <w:t>respondents’</w:t>
      </w:r>
      <w:r w:rsidR="00BE6AF4">
        <w:t xml:space="preserve"> obligations </w:t>
      </w:r>
      <w:r w:rsidR="001E7E74">
        <w:t xml:space="preserve">have </w:t>
      </w:r>
      <w:r w:rsidR="00BE6AF4">
        <w:t>been clearly defined</w:t>
      </w:r>
      <w:r w:rsidR="00174B16">
        <w:t xml:space="preserve">, Bray, (2017). </w:t>
      </w:r>
      <w:r w:rsidR="00702053">
        <w:t xml:space="preserve">The court will also consider the maxim ‘Equity will not act in vain”, meaning they must consider if the respondent can go through with the order against them, </w:t>
      </w:r>
      <w:r w:rsidR="00702053">
        <w:t>otherwise</w:t>
      </w:r>
      <w:r w:rsidR="00702053">
        <w:t xml:space="preserve"> it would be pointless</w:t>
      </w:r>
      <w:r w:rsidR="007E106E">
        <w:t xml:space="preserve">, </w:t>
      </w:r>
      <w:r w:rsidR="007E106E">
        <w:t>Bryson, W., (1987).</w:t>
      </w:r>
      <w:r w:rsidR="007E106E">
        <w:t xml:space="preserve"> </w:t>
      </w:r>
      <w:r w:rsidR="00263616">
        <w:t>This is seen in the case of Flight v Bolland (1828)</w:t>
      </w:r>
      <w:r w:rsidR="00165CB3">
        <w:t xml:space="preserve">, where the </w:t>
      </w:r>
      <w:r w:rsidR="008B2245">
        <w:t xml:space="preserve">respondent included an infant. </w:t>
      </w:r>
      <w:r w:rsidR="0001466B">
        <w:t xml:space="preserve">Likewise, the courts will </w:t>
      </w:r>
      <w:r w:rsidR="0008479A">
        <w:t xml:space="preserve">not order the remedy if the performance would require constant supervision by the court over </w:t>
      </w:r>
      <w:r w:rsidR="001E7E74">
        <w:t>a long time</w:t>
      </w:r>
      <w:r w:rsidR="00E61CCF">
        <w:t xml:space="preserve"> </w:t>
      </w:r>
      <w:r w:rsidR="00E61CCF">
        <w:t>Bray, (2017).</w:t>
      </w:r>
      <w:r w:rsidR="007B3C82">
        <w:t xml:space="preserve"> </w:t>
      </w:r>
      <w:r w:rsidR="007E106E">
        <w:t xml:space="preserve">Court will consider </w:t>
      </w:r>
      <w:r w:rsidR="00DC37FB">
        <w:t>if the enforcement of a specific performance injunction is fair, would the respondent suffer any hardship</w:t>
      </w:r>
      <w:r w:rsidR="00066259">
        <w:t>, this was seen in the case of Rainbow Estates Ltd v Token hold Ltd (1998), where there was significant un</w:t>
      </w:r>
      <w:r w:rsidR="005761CC">
        <w:t xml:space="preserve">fairness and injustice towards the defendant. </w:t>
      </w:r>
    </w:p>
    <w:p w14:paraId="062FA966" w14:textId="13EE48C8" w:rsidR="001E02F4" w:rsidRDefault="001E02F4" w:rsidP="001E02F4">
      <w:pPr>
        <w:jc w:val="center"/>
        <w:rPr>
          <w:u w:val="single"/>
        </w:rPr>
      </w:pPr>
      <w:r w:rsidRPr="001E02F4">
        <w:rPr>
          <w:u w:val="single"/>
        </w:rPr>
        <w:t>Reference list</w:t>
      </w:r>
    </w:p>
    <w:p w14:paraId="4A0535DF" w14:textId="77777777" w:rsidR="007B3C82" w:rsidRDefault="007B3C82" w:rsidP="009858EC">
      <w:r>
        <w:t xml:space="preserve">Bray, B., (2017). What is Specific Performance. Available at: </w:t>
      </w:r>
      <w:hyperlink r:id="rId7" w:history="1">
        <w:r w:rsidRPr="00FC4CFD">
          <w:rPr>
            <w:rStyle w:val="Hyperlink"/>
          </w:rPr>
          <w:t>https://www.braybray.co.uk/building-and-development-what-is-specific-performance/</w:t>
        </w:r>
      </w:hyperlink>
      <w:r>
        <w:t xml:space="preserve"> (Accessed: March 6</w:t>
      </w:r>
      <w:r w:rsidRPr="00ED4F68">
        <w:rPr>
          <w:vertAlign w:val="superscript"/>
        </w:rPr>
        <w:t>th</w:t>
      </w:r>
      <w:r>
        <w:t xml:space="preserve">, 2022). </w:t>
      </w:r>
    </w:p>
    <w:p w14:paraId="44F096B6" w14:textId="77777777" w:rsidR="007B3C82" w:rsidRDefault="007B3C82" w:rsidP="009858EC">
      <w:r>
        <w:t xml:space="preserve">Brumby, S., (2015). Document required in order to obtain a freezing injunction. Available at: </w:t>
      </w:r>
      <w:hyperlink r:id="rId8" w:history="1">
        <w:r w:rsidRPr="00D806DD">
          <w:rPr>
            <w:rStyle w:val="Hyperlink"/>
          </w:rPr>
          <w:t>https://www.franciswilksandjones.co.uk/documents-required-in-order-to-obtain-a-freezing-injunction/</w:t>
        </w:r>
      </w:hyperlink>
      <w:r>
        <w:t xml:space="preserve"> (Accessed: March 4</w:t>
      </w:r>
      <w:r w:rsidRPr="00D86C21">
        <w:rPr>
          <w:vertAlign w:val="superscript"/>
        </w:rPr>
        <w:t>th</w:t>
      </w:r>
      <w:r>
        <w:t xml:space="preserve"> 2022). </w:t>
      </w:r>
    </w:p>
    <w:p w14:paraId="5CD290C4" w14:textId="77777777" w:rsidR="007B3C82" w:rsidRDefault="007B3C82" w:rsidP="009858EC">
      <w:r>
        <w:t xml:space="preserve">Bryson, W., (1987). Equity and Equitable remedies. Available at: </w:t>
      </w:r>
      <w:hyperlink r:id="rId9" w:history="1">
        <w:r w:rsidRPr="00FC4CFD">
          <w:rPr>
            <w:rStyle w:val="Hyperlink"/>
          </w:rPr>
          <w:t>https://core.ac.uk/download/pdf/232765004.pdf</w:t>
        </w:r>
      </w:hyperlink>
      <w:r>
        <w:t xml:space="preserve"> (Accessed: March 6</w:t>
      </w:r>
      <w:r w:rsidRPr="00AF7A29">
        <w:rPr>
          <w:vertAlign w:val="superscript"/>
        </w:rPr>
        <w:t>th</w:t>
      </w:r>
      <w:r>
        <w:t xml:space="preserve">, 2022). </w:t>
      </w:r>
    </w:p>
    <w:p w14:paraId="1508A871" w14:textId="77777777" w:rsidR="007B3C82" w:rsidRPr="00EA73D9" w:rsidRDefault="007B3C82" w:rsidP="00EA73D9">
      <w:r>
        <w:lastRenderedPageBreak/>
        <w:t xml:space="preserve">Butler, E and Creasey A., (2020). Worldwide freezing orders: Are the courts warming to them? Available at: </w:t>
      </w:r>
      <w:r w:rsidRPr="00D90DCE">
        <w:t xml:space="preserve">https://www.lexology.com/library/detail.aspx?g=6a83e8c8-03ad-40fe-8023-b2bcea9ea6e5 </w:t>
      </w:r>
      <w:r>
        <w:t>(Accessed: March 1</w:t>
      </w:r>
      <w:r w:rsidRPr="003A2FDF">
        <w:rPr>
          <w:vertAlign w:val="superscript"/>
        </w:rPr>
        <w:t>st</w:t>
      </w:r>
      <w:r>
        <w:t xml:space="preserve">, 2022). </w:t>
      </w:r>
    </w:p>
    <w:p w14:paraId="0832A67C" w14:textId="77777777" w:rsidR="007B3C82" w:rsidRDefault="007B3C82" w:rsidP="009858EC">
      <w:r>
        <w:t xml:space="preserve">Davies, G., (2015). Freezing Orders: A Practical Guide. Available at: </w:t>
      </w:r>
      <w:hyperlink r:id="rId10" w:history="1">
        <w:r w:rsidRPr="00D806DD">
          <w:rPr>
            <w:rStyle w:val="Hyperlink"/>
          </w:rPr>
          <w:t>https://www.walkermorris.co.uk/publications/freezing-orders-a-practical-guide/</w:t>
        </w:r>
      </w:hyperlink>
      <w:r>
        <w:t xml:space="preserve"> (Accessed: March 1</w:t>
      </w:r>
      <w:r w:rsidRPr="00B0030E">
        <w:rPr>
          <w:vertAlign w:val="superscript"/>
        </w:rPr>
        <w:t>st</w:t>
      </w:r>
      <w:r>
        <w:t xml:space="preserve">, 2022). </w:t>
      </w:r>
    </w:p>
    <w:p w14:paraId="1A2995B3" w14:textId="77777777" w:rsidR="007B3C82" w:rsidRDefault="007B3C82" w:rsidP="009858EC">
      <w:r>
        <w:t xml:space="preserve">Gare, N., (2019). Freezing injunctions. Available at: </w:t>
      </w:r>
      <w:hyperlink r:id="rId11" w:history="1">
        <w:r w:rsidRPr="00D806DD">
          <w:rPr>
            <w:rStyle w:val="Hyperlink"/>
          </w:rPr>
          <w:t>http://www.hfw.com/downloads/001226-HFW-Client-Guide-Freezing-Injunctions.pdf</w:t>
        </w:r>
      </w:hyperlink>
      <w:r>
        <w:t xml:space="preserve"> (Accessed: March 3</w:t>
      </w:r>
      <w:r w:rsidRPr="00E12C38">
        <w:rPr>
          <w:vertAlign w:val="superscript"/>
        </w:rPr>
        <w:t>rd</w:t>
      </w:r>
      <w:r>
        <w:t xml:space="preserve">, 2022). </w:t>
      </w:r>
    </w:p>
    <w:p w14:paraId="4860C5C6" w14:textId="77777777" w:rsidR="007B3C82" w:rsidRDefault="007B3C82" w:rsidP="009858EC">
      <w:r>
        <w:t xml:space="preserve">Hermit Smith Freehills, (2006). Court of Appeal lays down new guidelines on seeking permission to enforce worldwide freezing orders overseas: the Dadourian Guidelines. Available: </w:t>
      </w:r>
      <w:hyperlink r:id="rId12" w:history="1">
        <w:r w:rsidRPr="00D806DD">
          <w:rPr>
            <w:rStyle w:val="Hyperlink"/>
          </w:rPr>
          <w:t>https://hsfnotes.com/litigation/2006/04/30/court-appeal-lays-guidelines-seeking-permission-enforce-worldwide-freezing-orders-overseas-dadourian-guidelines/</w:t>
        </w:r>
      </w:hyperlink>
      <w:r>
        <w:t xml:space="preserve"> (Accessed: March 1</w:t>
      </w:r>
      <w:r w:rsidRPr="002759F5">
        <w:rPr>
          <w:vertAlign w:val="superscript"/>
        </w:rPr>
        <w:t>st</w:t>
      </w:r>
      <w:r>
        <w:t xml:space="preserve"> 2022). </w:t>
      </w:r>
    </w:p>
    <w:p w14:paraId="43901D4A" w14:textId="77777777" w:rsidR="007B3C82" w:rsidRDefault="007B3C82" w:rsidP="009858EC">
      <w:proofErr w:type="spellStart"/>
      <w:r>
        <w:t>Noren</w:t>
      </w:r>
      <w:proofErr w:type="spellEnd"/>
      <w:r>
        <w:t xml:space="preserve">, A., (2009). Urgent Injunctions: How to obtain a freezing order. Available at: </w:t>
      </w:r>
      <w:hyperlink r:id="rId13" w:history="1">
        <w:r w:rsidRPr="00D806DD">
          <w:rPr>
            <w:rStyle w:val="Hyperlink"/>
          </w:rPr>
          <w:t>https://lexlaw.co.uk/urgent-injunctions-obtain-freezing-order-mareva-preserve-assets-litigation-solicitor-legal-advice/</w:t>
        </w:r>
      </w:hyperlink>
      <w:r>
        <w:t xml:space="preserve"> (Accessed: March 2</w:t>
      </w:r>
      <w:r w:rsidRPr="00C50259">
        <w:rPr>
          <w:vertAlign w:val="superscript"/>
        </w:rPr>
        <w:t>nd</w:t>
      </w:r>
      <w:r>
        <w:t xml:space="preserve"> 2022). </w:t>
      </w:r>
    </w:p>
    <w:p w14:paraId="0AC069FE" w14:textId="77777777" w:rsidR="007B3C82" w:rsidRDefault="007B3C82" w:rsidP="009858EC">
      <w:r>
        <w:t xml:space="preserve">Saleem, M, Ali, A and, Shah, M., (2015). Whether Specific Performance Should be Exceptional or Should the Court be more Willing to Grant It as a Remedy? Available at: </w:t>
      </w:r>
      <w:hyperlink r:id="rId14" w:history="1">
        <w:r w:rsidRPr="00FC4CFD">
          <w:rPr>
            <w:rStyle w:val="Hyperlink"/>
          </w:rPr>
          <w:t>https://www.textroad.com/pdf/JAEBS/J.%20Appl.%20Environ.%20Biol.%20Sci.,%205(4)68-71,%202015.pdf</w:t>
        </w:r>
      </w:hyperlink>
      <w:r>
        <w:t xml:space="preserve"> (Accessed: March 6</w:t>
      </w:r>
      <w:r w:rsidRPr="00F11E29">
        <w:rPr>
          <w:vertAlign w:val="superscript"/>
        </w:rPr>
        <w:t>th</w:t>
      </w:r>
      <w:r>
        <w:t xml:space="preserve">, 2022). </w:t>
      </w:r>
    </w:p>
    <w:p w14:paraId="12AEDB0A" w14:textId="77777777" w:rsidR="007B3C82" w:rsidRDefault="007B3C82" w:rsidP="009858EC">
      <w:r>
        <w:t xml:space="preserve">Salton- Brook, J, and Scott, N., (2021). Freezing injunctions- what is a real risk of dissipation? Available at: </w:t>
      </w:r>
      <w:hyperlink r:id="rId15" w:anchor=":~:text=A%20Test%20of%20Real%20Risk%20of%20Dissipation&amp;text=The%20wherewithal%20to%20easily%20move,a%20real%20risk%20of%20dissipation" w:history="1">
        <w:r w:rsidRPr="00D806DD">
          <w:rPr>
            <w:rStyle w:val="Hyperlink"/>
          </w:rPr>
          <w:t>https://www.blasermills.co.uk/insights/article/freezing-injunctions-what-is-a-real-risk-of-dissipation/#:~:text=A%20Test%20of%20Real%20Risk%20of%20Dissipation&amp;text=The%20wherewithal%20to%20easily%20move,a%20real%20risk%20of%20dissipation</w:t>
        </w:r>
      </w:hyperlink>
      <w:r w:rsidRPr="00642380">
        <w:t>.</w:t>
      </w:r>
      <w:r>
        <w:t xml:space="preserve"> (Accessed: March 3</w:t>
      </w:r>
      <w:r w:rsidRPr="00642380">
        <w:rPr>
          <w:vertAlign w:val="superscript"/>
        </w:rPr>
        <w:t>RD</w:t>
      </w:r>
      <w:r>
        <w:t xml:space="preserve"> 2022). </w:t>
      </w:r>
    </w:p>
    <w:p w14:paraId="5915D716" w14:textId="77777777" w:rsidR="007B3C82" w:rsidRDefault="007B3C82" w:rsidP="009858EC">
      <w:proofErr w:type="spellStart"/>
      <w:r>
        <w:t>Sheeley</w:t>
      </w:r>
      <w:proofErr w:type="spellEnd"/>
      <w:r>
        <w:t xml:space="preserve">, A., (2015). Freezing Injunctions. Available at: </w:t>
      </w:r>
      <w:hyperlink r:id="rId16" w:history="1">
        <w:r w:rsidRPr="00D806DD">
          <w:rPr>
            <w:rStyle w:val="Hyperlink"/>
          </w:rPr>
          <w:t>https://www.pinsentmasons.com/out-law/guides/freezing-injunctions</w:t>
        </w:r>
      </w:hyperlink>
      <w:r>
        <w:t xml:space="preserve"> (Accessed: March 3</w:t>
      </w:r>
      <w:r w:rsidRPr="00900694">
        <w:rPr>
          <w:vertAlign w:val="superscript"/>
        </w:rPr>
        <w:t>rd</w:t>
      </w:r>
      <w:r>
        <w:t xml:space="preserve">, 2022). </w:t>
      </w:r>
    </w:p>
    <w:p w14:paraId="6697B62D" w14:textId="77777777" w:rsidR="009858EC" w:rsidRPr="00FC3E11" w:rsidRDefault="009858EC" w:rsidP="009858EC">
      <w:pPr>
        <w:rPr>
          <w:u w:val="single"/>
        </w:rPr>
      </w:pPr>
      <w:r w:rsidRPr="00FC3E11">
        <w:rPr>
          <w:u w:val="single"/>
        </w:rPr>
        <w:t xml:space="preserve">Cases </w:t>
      </w:r>
    </w:p>
    <w:p w14:paraId="1FE79233" w14:textId="77777777" w:rsidR="007B3C82" w:rsidRDefault="007B3C82" w:rsidP="009858EC">
      <w:r>
        <w:t>American Cyanamid Co v Ethicon Ltd 1975</w:t>
      </w:r>
    </w:p>
    <w:p w14:paraId="11E0739D" w14:textId="77777777" w:rsidR="007B3C82" w:rsidRDefault="007B3C82" w:rsidP="009858EC">
      <w:r>
        <w:t>Flight v Bolland (1828)</w:t>
      </w:r>
    </w:p>
    <w:p w14:paraId="6AC013A4" w14:textId="77777777" w:rsidR="007B3C82" w:rsidRDefault="007B3C82" w:rsidP="009858EC">
      <w:r>
        <w:t xml:space="preserve">GML International v </w:t>
      </w:r>
      <w:proofErr w:type="spellStart"/>
      <w:r>
        <w:t>Hardfield</w:t>
      </w:r>
      <w:proofErr w:type="spellEnd"/>
      <w:r>
        <w:t xml:space="preserve"> (2020)</w:t>
      </w:r>
    </w:p>
    <w:p w14:paraId="65BE70F6" w14:textId="77777777" w:rsidR="007B3C82" w:rsidRDefault="007B3C82" w:rsidP="009858EC">
      <w:r>
        <w:t>in Dadourian Group v Simms (2006)</w:t>
      </w:r>
    </w:p>
    <w:p w14:paraId="56008D45" w14:textId="77777777" w:rsidR="007B3C82" w:rsidRDefault="007B3C82" w:rsidP="009858EC">
      <w:r>
        <w:t>Penn v Lord Baltimore (1750)</w:t>
      </w:r>
    </w:p>
    <w:p w14:paraId="6E386C3A" w14:textId="77777777" w:rsidR="007B3C82" w:rsidRDefault="007B3C82" w:rsidP="009858EC">
      <w:r>
        <w:t xml:space="preserve">Third </w:t>
      </w:r>
      <w:proofErr w:type="spellStart"/>
      <w:r>
        <w:t>Chandris</w:t>
      </w:r>
      <w:proofErr w:type="spellEnd"/>
      <w:r>
        <w:t xml:space="preserve"> Shipping v Unimarnie 1979 </w:t>
      </w:r>
    </w:p>
    <w:p w14:paraId="059CD6F3" w14:textId="77777777" w:rsidR="007B3C82" w:rsidRDefault="007B3C82" w:rsidP="009858EC">
      <w:r>
        <w:t>Wilson v Northampton and Banbury Junction Railway co (1874)</w:t>
      </w:r>
    </w:p>
    <w:sectPr w:rsidR="007B3C8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44211" w14:textId="77777777" w:rsidR="007B3C82" w:rsidRDefault="007B3C82" w:rsidP="007B3C82">
      <w:pPr>
        <w:spacing w:after="0" w:line="240" w:lineRule="auto"/>
      </w:pPr>
      <w:r>
        <w:separator/>
      </w:r>
    </w:p>
  </w:endnote>
  <w:endnote w:type="continuationSeparator" w:id="0">
    <w:p w14:paraId="6586B2BC" w14:textId="77777777" w:rsidR="007B3C82" w:rsidRDefault="007B3C82" w:rsidP="007B3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A85B" w14:textId="77777777" w:rsidR="007B3C82" w:rsidRDefault="007B3C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B50EB" w14:textId="77777777" w:rsidR="007B3C82" w:rsidRDefault="007B3C8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3F530D0" w14:textId="77777777" w:rsidR="007B3C82" w:rsidRDefault="007B3C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FCF5" w14:textId="77777777" w:rsidR="007B3C82" w:rsidRDefault="007B3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8933E" w14:textId="77777777" w:rsidR="007B3C82" w:rsidRDefault="007B3C82" w:rsidP="007B3C82">
      <w:pPr>
        <w:spacing w:after="0" w:line="240" w:lineRule="auto"/>
      </w:pPr>
      <w:r>
        <w:separator/>
      </w:r>
    </w:p>
  </w:footnote>
  <w:footnote w:type="continuationSeparator" w:id="0">
    <w:p w14:paraId="4E460B7A" w14:textId="77777777" w:rsidR="007B3C82" w:rsidRDefault="007B3C82" w:rsidP="007B3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A338" w14:textId="77777777" w:rsidR="007B3C82" w:rsidRDefault="007B3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71411" w14:textId="68A919B7" w:rsidR="007B3C82" w:rsidRDefault="007B3C82">
    <w:pPr>
      <w:pStyle w:val="Header"/>
    </w:pPr>
    <w:r>
      <w:t>Cerys Hickman</w:t>
    </w:r>
    <w:r>
      <w:ptab w:relativeTo="margin" w:alignment="center" w:leader="none"/>
    </w:r>
    <w:r>
      <w:ptab w:relativeTo="margin" w:alignment="right" w:leader="none"/>
    </w:r>
    <w:r>
      <w:t>1801705</w:t>
    </w:r>
  </w:p>
  <w:p w14:paraId="2365B044" w14:textId="77777777" w:rsidR="007B3C82" w:rsidRDefault="007B3C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978F" w14:textId="77777777" w:rsidR="007B3C82" w:rsidRDefault="007B3C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D4246"/>
    <w:multiLevelType w:val="hybridMultilevel"/>
    <w:tmpl w:val="53321F02"/>
    <w:lvl w:ilvl="0" w:tplc="012E9834">
      <w:start w:val="1"/>
      <w:numFmt w:val="bullet"/>
      <w:lvlText w:val=""/>
      <w:lvlJc w:val="left"/>
      <w:pPr>
        <w:tabs>
          <w:tab w:val="num" w:pos="720"/>
        </w:tabs>
        <w:ind w:left="720" w:hanging="360"/>
      </w:pPr>
      <w:rPr>
        <w:rFonts w:ascii="Wingdings 3" w:hAnsi="Wingdings 3" w:hint="default"/>
      </w:rPr>
    </w:lvl>
    <w:lvl w:ilvl="1" w:tplc="A24CD4EE" w:tentative="1">
      <w:start w:val="1"/>
      <w:numFmt w:val="bullet"/>
      <w:lvlText w:val=""/>
      <w:lvlJc w:val="left"/>
      <w:pPr>
        <w:tabs>
          <w:tab w:val="num" w:pos="1440"/>
        </w:tabs>
        <w:ind w:left="1440" w:hanging="360"/>
      </w:pPr>
      <w:rPr>
        <w:rFonts w:ascii="Wingdings 3" w:hAnsi="Wingdings 3" w:hint="default"/>
      </w:rPr>
    </w:lvl>
    <w:lvl w:ilvl="2" w:tplc="5054051E" w:tentative="1">
      <w:start w:val="1"/>
      <w:numFmt w:val="bullet"/>
      <w:lvlText w:val=""/>
      <w:lvlJc w:val="left"/>
      <w:pPr>
        <w:tabs>
          <w:tab w:val="num" w:pos="2160"/>
        </w:tabs>
        <w:ind w:left="2160" w:hanging="360"/>
      </w:pPr>
      <w:rPr>
        <w:rFonts w:ascii="Wingdings 3" w:hAnsi="Wingdings 3" w:hint="default"/>
      </w:rPr>
    </w:lvl>
    <w:lvl w:ilvl="3" w:tplc="8B8C13F2" w:tentative="1">
      <w:start w:val="1"/>
      <w:numFmt w:val="bullet"/>
      <w:lvlText w:val=""/>
      <w:lvlJc w:val="left"/>
      <w:pPr>
        <w:tabs>
          <w:tab w:val="num" w:pos="2880"/>
        </w:tabs>
        <w:ind w:left="2880" w:hanging="360"/>
      </w:pPr>
      <w:rPr>
        <w:rFonts w:ascii="Wingdings 3" w:hAnsi="Wingdings 3" w:hint="default"/>
      </w:rPr>
    </w:lvl>
    <w:lvl w:ilvl="4" w:tplc="803CF422" w:tentative="1">
      <w:start w:val="1"/>
      <w:numFmt w:val="bullet"/>
      <w:lvlText w:val=""/>
      <w:lvlJc w:val="left"/>
      <w:pPr>
        <w:tabs>
          <w:tab w:val="num" w:pos="3600"/>
        </w:tabs>
        <w:ind w:left="3600" w:hanging="360"/>
      </w:pPr>
      <w:rPr>
        <w:rFonts w:ascii="Wingdings 3" w:hAnsi="Wingdings 3" w:hint="default"/>
      </w:rPr>
    </w:lvl>
    <w:lvl w:ilvl="5" w:tplc="3C865528" w:tentative="1">
      <w:start w:val="1"/>
      <w:numFmt w:val="bullet"/>
      <w:lvlText w:val=""/>
      <w:lvlJc w:val="left"/>
      <w:pPr>
        <w:tabs>
          <w:tab w:val="num" w:pos="4320"/>
        </w:tabs>
        <w:ind w:left="4320" w:hanging="360"/>
      </w:pPr>
      <w:rPr>
        <w:rFonts w:ascii="Wingdings 3" w:hAnsi="Wingdings 3" w:hint="default"/>
      </w:rPr>
    </w:lvl>
    <w:lvl w:ilvl="6" w:tplc="4950E678" w:tentative="1">
      <w:start w:val="1"/>
      <w:numFmt w:val="bullet"/>
      <w:lvlText w:val=""/>
      <w:lvlJc w:val="left"/>
      <w:pPr>
        <w:tabs>
          <w:tab w:val="num" w:pos="5040"/>
        </w:tabs>
        <w:ind w:left="5040" w:hanging="360"/>
      </w:pPr>
      <w:rPr>
        <w:rFonts w:ascii="Wingdings 3" w:hAnsi="Wingdings 3" w:hint="default"/>
      </w:rPr>
    </w:lvl>
    <w:lvl w:ilvl="7" w:tplc="1E9A69DC" w:tentative="1">
      <w:start w:val="1"/>
      <w:numFmt w:val="bullet"/>
      <w:lvlText w:val=""/>
      <w:lvlJc w:val="left"/>
      <w:pPr>
        <w:tabs>
          <w:tab w:val="num" w:pos="5760"/>
        </w:tabs>
        <w:ind w:left="5760" w:hanging="360"/>
      </w:pPr>
      <w:rPr>
        <w:rFonts w:ascii="Wingdings 3" w:hAnsi="Wingdings 3" w:hint="default"/>
      </w:rPr>
    </w:lvl>
    <w:lvl w:ilvl="8" w:tplc="901AAE8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115C0C"/>
    <w:multiLevelType w:val="hybridMultilevel"/>
    <w:tmpl w:val="65A6E8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C7CCC"/>
    <w:multiLevelType w:val="multilevel"/>
    <w:tmpl w:val="F2D4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312273"/>
    <w:multiLevelType w:val="hybridMultilevel"/>
    <w:tmpl w:val="4BA8DA90"/>
    <w:lvl w:ilvl="0" w:tplc="8A020D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D4312"/>
    <w:multiLevelType w:val="multilevel"/>
    <w:tmpl w:val="8612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34749D"/>
    <w:multiLevelType w:val="hybridMultilevel"/>
    <w:tmpl w:val="53D0A9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2B167A"/>
    <w:multiLevelType w:val="hybridMultilevel"/>
    <w:tmpl w:val="2B361F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2763C0"/>
    <w:multiLevelType w:val="multilevel"/>
    <w:tmpl w:val="1170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6C66DB"/>
    <w:multiLevelType w:val="multilevel"/>
    <w:tmpl w:val="4946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A3108F"/>
    <w:multiLevelType w:val="multilevel"/>
    <w:tmpl w:val="E67A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CD40FE"/>
    <w:multiLevelType w:val="multilevel"/>
    <w:tmpl w:val="27B4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B13D12"/>
    <w:multiLevelType w:val="multilevel"/>
    <w:tmpl w:val="4A92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1"/>
  </w:num>
  <w:num w:numId="4">
    <w:abstractNumId w:val="9"/>
  </w:num>
  <w:num w:numId="5">
    <w:abstractNumId w:val="10"/>
  </w:num>
  <w:num w:numId="6">
    <w:abstractNumId w:val="7"/>
  </w:num>
  <w:num w:numId="7">
    <w:abstractNumId w:val="11"/>
  </w:num>
  <w:num w:numId="8">
    <w:abstractNumId w:val="8"/>
  </w:num>
  <w:num w:numId="9">
    <w:abstractNumId w:val="4"/>
  </w:num>
  <w:num w:numId="10">
    <w:abstractNumId w:val="5"/>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EC"/>
    <w:rsid w:val="00011083"/>
    <w:rsid w:val="0001456D"/>
    <w:rsid w:val="0001466B"/>
    <w:rsid w:val="00016AA5"/>
    <w:rsid w:val="00017371"/>
    <w:rsid w:val="00017BD7"/>
    <w:rsid w:val="00023034"/>
    <w:rsid w:val="00023267"/>
    <w:rsid w:val="00024DD7"/>
    <w:rsid w:val="000267E5"/>
    <w:rsid w:val="00032BB1"/>
    <w:rsid w:val="00043224"/>
    <w:rsid w:val="000433B7"/>
    <w:rsid w:val="00052C1A"/>
    <w:rsid w:val="000607AD"/>
    <w:rsid w:val="000639A7"/>
    <w:rsid w:val="00063C96"/>
    <w:rsid w:val="00066259"/>
    <w:rsid w:val="0006677A"/>
    <w:rsid w:val="000763F3"/>
    <w:rsid w:val="00081831"/>
    <w:rsid w:val="00083443"/>
    <w:rsid w:val="0008479A"/>
    <w:rsid w:val="000879B4"/>
    <w:rsid w:val="000913BC"/>
    <w:rsid w:val="00092330"/>
    <w:rsid w:val="0009287A"/>
    <w:rsid w:val="00096557"/>
    <w:rsid w:val="000A4824"/>
    <w:rsid w:val="000B20F4"/>
    <w:rsid w:val="000B31F5"/>
    <w:rsid w:val="000C0BB4"/>
    <w:rsid w:val="000C2694"/>
    <w:rsid w:val="000C47B7"/>
    <w:rsid w:val="000C56ED"/>
    <w:rsid w:val="000C57F7"/>
    <w:rsid w:val="000C5ACB"/>
    <w:rsid w:val="000C6BF2"/>
    <w:rsid w:val="000D2F8F"/>
    <w:rsid w:val="000D4915"/>
    <w:rsid w:val="000D7C84"/>
    <w:rsid w:val="000E3DDB"/>
    <w:rsid w:val="000E63F5"/>
    <w:rsid w:val="000E7B31"/>
    <w:rsid w:val="000F29F7"/>
    <w:rsid w:val="000F3F86"/>
    <w:rsid w:val="000F5237"/>
    <w:rsid w:val="000F7ED9"/>
    <w:rsid w:val="001053B4"/>
    <w:rsid w:val="0010596B"/>
    <w:rsid w:val="0010619A"/>
    <w:rsid w:val="00106BBD"/>
    <w:rsid w:val="00112475"/>
    <w:rsid w:val="00113586"/>
    <w:rsid w:val="001160F3"/>
    <w:rsid w:val="0012172A"/>
    <w:rsid w:val="00124CFB"/>
    <w:rsid w:val="00124E65"/>
    <w:rsid w:val="0014225D"/>
    <w:rsid w:val="00143FAE"/>
    <w:rsid w:val="00146F4F"/>
    <w:rsid w:val="00160504"/>
    <w:rsid w:val="00164E19"/>
    <w:rsid w:val="00165CB3"/>
    <w:rsid w:val="00171594"/>
    <w:rsid w:val="001721D3"/>
    <w:rsid w:val="00173361"/>
    <w:rsid w:val="0017459D"/>
    <w:rsid w:val="00174B16"/>
    <w:rsid w:val="00177B80"/>
    <w:rsid w:val="0018178E"/>
    <w:rsid w:val="001858AE"/>
    <w:rsid w:val="00187329"/>
    <w:rsid w:val="001B3DE7"/>
    <w:rsid w:val="001B6C1D"/>
    <w:rsid w:val="001D10C5"/>
    <w:rsid w:val="001D512C"/>
    <w:rsid w:val="001D61DF"/>
    <w:rsid w:val="001E02F4"/>
    <w:rsid w:val="001E41E3"/>
    <w:rsid w:val="001E7278"/>
    <w:rsid w:val="001E7E74"/>
    <w:rsid w:val="001F135E"/>
    <w:rsid w:val="001F28F2"/>
    <w:rsid w:val="00201389"/>
    <w:rsid w:val="00204EB0"/>
    <w:rsid w:val="00210805"/>
    <w:rsid w:val="002128EF"/>
    <w:rsid w:val="002136DC"/>
    <w:rsid w:val="00221875"/>
    <w:rsid w:val="00227AA9"/>
    <w:rsid w:val="0023196B"/>
    <w:rsid w:val="002363E2"/>
    <w:rsid w:val="0024288B"/>
    <w:rsid w:val="00246A92"/>
    <w:rsid w:val="002527E7"/>
    <w:rsid w:val="00256D8F"/>
    <w:rsid w:val="00257D70"/>
    <w:rsid w:val="00263616"/>
    <w:rsid w:val="00274BE1"/>
    <w:rsid w:val="002759F5"/>
    <w:rsid w:val="0029164C"/>
    <w:rsid w:val="00295736"/>
    <w:rsid w:val="00296752"/>
    <w:rsid w:val="00297493"/>
    <w:rsid w:val="002A1125"/>
    <w:rsid w:val="002A1B02"/>
    <w:rsid w:val="002A22FD"/>
    <w:rsid w:val="002A2F65"/>
    <w:rsid w:val="002A3B4C"/>
    <w:rsid w:val="002A5682"/>
    <w:rsid w:val="002B0101"/>
    <w:rsid w:val="002B6708"/>
    <w:rsid w:val="002B68EB"/>
    <w:rsid w:val="002B73E6"/>
    <w:rsid w:val="002B7A07"/>
    <w:rsid w:val="002C46C0"/>
    <w:rsid w:val="002C5974"/>
    <w:rsid w:val="002C63CF"/>
    <w:rsid w:val="002C6ABE"/>
    <w:rsid w:val="002D0502"/>
    <w:rsid w:val="002D2382"/>
    <w:rsid w:val="002E546F"/>
    <w:rsid w:val="002E5C8C"/>
    <w:rsid w:val="002E5D65"/>
    <w:rsid w:val="002F266E"/>
    <w:rsid w:val="002F6B10"/>
    <w:rsid w:val="003005FB"/>
    <w:rsid w:val="0030293C"/>
    <w:rsid w:val="00304699"/>
    <w:rsid w:val="003070E8"/>
    <w:rsid w:val="00307595"/>
    <w:rsid w:val="003110A3"/>
    <w:rsid w:val="00313A63"/>
    <w:rsid w:val="0032328D"/>
    <w:rsid w:val="003258E5"/>
    <w:rsid w:val="00330FBD"/>
    <w:rsid w:val="00345784"/>
    <w:rsid w:val="0034640A"/>
    <w:rsid w:val="00353710"/>
    <w:rsid w:val="00355D13"/>
    <w:rsid w:val="003563FA"/>
    <w:rsid w:val="003617E9"/>
    <w:rsid w:val="0036685D"/>
    <w:rsid w:val="00370989"/>
    <w:rsid w:val="00370AD5"/>
    <w:rsid w:val="003717EE"/>
    <w:rsid w:val="00374C46"/>
    <w:rsid w:val="00377327"/>
    <w:rsid w:val="00383883"/>
    <w:rsid w:val="00393293"/>
    <w:rsid w:val="003975B3"/>
    <w:rsid w:val="003A2FDF"/>
    <w:rsid w:val="003A46CB"/>
    <w:rsid w:val="003A6C1C"/>
    <w:rsid w:val="003B3239"/>
    <w:rsid w:val="003C2BB1"/>
    <w:rsid w:val="003D00EB"/>
    <w:rsid w:val="003E484D"/>
    <w:rsid w:val="003F0A68"/>
    <w:rsid w:val="00410483"/>
    <w:rsid w:val="0041349B"/>
    <w:rsid w:val="00413D75"/>
    <w:rsid w:val="0042063C"/>
    <w:rsid w:val="0042154F"/>
    <w:rsid w:val="00451D43"/>
    <w:rsid w:val="004528AA"/>
    <w:rsid w:val="0045514E"/>
    <w:rsid w:val="0046412D"/>
    <w:rsid w:val="00464219"/>
    <w:rsid w:val="004646F2"/>
    <w:rsid w:val="00466E9A"/>
    <w:rsid w:val="00467AD9"/>
    <w:rsid w:val="00487FE7"/>
    <w:rsid w:val="004935F4"/>
    <w:rsid w:val="004A2BB3"/>
    <w:rsid w:val="004A389D"/>
    <w:rsid w:val="004A4F1D"/>
    <w:rsid w:val="004B07B9"/>
    <w:rsid w:val="004B4E8C"/>
    <w:rsid w:val="004B67A9"/>
    <w:rsid w:val="004D05F5"/>
    <w:rsid w:val="004D3515"/>
    <w:rsid w:val="004D3D69"/>
    <w:rsid w:val="004D6F18"/>
    <w:rsid w:val="004E2AA8"/>
    <w:rsid w:val="004F0721"/>
    <w:rsid w:val="004F1956"/>
    <w:rsid w:val="004F45DF"/>
    <w:rsid w:val="004F5611"/>
    <w:rsid w:val="004F5DBA"/>
    <w:rsid w:val="00500CBC"/>
    <w:rsid w:val="00500DE9"/>
    <w:rsid w:val="00503B4A"/>
    <w:rsid w:val="005121D7"/>
    <w:rsid w:val="00513D6B"/>
    <w:rsid w:val="00514242"/>
    <w:rsid w:val="00515197"/>
    <w:rsid w:val="00524C96"/>
    <w:rsid w:val="00525566"/>
    <w:rsid w:val="00527F77"/>
    <w:rsid w:val="0053513F"/>
    <w:rsid w:val="005364E7"/>
    <w:rsid w:val="00540F73"/>
    <w:rsid w:val="0054147A"/>
    <w:rsid w:val="00543070"/>
    <w:rsid w:val="00547493"/>
    <w:rsid w:val="005539B3"/>
    <w:rsid w:val="00566184"/>
    <w:rsid w:val="0057105D"/>
    <w:rsid w:val="00573517"/>
    <w:rsid w:val="00573609"/>
    <w:rsid w:val="005761CC"/>
    <w:rsid w:val="00580B5C"/>
    <w:rsid w:val="00580DB2"/>
    <w:rsid w:val="005823FF"/>
    <w:rsid w:val="0058313F"/>
    <w:rsid w:val="005859CA"/>
    <w:rsid w:val="00586F83"/>
    <w:rsid w:val="00587337"/>
    <w:rsid w:val="00592A4D"/>
    <w:rsid w:val="005967E1"/>
    <w:rsid w:val="00596F3B"/>
    <w:rsid w:val="00597F14"/>
    <w:rsid w:val="005B5367"/>
    <w:rsid w:val="005B72D2"/>
    <w:rsid w:val="005C16FA"/>
    <w:rsid w:val="005C2510"/>
    <w:rsid w:val="005C72EB"/>
    <w:rsid w:val="005E1604"/>
    <w:rsid w:val="005E28EB"/>
    <w:rsid w:val="005E74C5"/>
    <w:rsid w:val="005F0E18"/>
    <w:rsid w:val="005F2727"/>
    <w:rsid w:val="006009BB"/>
    <w:rsid w:val="006107A0"/>
    <w:rsid w:val="006109B5"/>
    <w:rsid w:val="006166CC"/>
    <w:rsid w:val="006228D0"/>
    <w:rsid w:val="00627084"/>
    <w:rsid w:val="00630E4B"/>
    <w:rsid w:val="00634FCD"/>
    <w:rsid w:val="00640A1B"/>
    <w:rsid w:val="006412BF"/>
    <w:rsid w:val="00642380"/>
    <w:rsid w:val="0064490B"/>
    <w:rsid w:val="00645A00"/>
    <w:rsid w:val="00646D41"/>
    <w:rsid w:val="006479ED"/>
    <w:rsid w:val="00657660"/>
    <w:rsid w:val="0066310F"/>
    <w:rsid w:val="00665855"/>
    <w:rsid w:val="00670816"/>
    <w:rsid w:val="0067104E"/>
    <w:rsid w:val="0067378A"/>
    <w:rsid w:val="00674351"/>
    <w:rsid w:val="00675D53"/>
    <w:rsid w:val="006A19C7"/>
    <w:rsid w:val="006A2684"/>
    <w:rsid w:val="006A4145"/>
    <w:rsid w:val="006A6814"/>
    <w:rsid w:val="006B2BE5"/>
    <w:rsid w:val="006B442A"/>
    <w:rsid w:val="006B448C"/>
    <w:rsid w:val="006C1C81"/>
    <w:rsid w:val="006D0D91"/>
    <w:rsid w:val="006D402A"/>
    <w:rsid w:val="006E0BB8"/>
    <w:rsid w:val="006F3144"/>
    <w:rsid w:val="006F4D94"/>
    <w:rsid w:val="006F7B1E"/>
    <w:rsid w:val="00701213"/>
    <w:rsid w:val="00702053"/>
    <w:rsid w:val="00707743"/>
    <w:rsid w:val="0071674A"/>
    <w:rsid w:val="00725BBF"/>
    <w:rsid w:val="00735A79"/>
    <w:rsid w:val="007361C5"/>
    <w:rsid w:val="00736AA3"/>
    <w:rsid w:val="00746E07"/>
    <w:rsid w:val="00755529"/>
    <w:rsid w:val="00756607"/>
    <w:rsid w:val="0076101B"/>
    <w:rsid w:val="00762527"/>
    <w:rsid w:val="00765DB4"/>
    <w:rsid w:val="00767FB3"/>
    <w:rsid w:val="00774CFE"/>
    <w:rsid w:val="00794C3D"/>
    <w:rsid w:val="007A6FFF"/>
    <w:rsid w:val="007B0FED"/>
    <w:rsid w:val="007B11B7"/>
    <w:rsid w:val="007B2594"/>
    <w:rsid w:val="007B3C82"/>
    <w:rsid w:val="007B5086"/>
    <w:rsid w:val="007B6DE1"/>
    <w:rsid w:val="007C1725"/>
    <w:rsid w:val="007C278D"/>
    <w:rsid w:val="007C5DCA"/>
    <w:rsid w:val="007D6153"/>
    <w:rsid w:val="007E106E"/>
    <w:rsid w:val="007F35F4"/>
    <w:rsid w:val="00800272"/>
    <w:rsid w:val="008014A7"/>
    <w:rsid w:val="00802FB3"/>
    <w:rsid w:val="00803A26"/>
    <w:rsid w:val="00807458"/>
    <w:rsid w:val="008112A7"/>
    <w:rsid w:val="008119CB"/>
    <w:rsid w:val="008261E0"/>
    <w:rsid w:val="0082777A"/>
    <w:rsid w:val="0083303C"/>
    <w:rsid w:val="00835EE1"/>
    <w:rsid w:val="00836700"/>
    <w:rsid w:val="00843779"/>
    <w:rsid w:val="0084423C"/>
    <w:rsid w:val="00845676"/>
    <w:rsid w:val="00850377"/>
    <w:rsid w:val="00857969"/>
    <w:rsid w:val="0086009F"/>
    <w:rsid w:val="0087267B"/>
    <w:rsid w:val="00872B6C"/>
    <w:rsid w:val="00874005"/>
    <w:rsid w:val="0087591B"/>
    <w:rsid w:val="008806E4"/>
    <w:rsid w:val="00882F0D"/>
    <w:rsid w:val="00890452"/>
    <w:rsid w:val="008933E1"/>
    <w:rsid w:val="0089480E"/>
    <w:rsid w:val="008B123E"/>
    <w:rsid w:val="008B2245"/>
    <w:rsid w:val="008B35CA"/>
    <w:rsid w:val="008D0BC7"/>
    <w:rsid w:val="008D2A8C"/>
    <w:rsid w:val="008E3001"/>
    <w:rsid w:val="008E7E45"/>
    <w:rsid w:val="008F2C3E"/>
    <w:rsid w:val="008F4F0E"/>
    <w:rsid w:val="00900694"/>
    <w:rsid w:val="009018EF"/>
    <w:rsid w:val="00901D98"/>
    <w:rsid w:val="0090426A"/>
    <w:rsid w:val="00910B8E"/>
    <w:rsid w:val="009138E3"/>
    <w:rsid w:val="00916AEF"/>
    <w:rsid w:val="00916F63"/>
    <w:rsid w:val="00925827"/>
    <w:rsid w:val="0092776F"/>
    <w:rsid w:val="009312D5"/>
    <w:rsid w:val="00937D69"/>
    <w:rsid w:val="009421D4"/>
    <w:rsid w:val="00943DD0"/>
    <w:rsid w:val="00945259"/>
    <w:rsid w:val="00945AE5"/>
    <w:rsid w:val="00945F9D"/>
    <w:rsid w:val="009501B6"/>
    <w:rsid w:val="00951756"/>
    <w:rsid w:val="00953772"/>
    <w:rsid w:val="00962D49"/>
    <w:rsid w:val="00963CDD"/>
    <w:rsid w:val="00967051"/>
    <w:rsid w:val="00974F88"/>
    <w:rsid w:val="009858EC"/>
    <w:rsid w:val="00986423"/>
    <w:rsid w:val="00986D41"/>
    <w:rsid w:val="00991395"/>
    <w:rsid w:val="00993345"/>
    <w:rsid w:val="00996BF9"/>
    <w:rsid w:val="009A0287"/>
    <w:rsid w:val="009A5DE7"/>
    <w:rsid w:val="009A682F"/>
    <w:rsid w:val="009B296D"/>
    <w:rsid w:val="009B42BF"/>
    <w:rsid w:val="009B62C2"/>
    <w:rsid w:val="009B75FD"/>
    <w:rsid w:val="009C3786"/>
    <w:rsid w:val="009E09CC"/>
    <w:rsid w:val="009E306B"/>
    <w:rsid w:val="009E542D"/>
    <w:rsid w:val="009E65A6"/>
    <w:rsid w:val="009E6DA2"/>
    <w:rsid w:val="009F55F0"/>
    <w:rsid w:val="009F6E1D"/>
    <w:rsid w:val="00A05501"/>
    <w:rsid w:val="00A078DA"/>
    <w:rsid w:val="00A21FDE"/>
    <w:rsid w:val="00A32B50"/>
    <w:rsid w:val="00A45024"/>
    <w:rsid w:val="00A5640E"/>
    <w:rsid w:val="00A57248"/>
    <w:rsid w:val="00A62569"/>
    <w:rsid w:val="00A64DA5"/>
    <w:rsid w:val="00A66594"/>
    <w:rsid w:val="00A67608"/>
    <w:rsid w:val="00A712BB"/>
    <w:rsid w:val="00A74244"/>
    <w:rsid w:val="00A74D59"/>
    <w:rsid w:val="00A74F5D"/>
    <w:rsid w:val="00A75F2F"/>
    <w:rsid w:val="00A81728"/>
    <w:rsid w:val="00A859FB"/>
    <w:rsid w:val="00A902B4"/>
    <w:rsid w:val="00A94CAC"/>
    <w:rsid w:val="00A962E8"/>
    <w:rsid w:val="00AA0B9F"/>
    <w:rsid w:val="00AA2CA2"/>
    <w:rsid w:val="00AA375C"/>
    <w:rsid w:val="00AA3B96"/>
    <w:rsid w:val="00AA5B94"/>
    <w:rsid w:val="00AB71BC"/>
    <w:rsid w:val="00AC0586"/>
    <w:rsid w:val="00AC382D"/>
    <w:rsid w:val="00AC4319"/>
    <w:rsid w:val="00AC5615"/>
    <w:rsid w:val="00AC67A5"/>
    <w:rsid w:val="00AC6C67"/>
    <w:rsid w:val="00AD38EA"/>
    <w:rsid w:val="00AD62A5"/>
    <w:rsid w:val="00AE319B"/>
    <w:rsid w:val="00AE42E2"/>
    <w:rsid w:val="00AE4A9B"/>
    <w:rsid w:val="00AF047A"/>
    <w:rsid w:val="00AF64BB"/>
    <w:rsid w:val="00AF7A29"/>
    <w:rsid w:val="00B0030E"/>
    <w:rsid w:val="00B07E06"/>
    <w:rsid w:val="00B117E2"/>
    <w:rsid w:val="00B16283"/>
    <w:rsid w:val="00B16C3D"/>
    <w:rsid w:val="00B21253"/>
    <w:rsid w:val="00B26093"/>
    <w:rsid w:val="00B265D9"/>
    <w:rsid w:val="00B41024"/>
    <w:rsid w:val="00B52B74"/>
    <w:rsid w:val="00B53318"/>
    <w:rsid w:val="00B62CDA"/>
    <w:rsid w:val="00B6480C"/>
    <w:rsid w:val="00B709C2"/>
    <w:rsid w:val="00B71F27"/>
    <w:rsid w:val="00B74226"/>
    <w:rsid w:val="00B74F3D"/>
    <w:rsid w:val="00B75007"/>
    <w:rsid w:val="00B75216"/>
    <w:rsid w:val="00B96C2B"/>
    <w:rsid w:val="00BA4D55"/>
    <w:rsid w:val="00BB1C27"/>
    <w:rsid w:val="00BC71A3"/>
    <w:rsid w:val="00BD5088"/>
    <w:rsid w:val="00BD5218"/>
    <w:rsid w:val="00BD785D"/>
    <w:rsid w:val="00BE22C7"/>
    <w:rsid w:val="00BE4DDE"/>
    <w:rsid w:val="00BE6AF4"/>
    <w:rsid w:val="00BF0EC5"/>
    <w:rsid w:val="00C01436"/>
    <w:rsid w:val="00C041DB"/>
    <w:rsid w:val="00C127B2"/>
    <w:rsid w:val="00C20387"/>
    <w:rsid w:val="00C203AB"/>
    <w:rsid w:val="00C22358"/>
    <w:rsid w:val="00C30064"/>
    <w:rsid w:val="00C32D21"/>
    <w:rsid w:val="00C37922"/>
    <w:rsid w:val="00C50259"/>
    <w:rsid w:val="00C512EE"/>
    <w:rsid w:val="00C62659"/>
    <w:rsid w:val="00C65EF8"/>
    <w:rsid w:val="00C67664"/>
    <w:rsid w:val="00C73642"/>
    <w:rsid w:val="00C73740"/>
    <w:rsid w:val="00C7415B"/>
    <w:rsid w:val="00C8009A"/>
    <w:rsid w:val="00C85F15"/>
    <w:rsid w:val="00C8631B"/>
    <w:rsid w:val="00C863B4"/>
    <w:rsid w:val="00C95B0D"/>
    <w:rsid w:val="00C97E32"/>
    <w:rsid w:val="00CB304D"/>
    <w:rsid w:val="00CB44E3"/>
    <w:rsid w:val="00CC027F"/>
    <w:rsid w:val="00CC1D78"/>
    <w:rsid w:val="00CD2391"/>
    <w:rsid w:val="00CD7099"/>
    <w:rsid w:val="00CE0E70"/>
    <w:rsid w:val="00CE39F3"/>
    <w:rsid w:val="00CE72AA"/>
    <w:rsid w:val="00CF07F6"/>
    <w:rsid w:val="00CF4020"/>
    <w:rsid w:val="00CF713A"/>
    <w:rsid w:val="00CF721F"/>
    <w:rsid w:val="00CF782C"/>
    <w:rsid w:val="00D100A8"/>
    <w:rsid w:val="00D149DE"/>
    <w:rsid w:val="00D17E27"/>
    <w:rsid w:val="00D2704B"/>
    <w:rsid w:val="00D324E9"/>
    <w:rsid w:val="00D35E1F"/>
    <w:rsid w:val="00D52FB8"/>
    <w:rsid w:val="00D67E36"/>
    <w:rsid w:val="00D7186F"/>
    <w:rsid w:val="00D71AA5"/>
    <w:rsid w:val="00D839FA"/>
    <w:rsid w:val="00D86C21"/>
    <w:rsid w:val="00D90DCE"/>
    <w:rsid w:val="00DA0871"/>
    <w:rsid w:val="00DA518D"/>
    <w:rsid w:val="00DA58B8"/>
    <w:rsid w:val="00DA64EC"/>
    <w:rsid w:val="00DA7BB1"/>
    <w:rsid w:val="00DC254F"/>
    <w:rsid w:val="00DC37FB"/>
    <w:rsid w:val="00DC5F36"/>
    <w:rsid w:val="00DD1881"/>
    <w:rsid w:val="00DD4B9F"/>
    <w:rsid w:val="00DD526D"/>
    <w:rsid w:val="00DE4175"/>
    <w:rsid w:val="00DE41A3"/>
    <w:rsid w:val="00DE4538"/>
    <w:rsid w:val="00DE62DF"/>
    <w:rsid w:val="00DE7A98"/>
    <w:rsid w:val="00DF53A3"/>
    <w:rsid w:val="00DF5F0D"/>
    <w:rsid w:val="00E06FF3"/>
    <w:rsid w:val="00E12C38"/>
    <w:rsid w:val="00E131DA"/>
    <w:rsid w:val="00E21885"/>
    <w:rsid w:val="00E26407"/>
    <w:rsid w:val="00E3220A"/>
    <w:rsid w:val="00E324E4"/>
    <w:rsid w:val="00E33ABB"/>
    <w:rsid w:val="00E4111D"/>
    <w:rsid w:val="00E4253D"/>
    <w:rsid w:val="00E460FA"/>
    <w:rsid w:val="00E539FC"/>
    <w:rsid w:val="00E54F17"/>
    <w:rsid w:val="00E57939"/>
    <w:rsid w:val="00E61CCF"/>
    <w:rsid w:val="00E728FA"/>
    <w:rsid w:val="00E75FC5"/>
    <w:rsid w:val="00E76897"/>
    <w:rsid w:val="00E774C0"/>
    <w:rsid w:val="00E81EC7"/>
    <w:rsid w:val="00E82126"/>
    <w:rsid w:val="00E822C9"/>
    <w:rsid w:val="00E83FA0"/>
    <w:rsid w:val="00E85246"/>
    <w:rsid w:val="00E85280"/>
    <w:rsid w:val="00E86A41"/>
    <w:rsid w:val="00E962B1"/>
    <w:rsid w:val="00EA0F23"/>
    <w:rsid w:val="00EA1C43"/>
    <w:rsid w:val="00EA58C1"/>
    <w:rsid w:val="00EA73D9"/>
    <w:rsid w:val="00EB073C"/>
    <w:rsid w:val="00EB2AAA"/>
    <w:rsid w:val="00EB63EE"/>
    <w:rsid w:val="00EC0D97"/>
    <w:rsid w:val="00EC37C1"/>
    <w:rsid w:val="00ED4F68"/>
    <w:rsid w:val="00EE41DD"/>
    <w:rsid w:val="00EE6E5F"/>
    <w:rsid w:val="00EE6EFF"/>
    <w:rsid w:val="00EE7759"/>
    <w:rsid w:val="00EF1A11"/>
    <w:rsid w:val="00EF63EA"/>
    <w:rsid w:val="00F01C3A"/>
    <w:rsid w:val="00F053F3"/>
    <w:rsid w:val="00F11146"/>
    <w:rsid w:val="00F11E29"/>
    <w:rsid w:val="00F12564"/>
    <w:rsid w:val="00F27EB4"/>
    <w:rsid w:val="00F33832"/>
    <w:rsid w:val="00F35B38"/>
    <w:rsid w:val="00F4148C"/>
    <w:rsid w:val="00F4715E"/>
    <w:rsid w:val="00F6703D"/>
    <w:rsid w:val="00F71692"/>
    <w:rsid w:val="00F736BA"/>
    <w:rsid w:val="00F75E02"/>
    <w:rsid w:val="00F77031"/>
    <w:rsid w:val="00F77F76"/>
    <w:rsid w:val="00F81E43"/>
    <w:rsid w:val="00F82710"/>
    <w:rsid w:val="00F82ECF"/>
    <w:rsid w:val="00F832FA"/>
    <w:rsid w:val="00F85906"/>
    <w:rsid w:val="00F94CDA"/>
    <w:rsid w:val="00FA1D4D"/>
    <w:rsid w:val="00FA3683"/>
    <w:rsid w:val="00FA55E8"/>
    <w:rsid w:val="00FA6D57"/>
    <w:rsid w:val="00FB5726"/>
    <w:rsid w:val="00FB7CD5"/>
    <w:rsid w:val="00FC05BD"/>
    <w:rsid w:val="00FC3E11"/>
    <w:rsid w:val="00FC6BDA"/>
    <w:rsid w:val="00FC7ADE"/>
    <w:rsid w:val="00FD197C"/>
    <w:rsid w:val="00FD52F0"/>
    <w:rsid w:val="00FE12A9"/>
    <w:rsid w:val="00FE3632"/>
    <w:rsid w:val="00FE7228"/>
    <w:rsid w:val="00FF3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EF27"/>
  <w15:chartTrackingRefBased/>
  <w15:docId w15:val="{CA6637E5-760D-49D1-93B6-CB20F354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075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86D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8EC"/>
    <w:pPr>
      <w:ind w:left="720"/>
      <w:contextualSpacing/>
    </w:pPr>
  </w:style>
  <w:style w:type="paragraph" w:styleId="NormalWeb">
    <w:name w:val="Normal (Web)"/>
    <w:basedOn w:val="Normal"/>
    <w:uiPriority w:val="99"/>
    <w:unhideWhenUsed/>
    <w:rsid w:val="00FE7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A73D9"/>
    <w:rPr>
      <w:color w:val="0000FF"/>
      <w:u w:val="single"/>
    </w:rPr>
  </w:style>
  <w:style w:type="character" w:styleId="UnresolvedMention">
    <w:name w:val="Unresolved Mention"/>
    <w:basedOn w:val="DefaultParagraphFont"/>
    <w:uiPriority w:val="99"/>
    <w:semiHidden/>
    <w:unhideWhenUsed/>
    <w:rsid w:val="00B0030E"/>
    <w:rPr>
      <w:color w:val="605E5C"/>
      <w:shd w:val="clear" w:color="auto" w:fill="E1DFDD"/>
    </w:rPr>
  </w:style>
  <w:style w:type="character" w:customStyle="1" w:styleId="hgkelc">
    <w:name w:val="hgkelc"/>
    <w:basedOn w:val="DefaultParagraphFont"/>
    <w:rsid w:val="0057105D"/>
  </w:style>
  <w:style w:type="character" w:customStyle="1" w:styleId="kx21rb">
    <w:name w:val="kx21rb"/>
    <w:basedOn w:val="DefaultParagraphFont"/>
    <w:rsid w:val="0057105D"/>
  </w:style>
  <w:style w:type="character" w:styleId="Strong">
    <w:name w:val="Strong"/>
    <w:basedOn w:val="DefaultParagraphFont"/>
    <w:uiPriority w:val="22"/>
    <w:qFormat/>
    <w:rsid w:val="00835EE1"/>
    <w:rPr>
      <w:b/>
      <w:bCs/>
    </w:rPr>
  </w:style>
  <w:style w:type="character" w:styleId="Emphasis">
    <w:name w:val="Emphasis"/>
    <w:basedOn w:val="DefaultParagraphFont"/>
    <w:uiPriority w:val="20"/>
    <w:qFormat/>
    <w:rsid w:val="00A64DA5"/>
    <w:rPr>
      <w:i/>
      <w:iCs/>
    </w:rPr>
  </w:style>
  <w:style w:type="character" w:customStyle="1" w:styleId="Heading1Char">
    <w:name w:val="Heading 1 Char"/>
    <w:basedOn w:val="DefaultParagraphFont"/>
    <w:link w:val="Heading1"/>
    <w:uiPriority w:val="9"/>
    <w:rsid w:val="0030759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986D4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B3C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C82"/>
  </w:style>
  <w:style w:type="paragraph" w:styleId="Footer">
    <w:name w:val="footer"/>
    <w:basedOn w:val="Normal"/>
    <w:link w:val="FooterChar"/>
    <w:uiPriority w:val="99"/>
    <w:unhideWhenUsed/>
    <w:rsid w:val="007B3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60006">
      <w:bodyDiv w:val="1"/>
      <w:marLeft w:val="0"/>
      <w:marRight w:val="0"/>
      <w:marTop w:val="0"/>
      <w:marBottom w:val="0"/>
      <w:divBdr>
        <w:top w:val="none" w:sz="0" w:space="0" w:color="auto"/>
        <w:left w:val="none" w:sz="0" w:space="0" w:color="auto"/>
        <w:bottom w:val="none" w:sz="0" w:space="0" w:color="auto"/>
        <w:right w:val="none" w:sz="0" w:space="0" w:color="auto"/>
      </w:divBdr>
    </w:div>
    <w:div w:id="523786517">
      <w:bodyDiv w:val="1"/>
      <w:marLeft w:val="0"/>
      <w:marRight w:val="0"/>
      <w:marTop w:val="0"/>
      <w:marBottom w:val="0"/>
      <w:divBdr>
        <w:top w:val="none" w:sz="0" w:space="0" w:color="auto"/>
        <w:left w:val="none" w:sz="0" w:space="0" w:color="auto"/>
        <w:bottom w:val="none" w:sz="0" w:space="0" w:color="auto"/>
        <w:right w:val="none" w:sz="0" w:space="0" w:color="auto"/>
      </w:divBdr>
    </w:div>
    <w:div w:id="527110270">
      <w:bodyDiv w:val="1"/>
      <w:marLeft w:val="0"/>
      <w:marRight w:val="0"/>
      <w:marTop w:val="0"/>
      <w:marBottom w:val="0"/>
      <w:divBdr>
        <w:top w:val="none" w:sz="0" w:space="0" w:color="auto"/>
        <w:left w:val="none" w:sz="0" w:space="0" w:color="auto"/>
        <w:bottom w:val="none" w:sz="0" w:space="0" w:color="auto"/>
        <w:right w:val="none" w:sz="0" w:space="0" w:color="auto"/>
      </w:divBdr>
    </w:div>
    <w:div w:id="531188116">
      <w:bodyDiv w:val="1"/>
      <w:marLeft w:val="0"/>
      <w:marRight w:val="0"/>
      <w:marTop w:val="0"/>
      <w:marBottom w:val="0"/>
      <w:divBdr>
        <w:top w:val="none" w:sz="0" w:space="0" w:color="auto"/>
        <w:left w:val="none" w:sz="0" w:space="0" w:color="auto"/>
        <w:bottom w:val="none" w:sz="0" w:space="0" w:color="auto"/>
        <w:right w:val="none" w:sz="0" w:space="0" w:color="auto"/>
      </w:divBdr>
    </w:div>
    <w:div w:id="593973726">
      <w:bodyDiv w:val="1"/>
      <w:marLeft w:val="0"/>
      <w:marRight w:val="0"/>
      <w:marTop w:val="0"/>
      <w:marBottom w:val="0"/>
      <w:divBdr>
        <w:top w:val="none" w:sz="0" w:space="0" w:color="auto"/>
        <w:left w:val="none" w:sz="0" w:space="0" w:color="auto"/>
        <w:bottom w:val="none" w:sz="0" w:space="0" w:color="auto"/>
        <w:right w:val="none" w:sz="0" w:space="0" w:color="auto"/>
      </w:divBdr>
    </w:div>
    <w:div w:id="936064769">
      <w:bodyDiv w:val="1"/>
      <w:marLeft w:val="0"/>
      <w:marRight w:val="0"/>
      <w:marTop w:val="0"/>
      <w:marBottom w:val="0"/>
      <w:divBdr>
        <w:top w:val="none" w:sz="0" w:space="0" w:color="auto"/>
        <w:left w:val="none" w:sz="0" w:space="0" w:color="auto"/>
        <w:bottom w:val="none" w:sz="0" w:space="0" w:color="auto"/>
        <w:right w:val="none" w:sz="0" w:space="0" w:color="auto"/>
      </w:divBdr>
    </w:div>
    <w:div w:id="1341733234">
      <w:bodyDiv w:val="1"/>
      <w:marLeft w:val="0"/>
      <w:marRight w:val="0"/>
      <w:marTop w:val="0"/>
      <w:marBottom w:val="0"/>
      <w:divBdr>
        <w:top w:val="none" w:sz="0" w:space="0" w:color="auto"/>
        <w:left w:val="none" w:sz="0" w:space="0" w:color="auto"/>
        <w:bottom w:val="none" w:sz="0" w:space="0" w:color="auto"/>
        <w:right w:val="none" w:sz="0" w:space="0" w:color="auto"/>
      </w:divBdr>
    </w:div>
    <w:div w:id="1433358390">
      <w:bodyDiv w:val="1"/>
      <w:marLeft w:val="0"/>
      <w:marRight w:val="0"/>
      <w:marTop w:val="0"/>
      <w:marBottom w:val="0"/>
      <w:divBdr>
        <w:top w:val="none" w:sz="0" w:space="0" w:color="auto"/>
        <w:left w:val="none" w:sz="0" w:space="0" w:color="auto"/>
        <w:bottom w:val="none" w:sz="0" w:space="0" w:color="auto"/>
        <w:right w:val="none" w:sz="0" w:space="0" w:color="auto"/>
      </w:divBdr>
    </w:div>
    <w:div w:id="1705669200">
      <w:bodyDiv w:val="1"/>
      <w:marLeft w:val="0"/>
      <w:marRight w:val="0"/>
      <w:marTop w:val="0"/>
      <w:marBottom w:val="0"/>
      <w:divBdr>
        <w:top w:val="none" w:sz="0" w:space="0" w:color="auto"/>
        <w:left w:val="none" w:sz="0" w:space="0" w:color="auto"/>
        <w:bottom w:val="none" w:sz="0" w:space="0" w:color="auto"/>
        <w:right w:val="none" w:sz="0" w:space="0" w:color="auto"/>
      </w:divBdr>
    </w:div>
    <w:div w:id="1741558653">
      <w:bodyDiv w:val="1"/>
      <w:marLeft w:val="0"/>
      <w:marRight w:val="0"/>
      <w:marTop w:val="0"/>
      <w:marBottom w:val="0"/>
      <w:divBdr>
        <w:top w:val="none" w:sz="0" w:space="0" w:color="auto"/>
        <w:left w:val="none" w:sz="0" w:space="0" w:color="auto"/>
        <w:bottom w:val="none" w:sz="0" w:space="0" w:color="auto"/>
        <w:right w:val="none" w:sz="0" w:space="0" w:color="auto"/>
      </w:divBdr>
    </w:div>
    <w:div w:id="1909261009">
      <w:bodyDiv w:val="1"/>
      <w:marLeft w:val="0"/>
      <w:marRight w:val="0"/>
      <w:marTop w:val="0"/>
      <w:marBottom w:val="0"/>
      <w:divBdr>
        <w:top w:val="none" w:sz="0" w:space="0" w:color="auto"/>
        <w:left w:val="none" w:sz="0" w:space="0" w:color="auto"/>
        <w:bottom w:val="none" w:sz="0" w:space="0" w:color="auto"/>
        <w:right w:val="none" w:sz="0" w:space="0" w:color="auto"/>
      </w:divBdr>
    </w:div>
    <w:div w:id="208202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anciswilksandjones.co.uk/documents-required-in-order-to-obtain-a-freezing-injunction/" TargetMode="External"/><Relationship Id="rId13" Type="http://schemas.openxmlformats.org/officeDocument/2006/relationships/hyperlink" Target="https://lexlaw.co.uk/urgent-injunctions-obtain-freezing-order-mareva-preserve-assets-litigation-solicitor-legal-advic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braybray.co.uk/building-and-development-what-is-specific-performance/" TargetMode="External"/><Relationship Id="rId12" Type="http://schemas.openxmlformats.org/officeDocument/2006/relationships/hyperlink" Target="https://hsfnotes.com/litigation/2006/04/30/court-appeal-lays-guidelines-seeking-permission-enforce-worldwide-freezing-orders-overseas-dadourian-guidelin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insentmasons.com/out-law/guides/freezing-injunction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fw.com/downloads/001226-HFW-Client-Guide-Freezing-Injunction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lasermills.co.uk/insights/article/freezing-injunctions-what-is-a-real-risk-of-dissipation/" TargetMode="External"/><Relationship Id="rId23" Type="http://schemas.openxmlformats.org/officeDocument/2006/relationships/fontTable" Target="fontTable.xml"/><Relationship Id="rId10" Type="http://schemas.openxmlformats.org/officeDocument/2006/relationships/hyperlink" Target="https://www.walkermorris.co.uk/publications/freezing-orders-a-practical-guid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re.ac.uk/download/pdf/232765004.pdf" TargetMode="External"/><Relationship Id="rId14" Type="http://schemas.openxmlformats.org/officeDocument/2006/relationships/hyperlink" Target="https://www.textroad.com/pdf/JAEBS/J.%20Appl.%20Environ.%20Biol.%20Sci.,%205(4)68-71,%202015.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1712</TotalTime>
  <Pages>4</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Hickman</dc:creator>
  <cp:keywords/>
  <dc:description/>
  <cp:lastModifiedBy>Cerys Hickman</cp:lastModifiedBy>
  <cp:revision>624</cp:revision>
  <dcterms:created xsi:type="dcterms:W3CDTF">2022-03-30T10:08:00Z</dcterms:created>
  <dcterms:modified xsi:type="dcterms:W3CDTF">2022-04-01T12:22:00Z</dcterms:modified>
</cp:coreProperties>
</file>