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F1F1E" w14:textId="22EA8747" w:rsidR="00730A50" w:rsidRDefault="00730A50" w:rsidP="0023271B">
      <w:pPr>
        <w:spacing w:line="360" w:lineRule="auto"/>
        <w:jc w:val="center"/>
        <w:rPr>
          <w:rFonts w:ascii="Arial" w:hAnsi="Arial" w:cs="Arial"/>
          <w:b/>
          <w:bCs/>
          <w:sz w:val="32"/>
          <w:szCs w:val="32"/>
        </w:rPr>
      </w:pPr>
      <w:r>
        <w:rPr>
          <w:noProof/>
        </w:rPr>
        <w:drawing>
          <wp:inline distT="0" distB="0" distL="0" distR="0" wp14:anchorId="1A546D96" wp14:editId="33FCCF3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7B4CCAA" w14:textId="77777777" w:rsidR="00730A50" w:rsidRDefault="00730A50" w:rsidP="0023271B">
      <w:pPr>
        <w:spacing w:line="360" w:lineRule="auto"/>
        <w:jc w:val="center"/>
        <w:rPr>
          <w:rFonts w:ascii="Arial" w:hAnsi="Arial" w:cs="Arial"/>
          <w:b/>
          <w:bCs/>
          <w:sz w:val="32"/>
          <w:szCs w:val="32"/>
        </w:rPr>
      </w:pPr>
    </w:p>
    <w:p w14:paraId="12234714" w14:textId="77777777" w:rsidR="00730A50" w:rsidRDefault="00730A50" w:rsidP="0023271B">
      <w:pPr>
        <w:spacing w:line="360" w:lineRule="auto"/>
        <w:jc w:val="center"/>
        <w:rPr>
          <w:rFonts w:ascii="Arial" w:hAnsi="Arial" w:cs="Arial"/>
          <w:b/>
          <w:bCs/>
          <w:sz w:val="32"/>
          <w:szCs w:val="32"/>
        </w:rPr>
      </w:pPr>
    </w:p>
    <w:p w14:paraId="080780F2" w14:textId="77777777" w:rsidR="00730A50" w:rsidRDefault="00730A50" w:rsidP="0023271B">
      <w:pPr>
        <w:spacing w:line="360" w:lineRule="auto"/>
        <w:jc w:val="center"/>
        <w:rPr>
          <w:rFonts w:ascii="Arial" w:hAnsi="Arial" w:cs="Arial"/>
          <w:b/>
          <w:bCs/>
          <w:sz w:val="32"/>
          <w:szCs w:val="32"/>
        </w:rPr>
      </w:pPr>
    </w:p>
    <w:p w14:paraId="0118EF12" w14:textId="6E6A889A" w:rsidR="00EE25DB" w:rsidRDefault="0023271B" w:rsidP="0023271B">
      <w:pPr>
        <w:spacing w:line="360" w:lineRule="auto"/>
        <w:jc w:val="center"/>
        <w:rPr>
          <w:rFonts w:ascii="Arial" w:hAnsi="Arial" w:cs="Arial"/>
          <w:b/>
          <w:bCs/>
          <w:sz w:val="32"/>
          <w:szCs w:val="32"/>
        </w:rPr>
      </w:pPr>
      <w:r w:rsidRPr="00730A50">
        <w:rPr>
          <w:rFonts w:ascii="Arial" w:hAnsi="Arial" w:cs="Arial"/>
          <w:b/>
          <w:bCs/>
          <w:sz w:val="32"/>
          <w:szCs w:val="32"/>
        </w:rPr>
        <w:t>“Global Competitiveness of the UK Automotive Industry: A Strategic Evaluation of Nissan’s Operations in the Post-Brexit and Electrification Era”</w:t>
      </w:r>
    </w:p>
    <w:p w14:paraId="1B654B61" w14:textId="77777777" w:rsidR="00171AC5" w:rsidRDefault="00171AC5" w:rsidP="0023271B">
      <w:pPr>
        <w:spacing w:line="360" w:lineRule="auto"/>
        <w:jc w:val="center"/>
        <w:rPr>
          <w:rFonts w:ascii="Arial" w:hAnsi="Arial" w:cs="Arial"/>
          <w:b/>
          <w:bCs/>
          <w:sz w:val="32"/>
          <w:szCs w:val="32"/>
        </w:rPr>
      </w:pPr>
    </w:p>
    <w:p w14:paraId="41966DBA" w14:textId="77777777" w:rsidR="00171AC5" w:rsidRDefault="00171AC5" w:rsidP="0023271B">
      <w:pPr>
        <w:spacing w:line="360" w:lineRule="auto"/>
        <w:jc w:val="center"/>
        <w:rPr>
          <w:rFonts w:ascii="Arial" w:hAnsi="Arial" w:cs="Arial"/>
          <w:b/>
          <w:bCs/>
          <w:sz w:val="32"/>
          <w:szCs w:val="32"/>
        </w:rPr>
      </w:pPr>
    </w:p>
    <w:p w14:paraId="5E88F1C6" w14:textId="2334319A" w:rsidR="00846E9B" w:rsidRDefault="00980403" w:rsidP="00846E9B">
      <w:pPr>
        <w:spacing w:line="360" w:lineRule="auto"/>
        <w:jc w:val="center"/>
        <w:rPr>
          <w:rFonts w:ascii="Arial" w:hAnsi="Arial" w:cs="Arial"/>
          <w:b/>
          <w:bCs/>
          <w:sz w:val="32"/>
          <w:szCs w:val="32"/>
        </w:rPr>
      </w:pPr>
      <w:r>
        <w:rPr>
          <w:rFonts w:ascii="Arial" w:hAnsi="Arial" w:cs="Arial"/>
          <w:b/>
          <w:bCs/>
          <w:sz w:val="32"/>
          <w:szCs w:val="32"/>
        </w:rPr>
        <w:t xml:space="preserve">           </w:t>
      </w:r>
      <w:r w:rsidR="00846E9B">
        <w:rPr>
          <w:rFonts w:ascii="Arial" w:hAnsi="Arial" w:cs="Arial"/>
          <w:b/>
          <w:bCs/>
          <w:sz w:val="32"/>
          <w:szCs w:val="32"/>
        </w:rPr>
        <w:t>Module Name: International Business Concepts</w:t>
      </w:r>
    </w:p>
    <w:p w14:paraId="5E31D7C5" w14:textId="72A0EE9A" w:rsidR="00846E9B" w:rsidRDefault="00846E9B" w:rsidP="00846E9B">
      <w:pPr>
        <w:spacing w:line="360" w:lineRule="auto"/>
        <w:rPr>
          <w:rFonts w:ascii="Arial" w:hAnsi="Arial" w:cs="Arial"/>
          <w:b/>
          <w:bCs/>
          <w:sz w:val="32"/>
          <w:szCs w:val="32"/>
        </w:rPr>
      </w:pPr>
      <w:r>
        <w:rPr>
          <w:rFonts w:ascii="Arial" w:hAnsi="Arial" w:cs="Arial"/>
          <w:b/>
          <w:bCs/>
          <w:sz w:val="32"/>
          <w:szCs w:val="32"/>
        </w:rPr>
        <w:t xml:space="preserve">         </w:t>
      </w:r>
      <w:r w:rsidR="00980403">
        <w:rPr>
          <w:rFonts w:ascii="Arial" w:hAnsi="Arial" w:cs="Arial"/>
          <w:b/>
          <w:bCs/>
          <w:sz w:val="32"/>
          <w:szCs w:val="32"/>
        </w:rPr>
        <w:t xml:space="preserve">       </w:t>
      </w:r>
      <w:r>
        <w:rPr>
          <w:rFonts w:ascii="Arial" w:hAnsi="Arial" w:cs="Arial"/>
          <w:b/>
          <w:bCs/>
          <w:sz w:val="32"/>
          <w:szCs w:val="32"/>
        </w:rPr>
        <w:t xml:space="preserve">Module Code: LCMB7034 </w:t>
      </w:r>
    </w:p>
    <w:p w14:paraId="5B7163B0" w14:textId="08ED6CB1" w:rsidR="00171AC5" w:rsidRDefault="00980403" w:rsidP="00846E9B">
      <w:pPr>
        <w:spacing w:line="360" w:lineRule="auto"/>
        <w:rPr>
          <w:rFonts w:ascii="Arial" w:hAnsi="Arial" w:cs="Arial"/>
          <w:b/>
          <w:bCs/>
          <w:sz w:val="32"/>
          <w:szCs w:val="32"/>
        </w:rPr>
      </w:pPr>
      <w:r>
        <w:rPr>
          <w:rFonts w:ascii="Arial" w:hAnsi="Arial" w:cs="Arial"/>
          <w:b/>
          <w:bCs/>
          <w:sz w:val="32"/>
          <w:szCs w:val="32"/>
        </w:rPr>
        <w:t xml:space="preserve">           </w:t>
      </w:r>
      <w:r w:rsidR="00846E9B">
        <w:rPr>
          <w:rFonts w:ascii="Arial" w:hAnsi="Arial" w:cs="Arial"/>
          <w:b/>
          <w:bCs/>
          <w:sz w:val="32"/>
          <w:szCs w:val="32"/>
        </w:rPr>
        <w:t>Lecturer’s Name: Syed Mursh</w:t>
      </w:r>
      <w:r>
        <w:rPr>
          <w:rFonts w:ascii="Arial" w:hAnsi="Arial" w:cs="Arial"/>
          <w:b/>
          <w:bCs/>
          <w:sz w:val="32"/>
          <w:szCs w:val="32"/>
        </w:rPr>
        <w:t>e</w:t>
      </w:r>
      <w:r w:rsidR="00846E9B">
        <w:rPr>
          <w:rFonts w:ascii="Arial" w:hAnsi="Arial" w:cs="Arial"/>
          <w:b/>
          <w:bCs/>
          <w:sz w:val="32"/>
          <w:szCs w:val="32"/>
        </w:rPr>
        <w:t>d</w:t>
      </w:r>
    </w:p>
    <w:p w14:paraId="2A45F0BC" w14:textId="130C35C6" w:rsidR="00171AC5" w:rsidRDefault="00846E9B" w:rsidP="00846E9B">
      <w:pPr>
        <w:spacing w:line="360" w:lineRule="auto"/>
        <w:rPr>
          <w:rFonts w:ascii="Arial" w:hAnsi="Arial" w:cs="Arial"/>
          <w:b/>
          <w:bCs/>
          <w:sz w:val="32"/>
          <w:szCs w:val="32"/>
        </w:rPr>
      </w:pPr>
      <w:r>
        <w:rPr>
          <w:rFonts w:ascii="Arial" w:hAnsi="Arial" w:cs="Arial"/>
          <w:b/>
          <w:bCs/>
          <w:sz w:val="32"/>
          <w:szCs w:val="32"/>
        </w:rPr>
        <w:t xml:space="preserve">        </w:t>
      </w:r>
      <w:r w:rsidR="00980403">
        <w:rPr>
          <w:rFonts w:ascii="Arial" w:hAnsi="Arial" w:cs="Arial"/>
          <w:b/>
          <w:bCs/>
          <w:sz w:val="32"/>
          <w:szCs w:val="32"/>
        </w:rPr>
        <w:t xml:space="preserve">       </w:t>
      </w:r>
      <w:r>
        <w:rPr>
          <w:rFonts w:ascii="Arial" w:hAnsi="Arial" w:cs="Arial"/>
          <w:b/>
          <w:bCs/>
          <w:sz w:val="32"/>
          <w:szCs w:val="32"/>
        </w:rPr>
        <w:t>Student Name: Hemang</w:t>
      </w:r>
      <w:r w:rsidR="00980403">
        <w:rPr>
          <w:rFonts w:ascii="Arial" w:hAnsi="Arial" w:cs="Arial"/>
          <w:b/>
          <w:bCs/>
          <w:sz w:val="32"/>
          <w:szCs w:val="32"/>
        </w:rPr>
        <w:t xml:space="preserve"> </w:t>
      </w:r>
      <w:proofErr w:type="spellStart"/>
      <w:r w:rsidR="00980403">
        <w:rPr>
          <w:rFonts w:ascii="Arial" w:hAnsi="Arial" w:cs="Arial"/>
          <w:b/>
          <w:bCs/>
          <w:sz w:val="32"/>
          <w:szCs w:val="32"/>
        </w:rPr>
        <w:t>Amrutbhai</w:t>
      </w:r>
      <w:proofErr w:type="spellEnd"/>
      <w:r>
        <w:rPr>
          <w:rFonts w:ascii="Arial" w:hAnsi="Arial" w:cs="Arial"/>
          <w:b/>
          <w:bCs/>
          <w:sz w:val="32"/>
          <w:szCs w:val="32"/>
        </w:rPr>
        <w:t xml:space="preserve"> Desai</w:t>
      </w:r>
    </w:p>
    <w:p w14:paraId="6EF47C8E" w14:textId="580DC8ED" w:rsidR="00171AC5" w:rsidRDefault="00980403" w:rsidP="00980403">
      <w:pPr>
        <w:spacing w:line="360" w:lineRule="auto"/>
        <w:rPr>
          <w:rFonts w:ascii="Arial" w:hAnsi="Arial" w:cs="Arial"/>
          <w:b/>
          <w:bCs/>
          <w:sz w:val="32"/>
          <w:szCs w:val="32"/>
        </w:rPr>
      </w:pPr>
      <w:r>
        <w:rPr>
          <w:rFonts w:ascii="Arial" w:hAnsi="Arial" w:cs="Arial"/>
          <w:b/>
          <w:bCs/>
          <w:sz w:val="32"/>
          <w:szCs w:val="32"/>
        </w:rPr>
        <w:t xml:space="preserve">                     Student ID: 2438589</w:t>
      </w:r>
    </w:p>
    <w:p w14:paraId="2ADBC9E6" w14:textId="77777777" w:rsidR="00171AC5" w:rsidRPr="00171AC5" w:rsidRDefault="00171AC5" w:rsidP="0023271B">
      <w:pPr>
        <w:spacing w:line="360" w:lineRule="auto"/>
        <w:jc w:val="center"/>
        <w:rPr>
          <w:rFonts w:ascii="Arial" w:hAnsi="Arial" w:cs="Arial"/>
          <w:b/>
          <w:bCs/>
          <w:sz w:val="24"/>
          <w:szCs w:val="24"/>
        </w:rPr>
      </w:pPr>
    </w:p>
    <w:p w14:paraId="5EDB79CE" w14:textId="10BBA2A0" w:rsidR="00171AC5" w:rsidRPr="00171AC5" w:rsidRDefault="00171AC5" w:rsidP="0023271B">
      <w:pPr>
        <w:spacing w:line="360" w:lineRule="auto"/>
        <w:jc w:val="center"/>
        <w:rPr>
          <w:rFonts w:ascii="Arial" w:hAnsi="Arial" w:cs="Arial"/>
          <w:b/>
          <w:bCs/>
          <w:sz w:val="24"/>
          <w:szCs w:val="24"/>
        </w:rPr>
      </w:pPr>
    </w:p>
    <w:p w14:paraId="54C42CB2" w14:textId="207DAF52" w:rsidR="00171AC5" w:rsidRPr="00171AC5" w:rsidRDefault="00171AC5" w:rsidP="0023271B">
      <w:pPr>
        <w:spacing w:line="360" w:lineRule="auto"/>
        <w:jc w:val="center"/>
        <w:rPr>
          <w:rFonts w:ascii="Arial" w:hAnsi="Arial" w:cs="Arial"/>
          <w:b/>
          <w:bCs/>
          <w:sz w:val="24"/>
          <w:szCs w:val="24"/>
        </w:rPr>
      </w:pPr>
    </w:p>
    <w:p w14:paraId="4E34E71C" w14:textId="77777777" w:rsidR="00EE25DB" w:rsidRPr="00B82BF1" w:rsidRDefault="00EE25DB" w:rsidP="00B82BF1">
      <w:pPr>
        <w:spacing w:line="360" w:lineRule="auto"/>
        <w:jc w:val="both"/>
        <w:rPr>
          <w:rFonts w:ascii="Arial" w:hAnsi="Arial" w:cs="Arial"/>
          <w:b/>
          <w:bCs/>
          <w:sz w:val="24"/>
          <w:szCs w:val="24"/>
        </w:rPr>
      </w:pPr>
    </w:p>
    <w:p w14:paraId="479DC9EA" w14:textId="77777777" w:rsidR="00EE25DB" w:rsidRPr="00B82BF1" w:rsidRDefault="00EE25DB" w:rsidP="00B82BF1">
      <w:pPr>
        <w:spacing w:line="360" w:lineRule="auto"/>
        <w:jc w:val="both"/>
        <w:rPr>
          <w:rFonts w:ascii="Arial" w:hAnsi="Arial" w:cs="Arial"/>
          <w:b/>
          <w:bCs/>
          <w:sz w:val="24"/>
          <w:szCs w:val="24"/>
        </w:rPr>
      </w:pPr>
    </w:p>
    <w:p w14:paraId="214C72C4" w14:textId="77777777" w:rsidR="00730A50" w:rsidRPr="00B82BF1" w:rsidRDefault="00730A50" w:rsidP="00B82BF1">
      <w:pPr>
        <w:spacing w:line="360" w:lineRule="auto"/>
        <w:jc w:val="both"/>
        <w:rPr>
          <w:rFonts w:ascii="Arial" w:hAnsi="Arial" w:cs="Arial"/>
          <w:b/>
          <w:bCs/>
          <w:sz w:val="24"/>
          <w:szCs w:val="24"/>
        </w:rPr>
      </w:pPr>
    </w:p>
    <w:sdt>
      <w:sdtPr>
        <w:rPr>
          <w:rFonts w:ascii="Arial" w:eastAsiaTheme="minorHAnsi" w:hAnsi="Arial" w:cs="Arial"/>
          <w:b/>
          <w:bCs/>
          <w:color w:val="auto"/>
          <w:kern w:val="2"/>
          <w:sz w:val="22"/>
          <w:szCs w:val="22"/>
          <w:lang w:val="en-IN"/>
          <w14:ligatures w14:val="standardContextual"/>
        </w:rPr>
        <w:id w:val="774841348"/>
        <w:docPartObj>
          <w:docPartGallery w:val="Table of Contents"/>
          <w:docPartUnique/>
        </w:docPartObj>
      </w:sdtPr>
      <w:sdtEndPr>
        <w:rPr>
          <w:noProof/>
          <w:sz w:val="24"/>
          <w:szCs w:val="24"/>
        </w:rPr>
      </w:sdtEndPr>
      <w:sdtContent>
        <w:p w14:paraId="1E00455A" w14:textId="5FC15649" w:rsidR="003B54FC" w:rsidRPr="003B54FC" w:rsidRDefault="003B54FC">
          <w:pPr>
            <w:pStyle w:val="TOCHeading"/>
            <w:rPr>
              <w:rFonts w:ascii="Arial" w:hAnsi="Arial" w:cs="Arial"/>
              <w:b/>
              <w:bCs/>
              <w:color w:val="auto"/>
            </w:rPr>
          </w:pPr>
          <w:r w:rsidRPr="003B54FC">
            <w:rPr>
              <w:rFonts w:ascii="Arial" w:hAnsi="Arial" w:cs="Arial"/>
              <w:b/>
              <w:bCs/>
              <w:color w:val="auto"/>
            </w:rPr>
            <w:t>Table of Contents</w:t>
          </w:r>
        </w:p>
        <w:p w14:paraId="3E52B323" w14:textId="03FF2300" w:rsidR="003B54FC" w:rsidRPr="003B54FC" w:rsidRDefault="003B54FC">
          <w:pPr>
            <w:pStyle w:val="TOC1"/>
            <w:tabs>
              <w:tab w:val="right" w:leader="dot" w:pos="9016"/>
            </w:tabs>
            <w:rPr>
              <w:rFonts w:ascii="Arial" w:hAnsi="Arial" w:cs="Arial"/>
              <w:noProof/>
              <w:sz w:val="24"/>
              <w:szCs w:val="24"/>
            </w:rPr>
          </w:pPr>
          <w:r w:rsidRPr="003B54FC">
            <w:rPr>
              <w:rFonts w:ascii="Arial" w:hAnsi="Arial" w:cs="Arial"/>
              <w:sz w:val="24"/>
              <w:szCs w:val="24"/>
            </w:rPr>
            <w:fldChar w:fldCharType="begin"/>
          </w:r>
          <w:r w:rsidRPr="003B54FC">
            <w:rPr>
              <w:rFonts w:ascii="Arial" w:hAnsi="Arial" w:cs="Arial"/>
              <w:sz w:val="24"/>
              <w:szCs w:val="24"/>
            </w:rPr>
            <w:instrText xml:space="preserve"> TOC \o "1-3" \h \z \u </w:instrText>
          </w:r>
          <w:r w:rsidRPr="003B54FC">
            <w:rPr>
              <w:rFonts w:ascii="Arial" w:hAnsi="Arial" w:cs="Arial"/>
              <w:sz w:val="24"/>
              <w:szCs w:val="24"/>
            </w:rPr>
            <w:fldChar w:fldCharType="separate"/>
          </w:r>
          <w:hyperlink w:anchor="_Toc222776302" w:history="1">
            <w:r w:rsidRPr="003B54FC">
              <w:rPr>
                <w:rStyle w:val="Hyperlink"/>
                <w:rFonts w:ascii="Arial" w:hAnsi="Arial" w:cs="Arial"/>
                <w:noProof/>
                <w:sz w:val="24"/>
                <w:szCs w:val="24"/>
              </w:rPr>
              <w:t>SECTION 1: UK AUTOMOTIVE INDUSTRY COMPETITIVENESS AND NISSAN’S STRATEGIC POSITION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_Toc222776302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3</w:t>
            </w:r>
            <w:r w:rsidRPr="003B54FC">
              <w:rPr>
                <w:rFonts w:ascii="Arial" w:hAnsi="Arial" w:cs="Arial"/>
                <w:noProof/>
                <w:webHidden/>
                <w:sz w:val="24"/>
                <w:szCs w:val="24"/>
              </w:rPr>
              <w:fldChar w:fldCharType="end"/>
            </w:r>
          </w:hyperlink>
        </w:p>
        <w:p w14:paraId="05AF1B5D" w14:textId="6FFBAA88" w:rsidR="003B54FC" w:rsidRPr="003B54FC" w:rsidRDefault="003B54FC">
          <w:pPr>
            <w:pStyle w:val="TOC1"/>
            <w:tabs>
              <w:tab w:val="right" w:leader="dot" w:pos="9016"/>
            </w:tabs>
            <w:rPr>
              <w:rFonts w:ascii="Arial" w:hAnsi="Arial" w:cs="Arial"/>
              <w:noProof/>
              <w:sz w:val="24"/>
              <w:szCs w:val="24"/>
            </w:rPr>
          </w:pPr>
          <w:hyperlink w:anchor="_Toc222776303" w:history="1">
            <w:r w:rsidRPr="003B54FC">
              <w:rPr>
                <w:rStyle w:val="Hyperlink"/>
                <w:rFonts w:ascii="Arial" w:hAnsi="Arial" w:cs="Arial"/>
                <w:noProof/>
                <w:sz w:val="24"/>
                <w:szCs w:val="24"/>
              </w:rPr>
              <w:t>1. Introduction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_Toc222776303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3</w:t>
            </w:r>
            <w:r w:rsidRPr="003B54FC">
              <w:rPr>
                <w:rFonts w:ascii="Arial" w:hAnsi="Arial" w:cs="Arial"/>
                <w:noProof/>
                <w:webHidden/>
                <w:sz w:val="24"/>
                <w:szCs w:val="24"/>
              </w:rPr>
              <w:fldChar w:fldCharType="end"/>
            </w:r>
          </w:hyperlink>
        </w:p>
        <w:p w14:paraId="29B96380" w14:textId="76D3CB4D" w:rsidR="003B54FC" w:rsidRPr="003B54FC" w:rsidRDefault="003B54FC">
          <w:pPr>
            <w:pStyle w:val="TOC1"/>
            <w:tabs>
              <w:tab w:val="right" w:leader="dot" w:pos="9016"/>
            </w:tabs>
            <w:rPr>
              <w:rFonts w:ascii="Arial" w:hAnsi="Arial" w:cs="Arial"/>
              <w:noProof/>
              <w:sz w:val="24"/>
              <w:szCs w:val="24"/>
            </w:rPr>
          </w:pPr>
          <w:hyperlink w:anchor="_Toc222776304" w:history="1">
            <w:r w:rsidRPr="003B54FC">
              <w:rPr>
                <w:rStyle w:val="Hyperlink"/>
                <w:rFonts w:ascii="Arial" w:hAnsi="Arial" w:cs="Arial"/>
                <w:noProof/>
                <w:sz w:val="24"/>
                <w:szCs w:val="24"/>
              </w:rPr>
              <w:t>2. UK Automotive Industry Overview</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_Toc222776304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3</w:t>
            </w:r>
            <w:r w:rsidRPr="003B54FC">
              <w:rPr>
                <w:rFonts w:ascii="Arial" w:hAnsi="Arial" w:cs="Arial"/>
                <w:noProof/>
                <w:webHidden/>
                <w:sz w:val="24"/>
                <w:szCs w:val="24"/>
              </w:rPr>
              <w:fldChar w:fldCharType="end"/>
            </w:r>
          </w:hyperlink>
        </w:p>
        <w:p w14:paraId="482AFF7D" w14:textId="31B2226A" w:rsidR="003B54FC" w:rsidRPr="003B54FC" w:rsidRDefault="003B54FC">
          <w:pPr>
            <w:pStyle w:val="TOC2"/>
            <w:tabs>
              <w:tab w:val="right" w:leader="dot" w:pos="9016"/>
            </w:tabs>
            <w:rPr>
              <w:rFonts w:ascii="Arial" w:hAnsi="Arial" w:cs="Arial"/>
              <w:noProof/>
              <w:sz w:val="24"/>
              <w:szCs w:val="24"/>
            </w:rPr>
          </w:pPr>
          <w:hyperlink w:anchor="_Toc222776305" w:history="1">
            <w:r w:rsidRPr="003B54FC">
              <w:rPr>
                <w:rStyle w:val="Hyperlink"/>
                <w:rFonts w:ascii="Arial" w:hAnsi="Arial" w:cs="Arial"/>
                <w:noProof/>
                <w:sz w:val="24"/>
                <w:szCs w:val="24"/>
              </w:rPr>
              <w:t>2.1 Industry Size, Scope and Economic Contribution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_Toc222776305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3</w:t>
            </w:r>
            <w:r w:rsidRPr="003B54FC">
              <w:rPr>
                <w:rFonts w:ascii="Arial" w:hAnsi="Arial" w:cs="Arial"/>
                <w:noProof/>
                <w:webHidden/>
                <w:sz w:val="24"/>
                <w:szCs w:val="24"/>
              </w:rPr>
              <w:fldChar w:fldCharType="end"/>
            </w:r>
          </w:hyperlink>
        </w:p>
        <w:p w14:paraId="34983E05" w14:textId="1CA5DA4F" w:rsidR="003B54FC" w:rsidRPr="003B54FC" w:rsidRDefault="003B54FC">
          <w:pPr>
            <w:pStyle w:val="TOC2"/>
            <w:tabs>
              <w:tab w:val="right" w:leader="dot" w:pos="9016"/>
            </w:tabs>
            <w:rPr>
              <w:rFonts w:ascii="Arial" w:hAnsi="Arial" w:cs="Arial"/>
              <w:noProof/>
              <w:sz w:val="24"/>
              <w:szCs w:val="24"/>
            </w:rPr>
          </w:pPr>
          <w:hyperlink w:anchor="_Toc222776306" w:history="1">
            <w:r w:rsidRPr="003B54FC">
              <w:rPr>
                <w:rStyle w:val="Hyperlink"/>
                <w:rFonts w:ascii="Arial" w:hAnsi="Arial" w:cs="Arial"/>
                <w:noProof/>
                <w:sz w:val="24"/>
                <w:szCs w:val="24"/>
              </w:rPr>
              <w:t>2.2 Competitive Structure and Major Firms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_Toc222776306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4</w:t>
            </w:r>
            <w:r w:rsidRPr="003B54FC">
              <w:rPr>
                <w:rFonts w:ascii="Arial" w:hAnsi="Arial" w:cs="Arial"/>
                <w:noProof/>
                <w:webHidden/>
                <w:sz w:val="24"/>
                <w:szCs w:val="24"/>
              </w:rPr>
              <w:fldChar w:fldCharType="end"/>
            </w:r>
          </w:hyperlink>
        </w:p>
        <w:p w14:paraId="4F9016F7" w14:textId="328C0381" w:rsidR="003B54FC" w:rsidRPr="003B54FC" w:rsidRDefault="003B54FC">
          <w:pPr>
            <w:pStyle w:val="TOC1"/>
            <w:tabs>
              <w:tab w:val="right" w:leader="dot" w:pos="9016"/>
            </w:tabs>
            <w:rPr>
              <w:rFonts w:ascii="Arial" w:hAnsi="Arial" w:cs="Arial"/>
              <w:noProof/>
              <w:sz w:val="24"/>
              <w:szCs w:val="24"/>
            </w:rPr>
          </w:pPr>
          <w:hyperlink w:anchor="_Toc222776307" w:history="1">
            <w:r w:rsidRPr="003B54FC">
              <w:rPr>
                <w:rStyle w:val="Hyperlink"/>
                <w:rFonts w:ascii="Arial" w:hAnsi="Arial" w:cs="Arial"/>
                <w:noProof/>
                <w:sz w:val="24"/>
                <w:szCs w:val="24"/>
              </w:rPr>
              <w:t>3. Porter’s Diamond and the Global Competitiveness of the UK Automotive Industry</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_Toc222776307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6</w:t>
            </w:r>
            <w:r w:rsidRPr="003B54FC">
              <w:rPr>
                <w:rFonts w:ascii="Arial" w:hAnsi="Arial" w:cs="Arial"/>
                <w:noProof/>
                <w:webHidden/>
                <w:sz w:val="24"/>
                <w:szCs w:val="24"/>
              </w:rPr>
              <w:fldChar w:fldCharType="end"/>
            </w:r>
          </w:hyperlink>
        </w:p>
        <w:p w14:paraId="65CDD0B4" w14:textId="0813F917" w:rsidR="003B54FC" w:rsidRPr="003B54FC" w:rsidRDefault="003B54FC">
          <w:pPr>
            <w:pStyle w:val="TOC2"/>
            <w:tabs>
              <w:tab w:val="right" w:leader="dot" w:pos="9016"/>
            </w:tabs>
            <w:rPr>
              <w:rFonts w:ascii="Arial" w:hAnsi="Arial" w:cs="Arial"/>
              <w:noProof/>
              <w:sz w:val="24"/>
              <w:szCs w:val="24"/>
            </w:rPr>
          </w:pPr>
          <w:hyperlink w:anchor="_Toc222776308" w:history="1">
            <w:r w:rsidRPr="003B54FC">
              <w:rPr>
                <w:rStyle w:val="Hyperlink"/>
                <w:rFonts w:ascii="Arial" w:hAnsi="Arial" w:cs="Arial"/>
                <w:noProof/>
                <w:sz w:val="24"/>
                <w:szCs w:val="24"/>
              </w:rPr>
              <w:t>3.1 Factor Conditions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_Toc222776308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6</w:t>
            </w:r>
            <w:r w:rsidRPr="003B54FC">
              <w:rPr>
                <w:rFonts w:ascii="Arial" w:hAnsi="Arial" w:cs="Arial"/>
                <w:noProof/>
                <w:webHidden/>
                <w:sz w:val="24"/>
                <w:szCs w:val="24"/>
              </w:rPr>
              <w:fldChar w:fldCharType="end"/>
            </w:r>
          </w:hyperlink>
        </w:p>
        <w:p w14:paraId="23CC7477" w14:textId="36056CC8" w:rsidR="003B54FC" w:rsidRPr="003B54FC" w:rsidRDefault="003B54FC">
          <w:pPr>
            <w:pStyle w:val="TOC2"/>
            <w:tabs>
              <w:tab w:val="right" w:leader="dot" w:pos="9016"/>
            </w:tabs>
            <w:rPr>
              <w:rFonts w:ascii="Arial" w:hAnsi="Arial" w:cs="Arial"/>
              <w:noProof/>
              <w:sz w:val="24"/>
              <w:szCs w:val="24"/>
            </w:rPr>
          </w:pPr>
          <w:hyperlink w:anchor="_Toc222776309" w:history="1">
            <w:r w:rsidRPr="003B54FC">
              <w:rPr>
                <w:rStyle w:val="Hyperlink"/>
                <w:rFonts w:ascii="Arial" w:hAnsi="Arial" w:cs="Arial"/>
                <w:noProof/>
                <w:sz w:val="24"/>
                <w:szCs w:val="24"/>
              </w:rPr>
              <w:t>3.2 Demand Conditions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_Toc222776309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6</w:t>
            </w:r>
            <w:r w:rsidRPr="003B54FC">
              <w:rPr>
                <w:rFonts w:ascii="Arial" w:hAnsi="Arial" w:cs="Arial"/>
                <w:noProof/>
                <w:webHidden/>
                <w:sz w:val="24"/>
                <w:szCs w:val="24"/>
              </w:rPr>
              <w:fldChar w:fldCharType="end"/>
            </w:r>
          </w:hyperlink>
        </w:p>
        <w:p w14:paraId="759CC25C" w14:textId="5117BAF5" w:rsidR="003B54FC" w:rsidRPr="003B54FC" w:rsidRDefault="003B54FC">
          <w:pPr>
            <w:pStyle w:val="TOC2"/>
            <w:tabs>
              <w:tab w:val="right" w:leader="dot" w:pos="9016"/>
            </w:tabs>
            <w:rPr>
              <w:rFonts w:ascii="Arial" w:hAnsi="Arial" w:cs="Arial"/>
              <w:noProof/>
              <w:sz w:val="24"/>
              <w:szCs w:val="24"/>
            </w:rPr>
          </w:pPr>
          <w:hyperlink w:anchor="_Toc222776310" w:history="1">
            <w:r w:rsidRPr="003B54FC">
              <w:rPr>
                <w:rStyle w:val="Hyperlink"/>
                <w:rFonts w:ascii="Arial" w:hAnsi="Arial" w:cs="Arial"/>
                <w:noProof/>
                <w:sz w:val="24"/>
                <w:szCs w:val="24"/>
              </w:rPr>
              <w:t>3.3 Related and Supporting Industries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_Toc222776310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7</w:t>
            </w:r>
            <w:r w:rsidRPr="003B54FC">
              <w:rPr>
                <w:rFonts w:ascii="Arial" w:hAnsi="Arial" w:cs="Arial"/>
                <w:noProof/>
                <w:webHidden/>
                <w:sz w:val="24"/>
                <w:szCs w:val="24"/>
              </w:rPr>
              <w:fldChar w:fldCharType="end"/>
            </w:r>
          </w:hyperlink>
        </w:p>
        <w:p w14:paraId="19D9280E" w14:textId="4E1143AC" w:rsidR="003B54FC" w:rsidRPr="003B54FC" w:rsidRDefault="003B54FC">
          <w:pPr>
            <w:pStyle w:val="TOC2"/>
            <w:tabs>
              <w:tab w:val="right" w:leader="dot" w:pos="9016"/>
            </w:tabs>
            <w:rPr>
              <w:rFonts w:ascii="Arial" w:hAnsi="Arial" w:cs="Arial"/>
              <w:noProof/>
              <w:sz w:val="24"/>
              <w:szCs w:val="24"/>
            </w:rPr>
          </w:pPr>
          <w:hyperlink w:anchor="_Toc222776311" w:history="1">
            <w:r w:rsidRPr="003B54FC">
              <w:rPr>
                <w:rStyle w:val="Hyperlink"/>
                <w:rFonts w:ascii="Arial" w:hAnsi="Arial" w:cs="Arial"/>
                <w:noProof/>
                <w:sz w:val="24"/>
                <w:szCs w:val="24"/>
              </w:rPr>
              <w:t>3.4 Firm Strategy, Structure and Rivalry</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_Toc222776311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8</w:t>
            </w:r>
            <w:r w:rsidRPr="003B54FC">
              <w:rPr>
                <w:rFonts w:ascii="Arial" w:hAnsi="Arial" w:cs="Arial"/>
                <w:noProof/>
                <w:webHidden/>
                <w:sz w:val="24"/>
                <w:szCs w:val="24"/>
              </w:rPr>
              <w:fldChar w:fldCharType="end"/>
            </w:r>
          </w:hyperlink>
        </w:p>
        <w:p w14:paraId="3AE25277" w14:textId="3E7253F5" w:rsidR="003B54FC" w:rsidRPr="003B54FC" w:rsidRDefault="003B54FC">
          <w:pPr>
            <w:pStyle w:val="TOC2"/>
            <w:tabs>
              <w:tab w:val="right" w:leader="dot" w:pos="9016"/>
            </w:tabs>
            <w:rPr>
              <w:rFonts w:ascii="Arial" w:hAnsi="Arial" w:cs="Arial"/>
              <w:noProof/>
              <w:sz w:val="24"/>
              <w:szCs w:val="24"/>
            </w:rPr>
          </w:pPr>
          <w:hyperlink w:anchor="_Toc222776312" w:history="1">
            <w:r w:rsidRPr="003B54FC">
              <w:rPr>
                <w:rStyle w:val="Hyperlink"/>
                <w:rFonts w:ascii="Arial" w:hAnsi="Arial" w:cs="Arial"/>
                <w:noProof/>
                <w:sz w:val="24"/>
                <w:szCs w:val="24"/>
              </w:rPr>
              <w:t>3.5 Government and Institutional Influence</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_Toc222776312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8</w:t>
            </w:r>
            <w:r w:rsidRPr="003B54FC">
              <w:rPr>
                <w:rFonts w:ascii="Arial" w:hAnsi="Arial" w:cs="Arial"/>
                <w:noProof/>
                <w:webHidden/>
                <w:sz w:val="24"/>
                <w:szCs w:val="24"/>
              </w:rPr>
              <w:fldChar w:fldCharType="end"/>
            </w:r>
          </w:hyperlink>
        </w:p>
        <w:p w14:paraId="17826D9C" w14:textId="33D7E84C" w:rsidR="003B54FC" w:rsidRPr="003B54FC" w:rsidRDefault="003B54FC">
          <w:pPr>
            <w:pStyle w:val="TOC2"/>
            <w:tabs>
              <w:tab w:val="right" w:leader="dot" w:pos="9016"/>
            </w:tabs>
            <w:rPr>
              <w:rFonts w:ascii="Arial" w:hAnsi="Arial" w:cs="Arial"/>
              <w:noProof/>
              <w:sz w:val="24"/>
              <w:szCs w:val="24"/>
            </w:rPr>
          </w:pPr>
          <w:hyperlink w:anchor="_Toc222776313" w:history="1">
            <w:r w:rsidRPr="003B54FC">
              <w:rPr>
                <w:rStyle w:val="Hyperlink"/>
                <w:rFonts w:ascii="Arial" w:hAnsi="Arial" w:cs="Arial"/>
                <w:noProof/>
                <w:sz w:val="24"/>
                <w:szCs w:val="24"/>
              </w:rPr>
              <w:t>3.6 Critical Evaluation of Porter’s Diamond</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_Toc222776313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8</w:t>
            </w:r>
            <w:r w:rsidRPr="003B54FC">
              <w:rPr>
                <w:rFonts w:ascii="Arial" w:hAnsi="Arial" w:cs="Arial"/>
                <w:noProof/>
                <w:webHidden/>
                <w:sz w:val="24"/>
                <w:szCs w:val="24"/>
              </w:rPr>
              <w:fldChar w:fldCharType="end"/>
            </w:r>
          </w:hyperlink>
        </w:p>
        <w:p w14:paraId="01B3AD00" w14:textId="3C9F7748" w:rsidR="003B54FC" w:rsidRPr="003B54FC" w:rsidRDefault="003B54FC">
          <w:pPr>
            <w:pStyle w:val="TOC1"/>
            <w:tabs>
              <w:tab w:val="right" w:leader="dot" w:pos="9016"/>
            </w:tabs>
            <w:rPr>
              <w:rFonts w:ascii="Arial" w:hAnsi="Arial" w:cs="Arial"/>
              <w:noProof/>
              <w:sz w:val="24"/>
              <w:szCs w:val="24"/>
            </w:rPr>
          </w:pPr>
          <w:hyperlink w:anchor="_Toc222776314" w:history="1">
            <w:r w:rsidRPr="003B54FC">
              <w:rPr>
                <w:rStyle w:val="Hyperlink"/>
                <w:rFonts w:ascii="Arial" w:hAnsi="Arial" w:cs="Arial"/>
                <w:noProof/>
                <w:sz w:val="24"/>
                <w:szCs w:val="24"/>
              </w:rPr>
              <w:t>4. Critical Evaluation of Nissan’s Operations in the United Kingdom</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_Toc222776314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9</w:t>
            </w:r>
            <w:r w:rsidRPr="003B54FC">
              <w:rPr>
                <w:rFonts w:ascii="Arial" w:hAnsi="Arial" w:cs="Arial"/>
                <w:noProof/>
                <w:webHidden/>
                <w:sz w:val="24"/>
                <w:szCs w:val="24"/>
              </w:rPr>
              <w:fldChar w:fldCharType="end"/>
            </w:r>
          </w:hyperlink>
        </w:p>
        <w:p w14:paraId="65009CBC" w14:textId="0FD747A9" w:rsidR="003B54FC" w:rsidRPr="003B54FC" w:rsidRDefault="003B54FC">
          <w:pPr>
            <w:pStyle w:val="TOC2"/>
            <w:tabs>
              <w:tab w:val="right" w:leader="dot" w:pos="9016"/>
            </w:tabs>
            <w:rPr>
              <w:rFonts w:ascii="Arial" w:hAnsi="Arial" w:cs="Arial"/>
              <w:noProof/>
              <w:sz w:val="24"/>
              <w:szCs w:val="24"/>
            </w:rPr>
          </w:pPr>
          <w:hyperlink w:anchor="_Toc222776315" w:history="1">
            <w:r w:rsidRPr="003B54FC">
              <w:rPr>
                <w:rStyle w:val="Hyperlink"/>
                <w:rFonts w:ascii="Arial" w:hAnsi="Arial" w:cs="Arial"/>
                <w:noProof/>
                <w:sz w:val="24"/>
                <w:szCs w:val="24"/>
              </w:rPr>
              <w:t>4.1 Political Environment</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_Toc222776315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10</w:t>
            </w:r>
            <w:r w:rsidRPr="003B54FC">
              <w:rPr>
                <w:rFonts w:ascii="Arial" w:hAnsi="Arial" w:cs="Arial"/>
                <w:noProof/>
                <w:webHidden/>
                <w:sz w:val="24"/>
                <w:szCs w:val="24"/>
              </w:rPr>
              <w:fldChar w:fldCharType="end"/>
            </w:r>
          </w:hyperlink>
        </w:p>
        <w:p w14:paraId="6389B9EE" w14:textId="759366D6" w:rsidR="003B54FC" w:rsidRPr="003B54FC" w:rsidRDefault="003B54FC">
          <w:pPr>
            <w:pStyle w:val="TOC2"/>
            <w:tabs>
              <w:tab w:val="right" w:leader="dot" w:pos="9016"/>
            </w:tabs>
            <w:rPr>
              <w:rFonts w:ascii="Arial" w:hAnsi="Arial" w:cs="Arial"/>
              <w:noProof/>
              <w:sz w:val="24"/>
              <w:szCs w:val="24"/>
            </w:rPr>
          </w:pPr>
          <w:hyperlink w:anchor="_Toc222776316" w:history="1">
            <w:r w:rsidRPr="003B54FC">
              <w:rPr>
                <w:rStyle w:val="Hyperlink"/>
                <w:rFonts w:ascii="Arial" w:hAnsi="Arial" w:cs="Arial"/>
                <w:noProof/>
                <w:sz w:val="24"/>
                <w:szCs w:val="24"/>
              </w:rPr>
              <w:t>4.2 Economic Environment</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_Toc222776316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11</w:t>
            </w:r>
            <w:r w:rsidRPr="003B54FC">
              <w:rPr>
                <w:rFonts w:ascii="Arial" w:hAnsi="Arial" w:cs="Arial"/>
                <w:noProof/>
                <w:webHidden/>
                <w:sz w:val="24"/>
                <w:szCs w:val="24"/>
              </w:rPr>
              <w:fldChar w:fldCharType="end"/>
            </w:r>
          </w:hyperlink>
        </w:p>
        <w:p w14:paraId="35AEC3F1" w14:textId="65F7717D" w:rsidR="003B54FC" w:rsidRPr="003B54FC" w:rsidRDefault="003B54FC">
          <w:pPr>
            <w:pStyle w:val="TOC2"/>
            <w:tabs>
              <w:tab w:val="right" w:leader="dot" w:pos="9016"/>
            </w:tabs>
            <w:rPr>
              <w:rFonts w:ascii="Arial" w:hAnsi="Arial" w:cs="Arial"/>
              <w:noProof/>
              <w:sz w:val="24"/>
              <w:szCs w:val="24"/>
            </w:rPr>
          </w:pPr>
          <w:hyperlink w:anchor="_Toc222776317" w:history="1">
            <w:r w:rsidRPr="003B54FC">
              <w:rPr>
                <w:rStyle w:val="Hyperlink"/>
                <w:rFonts w:ascii="Arial" w:hAnsi="Arial" w:cs="Arial"/>
                <w:noProof/>
                <w:sz w:val="24"/>
                <w:szCs w:val="24"/>
              </w:rPr>
              <w:t>4.3 Legal and Regulatory Environment</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_Toc222776317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12</w:t>
            </w:r>
            <w:r w:rsidRPr="003B54FC">
              <w:rPr>
                <w:rFonts w:ascii="Arial" w:hAnsi="Arial" w:cs="Arial"/>
                <w:noProof/>
                <w:webHidden/>
                <w:sz w:val="24"/>
                <w:szCs w:val="24"/>
              </w:rPr>
              <w:fldChar w:fldCharType="end"/>
            </w:r>
          </w:hyperlink>
        </w:p>
        <w:p w14:paraId="0C9FBE49" w14:textId="36F42E49" w:rsidR="003B54FC" w:rsidRPr="003B54FC" w:rsidRDefault="003B54FC">
          <w:pPr>
            <w:pStyle w:val="TOC2"/>
            <w:tabs>
              <w:tab w:val="right" w:leader="dot" w:pos="9016"/>
            </w:tabs>
            <w:rPr>
              <w:rFonts w:ascii="Arial" w:hAnsi="Arial" w:cs="Arial"/>
              <w:noProof/>
              <w:sz w:val="24"/>
              <w:szCs w:val="24"/>
            </w:rPr>
          </w:pPr>
          <w:hyperlink w:anchor="_Toc222776318" w:history="1">
            <w:r w:rsidRPr="003B54FC">
              <w:rPr>
                <w:rStyle w:val="Hyperlink"/>
                <w:rFonts w:ascii="Arial" w:hAnsi="Arial" w:cs="Arial"/>
                <w:noProof/>
                <w:sz w:val="24"/>
                <w:szCs w:val="24"/>
              </w:rPr>
              <w:t>4.4 Supply Chain Resilience and Electrification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_Toc222776318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13</w:t>
            </w:r>
            <w:r w:rsidRPr="003B54FC">
              <w:rPr>
                <w:rFonts w:ascii="Arial" w:hAnsi="Arial" w:cs="Arial"/>
                <w:noProof/>
                <w:webHidden/>
                <w:sz w:val="24"/>
                <w:szCs w:val="24"/>
              </w:rPr>
              <w:fldChar w:fldCharType="end"/>
            </w:r>
          </w:hyperlink>
        </w:p>
        <w:p w14:paraId="67539FCE" w14:textId="39F2E960" w:rsidR="003B54FC" w:rsidRPr="003B54FC" w:rsidRDefault="003B54FC">
          <w:pPr>
            <w:pStyle w:val="TOC2"/>
            <w:tabs>
              <w:tab w:val="right" w:leader="dot" w:pos="9016"/>
            </w:tabs>
            <w:rPr>
              <w:rFonts w:ascii="Arial" w:hAnsi="Arial" w:cs="Arial"/>
              <w:noProof/>
              <w:sz w:val="24"/>
              <w:szCs w:val="24"/>
            </w:rPr>
          </w:pPr>
          <w:hyperlink w:anchor="_Toc222776319" w:history="1">
            <w:r w:rsidRPr="003B54FC">
              <w:rPr>
                <w:rStyle w:val="Hyperlink"/>
                <w:rFonts w:ascii="Arial" w:hAnsi="Arial" w:cs="Arial"/>
                <w:noProof/>
                <w:sz w:val="24"/>
                <w:szCs w:val="24"/>
              </w:rPr>
              <w:t>4.5 Strategic Position and Long-Term Market Attractiveness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_Toc222776319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13</w:t>
            </w:r>
            <w:r w:rsidRPr="003B54FC">
              <w:rPr>
                <w:rFonts w:ascii="Arial" w:hAnsi="Arial" w:cs="Arial"/>
                <w:noProof/>
                <w:webHidden/>
                <w:sz w:val="24"/>
                <w:szCs w:val="24"/>
              </w:rPr>
              <w:fldChar w:fldCharType="end"/>
            </w:r>
          </w:hyperlink>
        </w:p>
        <w:p w14:paraId="0E267EE6" w14:textId="2D42892D" w:rsidR="003B54FC" w:rsidRPr="003B54FC" w:rsidRDefault="003B54FC">
          <w:pPr>
            <w:pStyle w:val="TOC1"/>
            <w:tabs>
              <w:tab w:val="right" w:leader="dot" w:pos="9016"/>
            </w:tabs>
            <w:rPr>
              <w:rFonts w:ascii="Arial" w:hAnsi="Arial" w:cs="Arial"/>
              <w:noProof/>
              <w:sz w:val="24"/>
              <w:szCs w:val="24"/>
            </w:rPr>
          </w:pPr>
          <w:hyperlink w:anchor="_Toc222776320" w:history="1">
            <w:r w:rsidRPr="003B54FC">
              <w:rPr>
                <w:rStyle w:val="Hyperlink"/>
                <w:rFonts w:ascii="Arial" w:hAnsi="Arial" w:cs="Arial"/>
                <w:noProof/>
                <w:sz w:val="24"/>
                <w:szCs w:val="24"/>
              </w:rPr>
              <w:t>5. Conclusion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_Toc222776320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15</w:t>
            </w:r>
            <w:r w:rsidRPr="003B54FC">
              <w:rPr>
                <w:rFonts w:ascii="Arial" w:hAnsi="Arial" w:cs="Arial"/>
                <w:noProof/>
                <w:webHidden/>
                <w:sz w:val="24"/>
                <w:szCs w:val="24"/>
              </w:rPr>
              <w:fldChar w:fldCharType="end"/>
            </w:r>
          </w:hyperlink>
        </w:p>
        <w:p w14:paraId="75DF07F5" w14:textId="3978285C" w:rsidR="003B54FC" w:rsidRPr="003B54FC" w:rsidRDefault="003B54FC">
          <w:pPr>
            <w:pStyle w:val="TOC1"/>
            <w:tabs>
              <w:tab w:val="right" w:leader="dot" w:pos="9016"/>
            </w:tabs>
            <w:rPr>
              <w:rFonts w:ascii="Arial" w:hAnsi="Arial" w:cs="Arial"/>
              <w:noProof/>
              <w:sz w:val="24"/>
              <w:szCs w:val="24"/>
            </w:rPr>
          </w:pPr>
          <w:hyperlink w:anchor="_Toc222776321" w:history="1">
            <w:r w:rsidRPr="003B54FC">
              <w:rPr>
                <w:rStyle w:val="Hyperlink"/>
                <w:rFonts w:ascii="Arial" w:hAnsi="Arial" w:cs="Arial"/>
                <w:noProof/>
                <w:sz w:val="24"/>
                <w:szCs w:val="24"/>
              </w:rPr>
              <w:t>SECTION 2: Reflective Account (Gibbs’ Reflective Cycle)</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_Toc222776321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16</w:t>
            </w:r>
            <w:r w:rsidRPr="003B54FC">
              <w:rPr>
                <w:rFonts w:ascii="Arial" w:hAnsi="Arial" w:cs="Arial"/>
                <w:noProof/>
                <w:webHidden/>
                <w:sz w:val="24"/>
                <w:szCs w:val="24"/>
              </w:rPr>
              <w:fldChar w:fldCharType="end"/>
            </w:r>
          </w:hyperlink>
        </w:p>
        <w:p w14:paraId="08412A02" w14:textId="141D834B" w:rsidR="003B54FC" w:rsidRPr="003B54FC" w:rsidRDefault="003B54FC">
          <w:pPr>
            <w:pStyle w:val="TOC1"/>
            <w:tabs>
              <w:tab w:val="right" w:leader="dot" w:pos="9016"/>
            </w:tabs>
            <w:rPr>
              <w:rFonts w:ascii="Arial" w:hAnsi="Arial" w:cs="Arial"/>
              <w:noProof/>
              <w:sz w:val="24"/>
              <w:szCs w:val="24"/>
            </w:rPr>
          </w:pPr>
          <w:hyperlink w:anchor="_Toc222776322" w:history="1">
            <w:r w:rsidRPr="003B54FC">
              <w:rPr>
                <w:rStyle w:val="Hyperlink"/>
                <w:rFonts w:ascii="Arial" w:hAnsi="Arial" w:cs="Arial"/>
                <w:noProof/>
                <w:sz w:val="24"/>
                <w:szCs w:val="24"/>
              </w:rPr>
              <w:t>1. Description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_Toc222776322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16</w:t>
            </w:r>
            <w:r w:rsidRPr="003B54FC">
              <w:rPr>
                <w:rFonts w:ascii="Arial" w:hAnsi="Arial" w:cs="Arial"/>
                <w:noProof/>
                <w:webHidden/>
                <w:sz w:val="24"/>
                <w:szCs w:val="24"/>
              </w:rPr>
              <w:fldChar w:fldCharType="end"/>
            </w:r>
          </w:hyperlink>
        </w:p>
        <w:p w14:paraId="46F546B3" w14:textId="51945EEE" w:rsidR="003B54FC" w:rsidRPr="003B54FC" w:rsidRDefault="003B54FC">
          <w:pPr>
            <w:pStyle w:val="TOC1"/>
            <w:tabs>
              <w:tab w:val="right" w:leader="dot" w:pos="9016"/>
            </w:tabs>
            <w:rPr>
              <w:rFonts w:ascii="Arial" w:hAnsi="Arial" w:cs="Arial"/>
              <w:noProof/>
              <w:sz w:val="24"/>
              <w:szCs w:val="24"/>
            </w:rPr>
          </w:pPr>
          <w:hyperlink w:anchor="_Toc222776323" w:history="1">
            <w:r w:rsidRPr="003B54FC">
              <w:rPr>
                <w:rStyle w:val="Hyperlink"/>
                <w:rFonts w:ascii="Arial" w:hAnsi="Arial" w:cs="Arial"/>
                <w:noProof/>
                <w:sz w:val="24"/>
                <w:szCs w:val="24"/>
              </w:rPr>
              <w:t>2. Feelings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_Toc222776323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16</w:t>
            </w:r>
            <w:r w:rsidRPr="003B54FC">
              <w:rPr>
                <w:rFonts w:ascii="Arial" w:hAnsi="Arial" w:cs="Arial"/>
                <w:noProof/>
                <w:webHidden/>
                <w:sz w:val="24"/>
                <w:szCs w:val="24"/>
              </w:rPr>
              <w:fldChar w:fldCharType="end"/>
            </w:r>
          </w:hyperlink>
        </w:p>
        <w:p w14:paraId="4AA60ECD" w14:textId="6B1F7C04" w:rsidR="003B54FC" w:rsidRPr="003B54FC" w:rsidRDefault="003B54FC">
          <w:pPr>
            <w:pStyle w:val="TOC1"/>
            <w:tabs>
              <w:tab w:val="right" w:leader="dot" w:pos="9016"/>
            </w:tabs>
            <w:rPr>
              <w:rFonts w:ascii="Arial" w:hAnsi="Arial" w:cs="Arial"/>
              <w:noProof/>
              <w:sz w:val="24"/>
              <w:szCs w:val="24"/>
            </w:rPr>
          </w:pPr>
          <w:hyperlink w:anchor="_Toc222776324" w:history="1">
            <w:r w:rsidRPr="003B54FC">
              <w:rPr>
                <w:rStyle w:val="Hyperlink"/>
                <w:rFonts w:ascii="Arial" w:hAnsi="Arial" w:cs="Arial"/>
                <w:noProof/>
                <w:sz w:val="24"/>
                <w:szCs w:val="24"/>
              </w:rPr>
              <w:t>3. Evaluation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_Toc222776324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17</w:t>
            </w:r>
            <w:r w:rsidRPr="003B54FC">
              <w:rPr>
                <w:rFonts w:ascii="Arial" w:hAnsi="Arial" w:cs="Arial"/>
                <w:noProof/>
                <w:webHidden/>
                <w:sz w:val="24"/>
                <w:szCs w:val="24"/>
              </w:rPr>
              <w:fldChar w:fldCharType="end"/>
            </w:r>
          </w:hyperlink>
        </w:p>
        <w:p w14:paraId="5F92BD24" w14:textId="52672BE6" w:rsidR="003B54FC" w:rsidRPr="003B54FC" w:rsidRDefault="003B54FC">
          <w:pPr>
            <w:pStyle w:val="TOC1"/>
            <w:tabs>
              <w:tab w:val="right" w:leader="dot" w:pos="9016"/>
            </w:tabs>
            <w:rPr>
              <w:rFonts w:ascii="Arial" w:hAnsi="Arial" w:cs="Arial"/>
              <w:noProof/>
              <w:sz w:val="24"/>
              <w:szCs w:val="24"/>
            </w:rPr>
          </w:pPr>
          <w:hyperlink w:anchor="_Toc222776325" w:history="1">
            <w:r w:rsidRPr="003B54FC">
              <w:rPr>
                <w:rStyle w:val="Hyperlink"/>
                <w:rFonts w:ascii="Arial" w:hAnsi="Arial" w:cs="Arial"/>
                <w:noProof/>
                <w:sz w:val="24"/>
                <w:szCs w:val="24"/>
              </w:rPr>
              <w:t>4. Analysis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_Toc222776325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17</w:t>
            </w:r>
            <w:r w:rsidRPr="003B54FC">
              <w:rPr>
                <w:rFonts w:ascii="Arial" w:hAnsi="Arial" w:cs="Arial"/>
                <w:noProof/>
                <w:webHidden/>
                <w:sz w:val="24"/>
                <w:szCs w:val="24"/>
              </w:rPr>
              <w:fldChar w:fldCharType="end"/>
            </w:r>
          </w:hyperlink>
        </w:p>
        <w:p w14:paraId="1B6EF2C9" w14:textId="73C487DA" w:rsidR="003B54FC" w:rsidRPr="003B54FC" w:rsidRDefault="003B54FC">
          <w:pPr>
            <w:pStyle w:val="TOC1"/>
            <w:tabs>
              <w:tab w:val="right" w:leader="dot" w:pos="9016"/>
            </w:tabs>
            <w:rPr>
              <w:rFonts w:ascii="Arial" w:hAnsi="Arial" w:cs="Arial"/>
              <w:noProof/>
              <w:sz w:val="24"/>
              <w:szCs w:val="24"/>
            </w:rPr>
          </w:pPr>
          <w:hyperlink w:anchor="_Toc222776326" w:history="1">
            <w:r w:rsidRPr="003B54FC">
              <w:rPr>
                <w:rStyle w:val="Hyperlink"/>
                <w:rFonts w:ascii="Arial" w:hAnsi="Arial" w:cs="Arial"/>
                <w:noProof/>
                <w:sz w:val="24"/>
                <w:szCs w:val="24"/>
              </w:rPr>
              <w:t>5. Conclusion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_Toc222776326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18</w:t>
            </w:r>
            <w:r w:rsidRPr="003B54FC">
              <w:rPr>
                <w:rFonts w:ascii="Arial" w:hAnsi="Arial" w:cs="Arial"/>
                <w:noProof/>
                <w:webHidden/>
                <w:sz w:val="24"/>
                <w:szCs w:val="24"/>
              </w:rPr>
              <w:fldChar w:fldCharType="end"/>
            </w:r>
          </w:hyperlink>
        </w:p>
        <w:p w14:paraId="0A64C14B" w14:textId="776A603F" w:rsidR="003B54FC" w:rsidRPr="003B54FC" w:rsidRDefault="003B54FC">
          <w:pPr>
            <w:pStyle w:val="TOC1"/>
            <w:tabs>
              <w:tab w:val="right" w:leader="dot" w:pos="9016"/>
            </w:tabs>
            <w:rPr>
              <w:rFonts w:ascii="Arial" w:hAnsi="Arial" w:cs="Arial"/>
              <w:noProof/>
              <w:sz w:val="24"/>
              <w:szCs w:val="24"/>
            </w:rPr>
          </w:pPr>
          <w:hyperlink w:anchor="_Toc222776327" w:history="1">
            <w:r w:rsidRPr="003B54FC">
              <w:rPr>
                <w:rStyle w:val="Hyperlink"/>
                <w:rFonts w:ascii="Arial" w:hAnsi="Arial" w:cs="Arial"/>
                <w:noProof/>
                <w:sz w:val="24"/>
                <w:szCs w:val="24"/>
              </w:rPr>
              <w:t>6. Action Plan</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_Toc222776327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18</w:t>
            </w:r>
            <w:r w:rsidRPr="003B54FC">
              <w:rPr>
                <w:rFonts w:ascii="Arial" w:hAnsi="Arial" w:cs="Arial"/>
                <w:noProof/>
                <w:webHidden/>
                <w:sz w:val="24"/>
                <w:szCs w:val="24"/>
              </w:rPr>
              <w:fldChar w:fldCharType="end"/>
            </w:r>
          </w:hyperlink>
        </w:p>
        <w:p w14:paraId="56581D88" w14:textId="2F5D73F8" w:rsidR="003B54FC" w:rsidRPr="003B54FC" w:rsidRDefault="003B54FC">
          <w:pPr>
            <w:pStyle w:val="TOC1"/>
            <w:tabs>
              <w:tab w:val="right" w:leader="dot" w:pos="9016"/>
            </w:tabs>
            <w:rPr>
              <w:rFonts w:ascii="Arial" w:hAnsi="Arial" w:cs="Arial"/>
              <w:noProof/>
              <w:sz w:val="24"/>
              <w:szCs w:val="24"/>
            </w:rPr>
          </w:pPr>
          <w:hyperlink w:anchor="_Toc222776328" w:history="1">
            <w:r w:rsidRPr="003B54FC">
              <w:rPr>
                <w:rStyle w:val="Hyperlink"/>
                <w:rFonts w:ascii="Arial" w:hAnsi="Arial" w:cs="Arial"/>
                <w:noProof/>
                <w:sz w:val="24"/>
                <w:szCs w:val="24"/>
              </w:rPr>
              <w:t>References</w:t>
            </w:r>
            <w:r w:rsidRPr="003B54FC">
              <w:rPr>
                <w:rFonts w:ascii="Arial" w:hAnsi="Arial" w:cs="Arial"/>
                <w:noProof/>
                <w:webHidden/>
                <w:sz w:val="24"/>
                <w:szCs w:val="24"/>
              </w:rPr>
              <w:tab/>
            </w:r>
            <w:r w:rsidRPr="003B54FC">
              <w:rPr>
                <w:rFonts w:ascii="Arial" w:hAnsi="Arial" w:cs="Arial"/>
                <w:noProof/>
                <w:webHidden/>
                <w:sz w:val="24"/>
                <w:szCs w:val="24"/>
              </w:rPr>
              <w:fldChar w:fldCharType="begin"/>
            </w:r>
            <w:r w:rsidRPr="003B54FC">
              <w:rPr>
                <w:rFonts w:ascii="Arial" w:hAnsi="Arial" w:cs="Arial"/>
                <w:noProof/>
                <w:webHidden/>
                <w:sz w:val="24"/>
                <w:szCs w:val="24"/>
              </w:rPr>
              <w:instrText xml:space="preserve"> PAGEREF _Toc222776328 \h </w:instrText>
            </w:r>
            <w:r w:rsidRPr="003B54FC">
              <w:rPr>
                <w:rFonts w:ascii="Arial" w:hAnsi="Arial" w:cs="Arial"/>
                <w:noProof/>
                <w:webHidden/>
                <w:sz w:val="24"/>
                <w:szCs w:val="24"/>
              </w:rPr>
            </w:r>
            <w:r w:rsidRPr="003B54FC">
              <w:rPr>
                <w:rFonts w:ascii="Arial" w:hAnsi="Arial" w:cs="Arial"/>
                <w:noProof/>
                <w:webHidden/>
                <w:sz w:val="24"/>
                <w:szCs w:val="24"/>
              </w:rPr>
              <w:fldChar w:fldCharType="separate"/>
            </w:r>
            <w:r w:rsidRPr="003B54FC">
              <w:rPr>
                <w:rFonts w:ascii="Arial" w:hAnsi="Arial" w:cs="Arial"/>
                <w:noProof/>
                <w:webHidden/>
                <w:sz w:val="24"/>
                <w:szCs w:val="24"/>
              </w:rPr>
              <w:t>20</w:t>
            </w:r>
            <w:r w:rsidRPr="003B54FC">
              <w:rPr>
                <w:rFonts w:ascii="Arial" w:hAnsi="Arial" w:cs="Arial"/>
                <w:noProof/>
                <w:webHidden/>
                <w:sz w:val="24"/>
                <w:szCs w:val="24"/>
              </w:rPr>
              <w:fldChar w:fldCharType="end"/>
            </w:r>
          </w:hyperlink>
        </w:p>
        <w:p w14:paraId="0B714E49" w14:textId="2F36AE16" w:rsidR="003B54FC" w:rsidRDefault="003B54FC">
          <w:r w:rsidRPr="003B54FC">
            <w:rPr>
              <w:rFonts w:ascii="Arial" w:hAnsi="Arial" w:cs="Arial"/>
              <w:b/>
              <w:bCs/>
              <w:noProof/>
              <w:sz w:val="24"/>
              <w:szCs w:val="24"/>
            </w:rPr>
            <w:fldChar w:fldCharType="end"/>
          </w:r>
        </w:p>
      </w:sdtContent>
    </w:sdt>
    <w:p w14:paraId="4D1C4011" w14:textId="77777777" w:rsidR="00EE25DB" w:rsidRPr="00B82BF1" w:rsidRDefault="00EE25DB" w:rsidP="00B82BF1">
      <w:pPr>
        <w:spacing w:line="360" w:lineRule="auto"/>
        <w:jc w:val="both"/>
        <w:rPr>
          <w:rFonts w:ascii="Arial" w:hAnsi="Arial" w:cs="Arial"/>
          <w:b/>
          <w:bCs/>
          <w:sz w:val="24"/>
          <w:szCs w:val="24"/>
        </w:rPr>
      </w:pPr>
    </w:p>
    <w:p w14:paraId="33A82CB9" w14:textId="77777777" w:rsidR="00EE25DB" w:rsidRPr="00B82BF1" w:rsidRDefault="00EE25DB" w:rsidP="00B82BF1">
      <w:pPr>
        <w:spacing w:line="360" w:lineRule="auto"/>
        <w:jc w:val="both"/>
        <w:rPr>
          <w:rFonts w:ascii="Arial" w:hAnsi="Arial" w:cs="Arial"/>
          <w:b/>
          <w:bCs/>
          <w:sz w:val="24"/>
          <w:szCs w:val="24"/>
        </w:rPr>
      </w:pPr>
    </w:p>
    <w:p w14:paraId="706AE72F" w14:textId="61E3D3DB" w:rsidR="00D5578A" w:rsidRPr="00B82BF1" w:rsidRDefault="00D5578A" w:rsidP="00B82BF1">
      <w:pPr>
        <w:pStyle w:val="Heading1"/>
        <w:rPr>
          <w:b w:val="0"/>
        </w:rPr>
      </w:pPr>
      <w:bookmarkStart w:id="0" w:name="_Toc222776302"/>
      <w:r w:rsidRPr="00B82BF1">
        <w:t>SECTION 1</w:t>
      </w:r>
      <w:r w:rsidR="00B82BF1">
        <w:rPr>
          <w:b w:val="0"/>
        </w:rPr>
        <w:t xml:space="preserve">: </w:t>
      </w:r>
      <w:r w:rsidRPr="00B82BF1">
        <w:t>UK AUTOMOTIVE INDUSTRY COMPETITIVENESS AND NISSAN’S STRATEGIC POSITION</w:t>
      </w:r>
      <w:bookmarkEnd w:id="0"/>
    </w:p>
    <w:p w14:paraId="5033E830" w14:textId="77777777" w:rsidR="00D5578A" w:rsidRPr="00B82BF1" w:rsidRDefault="00D5578A" w:rsidP="00B82BF1">
      <w:pPr>
        <w:pStyle w:val="Heading1"/>
      </w:pPr>
      <w:bookmarkStart w:id="1" w:name="_Toc222776303"/>
      <w:r w:rsidRPr="00B82BF1">
        <w:t>1. Introduction</w:t>
      </w:r>
      <w:bookmarkEnd w:id="1"/>
    </w:p>
    <w:p w14:paraId="1705802A" w14:textId="643C307D"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 xml:space="preserve">The automotive industry in the United Kingdom forms one of the best globally integrated manufacturing industries in the country that is characterized by high rate of exports, foreign ownership and involvement in European and world value chains. However, the industry has undergone significant structural transformation during the last ten years, most of which can be credited to Brexit, supply-chain shocks, fluctuations in exchange rate and the rapid move towards EVs (Bailey &amp; De </w:t>
      </w:r>
      <w:proofErr w:type="spellStart"/>
      <w:r w:rsidRPr="00B82BF1">
        <w:rPr>
          <w:rFonts w:ascii="Arial" w:hAnsi="Arial" w:cs="Arial"/>
          <w:sz w:val="24"/>
          <w:szCs w:val="24"/>
        </w:rPr>
        <w:t>Propris</w:t>
      </w:r>
      <w:proofErr w:type="spellEnd"/>
      <w:r w:rsidRPr="00B82BF1">
        <w:rPr>
          <w:rFonts w:ascii="Arial" w:hAnsi="Arial" w:cs="Arial"/>
          <w:sz w:val="24"/>
          <w:szCs w:val="24"/>
        </w:rPr>
        <w:t>, 2017; Costa, 2024). The industry, though still being a significant part of the UK manufacturing output and export results (SMMT, 2025a), still raises undying questions on whether the sector will be globally competitive in the future and still attractive to multinational investors.</w:t>
      </w:r>
      <w:r w:rsidR="004C4C9B">
        <w:rPr>
          <w:rFonts w:ascii="Arial" w:hAnsi="Arial" w:cs="Arial"/>
          <w:sz w:val="24"/>
          <w:szCs w:val="24"/>
        </w:rPr>
        <w:t xml:space="preserve"> </w:t>
      </w:r>
      <w:r w:rsidR="004C4C9B" w:rsidRPr="004C4C9B">
        <w:rPr>
          <w:rFonts w:ascii="Arial" w:hAnsi="Arial" w:cs="Arial"/>
          <w:sz w:val="24"/>
          <w:szCs w:val="24"/>
        </w:rPr>
        <w:t>The electric vehicle transformation is a radical technological break instead of a gradual innovation, which requires a complete reorganization of production systems, supply chain operations, employee skills and investment policy</w:t>
      </w:r>
      <w:r w:rsidR="006522FF">
        <w:rPr>
          <w:rFonts w:ascii="Arial" w:hAnsi="Arial" w:cs="Arial"/>
          <w:sz w:val="24"/>
          <w:szCs w:val="24"/>
        </w:rPr>
        <w:t xml:space="preserve"> </w:t>
      </w:r>
      <w:r w:rsidR="006522FF" w:rsidRPr="006522FF">
        <w:rPr>
          <w:rFonts w:ascii="Arial" w:hAnsi="Arial" w:cs="Arial"/>
          <w:sz w:val="24"/>
          <w:szCs w:val="24"/>
        </w:rPr>
        <w:t>(IEA, 2024)</w:t>
      </w:r>
      <w:r w:rsidR="004C4C9B" w:rsidRPr="004C4C9B">
        <w:rPr>
          <w:rFonts w:ascii="Arial" w:hAnsi="Arial" w:cs="Arial"/>
          <w:sz w:val="24"/>
          <w:szCs w:val="24"/>
        </w:rPr>
        <w:t>.</w:t>
      </w:r>
    </w:p>
    <w:p w14:paraId="11D6E509" w14:textId="3E4F7E22"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 xml:space="preserve">This report provides a critical analysis of the competitiveness of the automotive industry of the UK based on the Porters Diamond framework and at the same time </w:t>
      </w:r>
      <w:r w:rsidR="00B82BF1" w:rsidRPr="00B82BF1">
        <w:rPr>
          <w:rFonts w:ascii="Arial" w:hAnsi="Arial" w:cs="Arial"/>
          <w:sz w:val="24"/>
          <w:szCs w:val="24"/>
        </w:rPr>
        <w:t>analyses</w:t>
      </w:r>
      <w:r w:rsidRPr="00B82BF1">
        <w:rPr>
          <w:rFonts w:ascii="Arial" w:hAnsi="Arial" w:cs="Arial"/>
          <w:sz w:val="24"/>
          <w:szCs w:val="24"/>
        </w:rPr>
        <w:t xml:space="preserve"> the strategic location of Nissan business in the UK. Specific attention is given to the political determinants, economic ones, legal ones and institutional determinants which influence the post-Brexit environment, and also to the consequences of electrification in conservation of supply-chain reorganisation and inflows of foreign-direct-investment. The overall goal of the analysis is to determine the United Kingdom is still able to offer sustainable locational benefits to its mass manufacturing of motor vehicles.</w:t>
      </w:r>
    </w:p>
    <w:p w14:paraId="3C6AD63C" w14:textId="1E64888A" w:rsidR="00D5578A" w:rsidRPr="00B82BF1" w:rsidRDefault="00D5578A" w:rsidP="00B82BF1">
      <w:pPr>
        <w:pStyle w:val="Heading1"/>
      </w:pPr>
      <w:bookmarkStart w:id="2" w:name="_Toc222776304"/>
      <w:r w:rsidRPr="00B82BF1">
        <w:t>2. UK Automotive Industry Overview</w:t>
      </w:r>
      <w:bookmarkEnd w:id="2"/>
    </w:p>
    <w:p w14:paraId="69A9A179" w14:textId="77777777" w:rsidR="00D5578A" w:rsidRPr="00B82BF1" w:rsidRDefault="00D5578A" w:rsidP="00B82BF1">
      <w:pPr>
        <w:pStyle w:val="Heading2"/>
      </w:pPr>
      <w:bookmarkStart w:id="3" w:name="_Toc222776305"/>
      <w:r w:rsidRPr="00B82BF1">
        <w:t>2.1 Industry Size, Scope and Economic Contribution</w:t>
      </w:r>
      <w:bookmarkEnd w:id="3"/>
    </w:p>
    <w:p w14:paraId="0283DCD7" w14:textId="77777777"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 xml:space="preserve">The United Kingdom automotive industry is a strategically important part of the local manufacturing industry. As statistics provided by the Society of Motor Manufacturers </w:t>
      </w:r>
      <w:r w:rsidRPr="00B82BF1">
        <w:rPr>
          <w:rFonts w:ascii="Arial" w:hAnsi="Arial" w:cs="Arial"/>
          <w:sz w:val="24"/>
          <w:szCs w:val="24"/>
        </w:rPr>
        <w:lastRenderedPageBreak/>
        <w:t>and Traders (SMMT) show, the industry puts billions of pounds into the UK economy every year, and automatically and indirectly provides hundreds of thousands of people with employment (SMMT, 2025a). The industry is largely export-driven in its production and much of the products are bound to be consumed in the European markets (SMMT, 2025b). Although this export orientation has traditionally been the basis of competitiveness in the industry, it has also been the main source of vulnerability to the industry in relation to the changes in trading policy.</w:t>
      </w:r>
    </w:p>
    <w:p w14:paraId="24F13F9C" w14:textId="73ED321D"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 xml:space="preserve">Brexit added structural uncertainty to previously frictionless cross-border supply chains under EU membership (Bailey and De </w:t>
      </w:r>
      <w:proofErr w:type="spellStart"/>
      <w:r w:rsidRPr="00B82BF1">
        <w:rPr>
          <w:rFonts w:ascii="Arial" w:hAnsi="Arial" w:cs="Arial"/>
          <w:sz w:val="24"/>
          <w:szCs w:val="24"/>
        </w:rPr>
        <w:t>Propris</w:t>
      </w:r>
      <w:proofErr w:type="spellEnd"/>
      <w:r w:rsidRPr="00B82BF1">
        <w:rPr>
          <w:rFonts w:ascii="Arial" w:hAnsi="Arial" w:cs="Arial"/>
          <w:sz w:val="24"/>
          <w:szCs w:val="24"/>
        </w:rPr>
        <w:t xml:space="preserve">, 2017). Even though the UK-EU Trade and Cooperation Agreement (TCA) did not impose tariffs, new customs procedures, rules of origin compulsions and regulatory divergences have added compliance costs and administrative complexity (Commons 2025) to the picture. </w:t>
      </w:r>
      <w:proofErr w:type="spellStart"/>
      <w:r w:rsidRPr="00B82BF1">
        <w:rPr>
          <w:rFonts w:ascii="Arial" w:hAnsi="Arial" w:cs="Arial"/>
          <w:sz w:val="24"/>
          <w:szCs w:val="24"/>
        </w:rPr>
        <w:t>Escaith</w:t>
      </w:r>
      <w:proofErr w:type="spellEnd"/>
      <w:r w:rsidRPr="00B82BF1">
        <w:rPr>
          <w:rFonts w:ascii="Arial" w:hAnsi="Arial" w:cs="Arial"/>
          <w:sz w:val="24"/>
          <w:szCs w:val="24"/>
        </w:rPr>
        <w:t>, Khorana, and Kerr (2020) state that despite the idolism of the supply chains, small trade frictions can seriously impact automotive production networks. Costa (2024) goes further to state that post-Brexit referendum fluctuations in the exchange rates influenced the cost structure and export competitiveness.</w:t>
      </w:r>
    </w:p>
    <w:p w14:paraId="480B67AA" w14:textId="77777777"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Besides trade pressures, the industry has faced a major challenge to global supply chain disruptions, semiconductor shortages, as well as rising energy costs thus increasing vulnerability in complex production networks (Huang, 2023). Nevertheless, the government of the UK remains determined to make the automotive production a key element in its overall industrial plan, specifically in the face of net-zero goals and the creation of electric vehicles (Common Library, 2025). Nevertheless, flows of investments are uneven, thus, casting doubts on sustainability of production capacity in the long run and the global competitive position of the country.</w:t>
      </w:r>
    </w:p>
    <w:p w14:paraId="0420FA14" w14:textId="01377836" w:rsidR="00D5578A" w:rsidRPr="00B82BF1" w:rsidRDefault="00D5578A" w:rsidP="00B82BF1">
      <w:pPr>
        <w:pStyle w:val="Heading2"/>
      </w:pPr>
      <w:bookmarkStart w:id="4" w:name="_Toc222776306"/>
      <w:r w:rsidRPr="00B82BF1">
        <w:t>2.2 Competitive Structure and Major Firms</w:t>
      </w:r>
      <w:bookmarkEnd w:id="4"/>
    </w:p>
    <w:p w14:paraId="6902F951" w14:textId="77777777"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 xml:space="preserve">The competitive make-up of the automotive industry in the United Kingdom represents a form of foreign ownership concentration connotation. The most important manufacturers that are operating in the UK include Nissan, BMW Group (Mini), Toyota and Jaguar Land Rover. It is important to note that an enormous percentage of these companies are multinationals with their headquarters in foreign countries, which highlights the historical popularity of the United Kingdom as a </w:t>
      </w:r>
      <w:r w:rsidRPr="00B82BF1">
        <w:rPr>
          <w:rFonts w:ascii="Arial" w:hAnsi="Arial" w:cs="Arial"/>
          <w:sz w:val="24"/>
          <w:szCs w:val="24"/>
        </w:rPr>
        <w:lastRenderedPageBreak/>
        <w:t xml:space="preserve">foreign direct investment destination (Suzuki, 2020). The Nissan Sunderland production facility is one of the largest automobile production </w:t>
      </w:r>
      <w:proofErr w:type="spellStart"/>
      <w:r w:rsidRPr="00B82BF1">
        <w:rPr>
          <w:rFonts w:ascii="Arial" w:hAnsi="Arial" w:cs="Arial"/>
          <w:sz w:val="24"/>
          <w:szCs w:val="24"/>
        </w:rPr>
        <w:t>centers</w:t>
      </w:r>
      <w:proofErr w:type="spellEnd"/>
      <w:r w:rsidRPr="00B82BF1">
        <w:rPr>
          <w:rFonts w:ascii="Arial" w:hAnsi="Arial" w:cs="Arial"/>
          <w:sz w:val="24"/>
          <w:szCs w:val="24"/>
        </w:rPr>
        <w:t xml:space="preserve"> in the United Kingdom, which is engaged in the production of both conventional and electrified automobiles to be exported to foreign markets. BMW group has the plant of Mini in Oxford, and Toyota has the plant in Derbyshire. The ownership profile of the sector is also transnational, although Jaguar Land Rover has a British brand, its owner is Tata Motors.</w:t>
      </w:r>
    </w:p>
    <w:p w14:paraId="69529457" w14:textId="77777777"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The type of ownership considered has a great strategic meaning. On the one hand, the multinational presence introduces capital, technology and management skills, but, on the other hand, it creates the structural dependence on the global corporate decision-making, muting the effects of national competitive forces (Bailey and De </w:t>
      </w:r>
      <w:proofErr w:type="spellStart"/>
      <w:r w:rsidRPr="00B82BF1">
        <w:rPr>
          <w:rFonts w:ascii="Arial" w:hAnsi="Arial" w:cs="Arial"/>
          <w:sz w:val="24"/>
          <w:szCs w:val="24"/>
        </w:rPr>
        <w:t>Propris</w:t>
      </w:r>
      <w:proofErr w:type="spellEnd"/>
      <w:r w:rsidRPr="00B82BF1">
        <w:rPr>
          <w:rFonts w:ascii="Arial" w:hAnsi="Arial" w:cs="Arial"/>
          <w:sz w:val="24"/>
          <w:szCs w:val="24"/>
        </w:rPr>
        <w:t>, 2017). As a result, comparative locational advantages, access to trade and supply-chain integration are increasingly influencing the process of investment decisions throughout Europe. The change towards the production of electric vehicles has increased competition. With the reallocation of capital to electrification by global manufacturers, the level of competition at plants has increased globally (</w:t>
      </w:r>
      <w:proofErr w:type="spellStart"/>
      <w:r w:rsidRPr="00B82BF1">
        <w:rPr>
          <w:rFonts w:ascii="Arial" w:hAnsi="Arial" w:cs="Arial"/>
          <w:sz w:val="24"/>
          <w:szCs w:val="24"/>
        </w:rPr>
        <w:t>Cresti</w:t>
      </w:r>
      <w:proofErr w:type="spellEnd"/>
      <w:r w:rsidRPr="00B82BF1">
        <w:rPr>
          <w:rFonts w:ascii="Arial" w:hAnsi="Arial" w:cs="Arial"/>
          <w:sz w:val="24"/>
          <w:szCs w:val="24"/>
        </w:rPr>
        <w:t xml:space="preserve"> et al., 2025). Companies are thus adjusting their production localities as per battery localisation requirements, sustainability rules, and alignment to the trade aspects. Accordingly, the ability of the United Kingdom to attract long-term investment undertakings will depend on whether it is offering consistent institutional environments and integrating the electric-vehicle chains of supply.</w:t>
      </w:r>
    </w:p>
    <w:p w14:paraId="51E1E7E7" w14:textId="7777777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Table 1: Structural Characteristics of the UK Automotive Industry</w:t>
      </w:r>
    </w:p>
    <w:tbl>
      <w:tblPr>
        <w:tblStyle w:val="GridTable4-Accent5"/>
        <w:tblW w:w="0" w:type="auto"/>
        <w:tblLook w:val="04A0" w:firstRow="1" w:lastRow="0" w:firstColumn="1" w:lastColumn="0" w:noHBand="0" w:noVBand="1"/>
      </w:tblPr>
      <w:tblGrid>
        <w:gridCol w:w="1937"/>
        <w:gridCol w:w="3375"/>
        <w:gridCol w:w="3704"/>
      </w:tblGrid>
      <w:tr w:rsidR="00D5578A" w:rsidRPr="00B82BF1" w14:paraId="7B72528C" w14:textId="77777777" w:rsidTr="00B82B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8A71F7" w14:textId="77777777" w:rsidR="00D5578A" w:rsidRPr="00B82BF1" w:rsidRDefault="00D5578A" w:rsidP="00B82BF1">
            <w:pPr>
              <w:spacing w:line="360" w:lineRule="auto"/>
              <w:rPr>
                <w:rFonts w:ascii="Arial" w:hAnsi="Arial" w:cs="Arial"/>
                <w:b w:val="0"/>
                <w:bCs w:val="0"/>
                <w:sz w:val="24"/>
                <w:szCs w:val="24"/>
              </w:rPr>
            </w:pPr>
            <w:r w:rsidRPr="00B82BF1">
              <w:rPr>
                <w:rFonts w:ascii="Arial" w:hAnsi="Arial" w:cs="Arial"/>
                <w:sz w:val="24"/>
                <w:szCs w:val="24"/>
              </w:rPr>
              <w:t>Dimension</w:t>
            </w:r>
          </w:p>
        </w:tc>
        <w:tc>
          <w:tcPr>
            <w:tcW w:w="0" w:type="auto"/>
            <w:hideMark/>
          </w:tcPr>
          <w:p w14:paraId="744303E4"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Key Characteristics</w:t>
            </w:r>
          </w:p>
        </w:tc>
        <w:tc>
          <w:tcPr>
            <w:tcW w:w="0" w:type="auto"/>
            <w:hideMark/>
          </w:tcPr>
          <w:p w14:paraId="49F94900"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Strategic Implication</w:t>
            </w:r>
          </w:p>
        </w:tc>
      </w:tr>
      <w:tr w:rsidR="00D5578A" w:rsidRPr="00B82BF1" w14:paraId="78C1F85C"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D5C4FC"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Ownership Structure</w:t>
            </w:r>
          </w:p>
        </w:tc>
        <w:tc>
          <w:tcPr>
            <w:tcW w:w="0" w:type="auto"/>
            <w:hideMark/>
          </w:tcPr>
          <w:p w14:paraId="02F2E8C5" w14:textId="3BCA8BA6"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 xml:space="preserve">Predominantly </w:t>
            </w:r>
            <w:r w:rsidR="00B82BF1" w:rsidRPr="00B82BF1">
              <w:rPr>
                <w:rFonts w:ascii="Arial" w:hAnsi="Arial" w:cs="Arial"/>
                <w:sz w:val="24"/>
                <w:szCs w:val="24"/>
              </w:rPr>
              <w:t>foreign owned</w:t>
            </w:r>
            <w:r w:rsidRPr="00B82BF1">
              <w:rPr>
                <w:rFonts w:ascii="Arial" w:hAnsi="Arial" w:cs="Arial"/>
                <w:sz w:val="24"/>
                <w:szCs w:val="24"/>
              </w:rPr>
              <w:t xml:space="preserve"> (Nissan, BMW, Toyota, Tata)</w:t>
            </w:r>
          </w:p>
        </w:tc>
        <w:tc>
          <w:tcPr>
            <w:tcW w:w="0" w:type="auto"/>
            <w:hideMark/>
          </w:tcPr>
          <w:p w14:paraId="3BD86C5D"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Investment decisions influenced by multinational corporate strategy</w:t>
            </w:r>
          </w:p>
        </w:tc>
      </w:tr>
      <w:tr w:rsidR="00D5578A" w:rsidRPr="00B82BF1" w14:paraId="2A4D8C69"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4461EAB1"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Export Orientation</w:t>
            </w:r>
          </w:p>
        </w:tc>
        <w:tc>
          <w:tcPr>
            <w:tcW w:w="0" w:type="auto"/>
            <w:hideMark/>
          </w:tcPr>
          <w:p w14:paraId="7B755925"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Majority of production exported, heavily EU-focused</w:t>
            </w:r>
          </w:p>
        </w:tc>
        <w:tc>
          <w:tcPr>
            <w:tcW w:w="0" w:type="auto"/>
            <w:hideMark/>
          </w:tcPr>
          <w:p w14:paraId="5FE9E044"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Vulnerable to trade friction and rules-of-origin requirements</w:t>
            </w:r>
          </w:p>
        </w:tc>
      </w:tr>
      <w:tr w:rsidR="00D5578A" w:rsidRPr="00B82BF1" w14:paraId="224559D6"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106DB6"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Supply Chain Model</w:t>
            </w:r>
          </w:p>
        </w:tc>
        <w:tc>
          <w:tcPr>
            <w:tcW w:w="0" w:type="auto"/>
            <w:hideMark/>
          </w:tcPr>
          <w:p w14:paraId="1D4DC998"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Historically EU-integrated just-in-time production</w:t>
            </w:r>
          </w:p>
        </w:tc>
        <w:tc>
          <w:tcPr>
            <w:tcW w:w="0" w:type="auto"/>
            <w:hideMark/>
          </w:tcPr>
          <w:p w14:paraId="4C3B840A"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Increased customs and compliance complexity post-Brexit</w:t>
            </w:r>
          </w:p>
        </w:tc>
      </w:tr>
      <w:tr w:rsidR="00D5578A" w:rsidRPr="00B82BF1" w14:paraId="065F0D5F"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5994374A"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EV Transition</w:t>
            </w:r>
          </w:p>
        </w:tc>
        <w:tc>
          <w:tcPr>
            <w:tcW w:w="0" w:type="auto"/>
            <w:hideMark/>
          </w:tcPr>
          <w:p w14:paraId="2619F5D7"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 xml:space="preserve">Rapid electrification aligned </w:t>
            </w:r>
            <w:r w:rsidRPr="00B82BF1">
              <w:rPr>
                <w:rFonts w:ascii="Arial" w:hAnsi="Arial" w:cs="Arial"/>
                <w:sz w:val="24"/>
                <w:szCs w:val="24"/>
              </w:rPr>
              <w:lastRenderedPageBreak/>
              <w:t>with net-zero commitments</w:t>
            </w:r>
          </w:p>
        </w:tc>
        <w:tc>
          <w:tcPr>
            <w:tcW w:w="0" w:type="auto"/>
            <w:hideMark/>
          </w:tcPr>
          <w:p w14:paraId="4CF8F86B"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lastRenderedPageBreak/>
              <w:t xml:space="preserve">Requires battery localisation and </w:t>
            </w:r>
            <w:r w:rsidRPr="00B82BF1">
              <w:rPr>
                <w:rFonts w:ascii="Arial" w:hAnsi="Arial" w:cs="Arial"/>
                <w:sz w:val="24"/>
                <w:szCs w:val="24"/>
              </w:rPr>
              <w:lastRenderedPageBreak/>
              <w:t>ecosystem integration</w:t>
            </w:r>
          </w:p>
        </w:tc>
      </w:tr>
      <w:tr w:rsidR="00D5578A" w:rsidRPr="00B82BF1" w14:paraId="3EEFB22A"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90A997"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lastRenderedPageBreak/>
              <w:t>Government Role</w:t>
            </w:r>
          </w:p>
        </w:tc>
        <w:tc>
          <w:tcPr>
            <w:tcW w:w="0" w:type="auto"/>
            <w:hideMark/>
          </w:tcPr>
          <w:p w14:paraId="53C6C28C"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Active industrial support and EV incentives</w:t>
            </w:r>
          </w:p>
        </w:tc>
        <w:tc>
          <w:tcPr>
            <w:tcW w:w="0" w:type="auto"/>
            <w:hideMark/>
          </w:tcPr>
          <w:p w14:paraId="0B2253A6"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Competitiveness partially dependent on policy stability</w:t>
            </w:r>
          </w:p>
        </w:tc>
      </w:tr>
    </w:tbl>
    <w:p w14:paraId="7ECC1192" w14:textId="77777777" w:rsidR="00B002E6" w:rsidRPr="00B82BF1" w:rsidRDefault="00B002E6" w:rsidP="00B82BF1">
      <w:pPr>
        <w:spacing w:line="360" w:lineRule="auto"/>
        <w:jc w:val="both"/>
        <w:rPr>
          <w:rFonts w:ascii="Arial" w:hAnsi="Arial" w:cs="Arial"/>
          <w:sz w:val="24"/>
          <w:szCs w:val="24"/>
        </w:rPr>
      </w:pPr>
    </w:p>
    <w:p w14:paraId="1FC082CF" w14:textId="77777777" w:rsidR="00D5578A" w:rsidRPr="00B82BF1" w:rsidRDefault="00D5578A" w:rsidP="00B82BF1">
      <w:pPr>
        <w:pStyle w:val="Heading1"/>
      </w:pPr>
      <w:bookmarkStart w:id="5" w:name="_Toc222776307"/>
      <w:r w:rsidRPr="00B82BF1">
        <w:t>3. Porter’s Diamond and the Global Competitiveness of the UK Automotive Industry</w:t>
      </w:r>
      <w:bookmarkEnd w:id="5"/>
    </w:p>
    <w:p w14:paraId="251B4D57" w14:textId="77777777" w:rsidR="00D5578A" w:rsidRPr="00B82BF1" w:rsidRDefault="00D5578A" w:rsidP="00B82BF1">
      <w:pPr>
        <w:pStyle w:val="Heading2"/>
      </w:pPr>
      <w:bookmarkStart w:id="6" w:name="_Toc222776308"/>
      <w:r w:rsidRPr="00B82BF1">
        <w:t>3.1 Factor Conditions</w:t>
      </w:r>
      <w:bookmarkEnd w:id="6"/>
    </w:p>
    <w:p w14:paraId="2372C30C" w14:textId="7777777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3.1.1 Advanced Human Capital and Engineering Capability</w:t>
      </w:r>
    </w:p>
    <w:p w14:paraId="427AD9F7" w14:textId="07FA2A34" w:rsidR="00DD2889" w:rsidRPr="00B82BF1" w:rsidRDefault="00DD2889" w:rsidP="00B82BF1">
      <w:pPr>
        <w:spacing w:line="360" w:lineRule="auto"/>
        <w:jc w:val="both"/>
        <w:rPr>
          <w:rFonts w:ascii="Arial" w:hAnsi="Arial" w:cs="Arial"/>
          <w:sz w:val="24"/>
          <w:szCs w:val="24"/>
        </w:rPr>
      </w:pPr>
      <w:r w:rsidRPr="00B82BF1">
        <w:rPr>
          <w:rFonts w:ascii="Arial" w:hAnsi="Arial" w:cs="Arial"/>
          <w:sz w:val="24"/>
          <w:szCs w:val="24"/>
        </w:rPr>
        <w:t>The automotive industry of the United Kingdom is enjoying a strong engineering base, research facilities and expert knowledge of manufacturing. The Japanese and European inward investment over the decades has created developed production units, especially lean production and quality assembly (Suzuki, 2020). These skills have in the past supported high productivity rates in some of the plants in the UK, such as the Nissan plant in Sunderland. Factor conditions are, however, no longer fixed. Vulnerabilities are emerging in relation to the labour market restriction, post-Brexit migration alterations and skill gaps involving electrification. The shift to electric vehicles will require other skills, some of which include battery engineering, software development, and power electronics (Jeong, 2024). UK runs the risk of losing its developed factor base without a faster re-skilling process.</w:t>
      </w:r>
    </w:p>
    <w:p w14:paraId="6F8C6516" w14:textId="7777777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3.1.2 Infrastructure, Energy and Supply Chain Resilience</w:t>
      </w:r>
    </w:p>
    <w:p w14:paraId="5F0D59BB" w14:textId="1505E05A" w:rsidR="00AD4F68" w:rsidRDefault="003605E2" w:rsidP="00B82BF1">
      <w:pPr>
        <w:spacing w:line="360" w:lineRule="auto"/>
        <w:jc w:val="both"/>
        <w:rPr>
          <w:rFonts w:ascii="Arial" w:hAnsi="Arial" w:cs="Arial"/>
          <w:sz w:val="24"/>
          <w:szCs w:val="24"/>
        </w:rPr>
      </w:pPr>
      <w:r w:rsidRPr="00B82BF1">
        <w:rPr>
          <w:rFonts w:ascii="Arial" w:hAnsi="Arial" w:cs="Arial"/>
          <w:sz w:val="24"/>
          <w:szCs w:val="24"/>
        </w:rPr>
        <w:t>UK maintains relatively strong logistic support and developed manufacturing networks; however, a weakness in the global chains of supply has exposed structural weakness in these chains. The automotive systems are very sensitive to external disturbances due to complex interdependencies that extend across the international boundaries (Huang, 2023</w:t>
      </w:r>
      <w:r w:rsidR="00C87D50">
        <w:rPr>
          <w:rFonts w:ascii="Arial" w:hAnsi="Arial" w:cs="Arial"/>
          <w:sz w:val="24"/>
          <w:szCs w:val="24"/>
        </w:rPr>
        <w:t>;</w:t>
      </w:r>
      <w:r w:rsidR="006522FF">
        <w:rPr>
          <w:rFonts w:ascii="Arial" w:hAnsi="Arial" w:cs="Arial"/>
          <w:sz w:val="24"/>
          <w:szCs w:val="24"/>
        </w:rPr>
        <w:t xml:space="preserve"> </w:t>
      </w:r>
      <w:r w:rsidR="006522FF" w:rsidRPr="006522FF">
        <w:rPr>
          <w:rFonts w:ascii="Arial" w:hAnsi="Arial" w:cs="Arial"/>
          <w:sz w:val="24"/>
          <w:szCs w:val="24"/>
        </w:rPr>
        <w:t>McKinsey, 2023</w:t>
      </w:r>
      <w:r w:rsidRPr="00B82BF1">
        <w:rPr>
          <w:rFonts w:ascii="Arial" w:hAnsi="Arial" w:cs="Arial"/>
          <w:sz w:val="24"/>
          <w:szCs w:val="24"/>
        </w:rPr>
        <w:t xml:space="preserve">). </w:t>
      </w:r>
      <w:r w:rsidR="00AD4F68" w:rsidRPr="00AD4F68">
        <w:rPr>
          <w:rFonts w:ascii="Arial" w:hAnsi="Arial" w:cs="Arial"/>
          <w:sz w:val="24"/>
          <w:szCs w:val="24"/>
        </w:rPr>
        <w:t xml:space="preserve">The automobile industry features a highly distributed and fragmented supply chain structure. Production is dependent upon </w:t>
      </w:r>
      <w:r w:rsidR="00C87D50" w:rsidRPr="00C87D50">
        <w:rPr>
          <w:rFonts w:ascii="Arial" w:hAnsi="Arial" w:cs="Arial"/>
          <w:sz w:val="24"/>
          <w:szCs w:val="24"/>
        </w:rPr>
        <w:t xml:space="preserve">thousands </w:t>
      </w:r>
      <w:r w:rsidR="00AD4F68" w:rsidRPr="00AD4F68">
        <w:rPr>
          <w:rFonts w:ascii="Arial" w:hAnsi="Arial" w:cs="Arial"/>
          <w:sz w:val="24"/>
          <w:szCs w:val="24"/>
        </w:rPr>
        <w:t xml:space="preserve">of specialised parts produced within various jurisdictions such that the deep interdependencies are created with the suppliers. Such disaggregation increases exposure to disruptions, such as geopolitical tensions, semiconductor shortages, and post-Brexit trade friction. Even small delays in one of the links in the </w:t>
      </w:r>
      <w:r w:rsidR="00AD4F68" w:rsidRPr="00AD4F68">
        <w:rPr>
          <w:rFonts w:ascii="Arial" w:hAnsi="Arial" w:cs="Arial"/>
          <w:sz w:val="24"/>
          <w:szCs w:val="24"/>
        </w:rPr>
        <w:lastRenderedPageBreak/>
        <w:t>chain will cause stalling of whole production processes, which highlights the structural susceptibility of the automotive industry (</w:t>
      </w:r>
      <w:r w:rsidR="006522FF" w:rsidRPr="006522FF">
        <w:rPr>
          <w:rFonts w:ascii="Arial" w:hAnsi="Arial" w:cs="Arial"/>
          <w:sz w:val="24"/>
          <w:szCs w:val="24"/>
        </w:rPr>
        <w:t>World Economic Forum, 2023</w:t>
      </w:r>
      <w:r w:rsidR="00AD4F68" w:rsidRPr="00AD4F68">
        <w:rPr>
          <w:rFonts w:ascii="Arial" w:hAnsi="Arial" w:cs="Arial"/>
          <w:sz w:val="24"/>
          <w:szCs w:val="24"/>
        </w:rPr>
        <w:t xml:space="preserve">). </w:t>
      </w:r>
    </w:p>
    <w:p w14:paraId="53D4E8EF" w14:textId="78FB62E1" w:rsidR="003605E2" w:rsidRPr="00B82BF1" w:rsidRDefault="00AD4F68" w:rsidP="00B82BF1">
      <w:pPr>
        <w:spacing w:line="360" w:lineRule="auto"/>
        <w:jc w:val="both"/>
        <w:rPr>
          <w:rFonts w:ascii="Arial" w:hAnsi="Arial" w:cs="Arial"/>
          <w:sz w:val="24"/>
          <w:szCs w:val="24"/>
        </w:rPr>
      </w:pPr>
      <w:r w:rsidRPr="00AD4F68">
        <w:rPr>
          <w:rFonts w:ascii="Arial" w:hAnsi="Arial" w:cs="Arial"/>
          <w:sz w:val="24"/>
          <w:szCs w:val="24"/>
        </w:rPr>
        <w:t>As the consequence therefore, fragmentation in supply chain is not only an issue of operation but a turning point on long term competitiveness.</w:t>
      </w:r>
      <w:r>
        <w:rPr>
          <w:rFonts w:ascii="Arial" w:hAnsi="Arial" w:cs="Arial"/>
          <w:sz w:val="24"/>
          <w:szCs w:val="24"/>
        </w:rPr>
        <w:t xml:space="preserve"> </w:t>
      </w:r>
      <w:r w:rsidR="003605E2" w:rsidRPr="00B82BF1">
        <w:rPr>
          <w:rFonts w:ascii="Arial" w:hAnsi="Arial" w:cs="Arial"/>
          <w:sz w:val="24"/>
          <w:szCs w:val="24"/>
        </w:rPr>
        <w:t xml:space="preserve">Leaving the single market of the European Union exposes the United Kingdom to the risk of custom-drawn time and administrative hassles. There are also relatively unstable energy prices that erode competitiveness with respect to cost. </w:t>
      </w:r>
      <w:proofErr w:type="spellStart"/>
      <w:r w:rsidR="003605E2" w:rsidRPr="00B82BF1">
        <w:rPr>
          <w:rFonts w:ascii="Arial" w:hAnsi="Arial" w:cs="Arial"/>
          <w:sz w:val="24"/>
          <w:szCs w:val="24"/>
        </w:rPr>
        <w:t>Cresti</w:t>
      </w:r>
      <w:proofErr w:type="spellEnd"/>
      <w:r w:rsidR="003605E2" w:rsidRPr="00B82BF1">
        <w:rPr>
          <w:rFonts w:ascii="Arial" w:hAnsi="Arial" w:cs="Arial"/>
          <w:sz w:val="24"/>
          <w:szCs w:val="24"/>
        </w:rPr>
        <w:t xml:space="preserve"> et al. (2025) emphasize the role of the long-term resilience based on the concept of the integrated industrial ecosystem, and specifically the ability of the domestic battery production scale to be scaled up.</w:t>
      </w:r>
    </w:p>
    <w:p w14:paraId="402E946B" w14:textId="22593863" w:rsidR="00D5578A" w:rsidRPr="00B82BF1" w:rsidRDefault="00D5578A" w:rsidP="00B82BF1">
      <w:pPr>
        <w:pStyle w:val="Heading2"/>
      </w:pPr>
      <w:bookmarkStart w:id="7" w:name="_Toc222776309"/>
      <w:r w:rsidRPr="00B82BF1">
        <w:t>3.2 Demand Conditions</w:t>
      </w:r>
      <w:bookmarkEnd w:id="7"/>
    </w:p>
    <w:p w14:paraId="09CA93F2" w14:textId="77777777" w:rsidR="00EE49C9" w:rsidRPr="00B82BF1" w:rsidRDefault="00EB2681" w:rsidP="00B82BF1">
      <w:pPr>
        <w:spacing w:line="360" w:lineRule="auto"/>
        <w:jc w:val="both"/>
        <w:rPr>
          <w:rFonts w:ascii="Arial" w:hAnsi="Arial" w:cs="Arial"/>
          <w:sz w:val="24"/>
          <w:szCs w:val="24"/>
        </w:rPr>
      </w:pPr>
      <w:r w:rsidRPr="00B82BF1">
        <w:rPr>
          <w:rFonts w:ascii="Arial" w:hAnsi="Arial" w:cs="Arial"/>
          <w:sz w:val="24"/>
          <w:szCs w:val="24"/>
        </w:rPr>
        <w:t xml:space="preserve">The nationwide demand is heterogeneous in nature. Although the automotive industry of the United Kingdom is a huge market, it is not dominant in comparison with the world automotive market. However, the cost of regulatory imperatives focusing on the shift to net-zero emissions has boosted the uptake of electric vehicles (EVs), thus augmenting the complexity of homegrown demand. Jeong (2024) outlines three major problems in the EV transition associated with consumer price sensitivity, sufficiency of charging infrastructure, and localisation of the supply chain. </w:t>
      </w:r>
    </w:p>
    <w:p w14:paraId="2B3BD594" w14:textId="769D40C4" w:rsidR="00EB2681" w:rsidRPr="00B82BF1" w:rsidRDefault="00EB2681" w:rsidP="00B82BF1">
      <w:pPr>
        <w:spacing w:line="360" w:lineRule="auto"/>
        <w:jc w:val="both"/>
        <w:rPr>
          <w:rFonts w:ascii="Arial" w:hAnsi="Arial" w:cs="Arial"/>
          <w:sz w:val="24"/>
          <w:szCs w:val="24"/>
        </w:rPr>
      </w:pPr>
      <w:r w:rsidRPr="00B82BF1">
        <w:rPr>
          <w:rFonts w:ascii="Arial" w:hAnsi="Arial" w:cs="Arial"/>
          <w:sz w:val="24"/>
          <w:szCs w:val="24"/>
        </w:rPr>
        <w:t xml:space="preserve">Nevertheless, these challenges did not stop predictive models indicating further growth of sales of EV in the UK (Veysi, 2025), which indicates an ever more advanced domestic market, which tends more towards low-carbon ads. In </w:t>
      </w:r>
      <w:proofErr w:type="spellStart"/>
      <w:r w:rsidRPr="00B82BF1">
        <w:rPr>
          <w:rFonts w:ascii="Arial" w:hAnsi="Arial" w:cs="Arial"/>
          <w:sz w:val="24"/>
          <w:szCs w:val="24"/>
        </w:rPr>
        <w:t>Porterian</w:t>
      </w:r>
      <w:proofErr w:type="spellEnd"/>
      <w:r w:rsidRPr="00B82BF1">
        <w:rPr>
          <w:rFonts w:ascii="Arial" w:hAnsi="Arial" w:cs="Arial"/>
          <w:sz w:val="24"/>
          <w:szCs w:val="24"/>
        </w:rPr>
        <w:t xml:space="preserve"> perspective, the ability to discern domestic customers can develop innovation and competitive edge. Nevertheless, the UK market is not enough to support the large-scale production in the country, and export access is also necessary (SMMT, 2025a). As a result, the demand conditions are favourable but not enough to offset the threats of trade friction.</w:t>
      </w:r>
    </w:p>
    <w:p w14:paraId="188882AA" w14:textId="364C6141" w:rsidR="00D5578A" w:rsidRPr="00B82BF1" w:rsidRDefault="00D5578A" w:rsidP="00B82BF1">
      <w:pPr>
        <w:pStyle w:val="Heading2"/>
      </w:pPr>
      <w:bookmarkStart w:id="8" w:name="_Toc222776310"/>
      <w:r w:rsidRPr="00B82BF1">
        <w:t>3.3 Related and Supporting Industries</w:t>
      </w:r>
      <w:bookmarkEnd w:id="8"/>
    </w:p>
    <w:p w14:paraId="48097AA4" w14:textId="7777777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3.3.1 Battery Ecosystems and Electrification Networks</w:t>
      </w:r>
    </w:p>
    <w:p w14:paraId="0C367287" w14:textId="4295ED09" w:rsidR="00EE49C9" w:rsidRPr="00B82BF1" w:rsidRDefault="00EE49C9" w:rsidP="00B82BF1">
      <w:pPr>
        <w:spacing w:line="360" w:lineRule="auto"/>
        <w:jc w:val="both"/>
        <w:rPr>
          <w:rFonts w:ascii="Arial" w:hAnsi="Arial" w:cs="Arial"/>
          <w:sz w:val="24"/>
          <w:szCs w:val="24"/>
        </w:rPr>
      </w:pPr>
      <w:r w:rsidRPr="00B82BF1">
        <w:rPr>
          <w:rFonts w:ascii="Arial" w:hAnsi="Arial" w:cs="Arial"/>
          <w:sz w:val="24"/>
          <w:szCs w:val="24"/>
        </w:rPr>
        <w:t>The EV revolution has essentially restructured the automotive chains. Competitive positioning is now determined by battery production, software integration and power-</w:t>
      </w:r>
      <w:r w:rsidRPr="00B82BF1">
        <w:rPr>
          <w:rFonts w:ascii="Arial" w:hAnsi="Arial" w:cs="Arial"/>
          <w:sz w:val="24"/>
          <w:szCs w:val="24"/>
        </w:rPr>
        <w:lastRenderedPageBreak/>
        <w:t xml:space="preserve">train innovation. </w:t>
      </w:r>
      <w:proofErr w:type="spellStart"/>
      <w:r w:rsidRPr="00B82BF1">
        <w:rPr>
          <w:rFonts w:ascii="Arial" w:hAnsi="Arial" w:cs="Arial"/>
          <w:sz w:val="24"/>
          <w:szCs w:val="24"/>
        </w:rPr>
        <w:t>Jagani</w:t>
      </w:r>
      <w:proofErr w:type="spellEnd"/>
      <w:r w:rsidRPr="00B82BF1">
        <w:rPr>
          <w:rFonts w:ascii="Arial" w:hAnsi="Arial" w:cs="Arial"/>
          <w:sz w:val="24"/>
          <w:szCs w:val="24"/>
        </w:rPr>
        <w:t xml:space="preserve"> et al. (2024) mention that EV supply-chain ecosystems need to work in alignment with battery manufacturers, component vendors, and suppliers. In the past, there was no large-scale domestic battery producing capability in the United Kingdom, leading to a greater dependence on imported cells and a higher level of vulnerability to rules-of-origin limitations via the UK EU Trade and Cooperation Agreement (Commons Library, 2025). The vehicles will end up paying tariffs due to lack of local battery production that will ensure they do not fall short of origin thresholds. Recent investments are meant to minimise this dependency although structural lag compared to the EU competitors is very high. </w:t>
      </w:r>
      <w:r w:rsidR="0079761F" w:rsidRPr="0079761F">
        <w:rPr>
          <w:rFonts w:ascii="Arial" w:hAnsi="Arial" w:cs="Arial"/>
          <w:sz w:val="24"/>
          <w:szCs w:val="24"/>
        </w:rPr>
        <w:t>Electrification is not a product innovation but a systemic innovation, which completely reforms the entire automotive value chain, in view of the growing importance of batteries, software and energy infrastructure</w:t>
      </w:r>
      <w:r w:rsidR="006522FF">
        <w:rPr>
          <w:rFonts w:ascii="Arial" w:hAnsi="Arial" w:cs="Arial"/>
          <w:sz w:val="24"/>
          <w:szCs w:val="24"/>
        </w:rPr>
        <w:t xml:space="preserve"> (</w:t>
      </w:r>
      <w:r w:rsidR="006522FF" w:rsidRPr="006522FF">
        <w:rPr>
          <w:rFonts w:ascii="Arial" w:hAnsi="Arial" w:cs="Arial"/>
          <w:sz w:val="24"/>
          <w:szCs w:val="24"/>
        </w:rPr>
        <w:t>Deloitte, 2024</w:t>
      </w:r>
      <w:r w:rsidR="006522FF">
        <w:rPr>
          <w:rFonts w:ascii="Arial" w:hAnsi="Arial" w:cs="Arial"/>
          <w:sz w:val="24"/>
          <w:szCs w:val="24"/>
        </w:rPr>
        <w:t>)</w:t>
      </w:r>
      <w:r w:rsidR="0079761F" w:rsidRPr="0079761F">
        <w:rPr>
          <w:rFonts w:ascii="Arial" w:hAnsi="Arial" w:cs="Arial"/>
          <w:sz w:val="24"/>
          <w:szCs w:val="24"/>
        </w:rPr>
        <w:t>.</w:t>
      </w:r>
    </w:p>
    <w:p w14:paraId="12C49F41" w14:textId="6C04B8E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3.3.2 Trade Integration and Value Chain Embeddedness</w:t>
      </w:r>
    </w:p>
    <w:p w14:paraId="5FEB055D" w14:textId="165565B4" w:rsidR="009C3829" w:rsidRPr="00B82BF1" w:rsidRDefault="009C3829" w:rsidP="00B82BF1">
      <w:pPr>
        <w:spacing w:line="360" w:lineRule="auto"/>
        <w:jc w:val="both"/>
        <w:rPr>
          <w:rFonts w:ascii="Arial" w:hAnsi="Arial" w:cs="Arial"/>
          <w:sz w:val="24"/>
          <w:szCs w:val="24"/>
        </w:rPr>
      </w:pPr>
      <w:r w:rsidRPr="00B82BF1">
        <w:rPr>
          <w:rFonts w:ascii="Arial" w:hAnsi="Arial" w:cs="Arial"/>
          <w:sz w:val="24"/>
          <w:szCs w:val="24"/>
        </w:rPr>
        <w:t xml:space="preserve">The car manufacturing industry of the UK has traditionally existed as a part of European production. Bailey and De </w:t>
      </w:r>
      <w:proofErr w:type="spellStart"/>
      <w:r w:rsidRPr="00B82BF1">
        <w:rPr>
          <w:rFonts w:ascii="Arial" w:hAnsi="Arial" w:cs="Arial"/>
          <w:sz w:val="24"/>
          <w:szCs w:val="24"/>
        </w:rPr>
        <w:t>Propris</w:t>
      </w:r>
      <w:proofErr w:type="spellEnd"/>
      <w:r w:rsidRPr="00B82BF1">
        <w:rPr>
          <w:rFonts w:ascii="Arial" w:hAnsi="Arial" w:cs="Arial"/>
          <w:sz w:val="24"/>
          <w:szCs w:val="24"/>
        </w:rPr>
        <w:t xml:space="preserve"> (2017) emphasize that the industry did not develop as isolated sector of the national one but as a segment of the larger European Union manufacturing system. The customs processes introduced with Brexit are tariff free; however, some administrative costs that interfere with the just-in-time systems are introduced (</w:t>
      </w:r>
      <w:proofErr w:type="spellStart"/>
      <w:r w:rsidRPr="00B82BF1">
        <w:rPr>
          <w:rFonts w:ascii="Arial" w:hAnsi="Arial" w:cs="Arial"/>
          <w:sz w:val="24"/>
          <w:szCs w:val="24"/>
        </w:rPr>
        <w:t>Escaith</w:t>
      </w:r>
      <w:proofErr w:type="spellEnd"/>
      <w:r w:rsidRPr="00B82BF1">
        <w:rPr>
          <w:rFonts w:ascii="Arial" w:hAnsi="Arial" w:cs="Arial"/>
          <w:sz w:val="24"/>
          <w:szCs w:val="24"/>
        </w:rPr>
        <w:t xml:space="preserve"> et al., 2020). In its turn, the structural reliance implies that the focus on national-level cluster strength provided by Porter might be overly down-playing the role of supranational integrations in the modern automotive competitiveness.</w:t>
      </w:r>
    </w:p>
    <w:p w14:paraId="78E7CECB" w14:textId="315D35F0" w:rsidR="00D5578A" w:rsidRPr="00B82BF1" w:rsidRDefault="00D5578A" w:rsidP="00B82BF1">
      <w:pPr>
        <w:pStyle w:val="Heading2"/>
      </w:pPr>
      <w:bookmarkStart w:id="9" w:name="_Toc222776311"/>
      <w:r w:rsidRPr="00B82BF1">
        <w:t>3.4 Firm Strategy, Structure and Rivalry</w:t>
      </w:r>
      <w:bookmarkEnd w:id="9"/>
    </w:p>
    <w:p w14:paraId="4620B23A" w14:textId="77777777" w:rsidR="005E63B9" w:rsidRPr="00B82BF1" w:rsidRDefault="005E63B9" w:rsidP="00B82BF1">
      <w:pPr>
        <w:spacing w:line="360" w:lineRule="auto"/>
        <w:jc w:val="both"/>
        <w:rPr>
          <w:rFonts w:ascii="Arial" w:hAnsi="Arial" w:cs="Arial"/>
          <w:sz w:val="24"/>
          <w:szCs w:val="24"/>
        </w:rPr>
      </w:pPr>
      <w:r w:rsidRPr="00B82BF1">
        <w:rPr>
          <w:rFonts w:ascii="Arial" w:hAnsi="Arial" w:cs="Arial"/>
          <w:sz w:val="24"/>
          <w:szCs w:val="24"/>
        </w:rPr>
        <w:t>The UK automotive industry competition is mainly determined by multinational strategic demands, as opposed to domestic competition. The production distribution is coordinated inside a pan-European system of factories, thus, increasing the competition between plants in capital investment (</w:t>
      </w:r>
      <w:proofErr w:type="spellStart"/>
      <w:r w:rsidRPr="00B82BF1">
        <w:rPr>
          <w:rFonts w:ascii="Arial" w:hAnsi="Arial" w:cs="Arial"/>
          <w:sz w:val="24"/>
          <w:szCs w:val="24"/>
        </w:rPr>
        <w:t>Cresti</w:t>
      </w:r>
      <w:proofErr w:type="spellEnd"/>
      <w:r w:rsidRPr="00B82BF1">
        <w:rPr>
          <w:rFonts w:ascii="Arial" w:hAnsi="Arial" w:cs="Arial"/>
          <w:sz w:val="24"/>
          <w:szCs w:val="24"/>
        </w:rPr>
        <w:t xml:space="preserve"> et al., 2025). Those which respond effectively to electrification will thus have greater chances of being given </w:t>
      </w:r>
      <w:proofErr w:type="spellStart"/>
      <w:r w:rsidRPr="00B82BF1">
        <w:rPr>
          <w:rFonts w:ascii="Arial" w:hAnsi="Arial" w:cs="Arial"/>
          <w:sz w:val="24"/>
          <w:szCs w:val="24"/>
        </w:rPr>
        <w:t>favorable</w:t>
      </w:r>
      <w:proofErr w:type="spellEnd"/>
      <w:r w:rsidRPr="00B82BF1">
        <w:rPr>
          <w:rFonts w:ascii="Arial" w:hAnsi="Arial" w:cs="Arial"/>
          <w:sz w:val="24"/>
          <w:szCs w:val="24"/>
        </w:rPr>
        <w:t xml:space="preserve"> future access to models. However, the growing anxieties about trade certainty, regulatory convergence, and exchange-rate stability have a determinative impact on such decisions, and it is shifting the competition at a firm level to a more jurisdictional level of investment contestation (Costa, 2024).</w:t>
      </w:r>
    </w:p>
    <w:p w14:paraId="21890666" w14:textId="2DA8F737" w:rsidR="00D5578A" w:rsidRPr="00B82BF1" w:rsidRDefault="00D5578A" w:rsidP="00B82BF1">
      <w:pPr>
        <w:pStyle w:val="Heading2"/>
      </w:pPr>
      <w:bookmarkStart w:id="10" w:name="_Toc222776312"/>
      <w:r w:rsidRPr="00B82BF1">
        <w:lastRenderedPageBreak/>
        <w:t>3.5 Government and Institutional Influence</w:t>
      </w:r>
      <w:bookmarkEnd w:id="10"/>
    </w:p>
    <w:p w14:paraId="613ED178" w14:textId="77777777" w:rsidR="003F3F6F" w:rsidRPr="00B82BF1" w:rsidRDefault="003F3F6F" w:rsidP="00B82BF1">
      <w:pPr>
        <w:spacing w:line="360" w:lineRule="auto"/>
        <w:jc w:val="both"/>
        <w:rPr>
          <w:rFonts w:ascii="Arial" w:hAnsi="Arial" w:cs="Arial"/>
          <w:sz w:val="24"/>
          <w:szCs w:val="24"/>
        </w:rPr>
      </w:pPr>
      <w:r w:rsidRPr="00B82BF1">
        <w:rPr>
          <w:rFonts w:ascii="Arial" w:hAnsi="Arial" w:cs="Arial"/>
          <w:sz w:val="24"/>
          <w:szCs w:val="24"/>
        </w:rPr>
        <w:t>The government policy is a decisive factor in the competitiveness of the UK automotive industry. Specialized industrial solutions that support the creation of electric vehicles and investment in batteries are aimed at supporting long-term production capacity (Commons Library, 2025). The industry stakeholders press releases emphasise why a continued policy stability is necessary to attract and keep capital-intensive investment (SMMT, 2025c). However, their continued reliance on subsidies might reveal weaknesses in the structure as opposed to the real competitive advantage. The lack of clarity regarding trade alignment and regulatory orientation remains among the threats to investor confidence (Investment Monitor, 2025).</w:t>
      </w:r>
    </w:p>
    <w:p w14:paraId="7B3FAF18" w14:textId="6CCBCB30" w:rsidR="00D5578A" w:rsidRPr="00B82BF1" w:rsidRDefault="00D5578A" w:rsidP="00B82BF1">
      <w:pPr>
        <w:pStyle w:val="Heading2"/>
      </w:pPr>
      <w:bookmarkStart w:id="11" w:name="_Toc222776313"/>
      <w:r w:rsidRPr="00B82BF1">
        <w:t>3.6 Critical Evaluation of Porter’s Diamond</w:t>
      </w:r>
      <w:bookmarkEnd w:id="11"/>
    </w:p>
    <w:p w14:paraId="33AFA947" w14:textId="7E86E1F6" w:rsidR="00D5578A" w:rsidRPr="00B82BF1" w:rsidRDefault="003605E2" w:rsidP="00B82BF1">
      <w:pPr>
        <w:spacing w:line="360" w:lineRule="auto"/>
        <w:jc w:val="both"/>
        <w:rPr>
          <w:rFonts w:ascii="Arial" w:hAnsi="Arial" w:cs="Arial"/>
          <w:sz w:val="24"/>
          <w:szCs w:val="24"/>
        </w:rPr>
      </w:pPr>
      <w:r w:rsidRPr="00B82BF1">
        <w:rPr>
          <w:rFonts w:ascii="Arial" w:hAnsi="Arial" w:cs="Arial"/>
          <w:sz w:val="24"/>
          <w:szCs w:val="24"/>
        </w:rPr>
        <w:t xml:space="preserve">Porters Diamond has been useful as an analytical tool, but the nation-focused orientation cannot be used to describe the complex dynamics of global value chains. According to Jackson (2024), the concept of electrification is a bundle of restructuring of transnational production networks, and not just a domestic restructuring. On the same note, </w:t>
      </w:r>
      <w:proofErr w:type="spellStart"/>
      <w:r w:rsidRPr="00B82BF1">
        <w:rPr>
          <w:rFonts w:ascii="Arial" w:hAnsi="Arial" w:cs="Arial"/>
          <w:sz w:val="24"/>
          <w:szCs w:val="24"/>
        </w:rPr>
        <w:t>Cresti</w:t>
      </w:r>
      <w:proofErr w:type="spellEnd"/>
      <w:r w:rsidRPr="00B82BF1">
        <w:rPr>
          <w:rFonts w:ascii="Arial" w:hAnsi="Arial" w:cs="Arial"/>
          <w:sz w:val="24"/>
          <w:szCs w:val="24"/>
        </w:rPr>
        <w:t xml:space="preserve"> et al. (2025) argue that resilience is brought about by coordinated network structures. In the framework of the automotive industry in the United Kingdom, the competitiveness depends on the alignment of trade with the considerations of the multinationals that are not limited to the national borders.</w:t>
      </w:r>
    </w:p>
    <w:p w14:paraId="2128A1AA" w14:textId="77777777"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Table 2: Porter’s Diamond Evaluation – UK Automotive Industry</w:t>
      </w:r>
    </w:p>
    <w:tbl>
      <w:tblPr>
        <w:tblStyle w:val="GridTable4-Accent2"/>
        <w:tblW w:w="0" w:type="auto"/>
        <w:tblLook w:val="04A0" w:firstRow="1" w:lastRow="0" w:firstColumn="1" w:lastColumn="0" w:noHBand="0" w:noVBand="1"/>
      </w:tblPr>
      <w:tblGrid>
        <w:gridCol w:w="2182"/>
        <w:gridCol w:w="2445"/>
        <w:gridCol w:w="2202"/>
        <w:gridCol w:w="2187"/>
      </w:tblGrid>
      <w:tr w:rsidR="00D5578A" w:rsidRPr="00B82BF1" w14:paraId="6BEA7666" w14:textId="77777777" w:rsidTr="00B82B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EB58D" w14:textId="77777777" w:rsidR="00D5578A" w:rsidRPr="00B82BF1" w:rsidRDefault="00D5578A" w:rsidP="00B82BF1">
            <w:pPr>
              <w:spacing w:line="360" w:lineRule="auto"/>
              <w:rPr>
                <w:rFonts w:ascii="Arial" w:hAnsi="Arial" w:cs="Arial"/>
                <w:b w:val="0"/>
                <w:bCs w:val="0"/>
                <w:sz w:val="24"/>
                <w:szCs w:val="24"/>
              </w:rPr>
            </w:pPr>
            <w:r w:rsidRPr="00B82BF1">
              <w:rPr>
                <w:rFonts w:ascii="Arial" w:hAnsi="Arial" w:cs="Arial"/>
                <w:sz w:val="24"/>
                <w:szCs w:val="24"/>
              </w:rPr>
              <w:t>Determinant</w:t>
            </w:r>
          </w:p>
        </w:tc>
        <w:tc>
          <w:tcPr>
            <w:tcW w:w="0" w:type="auto"/>
            <w:hideMark/>
          </w:tcPr>
          <w:p w14:paraId="4B179DF1"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Strengths</w:t>
            </w:r>
          </w:p>
        </w:tc>
        <w:tc>
          <w:tcPr>
            <w:tcW w:w="0" w:type="auto"/>
            <w:hideMark/>
          </w:tcPr>
          <w:p w14:paraId="6412F779"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Weaknesses</w:t>
            </w:r>
          </w:p>
        </w:tc>
        <w:tc>
          <w:tcPr>
            <w:tcW w:w="0" w:type="auto"/>
            <w:hideMark/>
          </w:tcPr>
          <w:p w14:paraId="46ACBD64"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Overall Assessment</w:t>
            </w:r>
          </w:p>
        </w:tc>
      </w:tr>
      <w:tr w:rsidR="00D5578A" w:rsidRPr="00B82BF1" w14:paraId="41A116F7"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CD156D"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Factor Conditions</w:t>
            </w:r>
          </w:p>
        </w:tc>
        <w:tc>
          <w:tcPr>
            <w:tcW w:w="0" w:type="auto"/>
            <w:hideMark/>
          </w:tcPr>
          <w:p w14:paraId="02BBBF82"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Skilled workforce, established engineering base</w:t>
            </w:r>
          </w:p>
        </w:tc>
        <w:tc>
          <w:tcPr>
            <w:tcW w:w="0" w:type="auto"/>
            <w:hideMark/>
          </w:tcPr>
          <w:p w14:paraId="77AE8795"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Energy cost volatility, EV skill gaps</w:t>
            </w:r>
          </w:p>
        </w:tc>
        <w:tc>
          <w:tcPr>
            <w:tcW w:w="0" w:type="auto"/>
            <w:hideMark/>
          </w:tcPr>
          <w:p w14:paraId="7D946985"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Moderately strong but evolving</w:t>
            </w:r>
          </w:p>
        </w:tc>
      </w:tr>
      <w:tr w:rsidR="00D5578A" w:rsidRPr="00B82BF1" w14:paraId="7C379032"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5BFAE11D"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Demand Conditions</w:t>
            </w:r>
          </w:p>
        </w:tc>
        <w:tc>
          <w:tcPr>
            <w:tcW w:w="0" w:type="auto"/>
            <w:hideMark/>
          </w:tcPr>
          <w:p w14:paraId="429AF824"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Growing EV adoption, regulatory pressure</w:t>
            </w:r>
          </w:p>
        </w:tc>
        <w:tc>
          <w:tcPr>
            <w:tcW w:w="0" w:type="auto"/>
            <w:hideMark/>
          </w:tcPr>
          <w:p w14:paraId="4E2E586A"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Domestic market relatively small</w:t>
            </w:r>
          </w:p>
        </w:tc>
        <w:tc>
          <w:tcPr>
            <w:tcW w:w="0" w:type="auto"/>
            <w:hideMark/>
          </w:tcPr>
          <w:p w14:paraId="6302C474"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Supportive but insufficient alone</w:t>
            </w:r>
          </w:p>
        </w:tc>
      </w:tr>
      <w:tr w:rsidR="00D5578A" w:rsidRPr="00B82BF1" w14:paraId="74929FE7"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3CA3E"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 xml:space="preserve">Related &amp; Supporting </w:t>
            </w:r>
            <w:r w:rsidRPr="00B82BF1">
              <w:rPr>
                <w:rFonts w:ascii="Arial" w:hAnsi="Arial" w:cs="Arial"/>
                <w:sz w:val="24"/>
                <w:szCs w:val="24"/>
              </w:rPr>
              <w:lastRenderedPageBreak/>
              <w:t>Industries</w:t>
            </w:r>
          </w:p>
        </w:tc>
        <w:tc>
          <w:tcPr>
            <w:tcW w:w="0" w:type="auto"/>
            <w:hideMark/>
          </w:tcPr>
          <w:p w14:paraId="7892A4EE"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lastRenderedPageBreak/>
              <w:t>Emerging battery investment</w:t>
            </w:r>
          </w:p>
        </w:tc>
        <w:tc>
          <w:tcPr>
            <w:tcW w:w="0" w:type="auto"/>
            <w:hideMark/>
          </w:tcPr>
          <w:p w14:paraId="2CCE3AC5"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Limited scale compared to EU</w:t>
            </w:r>
          </w:p>
        </w:tc>
        <w:tc>
          <w:tcPr>
            <w:tcW w:w="0" w:type="auto"/>
            <w:hideMark/>
          </w:tcPr>
          <w:p w14:paraId="7EB1583A"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Developing but incomplete</w:t>
            </w:r>
          </w:p>
        </w:tc>
      </w:tr>
      <w:tr w:rsidR="00D5578A" w:rsidRPr="00B82BF1" w14:paraId="07AB2631"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380D646B"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Firm Strategy &amp; Rivalry</w:t>
            </w:r>
          </w:p>
        </w:tc>
        <w:tc>
          <w:tcPr>
            <w:tcW w:w="0" w:type="auto"/>
            <w:hideMark/>
          </w:tcPr>
          <w:p w14:paraId="74D22E51"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High productivity plants (e.g., Sunderland)</w:t>
            </w:r>
          </w:p>
        </w:tc>
        <w:tc>
          <w:tcPr>
            <w:tcW w:w="0" w:type="auto"/>
            <w:hideMark/>
          </w:tcPr>
          <w:p w14:paraId="3E47C446"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Inter-plant EU competition</w:t>
            </w:r>
          </w:p>
        </w:tc>
        <w:tc>
          <w:tcPr>
            <w:tcW w:w="0" w:type="auto"/>
            <w:hideMark/>
          </w:tcPr>
          <w:p w14:paraId="62418C2B"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Competitive but vulnerable</w:t>
            </w:r>
          </w:p>
        </w:tc>
      </w:tr>
      <w:tr w:rsidR="00D5578A" w:rsidRPr="00B82BF1" w14:paraId="2133B3D7"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4CDBD"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Government</w:t>
            </w:r>
          </w:p>
        </w:tc>
        <w:tc>
          <w:tcPr>
            <w:tcW w:w="0" w:type="auto"/>
            <w:hideMark/>
          </w:tcPr>
          <w:p w14:paraId="23B59E62"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EV incentives and industrial strategy</w:t>
            </w:r>
          </w:p>
        </w:tc>
        <w:tc>
          <w:tcPr>
            <w:tcW w:w="0" w:type="auto"/>
            <w:hideMark/>
          </w:tcPr>
          <w:p w14:paraId="0989DD76"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Reliance on subsidies</w:t>
            </w:r>
          </w:p>
        </w:tc>
        <w:tc>
          <w:tcPr>
            <w:tcW w:w="0" w:type="auto"/>
            <w:hideMark/>
          </w:tcPr>
          <w:p w14:paraId="0901B2C4"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Supportive yet compensatory</w:t>
            </w:r>
          </w:p>
        </w:tc>
      </w:tr>
    </w:tbl>
    <w:p w14:paraId="1015BDBE" w14:textId="77777777" w:rsidR="00D5578A" w:rsidRPr="00B82BF1" w:rsidRDefault="00D5578A" w:rsidP="00B82BF1">
      <w:pPr>
        <w:spacing w:line="360" w:lineRule="auto"/>
        <w:jc w:val="both"/>
        <w:rPr>
          <w:rFonts w:ascii="Arial" w:hAnsi="Arial" w:cs="Arial"/>
          <w:sz w:val="24"/>
          <w:szCs w:val="24"/>
        </w:rPr>
      </w:pPr>
    </w:p>
    <w:p w14:paraId="39CD0D22" w14:textId="77777777" w:rsidR="00D5578A" w:rsidRPr="00B82BF1" w:rsidRDefault="00D5578A" w:rsidP="00B82BF1">
      <w:pPr>
        <w:pStyle w:val="Heading1"/>
      </w:pPr>
      <w:bookmarkStart w:id="12" w:name="_Toc222776314"/>
      <w:r w:rsidRPr="00B82BF1">
        <w:t>4. Critical Evaluation of Nissan’s Operations in the United Kingdom</w:t>
      </w:r>
      <w:bookmarkEnd w:id="12"/>
    </w:p>
    <w:p w14:paraId="10CCF79B" w14:textId="4E651004" w:rsidR="00D5578A" w:rsidRPr="00B82BF1" w:rsidRDefault="008652C0" w:rsidP="00B82BF1">
      <w:pPr>
        <w:spacing w:line="360" w:lineRule="auto"/>
        <w:jc w:val="both"/>
        <w:rPr>
          <w:rFonts w:ascii="Arial" w:hAnsi="Arial" w:cs="Arial"/>
          <w:sz w:val="24"/>
          <w:szCs w:val="24"/>
        </w:rPr>
      </w:pPr>
      <w:r w:rsidRPr="00B82BF1">
        <w:rPr>
          <w:rFonts w:ascii="Arial" w:hAnsi="Arial" w:cs="Arial"/>
          <w:sz w:val="24"/>
          <w:szCs w:val="24"/>
        </w:rPr>
        <w:t xml:space="preserve">The Sunderland plant of Nissan is one of the </w:t>
      </w:r>
      <w:r w:rsidR="00BF5D74" w:rsidRPr="00B82BF1">
        <w:rPr>
          <w:rFonts w:ascii="Arial" w:hAnsi="Arial" w:cs="Arial"/>
          <w:sz w:val="24"/>
          <w:szCs w:val="24"/>
        </w:rPr>
        <w:t>highest</w:t>
      </w:r>
      <w:r w:rsidRPr="00B82BF1">
        <w:rPr>
          <w:rFonts w:ascii="Arial" w:hAnsi="Arial" w:cs="Arial"/>
          <w:sz w:val="24"/>
          <w:szCs w:val="24"/>
        </w:rPr>
        <w:t xml:space="preserve"> foreign direct </w:t>
      </w:r>
      <w:r w:rsidR="00BF5D74" w:rsidRPr="00B82BF1">
        <w:rPr>
          <w:rFonts w:ascii="Arial" w:hAnsi="Arial" w:cs="Arial"/>
          <w:sz w:val="24"/>
          <w:szCs w:val="24"/>
        </w:rPr>
        <w:t>investments</w:t>
      </w:r>
      <w:r w:rsidRPr="00B82BF1">
        <w:rPr>
          <w:rFonts w:ascii="Arial" w:hAnsi="Arial" w:cs="Arial"/>
          <w:sz w:val="24"/>
          <w:szCs w:val="24"/>
        </w:rPr>
        <w:t xml:space="preserve"> in the UK manufacturing. In the past, being a high-producing export </w:t>
      </w:r>
      <w:proofErr w:type="spellStart"/>
      <w:r w:rsidRPr="00B82BF1">
        <w:rPr>
          <w:rFonts w:ascii="Arial" w:hAnsi="Arial" w:cs="Arial"/>
          <w:sz w:val="24"/>
          <w:szCs w:val="24"/>
        </w:rPr>
        <w:t>center</w:t>
      </w:r>
      <w:proofErr w:type="spellEnd"/>
      <w:r w:rsidRPr="00B82BF1">
        <w:rPr>
          <w:rFonts w:ascii="Arial" w:hAnsi="Arial" w:cs="Arial"/>
          <w:sz w:val="24"/>
          <w:szCs w:val="24"/>
        </w:rPr>
        <w:t xml:space="preserve"> that was part of the European automotive value chain, the facility had enjoyed the benefit of the frictionless trade under the EU membership. However, Brexit, trade re-alignment, fragility of supply chains, and rate of accelerated electrification have essentially changed its operating environment. As a result, the </w:t>
      </w:r>
      <w:r w:rsidR="00BF5D74" w:rsidRPr="00B82BF1">
        <w:rPr>
          <w:rFonts w:ascii="Arial" w:hAnsi="Arial" w:cs="Arial"/>
          <w:sz w:val="24"/>
          <w:szCs w:val="24"/>
        </w:rPr>
        <w:t>long-term</w:t>
      </w:r>
      <w:r w:rsidRPr="00B82BF1">
        <w:rPr>
          <w:rFonts w:ascii="Arial" w:hAnsi="Arial" w:cs="Arial"/>
          <w:sz w:val="24"/>
          <w:szCs w:val="24"/>
        </w:rPr>
        <w:t xml:space="preserve"> sustainability of any Nissan operations in the UK </w:t>
      </w:r>
      <w:r w:rsidR="00BF5D74" w:rsidRPr="00B82BF1">
        <w:rPr>
          <w:rFonts w:ascii="Arial" w:hAnsi="Arial" w:cs="Arial"/>
          <w:sz w:val="24"/>
          <w:szCs w:val="24"/>
        </w:rPr>
        <w:t>has</w:t>
      </w:r>
      <w:r w:rsidRPr="00B82BF1">
        <w:rPr>
          <w:rFonts w:ascii="Arial" w:hAnsi="Arial" w:cs="Arial"/>
          <w:sz w:val="24"/>
          <w:szCs w:val="24"/>
        </w:rPr>
        <w:t xml:space="preserve"> to be evaluated in inverse relation to the rivalry European destinations. The further analysis measures the political, economic, legal, and institutional issues that determine the strategic competitiveness of Sunderland and its future investment sustainability</w:t>
      </w:r>
      <w:r w:rsidR="00D5578A" w:rsidRPr="00B82BF1">
        <w:rPr>
          <w:rFonts w:ascii="Arial" w:hAnsi="Arial" w:cs="Arial"/>
          <w:sz w:val="24"/>
          <w:szCs w:val="24"/>
        </w:rPr>
        <w:t>.</w:t>
      </w:r>
    </w:p>
    <w:p w14:paraId="1BE233D6" w14:textId="77777777" w:rsidR="00D5578A" w:rsidRPr="00B82BF1" w:rsidRDefault="00D5578A" w:rsidP="00B82BF1">
      <w:pPr>
        <w:pStyle w:val="Heading2"/>
      </w:pPr>
      <w:bookmarkStart w:id="13" w:name="_Toc222776315"/>
      <w:r w:rsidRPr="00B82BF1">
        <w:t>4.1 Political Environment</w:t>
      </w:r>
      <w:bookmarkEnd w:id="13"/>
    </w:p>
    <w:p w14:paraId="57BF836F" w14:textId="77777777" w:rsidR="003332B6" w:rsidRPr="00B82BF1" w:rsidRDefault="003332B6" w:rsidP="00B82BF1">
      <w:pPr>
        <w:spacing w:line="360" w:lineRule="auto"/>
        <w:jc w:val="both"/>
        <w:rPr>
          <w:rFonts w:ascii="Arial" w:hAnsi="Arial" w:cs="Arial"/>
          <w:sz w:val="24"/>
          <w:szCs w:val="24"/>
        </w:rPr>
      </w:pPr>
      <w:r w:rsidRPr="00B82BF1">
        <w:rPr>
          <w:rFonts w:ascii="Arial" w:hAnsi="Arial" w:cs="Arial"/>
          <w:sz w:val="24"/>
          <w:szCs w:val="24"/>
        </w:rPr>
        <w:t xml:space="preserve">The biggest political shift that will affect the operations of the Nissan company in the United Kingdom is Brexit. Whereas the United Kingdom was granted membership in the European Union, Sunderland location was integrated in a highly integrated European network of manufactures. The automotive industry highly depended on the free cross-border flow of finished and component cars (Bailey and De </w:t>
      </w:r>
      <w:proofErr w:type="spellStart"/>
      <w:r w:rsidRPr="00B82BF1">
        <w:rPr>
          <w:rFonts w:ascii="Arial" w:hAnsi="Arial" w:cs="Arial"/>
          <w:sz w:val="24"/>
          <w:szCs w:val="24"/>
        </w:rPr>
        <w:t>Propris</w:t>
      </w:r>
      <w:proofErr w:type="spellEnd"/>
      <w:r w:rsidRPr="00B82BF1">
        <w:rPr>
          <w:rFonts w:ascii="Arial" w:hAnsi="Arial" w:cs="Arial"/>
          <w:sz w:val="24"/>
          <w:szCs w:val="24"/>
        </w:rPr>
        <w:t xml:space="preserve">, 2017). The exit of the United Kingdom of the single market has upset this architecture which has required the integration of custom documents, regulation processes and rules-of-origin compliance as per the UK-European Union Trade and Cooperation Agreement (Commons Library, 2025). </w:t>
      </w:r>
    </w:p>
    <w:p w14:paraId="74C0C550" w14:textId="3AB54908" w:rsidR="003332B6" w:rsidRPr="00B82BF1" w:rsidRDefault="003332B6" w:rsidP="00B82BF1">
      <w:pPr>
        <w:spacing w:line="360" w:lineRule="auto"/>
        <w:jc w:val="both"/>
        <w:rPr>
          <w:rFonts w:ascii="Arial" w:hAnsi="Arial" w:cs="Arial"/>
          <w:sz w:val="24"/>
          <w:szCs w:val="24"/>
        </w:rPr>
      </w:pPr>
      <w:r w:rsidRPr="00B82BF1">
        <w:rPr>
          <w:rFonts w:ascii="Arial" w:hAnsi="Arial" w:cs="Arial"/>
          <w:sz w:val="24"/>
          <w:szCs w:val="24"/>
        </w:rPr>
        <w:t xml:space="preserve">However, the presence of administrative procedures within the Trade and Cooperation Agreement, though the nominal tariffs are not to be implemented, has </w:t>
      </w:r>
      <w:r w:rsidRPr="00B82BF1">
        <w:rPr>
          <w:rFonts w:ascii="Arial" w:hAnsi="Arial" w:cs="Arial"/>
          <w:sz w:val="24"/>
          <w:szCs w:val="24"/>
        </w:rPr>
        <w:lastRenderedPageBreak/>
        <w:t>significantly increased the transaction costs. Just-in-time production systems in the automotive industry will be very sensitive as illustrated by Escaith, Khorana, and Kerr (2020), to slight border delays. In the case of Nissan, which at least continues to rely on its exports to European markets as the primary focus of its production (SMMT, 2025a), this friction additionally limits the ability to flex the operations and increases the exposure to risks.</w:t>
      </w:r>
    </w:p>
    <w:p w14:paraId="6C8CADC5" w14:textId="71FAA3B9" w:rsidR="003332B6" w:rsidRPr="00B82BF1" w:rsidRDefault="003332B6" w:rsidP="00B82BF1">
      <w:pPr>
        <w:spacing w:line="360" w:lineRule="auto"/>
        <w:jc w:val="both"/>
        <w:rPr>
          <w:rFonts w:ascii="Arial" w:hAnsi="Arial" w:cs="Arial"/>
          <w:sz w:val="24"/>
          <w:szCs w:val="24"/>
        </w:rPr>
      </w:pPr>
      <w:r w:rsidRPr="00B82BF1">
        <w:rPr>
          <w:rFonts w:ascii="Arial" w:hAnsi="Arial" w:cs="Arial"/>
          <w:sz w:val="24"/>
          <w:szCs w:val="24"/>
        </w:rPr>
        <w:t>Alongside natural gas transition, rules of origin criteria have a crucial role during the electrification transition. Tariff-exempt status achievement requires vehicles to meet local-content requirements. Since the battery parts constitute a significant portion of the electric-vehicle value, reliance on imported battery cells increases the prospects of non-compliance (Commons Library, 2025). Therefore, this regulatory framework has far reached transformations on supply-chain strategy and investment motivation. Traditionally, Japanese car investment in the United Kingdom was driven not by domestic demand factors, but by the availability of a European market (Suzuki, 2025). Despite the bilateral trade stability offered by the UK-Japan Comprehensive Economic Partnership Agreement, the agreement lacks the scope and integrating advantages of joining the EU. The political reasoning behind the first Nissan investment in the United Kingdom has therefore changed partly.</w:t>
      </w:r>
    </w:p>
    <w:p w14:paraId="090DCB5F" w14:textId="098D913A" w:rsidR="003332B6" w:rsidRPr="00B82BF1" w:rsidRDefault="003332B6" w:rsidP="00B82BF1">
      <w:pPr>
        <w:spacing w:line="360" w:lineRule="auto"/>
        <w:jc w:val="both"/>
        <w:rPr>
          <w:rFonts w:ascii="Arial" w:hAnsi="Arial" w:cs="Arial"/>
          <w:sz w:val="24"/>
          <w:szCs w:val="24"/>
        </w:rPr>
      </w:pPr>
      <w:r w:rsidRPr="00B82BF1">
        <w:rPr>
          <w:rFonts w:ascii="Arial" w:hAnsi="Arial" w:cs="Arial"/>
          <w:sz w:val="24"/>
          <w:szCs w:val="24"/>
        </w:rPr>
        <w:t>EV-oriented industrial promises and government subsidies are aimed at overcoming the uncertainty after Brexit. But relying on the support of the state presupposes the strategic conditionality where the multinational enterprises represent the policy credibility and the stability of the regulatory framework when drawing up capital allocation decisions (Investment Monitor, 2025). Although the United Kingdom is politically stable, its more complex trade infrastructure compared to the European Union introduces structural risk on a continuous basis in the business surroundings of Nissan.</w:t>
      </w:r>
    </w:p>
    <w:p w14:paraId="1974BA51" w14:textId="675027A5" w:rsidR="00D5578A" w:rsidRPr="00B82BF1" w:rsidRDefault="00D5578A" w:rsidP="00B82BF1">
      <w:pPr>
        <w:pStyle w:val="Heading2"/>
      </w:pPr>
      <w:bookmarkStart w:id="14" w:name="_Toc222776316"/>
      <w:r w:rsidRPr="00B82BF1">
        <w:t>4.2 Economic Environment</w:t>
      </w:r>
      <w:bookmarkEnd w:id="14"/>
    </w:p>
    <w:p w14:paraId="0D372AEE" w14:textId="77777777" w:rsidR="003332B6" w:rsidRPr="00B82BF1" w:rsidRDefault="003332B6" w:rsidP="00B82BF1">
      <w:pPr>
        <w:spacing w:line="360" w:lineRule="auto"/>
        <w:jc w:val="both"/>
        <w:rPr>
          <w:rFonts w:ascii="Arial" w:hAnsi="Arial" w:cs="Arial"/>
          <w:sz w:val="24"/>
          <w:szCs w:val="24"/>
        </w:rPr>
      </w:pPr>
      <w:r w:rsidRPr="00B82BF1">
        <w:rPr>
          <w:rFonts w:ascii="Arial" w:hAnsi="Arial" w:cs="Arial"/>
          <w:sz w:val="24"/>
          <w:szCs w:val="24"/>
        </w:rPr>
        <w:t xml:space="preserve">Strategic calculus at Nissan is also influenced by the economic condition. The volatility in exchange rates after the Brexit referendum brought in some form of uncertainty in export pricing and procurement strategies (Costa, 2024). Though the initial effect of sterling devaluation was improvement in the competitiveness in exports, prolonged fluctuation makes long-term planning and assessment of </w:t>
      </w:r>
      <w:r w:rsidRPr="00B82BF1">
        <w:rPr>
          <w:rFonts w:ascii="Arial" w:hAnsi="Arial" w:cs="Arial"/>
          <w:sz w:val="24"/>
          <w:szCs w:val="24"/>
        </w:rPr>
        <w:lastRenderedPageBreak/>
        <w:t>investment more difficult. Since most of the vehicles manufactured in the UK are exported (SMMT, 2025a), the Nissan facility at Sunderland is highly vulnerable to the dynamics of the external demand. Economic resilience is thus dependent on European and global car cycles as opposed to domestic consumption rate alone hence increasing its vulnerability to macroeconomic instabilities.</w:t>
      </w:r>
    </w:p>
    <w:p w14:paraId="3F32CC7D" w14:textId="79625376" w:rsidR="003332B6" w:rsidRDefault="003332B6" w:rsidP="00B82BF1">
      <w:pPr>
        <w:spacing w:line="360" w:lineRule="auto"/>
        <w:jc w:val="both"/>
        <w:rPr>
          <w:rFonts w:ascii="Arial" w:hAnsi="Arial" w:cs="Arial"/>
          <w:sz w:val="24"/>
          <w:szCs w:val="24"/>
        </w:rPr>
      </w:pPr>
      <w:r w:rsidRPr="00B82BF1">
        <w:rPr>
          <w:rFonts w:ascii="Arial" w:hAnsi="Arial" w:cs="Arial"/>
          <w:sz w:val="24"/>
          <w:szCs w:val="24"/>
        </w:rPr>
        <w:t>In the era of electric cars, energy expenses have taken on a more significant niche since even the creation of a battery is nearly energy consuming. Changes in the cost of energy in the United Kingdom and continental Europe has direct impact on the cost competitiveness at the plant level, possibly positioning Sunderland at a disadvantage in case the cost of energy continues to be high. Moreover, the production of cars exists in the framework of multinational supply chains with inter-plant competition (</w:t>
      </w:r>
      <w:proofErr w:type="spellStart"/>
      <w:r w:rsidRPr="00B82BF1">
        <w:rPr>
          <w:rFonts w:ascii="Arial" w:hAnsi="Arial" w:cs="Arial"/>
          <w:sz w:val="24"/>
          <w:szCs w:val="24"/>
        </w:rPr>
        <w:t>Cresti</w:t>
      </w:r>
      <w:proofErr w:type="spellEnd"/>
      <w:r w:rsidRPr="00B82BF1">
        <w:rPr>
          <w:rFonts w:ascii="Arial" w:hAnsi="Arial" w:cs="Arial"/>
          <w:sz w:val="24"/>
          <w:szCs w:val="24"/>
        </w:rPr>
        <w:t xml:space="preserve"> et al., 2025). The future production assignment will not only depend on the past productivity but also on the regulatory assurance, logistics and assimilation in the advanced battery systems.</w:t>
      </w:r>
    </w:p>
    <w:p w14:paraId="5E30A654" w14:textId="77777777" w:rsidR="00B82BF1" w:rsidRDefault="00B82BF1" w:rsidP="00B82BF1">
      <w:pPr>
        <w:spacing w:line="360" w:lineRule="auto"/>
        <w:jc w:val="both"/>
        <w:rPr>
          <w:rFonts w:ascii="Arial" w:hAnsi="Arial" w:cs="Arial"/>
          <w:sz w:val="24"/>
          <w:szCs w:val="24"/>
        </w:rPr>
      </w:pPr>
    </w:p>
    <w:p w14:paraId="06F63E85" w14:textId="77777777" w:rsidR="00B82BF1" w:rsidRDefault="00B82BF1" w:rsidP="00B82BF1">
      <w:pPr>
        <w:spacing w:line="360" w:lineRule="auto"/>
        <w:jc w:val="both"/>
        <w:rPr>
          <w:rFonts w:ascii="Arial" w:hAnsi="Arial" w:cs="Arial"/>
          <w:sz w:val="24"/>
          <w:szCs w:val="24"/>
        </w:rPr>
      </w:pPr>
    </w:p>
    <w:p w14:paraId="54D173DB" w14:textId="77777777" w:rsidR="00B82BF1" w:rsidRPr="00B82BF1" w:rsidRDefault="00B82BF1" w:rsidP="00B82BF1">
      <w:pPr>
        <w:spacing w:line="360" w:lineRule="auto"/>
        <w:jc w:val="both"/>
        <w:rPr>
          <w:rFonts w:ascii="Arial" w:hAnsi="Arial" w:cs="Arial"/>
          <w:sz w:val="24"/>
          <w:szCs w:val="24"/>
        </w:rPr>
      </w:pPr>
    </w:p>
    <w:p w14:paraId="66BC2555" w14:textId="77777777" w:rsidR="00D5578A" w:rsidRPr="00B82BF1" w:rsidRDefault="00D5578A" w:rsidP="00B82BF1">
      <w:pPr>
        <w:pStyle w:val="Heading2"/>
      </w:pPr>
      <w:bookmarkStart w:id="15" w:name="_Toc222776317"/>
      <w:r w:rsidRPr="00B82BF1">
        <w:t>4.3 Legal and Regulatory Environment</w:t>
      </w:r>
      <w:bookmarkEnd w:id="15"/>
    </w:p>
    <w:p w14:paraId="3AE1EC35" w14:textId="77777777" w:rsidR="00141DD7" w:rsidRPr="00B82BF1" w:rsidRDefault="00141DD7" w:rsidP="00B82BF1">
      <w:pPr>
        <w:spacing w:line="360" w:lineRule="auto"/>
        <w:jc w:val="both"/>
        <w:rPr>
          <w:rFonts w:ascii="Arial" w:hAnsi="Arial" w:cs="Arial"/>
          <w:sz w:val="24"/>
          <w:szCs w:val="24"/>
        </w:rPr>
      </w:pPr>
      <w:r w:rsidRPr="00B82BF1">
        <w:rPr>
          <w:rFonts w:ascii="Arial" w:hAnsi="Arial" w:cs="Arial"/>
          <w:sz w:val="24"/>
          <w:szCs w:val="24"/>
        </w:rPr>
        <w:t xml:space="preserve">Competitiveness in the automotive space is becoming more environmentally sensitive. The production incentives are organized by environmental requirements, carbon-cutting goals, and policies encouraging the adoption of electric vehicles (EVs). Jeong (2024) argues that a regulatory pressure is the biggest driver behind the shift to EVs in the same way consumer demand is. The net-zero plans of the United Kingdom strengthen national incentives to deal with the production of EVs, which, in its turn, streamlines the strategic electrification approach of Nissan with the national policy targets. Regulatory differences between the European Union and the United Kingdom, however, bring forth some possible complexities. The automobile industry enjoys the advantages of harmonised technical standards at a minimal cost of compliance. </w:t>
      </w:r>
    </w:p>
    <w:p w14:paraId="356701D6" w14:textId="77777777" w:rsidR="00141DD7" w:rsidRPr="00B82BF1" w:rsidRDefault="00141DD7" w:rsidP="00B82BF1">
      <w:pPr>
        <w:spacing w:line="360" w:lineRule="auto"/>
        <w:jc w:val="both"/>
        <w:rPr>
          <w:rFonts w:ascii="Arial" w:hAnsi="Arial" w:cs="Arial"/>
          <w:sz w:val="24"/>
          <w:szCs w:val="24"/>
        </w:rPr>
      </w:pPr>
      <w:r w:rsidRPr="00B82BF1">
        <w:rPr>
          <w:rFonts w:ascii="Arial" w:hAnsi="Arial" w:cs="Arial"/>
          <w:sz w:val="24"/>
          <w:szCs w:val="24"/>
        </w:rPr>
        <w:t xml:space="preserve">In case of significant deviation in regulatory frameworks, manufacturers that will be exporting to EU might face unnecessary testing or certifications (No-Deal Brexit and </w:t>
      </w:r>
      <w:r w:rsidRPr="00B82BF1">
        <w:rPr>
          <w:rFonts w:ascii="Arial" w:hAnsi="Arial" w:cs="Arial"/>
          <w:sz w:val="24"/>
          <w:szCs w:val="24"/>
        </w:rPr>
        <w:lastRenderedPageBreak/>
        <w:t xml:space="preserve">UK Automotive, 2018). This kind of variance would kill cost efficiency and reduce the comparative attractiveness of Sunderland. Regulation of labour has a significant effect on the flexibility of operation. The shift to the production of EV will mark changes in the staffing. EV manufacturing is usually associated with a limited scope of mechanical parts and altered production methods. De Ruyter (2024) notes that the changes lead to concerns regarding displacement of the workforce and emphasize the urgency of retraining the skills of the individuals working in the automotive industries that are becoming electrified. Hearne (2025) also accentuates the regional aspect of the issues of the just transition. </w:t>
      </w:r>
    </w:p>
    <w:p w14:paraId="3F1DF479" w14:textId="455A3229" w:rsidR="00141DD7" w:rsidRPr="00B82BF1" w:rsidRDefault="00141DD7" w:rsidP="00B82BF1">
      <w:pPr>
        <w:spacing w:line="360" w:lineRule="auto"/>
        <w:jc w:val="both"/>
        <w:rPr>
          <w:rFonts w:ascii="Arial" w:hAnsi="Arial" w:cs="Arial"/>
          <w:sz w:val="24"/>
          <w:szCs w:val="24"/>
        </w:rPr>
      </w:pPr>
      <w:r w:rsidRPr="00B82BF1">
        <w:rPr>
          <w:rFonts w:ascii="Arial" w:hAnsi="Arial" w:cs="Arial"/>
          <w:sz w:val="24"/>
          <w:szCs w:val="24"/>
        </w:rPr>
        <w:t>Sunderland regional economy is still largely attached to automotive workforce. Productivity and social stability can therefore only be maintained with proper re-skilling, as well as joint labour relations. The historical pattern of industrial relations that Nissan has recorded has been relatively stable, therefore making it easier to adjust in the process of technological transition. In general, the regulatory and legal environment both provides a range of opportunities and limitations. Strong commitment to environmental policy enhances the production of electric vehicles, and potential incompatibility with regulatory systems in the European Union creates unknown factors that could weaken the export competitiveness.</w:t>
      </w:r>
    </w:p>
    <w:p w14:paraId="5A60E756" w14:textId="192F1AA5" w:rsidR="00D5578A" w:rsidRPr="00B82BF1" w:rsidRDefault="00D5578A" w:rsidP="00B82BF1">
      <w:pPr>
        <w:pStyle w:val="Heading2"/>
      </w:pPr>
      <w:bookmarkStart w:id="16" w:name="_Toc222776318"/>
      <w:r w:rsidRPr="00B82BF1">
        <w:t>4.4 Supply Chain Resilience and Electrification</w:t>
      </w:r>
      <w:bookmarkEnd w:id="16"/>
    </w:p>
    <w:p w14:paraId="1698E0C8" w14:textId="77777777" w:rsidR="004143CD" w:rsidRPr="00B82BF1" w:rsidRDefault="004143CD" w:rsidP="00B82BF1">
      <w:pPr>
        <w:spacing w:line="360" w:lineRule="auto"/>
        <w:jc w:val="both"/>
        <w:rPr>
          <w:rFonts w:ascii="Arial" w:hAnsi="Arial" w:cs="Arial"/>
          <w:sz w:val="24"/>
          <w:szCs w:val="24"/>
        </w:rPr>
      </w:pPr>
      <w:r w:rsidRPr="00B82BF1">
        <w:rPr>
          <w:rFonts w:ascii="Arial" w:hAnsi="Arial" w:cs="Arial"/>
          <w:sz w:val="24"/>
          <w:szCs w:val="24"/>
        </w:rPr>
        <w:t xml:space="preserve">Automotive manufacturing is being electrified, which fundamentally reorganizes value chains by making the battery production a strategic asset. According to </w:t>
      </w:r>
      <w:proofErr w:type="spellStart"/>
      <w:r w:rsidRPr="00B82BF1">
        <w:rPr>
          <w:rFonts w:ascii="Arial" w:hAnsi="Arial" w:cs="Arial"/>
          <w:sz w:val="24"/>
          <w:szCs w:val="24"/>
        </w:rPr>
        <w:t>Jagani</w:t>
      </w:r>
      <w:proofErr w:type="spellEnd"/>
      <w:r w:rsidRPr="00B82BF1">
        <w:rPr>
          <w:rFonts w:ascii="Arial" w:hAnsi="Arial" w:cs="Arial"/>
          <w:sz w:val="24"/>
          <w:szCs w:val="24"/>
        </w:rPr>
        <w:t xml:space="preserve"> et al. (2024), battery ecosystems are core components of modern automotive competitiveness, and the absence of localized battery production means that the manufacturer will become more vulnerable to the origin-compliance risk and more logistically complicated. Huang (2023) notes that global automotive supply chains are exposed to systemic shocks, such as geopolitical shocks and material shortages; the semiconductor crisis and the extensive shocks experienced by entire supply chain illustrates the significance of resilience and not minimising costs. Nissan, in its turn, has helped the drive to establish battery production capacity in the UK, attempting to tighten the adherence to the rules-of-origin quotas and de-dependence on suppliers located far away.</w:t>
      </w:r>
    </w:p>
    <w:p w14:paraId="748AA848" w14:textId="1ABC0EAA" w:rsidR="004143CD" w:rsidRPr="00B82BF1" w:rsidRDefault="004143CD" w:rsidP="00B82BF1">
      <w:pPr>
        <w:spacing w:line="360" w:lineRule="auto"/>
        <w:jc w:val="both"/>
        <w:rPr>
          <w:rFonts w:ascii="Arial" w:hAnsi="Arial" w:cs="Arial"/>
          <w:sz w:val="24"/>
          <w:szCs w:val="24"/>
        </w:rPr>
      </w:pPr>
      <w:r w:rsidRPr="00B82BF1">
        <w:rPr>
          <w:rFonts w:ascii="Arial" w:hAnsi="Arial" w:cs="Arial"/>
          <w:sz w:val="24"/>
          <w:szCs w:val="24"/>
        </w:rPr>
        <w:lastRenderedPageBreak/>
        <w:t xml:space="preserve">Strong automotive supply chains require the systemic efficiency of the production processes, with fragmented ecosystems curbing efficiency and increasing susceptibility to shake-ups (Shahnawaz and </w:t>
      </w:r>
      <w:proofErr w:type="spellStart"/>
      <w:r w:rsidRPr="00B82BF1">
        <w:rPr>
          <w:rFonts w:ascii="Arial" w:hAnsi="Arial" w:cs="Arial"/>
          <w:sz w:val="24"/>
          <w:szCs w:val="24"/>
        </w:rPr>
        <w:t>Safder</w:t>
      </w:r>
      <w:proofErr w:type="spellEnd"/>
      <w:r w:rsidRPr="00B82BF1">
        <w:rPr>
          <w:rFonts w:ascii="Arial" w:hAnsi="Arial" w:cs="Arial"/>
          <w:sz w:val="24"/>
          <w:szCs w:val="24"/>
        </w:rPr>
        <w:t xml:space="preserve">, 2025). This therefore puts the United Kingdom with the dilemma of having a need to scale battery manufacture and supplier network infrastructure to build a competitive cluster of electrified vehicles, and not to have isolated production capacities. Traditionally, the competitiveness of the automotive industry in the United Kingdom was rooted in the EU-wide supply chain (Bailey and De </w:t>
      </w:r>
      <w:proofErr w:type="spellStart"/>
      <w:r w:rsidRPr="00B82BF1">
        <w:rPr>
          <w:rFonts w:ascii="Arial" w:hAnsi="Arial" w:cs="Arial"/>
          <w:sz w:val="24"/>
          <w:szCs w:val="24"/>
        </w:rPr>
        <w:t>Propris</w:t>
      </w:r>
      <w:proofErr w:type="spellEnd"/>
      <w:r w:rsidRPr="00B82BF1">
        <w:rPr>
          <w:rFonts w:ascii="Arial" w:hAnsi="Arial" w:cs="Arial"/>
          <w:sz w:val="24"/>
          <w:szCs w:val="24"/>
        </w:rPr>
        <w:t xml:space="preserve">, 2017). </w:t>
      </w:r>
      <w:r w:rsidR="003C1034" w:rsidRPr="003C1034">
        <w:rPr>
          <w:rFonts w:ascii="Arial" w:hAnsi="Arial" w:cs="Arial"/>
          <w:sz w:val="24"/>
          <w:szCs w:val="24"/>
        </w:rPr>
        <w:t>In the case of Nissan, electrification forms the strategic inflection point whereby the competitive advantage in terms of battery localisation, technological capability, and integration into new EV ecosystems become mediators of competitive advantage, not the just the traditional manufacturing efficiency.</w:t>
      </w:r>
    </w:p>
    <w:p w14:paraId="7D5C57D3" w14:textId="0434B183" w:rsidR="00D5578A" w:rsidRPr="00B82BF1" w:rsidRDefault="00D5578A" w:rsidP="00B82BF1">
      <w:pPr>
        <w:pStyle w:val="Heading2"/>
      </w:pPr>
      <w:bookmarkStart w:id="17" w:name="_Toc222776319"/>
      <w:r w:rsidRPr="00B82BF1">
        <w:t>4.5 Strategic Position and Long-Term Market Attractiveness</w:t>
      </w:r>
      <w:bookmarkEnd w:id="17"/>
    </w:p>
    <w:p w14:paraId="6A1B9C28" w14:textId="6C69100D" w:rsidR="00E90CF9" w:rsidRPr="00B82BF1" w:rsidRDefault="00E90CF9" w:rsidP="00B82BF1">
      <w:pPr>
        <w:spacing w:line="360" w:lineRule="auto"/>
        <w:jc w:val="both"/>
        <w:rPr>
          <w:rFonts w:ascii="Arial" w:hAnsi="Arial" w:cs="Arial"/>
          <w:sz w:val="24"/>
          <w:szCs w:val="24"/>
        </w:rPr>
      </w:pPr>
      <w:r w:rsidRPr="00B82BF1">
        <w:rPr>
          <w:rFonts w:ascii="Arial" w:hAnsi="Arial" w:cs="Arial"/>
          <w:sz w:val="24"/>
          <w:szCs w:val="24"/>
        </w:rPr>
        <w:t>A strategically contingent outlook is supported by the incorporation of political, economic, and institutional aspects. On the one hand, Sunderland still has significant strengths, which are scale efficiencies, experienced labour force, established supplier networks, and governmental support. On the other hand, structural vulnerability is created due to the Brexit-related trade frictions, regulatory complexity, and ecosystem disintegration. Jackson (2024) argues that the switch to electric vehicles is a systemic industrial reorganisation, and not a gradual change. In these changes, those regions that successfully enter nascent value chains will tend to maintain competitiveness, whilst marginalisation of those regions that are peripheral is eminent. The future of the UK in European auto networks will depend on the ongoing ecosystem evolution instead of the bunk-off political promises.</w:t>
      </w:r>
    </w:p>
    <w:p w14:paraId="54F42534" w14:textId="41486FC1" w:rsidR="00E90CF9" w:rsidRPr="00B82BF1" w:rsidRDefault="00E90CF9" w:rsidP="00B82BF1">
      <w:pPr>
        <w:spacing w:line="360" w:lineRule="auto"/>
        <w:jc w:val="both"/>
        <w:rPr>
          <w:rFonts w:ascii="Arial" w:hAnsi="Arial" w:cs="Arial"/>
          <w:sz w:val="24"/>
          <w:szCs w:val="24"/>
        </w:rPr>
      </w:pPr>
      <w:r w:rsidRPr="00B82BF1">
        <w:rPr>
          <w:rFonts w:ascii="Arial" w:hAnsi="Arial" w:cs="Arial"/>
          <w:sz w:val="24"/>
          <w:szCs w:val="24"/>
        </w:rPr>
        <w:t xml:space="preserve">With Nissan, there is an analytical axis that consists of a comparative evaluation against EU plants. Although Sunderland has already shown the sign of operational viability, it still depends on the distribution of future models based on the aspects of supply chain integration, battery production localisation, and compliance with regulatory regimes. This results in the United Kingdom not being or being construed as being structurally uncompetitive; it is strategically contingent. The access to EU markets is no longer guaranteed as the affinity of Nissan to the UK. Instead, it </w:t>
      </w:r>
      <w:r w:rsidRPr="00B82BF1">
        <w:rPr>
          <w:rFonts w:ascii="Arial" w:hAnsi="Arial" w:cs="Arial"/>
          <w:sz w:val="24"/>
          <w:szCs w:val="24"/>
        </w:rPr>
        <w:lastRenderedPageBreak/>
        <w:t>depends on the successful adaptation to electrification, the sustained policy assurance and the instillation of robust supply-chain designs.</w:t>
      </w:r>
    </w:p>
    <w:p w14:paraId="127B5EDA" w14:textId="19F431B3" w:rsidR="002052CD" w:rsidRPr="00B82BF1" w:rsidRDefault="002052CD" w:rsidP="00B82BF1">
      <w:pPr>
        <w:spacing w:line="360" w:lineRule="auto"/>
        <w:jc w:val="both"/>
        <w:rPr>
          <w:rFonts w:ascii="Arial" w:hAnsi="Arial" w:cs="Arial"/>
          <w:sz w:val="24"/>
          <w:szCs w:val="24"/>
        </w:rPr>
      </w:pPr>
      <w:r w:rsidRPr="00B82BF1">
        <w:rPr>
          <w:rFonts w:ascii="Arial" w:hAnsi="Arial" w:cs="Arial"/>
          <w:sz w:val="24"/>
          <w:szCs w:val="24"/>
        </w:rPr>
        <w:t xml:space="preserve">To conclude, operations of Nissan in the UK remain a viable </w:t>
      </w:r>
      <w:r w:rsidR="003C1034" w:rsidRPr="00B82BF1">
        <w:rPr>
          <w:rFonts w:ascii="Arial" w:hAnsi="Arial" w:cs="Arial"/>
          <w:sz w:val="24"/>
          <w:szCs w:val="24"/>
        </w:rPr>
        <w:t>business but</w:t>
      </w:r>
      <w:r w:rsidRPr="00B82BF1">
        <w:rPr>
          <w:rFonts w:ascii="Arial" w:hAnsi="Arial" w:cs="Arial"/>
          <w:sz w:val="24"/>
          <w:szCs w:val="24"/>
        </w:rPr>
        <w:t xml:space="preserve"> gradually rely on structural harmonisation with the dynamics of global automotive environment. The Sunderland plant maintains competitive potentials; however, its future sustainability will depend on the ability of the United Kingdom to increase its industrialization and alleviate systemic weaknesses in transnational electric vehicles value chains.</w:t>
      </w:r>
    </w:p>
    <w:p w14:paraId="03B8E7A6" w14:textId="2D32D753" w:rsidR="00D5578A" w:rsidRPr="00B82BF1" w:rsidRDefault="00D5578A" w:rsidP="00B82BF1">
      <w:pPr>
        <w:spacing w:line="360" w:lineRule="auto"/>
        <w:jc w:val="both"/>
        <w:rPr>
          <w:rFonts w:ascii="Arial" w:hAnsi="Arial" w:cs="Arial"/>
          <w:b/>
          <w:bCs/>
          <w:sz w:val="24"/>
          <w:szCs w:val="24"/>
        </w:rPr>
      </w:pPr>
      <w:r w:rsidRPr="00B82BF1">
        <w:rPr>
          <w:rFonts w:ascii="Arial" w:hAnsi="Arial" w:cs="Arial"/>
          <w:b/>
          <w:bCs/>
          <w:sz w:val="24"/>
          <w:szCs w:val="24"/>
        </w:rPr>
        <w:t>Table 3: PESTLE Assessment of Nissan’s UK Operations</w:t>
      </w:r>
    </w:p>
    <w:tbl>
      <w:tblPr>
        <w:tblStyle w:val="GridTable4-Accent4"/>
        <w:tblW w:w="0" w:type="auto"/>
        <w:tblLook w:val="04A0" w:firstRow="1" w:lastRow="0" w:firstColumn="1" w:lastColumn="0" w:noHBand="0" w:noVBand="1"/>
      </w:tblPr>
      <w:tblGrid>
        <w:gridCol w:w="1812"/>
        <w:gridCol w:w="2148"/>
        <w:gridCol w:w="2451"/>
        <w:gridCol w:w="2605"/>
      </w:tblGrid>
      <w:tr w:rsidR="00D5578A" w:rsidRPr="00B82BF1" w14:paraId="2061E588" w14:textId="77777777" w:rsidTr="00B82B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9B6D05" w14:textId="77777777" w:rsidR="00D5578A" w:rsidRPr="00B82BF1" w:rsidRDefault="00D5578A" w:rsidP="00B82BF1">
            <w:pPr>
              <w:spacing w:line="360" w:lineRule="auto"/>
              <w:rPr>
                <w:rFonts w:ascii="Arial" w:hAnsi="Arial" w:cs="Arial"/>
                <w:b w:val="0"/>
                <w:bCs w:val="0"/>
                <w:sz w:val="24"/>
                <w:szCs w:val="24"/>
              </w:rPr>
            </w:pPr>
            <w:r w:rsidRPr="00B82BF1">
              <w:rPr>
                <w:rFonts w:ascii="Arial" w:hAnsi="Arial" w:cs="Arial"/>
                <w:sz w:val="24"/>
                <w:szCs w:val="24"/>
              </w:rPr>
              <w:t>Factor</w:t>
            </w:r>
          </w:p>
        </w:tc>
        <w:tc>
          <w:tcPr>
            <w:tcW w:w="0" w:type="auto"/>
            <w:hideMark/>
          </w:tcPr>
          <w:p w14:paraId="50B24EFA"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Key Risk</w:t>
            </w:r>
          </w:p>
        </w:tc>
        <w:tc>
          <w:tcPr>
            <w:tcW w:w="0" w:type="auto"/>
            <w:hideMark/>
          </w:tcPr>
          <w:p w14:paraId="638CB7D1"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Key Opportunity</w:t>
            </w:r>
          </w:p>
        </w:tc>
        <w:tc>
          <w:tcPr>
            <w:tcW w:w="0" w:type="auto"/>
            <w:hideMark/>
          </w:tcPr>
          <w:p w14:paraId="2874B574" w14:textId="77777777" w:rsidR="00D5578A" w:rsidRPr="00B82BF1" w:rsidRDefault="00D5578A" w:rsidP="00B82BF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2BF1">
              <w:rPr>
                <w:rFonts w:ascii="Arial" w:hAnsi="Arial" w:cs="Arial"/>
                <w:sz w:val="24"/>
                <w:szCs w:val="24"/>
              </w:rPr>
              <w:t>Strategic Impact</w:t>
            </w:r>
          </w:p>
        </w:tc>
      </w:tr>
      <w:tr w:rsidR="00D5578A" w:rsidRPr="00B82BF1" w14:paraId="76708F87"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AF4355"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Political</w:t>
            </w:r>
          </w:p>
        </w:tc>
        <w:tc>
          <w:tcPr>
            <w:tcW w:w="0" w:type="auto"/>
            <w:hideMark/>
          </w:tcPr>
          <w:p w14:paraId="6CB7052B"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Trade friction under TCA</w:t>
            </w:r>
          </w:p>
        </w:tc>
        <w:tc>
          <w:tcPr>
            <w:tcW w:w="0" w:type="auto"/>
            <w:hideMark/>
          </w:tcPr>
          <w:p w14:paraId="444E3509"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Government EV subsidies</w:t>
            </w:r>
          </w:p>
        </w:tc>
        <w:tc>
          <w:tcPr>
            <w:tcW w:w="0" w:type="auto"/>
            <w:hideMark/>
          </w:tcPr>
          <w:p w14:paraId="07558233"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Attractiveness is conditional</w:t>
            </w:r>
          </w:p>
        </w:tc>
      </w:tr>
      <w:tr w:rsidR="00D5578A" w:rsidRPr="00B82BF1" w14:paraId="5A978C38"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573F264D"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Economic</w:t>
            </w:r>
          </w:p>
        </w:tc>
        <w:tc>
          <w:tcPr>
            <w:tcW w:w="0" w:type="auto"/>
            <w:hideMark/>
          </w:tcPr>
          <w:p w14:paraId="2CAD4658"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Exchange rate and energy cost volatility</w:t>
            </w:r>
          </w:p>
        </w:tc>
        <w:tc>
          <w:tcPr>
            <w:tcW w:w="0" w:type="auto"/>
            <w:hideMark/>
          </w:tcPr>
          <w:p w14:paraId="0E7066CD"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Export capacity and plant productivity</w:t>
            </w:r>
          </w:p>
        </w:tc>
        <w:tc>
          <w:tcPr>
            <w:tcW w:w="0" w:type="auto"/>
            <w:hideMark/>
          </w:tcPr>
          <w:p w14:paraId="09248F3B"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Moderate structural risk</w:t>
            </w:r>
          </w:p>
        </w:tc>
      </w:tr>
      <w:tr w:rsidR="00D5578A" w:rsidRPr="00B82BF1" w14:paraId="412F0524"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EB2C9F"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Legal</w:t>
            </w:r>
          </w:p>
        </w:tc>
        <w:tc>
          <w:tcPr>
            <w:tcW w:w="0" w:type="auto"/>
            <w:hideMark/>
          </w:tcPr>
          <w:p w14:paraId="131B6EEF"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Regulatory divergence from EU</w:t>
            </w:r>
          </w:p>
        </w:tc>
        <w:tc>
          <w:tcPr>
            <w:tcW w:w="0" w:type="auto"/>
            <w:hideMark/>
          </w:tcPr>
          <w:p w14:paraId="1E7B8FE2"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Strong environmental policy support</w:t>
            </w:r>
          </w:p>
        </w:tc>
        <w:tc>
          <w:tcPr>
            <w:tcW w:w="0" w:type="auto"/>
            <w:hideMark/>
          </w:tcPr>
          <w:p w14:paraId="054B9F68"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Depends on regulatory alignment</w:t>
            </w:r>
          </w:p>
        </w:tc>
      </w:tr>
      <w:tr w:rsidR="00D5578A" w:rsidRPr="00B82BF1" w14:paraId="7BD3F1FE" w14:textId="77777777" w:rsidTr="00B82BF1">
        <w:tc>
          <w:tcPr>
            <w:cnfStyle w:val="001000000000" w:firstRow="0" w:lastRow="0" w:firstColumn="1" w:lastColumn="0" w:oddVBand="0" w:evenVBand="0" w:oddHBand="0" w:evenHBand="0" w:firstRowFirstColumn="0" w:firstRowLastColumn="0" w:lastRowFirstColumn="0" w:lastRowLastColumn="0"/>
            <w:tcW w:w="0" w:type="auto"/>
            <w:hideMark/>
          </w:tcPr>
          <w:p w14:paraId="43E4FDEF"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Labour</w:t>
            </w:r>
          </w:p>
        </w:tc>
        <w:tc>
          <w:tcPr>
            <w:tcW w:w="0" w:type="auto"/>
            <w:hideMark/>
          </w:tcPr>
          <w:p w14:paraId="42EE9B15"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Workforce reskilling challenges</w:t>
            </w:r>
          </w:p>
        </w:tc>
        <w:tc>
          <w:tcPr>
            <w:tcW w:w="0" w:type="auto"/>
            <w:hideMark/>
          </w:tcPr>
          <w:p w14:paraId="56C045A0"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Skilled manufacturing base</w:t>
            </w:r>
          </w:p>
        </w:tc>
        <w:tc>
          <w:tcPr>
            <w:tcW w:w="0" w:type="auto"/>
            <w:hideMark/>
          </w:tcPr>
          <w:p w14:paraId="293BF287" w14:textId="77777777" w:rsidR="00D5578A" w:rsidRPr="00B82BF1" w:rsidRDefault="00D5578A" w:rsidP="00B82B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82BF1">
              <w:rPr>
                <w:rFonts w:ascii="Arial" w:hAnsi="Arial" w:cs="Arial"/>
                <w:sz w:val="24"/>
                <w:szCs w:val="24"/>
              </w:rPr>
              <w:t>Requires effective transition management</w:t>
            </w:r>
          </w:p>
        </w:tc>
      </w:tr>
      <w:tr w:rsidR="00D5578A" w:rsidRPr="00B82BF1" w14:paraId="314C90BB" w14:textId="77777777" w:rsidTr="00B82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F78C05" w14:textId="77777777" w:rsidR="00D5578A" w:rsidRPr="00B82BF1" w:rsidRDefault="00D5578A" w:rsidP="00B82BF1">
            <w:pPr>
              <w:spacing w:line="360" w:lineRule="auto"/>
              <w:rPr>
                <w:rFonts w:ascii="Arial" w:hAnsi="Arial" w:cs="Arial"/>
                <w:sz w:val="24"/>
                <w:szCs w:val="24"/>
              </w:rPr>
            </w:pPr>
            <w:r w:rsidRPr="00B82BF1">
              <w:rPr>
                <w:rFonts w:ascii="Arial" w:hAnsi="Arial" w:cs="Arial"/>
                <w:sz w:val="24"/>
                <w:szCs w:val="24"/>
              </w:rPr>
              <w:t>Technological</w:t>
            </w:r>
          </w:p>
        </w:tc>
        <w:tc>
          <w:tcPr>
            <w:tcW w:w="0" w:type="auto"/>
            <w:hideMark/>
          </w:tcPr>
          <w:p w14:paraId="0FC36147"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Battery ecosystem lag</w:t>
            </w:r>
          </w:p>
        </w:tc>
        <w:tc>
          <w:tcPr>
            <w:tcW w:w="0" w:type="auto"/>
            <w:hideMark/>
          </w:tcPr>
          <w:p w14:paraId="5577A2E1"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EV transformation and localisation efforts</w:t>
            </w:r>
          </w:p>
        </w:tc>
        <w:tc>
          <w:tcPr>
            <w:tcW w:w="0" w:type="auto"/>
            <w:hideMark/>
          </w:tcPr>
          <w:p w14:paraId="69B07384" w14:textId="77777777" w:rsidR="00D5578A" w:rsidRPr="00B82BF1" w:rsidRDefault="00D5578A" w:rsidP="00B82B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2BF1">
              <w:rPr>
                <w:rFonts w:ascii="Arial" w:hAnsi="Arial" w:cs="Arial"/>
                <w:sz w:val="24"/>
                <w:szCs w:val="24"/>
              </w:rPr>
              <w:t>Long-term competitiveness determinant</w:t>
            </w:r>
          </w:p>
        </w:tc>
      </w:tr>
    </w:tbl>
    <w:p w14:paraId="429ADE92" w14:textId="352F5279" w:rsidR="00D5578A" w:rsidRPr="00B82BF1" w:rsidRDefault="00D5578A" w:rsidP="00B82BF1">
      <w:pPr>
        <w:spacing w:line="360" w:lineRule="auto"/>
        <w:jc w:val="both"/>
        <w:rPr>
          <w:rFonts w:ascii="Arial" w:hAnsi="Arial" w:cs="Arial"/>
          <w:sz w:val="24"/>
          <w:szCs w:val="24"/>
        </w:rPr>
      </w:pPr>
    </w:p>
    <w:p w14:paraId="4A594FDE" w14:textId="77777777" w:rsidR="00D5578A" w:rsidRPr="00B82BF1" w:rsidRDefault="00D5578A" w:rsidP="00B82BF1">
      <w:pPr>
        <w:pStyle w:val="Heading1"/>
      </w:pPr>
      <w:bookmarkStart w:id="18" w:name="_Toc222776320"/>
      <w:r w:rsidRPr="00B82BF1">
        <w:t>5. Conclusion</w:t>
      </w:r>
      <w:bookmarkEnd w:id="18"/>
    </w:p>
    <w:p w14:paraId="2C3D1983" w14:textId="5EE83036" w:rsidR="008652C0" w:rsidRPr="00B82BF1" w:rsidRDefault="008652C0" w:rsidP="00B82BF1">
      <w:pPr>
        <w:spacing w:line="360" w:lineRule="auto"/>
        <w:jc w:val="both"/>
        <w:rPr>
          <w:rFonts w:ascii="Arial" w:hAnsi="Arial" w:cs="Arial"/>
          <w:sz w:val="24"/>
          <w:szCs w:val="24"/>
        </w:rPr>
      </w:pPr>
      <w:r w:rsidRPr="00B82BF1">
        <w:rPr>
          <w:rFonts w:ascii="Arial" w:hAnsi="Arial" w:cs="Arial"/>
          <w:sz w:val="24"/>
          <w:szCs w:val="24"/>
        </w:rPr>
        <w:t xml:space="preserve">The automotive industry in the UK presents a combination of structural frailties and long-lasting competences. Developed engineering, institutional robustness and long-term government industry policy remain to support its competitiveness. However, the trade tensions that Brexit has triggered, the supply chain fragmentation, and relatively high energy prices have already eliminated the benefits that used to be </w:t>
      </w:r>
      <w:r w:rsidRPr="00B82BF1">
        <w:rPr>
          <w:rFonts w:ascii="Arial" w:hAnsi="Arial" w:cs="Arial"/>
          <w:sz w:val="24"/>
          <w:szCs w:val="24"/>
        </w:rPr>
        <w:lastRenderedPageBreak/>
        <w:t xml:space="preserve">enjoyed by default. The Diamond model created by Porter allows establishing that the conditions of factors and domestic demand are </w:t>
      </w:r>
      <w:proofErr w:type="spellStart"/>
      <w:r w:rsidRPr="00B82BF1">
        <w:rPr>
          <w:rFonts w:ascii="Arial" w:hAnsi="Arial" w:cs="Arial"/>
          <w:sz w:val="24"/>
          <w:szCs w:val="24"/>
        </w:rPr>
        <w:t>favorable</w:t>
      </w:r>
      <w:proofErr w:type="spellEnd"/>
      <w:r w:rsidRPr="00B82BF1">
        <w:rPr>
          <w:rFonts w:ascii="Arial" w:hAnsi="Arial" w:cs="Arial"/>
          <w:sz w:val="24"/>
          <w:szCs w:val="24"/>
        </w:rPr>
        <w:t>, but the supporting and related industries, especially battery production requires additional development. In addition, the nation-specific assumptions of the model fail to take note of the transnational nature of modern automotive value chains (Jackson, 2024).</w:t>
      </w:r>
    </w:p>
    <w:p w14:paraId="18D2D789" w14:textId="166C9F5F" w:rsidR="00D5578A" w:rsidRPr="00B82BF1" w:rsidRDefault="008652C0" w:rsidP="00B82BF1">
      <w:pPr>
        <w:spacing w:line="360" w:lineRule="auto"/>
        <w:jc w:val="both"/>
        <w:rPr>
          <w:rFonts w:ascii="Arial" w:hAnsi="Arial" w:cs="Arial"/>
          <w:sz w:val="24"/>
          <w:szCs w:val="24"/>
        </w:rPr>
      </w:pPr>
      <w:r w:rsidRPr="00B82BF1">
        <w:rPr>
          <w:rFonts w:ascii="Arial" w:hAnsi="Arial" w:cs="Arial"/>
          <w:sz w:val="24"/>
          <w:szCs w:val="24"/>
        </w:rPr>
        <w:t>To Nissan, the UK is a viable and increasingly conditional production site. Short term risks are smoothed out by political assurances, localisation efforts but long-term competitiveness is still tied to the alignment of regulations, integrating into EV ecosystems and the confidence to invest in the long term. Without such, inter-plant competition in Europe can lead to redistribution of production capacity in the future. Thus, the UK motorization market is comparatively competitive, but faces the structural challenge of the urgent need to increase the degree of industry integration and scale up electrification capacity to maintain long-term international relevance.</w:t>
      </w:r>
    </w:p>
    <w:p w14:paraId="5752836D" w14:textId="77777777" w:rsidR="00613A3B" w:rsidRPr="00B82BF1" w:rsidRDefault="00613A3B" w:rsidP="00B82BF1">
      <w:pPr>
        <w:spacing w:line="360" w:lineRule="auto"/>
        <w:jc w:val="both"/>
        <w:rPr>
          <w:rFonts w:ascii="Arial" w:hAnsi="Arial" w:cs="Arial"/>
          <w:sz w:val="24"/>
          <w:szCs w:val="24"/>
        </w:rPr>
      </w:pPr>
    </w:p>
    <w:p w14:paraId="02C2865C" w14:textId="77777777" w:rsidR="00613A3B" w:rsidRPr="00B82BF1" w:rsidRDefault="00613A3B" w:rsidP="00B82BF1">
      <w:pPr>
        <w:spacing w:line="360" w:lineRule="auto"/>
        <w:jc w:val="both"/>
        <w:rPr>
          <w:rFonts w:ascii="Arial" w:hAnsi="Arial" w:cs="Arial"/>
          <w:sz w:val="24"/>
          <w:szCs w:val="24"/>
        </w:rPr>
      </w:pPr>
    </w:p>
    <w:p w14:paraId="24698506" w14:textId="77777777" w:rsidR="00613A3B" w:rsidRDefault="00613A3B" w:rsidP="00B82BF1">
      <w:pPr>
        <w:spacing w:line="360" w:lineRule="auto"/>
        <w:jc w:val="both"/>
        <w:rPr>
          <w:rFonts w:ascii="Arial" w:hAnsi="Arial" w:cs="Arial"/>
          <w:sz w:val="24"/>
          <w:szCs w:val="24"/>
        </w:rPr>
      </w:pPr>
    </w:p>
    <w:p w14:paraId="28FD4955" w14:textId="77777777" w:rsidR="00B82BF1" w:rsidRDefault="00B82BF1" w:rsidP="00B82BF1">
      <w:pPr>
        <w:spacing w:line="360" w:lineRule="auto"/>
        <w:jc w:val="both"/>
        <w:rPr>
          <w:rFonts w:ascii="Arial" w:hAnsi="Arial" w:cs="Arial"/>
          <w:sz w:val="24"/>
          <w:szCs w:val="24"/>
        </w:rPr>
      </w:pPr>
    </w:p>
    <w:p w14:paraId="634D6118" w14:textId="77777777" w:rsidR="00B82BF1" w:rsidRPr="00B82BF1" w:rsidRDefault="00B82BF1" w:rsidP="00B82BF1">
      <w:pPr>
        <w:spacing w:line="360" w:lineRule="auto"/>
        <w:jc w:val="both"/>
        <w:rPr>
          <w:rFonts w:ascii="Arial" w:hAnsi="Arial" w:cs="Arial"/>
          <w:sz w:val="24"/>
          <w:szCs w:val="24"/>
        </w:rPr>
      </w:pPr>
    </w:p>
    <w:p w14:paraId="2F5523FE" w14:textId="77777777" w:rsidR="00613A3B" w:rsidRPr="00B82BF1" w:rsidRDefault="00613A3B" w:rsidP="00B82BF1">
      <w:pPr>
        <w:spacing w:line="360" w:lineRule="auto"/>
        <w:jc w:val="both"/>
        <w:rPr>
          <w:rFonts w:ascii="Arial" w:hAnsi="Arial" w:cs="Arial"/>
          <w:sz w:val="24"/>
          <w:szCs w:val="24"/>
        </w:rPr>
      </w:pPr>
    </w:p>
    <w:p w14:paraId="791013FC" w14:textId="58FCA22C" w:rsidR="00613A3B" w:rsidRPr="00B82BF1" w:rsidRDefault="00613A3B" w:rsidP="00B82BF1">
      <w:pPr>
        <w:pStyle w:val="Heading1"/>
      </w:pPr>
      <w:bookmarkStart w:id="19" w:name="_Toc222776321"/>
      <w:r w:rsidRPr="00B82BF1">
        <w:t>SECTION 2</w:t>
      </w:r>
      <w:r w:rsidR="00B82BF1">
        <w:t xml:space="preserve">: </w:t>
      </w:r>
      <w:r w:rsidRPr="00B82BF1">
        <w:t>Reflective Account (Gibbs’ Reflective Cycle)</w:t>
      </w:r>
      <w:bookmarkEnd w:id="19"/>
    </w:p>
    <w:p w14:paraId="1BC8553B" w14:textId="73D4AC86" w:rsidR="00613A3B" w:rsidRPr="00B82BF1" w:rsidRDefault="007B3767" w:rsidP="00B82BF1">
      <w:pPr>
        <w:spacing w:line="360" w:lineRule="auto"/>
        <w:jc w:val="both"/>
        <w:rPr>
          <w:rFonts w:ascii="Arial" w:hAnsi="Arial" w:cs="Arial"/>
          <w:sz w:val="24"/>
          <w:szCs w:val="24"/>
        </w:rPr>
      </w:pPr>
      <w:r w:rsidRPr="00B82BF1">
        <w:rPr>
          <w:rFonts w:ascii="Arial" w:hAnsi="Arial" w:cs="Arial"/>
          <w:sz w:val="24"/>
          <w:szCs w:val="24"/>
        </w:rPr>
        <w:t>A reflective narrative uses a reflective cycle introduced by Gibbs’ (1988) to reflect on the experience of conducting research, analysing, and producing the report on the UK automotive sector and the strategic position held by Nissan. The model proposes a systematic outline that makes it possible to investigate not only the taken actions, but also the gaining of knowledge during the execution of the assignment.</w:t>
      </w:r>
    </w:p>
    <w:p w14:paraId="6F7A6F34" w14:textId="77777777" w:rsidR="00613A3B" w:rsidRPr="00B82BF1" w:rsidRDefault="00613A3B" w:rsidP="00B82BF1">
      <w:pPr>
        <w:pStyle w:val="Heading1"/>
      </w:pPr>
      <w:bookmarkStart w:id="20" w:name="_Toc222776322"/>
      <w:r w:rsidRPr="00B82BF1">
        <w:t>1. Description</w:t>
      </w:r>
      <w:bookmarkEnd w:id="20"/>
    </w:p>
    <w:p w14:paraId="160DE7D1" w14:textId="21C1F6B8" w:rsidR="00613A3B" w:rsidRPr="00B82BF1" w:rsidRDefault="007B3767" w:rsidP="00B82BF1">
      <w:pPr>
        <w:spacing w:line="360" w:lineRule="auto"/>
        <w:jc w:val="both"/>
        <w:rPr>
          <w:rFonts w:ascii="Arial" w:hAnsi="Arial" w:cs="Arial"/>
          <w:sz w:val="24"/>
          <w:szCs w:val="24"/>
        </w:rPr>
      </w:pPr>
      <w:r w:rsidRPr="00B82BF1">
        <w:rPr>
          <w:rFonts w:ascii="Arial" w:hAnsi="Arial" w:cs="Arial"/>
          <w:sz w:val="24"/>
          <w:szCs w:val="24"/>
        </w:rPr>
        <w:t xml:space="preserve">This assignment required an intensive critical analysis of the automotive industry of the United Kingdom based on the Diamond framework proposed by Porter and the </w:t>
      </w:r>
      <w:r w:rsidRPr="00B82BF1">
        <w:rPr>
          <w:rFonts w:ascii="Arial" w:hAnsi="Arial" w:cs="Arial"/>
          <w:sz w:val="24"/>
          <w:szCs w:val="24"/>
        </w:rPr>
        <w:lastRenderedPageBreak/>
        <w:t>thorough investigation of the company activities of Nissan in the context of post-Brexit and electrification. The exercise also required a combination of academic theory and modern policy technologies, industry statistics, and MNC strategist approaches. The empirical research started with gathering of industry statistics and a systematic analysis of the available literature related to Brexit and supply chain perturbation. My focus on analysis, at first, was mainly on the trade realignment and customs implications. However, additional reading in the academic literature helped in shedding light on the fact that both electrification and battery localisation had the same status in long-term competitive advantage. As a result, the analytical direction has shifted away towards a narrow understanding of Brexit to a wider structural understanding of the value chains of the globe and industrial change.</w:t>
      </w:r>
    </w:p>
    <w:p w14:paraId="2E82FEF0" w14:textId="77777777" w:rsidR="00613A3B" w:rsidRPr="00B82BF1" w:rsidRDefault="00613A3B" w:rsidP="00B82BF1">
      <w:pPr>
        <w:pStyle w:val="Heading1"/>
      </w:pPr>
      <w:bookmarkStart w:id="21" w:name="_Toc222776323"/>
      <w:r w:rsidRPr="00B82BF1">
        <w:t>2. Feelings</w:t>
      </w:r>
      <w:bookmarkEnd w:id="21"/>
    </w:p>
    <w:p w14:paraId="03462D07" w14:textId="6CACF531" w:rsidR="00613A3B" w:rsidRPr="00B82BF1" w:rsidRDefault="007B3767" w:rsidP="00B82BF1">
      <w:pPr>
        <w:spacing w:line="360" w:lineRule="auto"/>
        <w:jc w:val="both"/>
        <w:rPr>
          <w:rFonts w:ascii="Arial" w:hAnsi="Arial" w:cs="Arial"/>
          <w:sz w:val="24"/>
          <w:szCs w:val="24"/>
        </w:rPr>
      </w:pPr>
      <w:r w:rsidRPr="00B82BF1">
        <w:rPr>
          <w:rFonts w:ascii="Arial" w:hAnsi="Arial" w:cs="Arial"/>
          <w:sz w:val="24"/>
          <w:szCs w:val="24"/>
        </w:rPr>
        <w:t>I initially had moderate confidence about tackling the trade policy but was less certain about the subject of analysing electric vehicle (EV) ecosystems and supply chain resilience. The synthesization of political, economic, and technological dimensions became initially seeming to be so complicated. This made me have some reservations that my analysis would degenerate into description and not a critical inquiry. As the study further unfolded, I started to understand that there are patterns which are interconnected and they include trade architecture, regulatory congruence and supply-chain arrangement. This appreciation has increased my confidence on synthesizing various literature streams. However, I also learnt the importance of the difficulty of forming a critical balance when assessing politically delicate issues, including Brexit. It required a purposeful attempt to maintain analytical punctuality, avoiding normative prejudice.</w:t>
      </w:r>
    </w:p>
    <w:p w14:paraId="363A1952" w14:textId="77777777" w:rsidR="00613A3B" w:rsidRPr="00B82BF1" w:rsidRDefault="00613A3B" w:rsidP="00B82BF1">
      <w:pPr>
        <w:pStyle w:val="Heading1"/>
      </w:pPr>
      <w:bookmarkStart w:id="22" w:name="_Toc222776324"/>
      <w:r w:rsidRPr="00B82BF1">
        <w:t>3. Evaluation</w:t>
      </w:r>
      <w:bookmarkEnd w:id="22"/>
    </w:p>
    <w:p w14:paraId="5FF41078" w14:textId="142B6D00" w:rsidR="009D28E7" w:rsidRPr="00B82BF1" w:rsidRDefault="009D28E7" w:rsidP="00B82BF1">
      <w:pPr>
        <w:spacing w:line="360" w:lineRule="auto"/>
        <w:jc w:val="both"/>
        <w:rPr>
          <w:rFonts w:ascii="Arial" w:hAnsi="Arial" w:cs="Arial"/>
          <w:sz w:val="24"/>
          <w:szCs w:val="24"/>
        </w:rPr>
      </w:pPr>
      <w:r w:rsidRPr="00B82BF1">
        <w:rPr>
          <w:rFonts w:ascii="Arial" w:hAnsi="Arial" w:cs="Arial"/>
          <w:sz w:val="24"/>
          <w:szCs w:val="24"/>
        </w:rPr>
        <w:t xml:space="preserve">A notable strength of the used methodology was a deliberate combination of academic literature and business reporting. As opposed to a dependency on descriptive information, the analysis attempted to determine the effects of structural changes on multinational strategic decision-making. Porter Diamond framework helped to systematically </w:t>
      </w:r>
      <w:r w:rsidR="00B82BF1" w:rsidRPr="00B82BF1">
        <w:rPr>
          <w:rFonts w:ascii="Arial" w:hAnsi="Arial" w:cs="Arial"/>
          <w:sz w:val="24"/>
          <w:szCs w:val="24"/>
        </w:rPr>
        <w:t>analyse</w:t>
      </w:r>
      <w:r w:rsidRPr="00B82BF1">
        <w:rPr>
          <w:rFonts w:ascii="Arial" w:hAnsi="Arial" w:cs="Arial"/>
          <w:sz w:val="24"/>
          <w:szCs w:val="24"/>
        </w:rPr>
        <w:t xml:space="preserve"> the national competitiveness, and the integration of supply chain scholarship was used to analyse the firm-level in a more fine-tuned </w:t>
      </w:r>
      <w:r w:rsidRPr="00B82BF1">
        <w:rPr>
          <w:rFonts w:ascii="Arial" w:hAnsi="Arial" w:cs="Arial"/>
          <w:sz w:val="24"/>
          <w:szCs w:val="24"/>
        </w:rPr>
        <w:lastRenderedPageBreak/>
        <w:t xml:space="preserve">perspective. Another benefit came out of the initial awareness that a superficial PESTLE analysis would not be needed to pass the postgraduate test. </w:t>
      </w:r>
    </w:p>
    <w:p w14:paraId="39E818B1" w14:textId="19154490" w:rsidR="00613A3B" w:rsidRPr="00B82BF1" w:rsidRDefault="009D28E7" w:rsidP="00B82BF1">
      <w:pPr>
        <w:spacing w:line="360" w:lineRule="auto"/>
        <w:jc w:val="both"/>
        <w:rPr>
          <w:rFonts w:ascii="Arial" w:hAnsi="Arial" w:cs="Arial"/>
          <w:sz w:val="24"/>
          <w:szCs w:val="24"/>
        </w:rPr>
      </w:pPr>
      <w:r w:rsidRPr="00B82BF1">
        <w:rPr>
          <w:rFonts w:ascii="Arial" w:hAnsi="Arial" w:cs="Arial"/>
          <w:sz w:val="24"/>
          <w:szCs w:val="24"/>
        </w:rPr>
        <w:t>Therefore, the analytical focus changed, turning into the comparative evaluation of the location parameter and the long-term investment sustainability. However, there was one significant weakness in the approach as it relied on secondary data. Although the academic sources provided theoretical foundations, the swift change in the digit of modern industry events made such information less topical. Some of the industry reports had implicit stakeholder perspectives that required a thorough critical evaluation. Also, it was challenging to find a balance between the theoretical criticism of the Porters model and a practicability of the model.</w:t>
      </w:r>
    </w:p>
    <w:p w14:paraId="18080483" w14:textId="77777777" w:rsidR="00613A3B" w:rsidRPr="00B82BF1" w:rsidRDefault="00613A3B" w:rsidP="00B82BF1">
      <w:pPr>
        <w:pStyle w:val="Heading1"/>
      </w:pPr>
      <w:bookmarkStart w:id="23" w:name="_Toc222776325"/>
      <w:r w:rsidRPr="00B82BF1">
        <w:t>4. Analysis</w:t>
      </w:r>
      <w:bookmarkEnd w:id="23"/>
    </w:p>
    <w:p w14:paraId="0B0CE56F" w14:textId="0C994432" w:rsidR="00E84B4F" w:rsidRPr="00B82BF1" w:rsidRDefault="00E84B4F" w:rsidP="00B82BF1">
      <w:pPr>
        <w:spacing w:line="360" w:lineRule="auto"/>
        <w:jc w:val="both"/>
        <w:rPr>
          <w:rFonts w:ascii="Arial" w:hAnsi="Arial" w:cs="Arial"/>
          <w:sz w:val="24"/>
          <w:szCs w:val="24"/>
        </w:rPr>
      </w:pPr>
      <w:r w:rsidRPr="00B82BF1">
        <w:rPr>
          <w:rFonts w:ascii="Arial" w:hAnsi="Arial" w:cs="Arial"/>
          <w:sz w:val="24"/>
          <w:szCs w:val="24"/>
        </w:rPr>
        <w:t>The given assignment has greatly enriched my understanding of the concept of international business strategy as a system-level phenomenon that is dynamic. Before conducting this study, I would have partially defined competitiveness in terms of cost and productivity indicators. Knowledge on competitiveness Interaction with scholarly literature displayed that competitiveness is integrated in transnational production networks and institutional structures. The shift to EVs more than just points to the role of technological evolution in restructuring value chains, but not in upgrading the already existing production systems. The home-country production of batteries, compliance with regulations, and supply-chain resiliency have become essential structural factors of the subsequent competitiveness. This has forced my analytical prism to look outside the normal bounds of the trade-economics paradigm into the broader recognition of industrial ecosystems.</w:t>
      </w:r>
    </w:p>
    <w:p w14:paraId="026444D9" w14:textId="147A57AE" w:rsidR="00613A3B" w:rsidRPr="00B82BF1" w:rsidRDefault="00E84B4F" w:rsidP="00B82BF1">
      <w:pPr>
        <w:spacing w:line="360" w:lineRule="auto"/>
        <w:jc w:val="both"/>
        <w:rPr>
          <w:rFonts w:ascii="Arial" w:hAnsi="Arial" w:cs="Arial"/>
          <w:sz w:val="24"/>
          <w:szCs w:val="24"/>
        </w:rPr>
      </w:pPr>
      <w:r w:rsidRPr="00B82BF1">
        <w:rPr>
          <w:rFonts w:ascii="Arial" w:hAnsi="Arial" w:cs="Arial"/>
          <w:sz w:val="24"/>
          <w:szCs w:val="24"/>
        </w:rPr>
        <w:t xml:space="preserve">The use of the Gibbs’ (1988) framework helped me to conduct a deeper self-assessment as opposed to a simple descriptive account. It has made me critically evaluate the development of my approach to analysis and identify very particular aspects in which improvement is required. The acknowledgement that the university level academic work demands integration of different dimensions, as opposed to their individual study, was a major intellectual achievement. Further, the assessment of the Nissan strategic position increased my knowledge of the rationality behind multinational decision-making. The decision to invest in any area is rarely based on </w:t>
      </w:r>
      <w:r w:rsidRPr="00B82BF1">
        <w:rPr>
          <w:rFonts w:ascii="Arial" w:hAnsi="Arial" w:cs="Arial"/>
          <w:sz w:val="24"/>
          <w:szCs w:val="24"/>
        </w:rPr>
        <w:lastRenderedPageBreak/>
        <w:t>individual factors but rather, the decisions are based on a comparative evaluation of a number of jurisdictions. This observation can be directly applied in workplace situations of either international growth or policy analysis.</w:t>
      </w:r>
    </w:p>
    <w:p w14:paraId="5BB1FB4B" w14:textId="77777777" w:rsidR="00613A3B" w:rsidRPr="00B82BF1" w:rsidRDefault="00613A3B" w:rsidP="00B82BF1">
      <w:pPr>
        <w:pStyle w:val="Heading1"/>
      </w:pPr>
      <w:bookmarkStart w:id="24" w:name="_Toc222776326"/>
      <w:r w:rsidRPr="00B82BF1">
        <w:t>5. Conclusion</w:t>
      </w:r>
      <w:bookmarkEnd w:id="24"/>
    </w:p>
    <w:p w14:paraId="3172B1FF" w14:textId="25656F10" w:rsidR="00613A3B" w:rsidRPr="00B82BF1" w:rsidRDefault="009D28E7" w:rsidP="00B82BF1">
      <w:pPr>
        <w:spacing w:line="360" w:lineRule="auto"/>
        <w:jc w:val="both"/>
        <w:rPr>
          <w:rFonts w:ascii="Arial" w:hAnsi="Arial" w:cs="Arial"/>
          <w:sz w:val="24"/>
          <w:szCs w:val="24"/>
        </w:rPr>
      </w:pPr>
      <w:r w:rsidRPr="00B82BF1">
        <w:rPr>
          <w:rFonts w:ascii="Arial" w:hAnsi="Arial" w:cs="Arial"/>
          <w:sz w:val="24"/>
          <w:szCs w:val="24"/>
        </w:rPr>
        <w:t xml:space="preserve">Altogether, this assignment contributed greatly to my ability to critically put theoretical frameworks into practice and synthesize complex economic and institutional variables. It also developed greater confidence when assessing multinational strategies in uncertain trading conditions. </w:t>
      </w:r>
      <w:r w:rsidR="00C87D50" w:rsidRPr="00C87D50">
        <w:rPr>
          <w:rFonts w:ascii="Arial" w:hAnsi="Arial" w:cs="Arial"/>
          <w:sz w:val="24"/>
          <w:szCs w:val="24"/>
        </w:rPr>
        <w:t>Also</w:t>
      </w:r>
      <w:r w:rsidRPr="00B82BF1">
        <w:rPr>
          <w:rFonts w:ascii="Arial" w:hAnsi="Arial" w:cs="Arial"/>
          <w:sz w:val="24"/>
          <w:szCs w:val="24"/>
        </w:rPr>
        <w:t xml:space="preserve">, in addition to the fact that it brought into the limelight the need to maintain analytical neutrality when considering politically delicate problems. The problems on how to incorporate different streams of literature were experiences but they helped me to develop my academic maturity and practice my ability to build organized and </w:t>
      </w:r>
      <w:r w:rsidR="00B82BF1" w:rsidRPr="00B82BF1">
        <w:rPr>
          <w:rFonts w:ascii="Arial" w:hAnsi="Arial" w:cs="Arial"/>
          <w:sz w:val="24"/>
          <w:szCs w:val="24"/>
        </w:rPr>
        <w:t>evidence-based</w:t>
      </w:r>
      <w:r w:rsidRPr="00B82BF1">
        <w:rPr>
          <w:rFonts w:ascii="Arial" w:hAnsi="Arial" w:cs="Arial"/>
          <w:sz w:val="24"/>
          <w:szCs w:val="24"/>
        </w:rPr>
        <w:t xml:space="preserve"> arguments.</w:t>
      </w:r>
    </w:p>
    <w:p w14:paraId="1823426E" w14:textId="77777777" w:rsidR="00613A3B" w:rsidRPr="00B82BF1" w:rsidRDefault="00613A3B" w:rsidP="00B82BF1">
      <w:pPr>
        <w:pStyle w:val="Heading1"/>
      </w:pPr>
      <w:bookmarkStart w:id="25" w:name="_Toc222776327"/>
      <w:r w:rsidRPr="00B82BF1">
        <w:t>6. Action Plan</w:t>
      </w:r>
      <w:bookmarkEnd w:id="25"/>
    </w:p>
    <w:p w14:paraId="62CF6367" w14:textId="0765A893" w:rsidR="009D28E7" w:rsidRPr="00B82BF1" w:rsidRDefault="009D28E7" w:rsidP="00B82BF1">
      <w:pPr>
        <w:spacing w:line="360" w:lineRule="auto"/>
        <w:jc w:val="both"/>
        <w:rPr>
          <w:rFonts w:ascii="Arial" w:hAnsi="Arial" w:cs="Arial"/>
          <w:sz w:val="24"/>
          <w:szCs w:val="24"/>
        </w:rPr>
      </w:pPr>
      <w:r w:rsidRPr="00B82BF1">
        <w:rPr>
          <w:rFonts w:ascii="Arial" w:hAnsi="Arial" w:cs="Arial"/>
          <w:sz w:val="24"/>
          <w:szCs w:val="24"/>
        </w:rPr>
        <w:t>To ensure that I continue to build my analytical skills, I would like to involve myself in the theory of global value chain, as well as the quantitative measures of competitiveness even more. In future research, I will dedicate additional time in initial critique analysis instead of working on descriptive research. Within the professional sphere I hope to deepen my knowledge on industrial policy and investment analysis especially in such areas that are making technological changes. The competencies gained during this assignment, such as structured evaluation, comparative analysis, and critical synthesis, will also make me more effective in the international business setting, which is challenging and requires operating in complex situations.</w:t>
      </w:r>
    </w:p>
    <w:p w14:paraId="2DCA9DE6" w14:textId="77777777" w:rsidR="00613A3B" w:rsidRPr="00B82BF1" w:rsidRDefault="00613A3B" w:rsidP="00B82BF1">
      <w:pPr>
        <w:spacing w:line="360" w:lineRule="auto"/>
        <w:jc w:val="both"/>
        <w:rPr>
          <w:rFonts w:ascii="Arial" w:hAnsi="Arial" w:cs="Arial"/>
          <w:sz w:val="24"/>
          <w:szCs w:val="24"/>
        </w:rPr>
      </w:pPr>
    </w:p>
    <w:p w14:paraId="02B5D1D2" w14:textId="77777777" w:rsidR="002878CB" w:rsidRPr="00B82BF1" w:rsidRDefault="002878CB" w:rsidP="00B82BF1">
      <w:pPr>
        <w:spacing w:line="360" w:lineRule="auto"/>
        <w:jc w:val="both"/>
        <w:rPr>
          <w:rFonts w:ascii="Arial" w:hAnsi="Arial" w:cs="Arial"/>
          <w:sz w:val="24"/>
          <w:szCs w:val="24"/>
        </w:rPr>
      </w:pPr>
    </w:p>
    <w:p w14:paraId="50DD08F3" w14:textId="77777777" w:rsidR="002878CB" w:rsidRPr="00B82BF1" w:rsidRDefault="002878CB" w:rsidP="00B82BF1">
      <w:pPr>
        <w:spacing w:line="360" w:lineRule="auto"/>
        <w:jc w:val="both"/>
        <w:rPr>
          <w:rFonts w:ascii="Arial" w:hAnsi="Arial" w:cs="Arial"/>
          <w:sz w:val="24"/>
          <w:szCs w:val="24"/>
        </w:rPr>
      </w:pPr>
    </w:p>
    <w:p w14:paraId="71D29D70" w14:textId="77777777" w:rsidR="002878CB" w:rsidRPr="00B82BF1" w:rsidRDefault="002878CB" w:rsidP="00B82BF1">
      <w:pPr>
        <w:spacing w:line="360" w:lineRule="auto"/>
        <w:jc w:val="both"/>
        <w:rPr>
          <w:rFonts w:ascii="Arial" w:hAnsi="Arial" w:cs="Arial"/>
          <w:sz w:val="24"/>
          <w:szCs w:val="24"/>
        </w:rPr>
      </w:pPr>
    </w:p>
    <w:p w14:paraId="5CA1300F" w14:textId="77777777" w:rsidR="002878CB" w:rsidRPr="00B82BF1" w:rsidRDefault="002878CB" w:rsidP="00B82BF1">
      <w:pPr>
        <w:spacing w:line="360" w:lineRule="auto"/>
        <w:jc w:val="both"/>
        <w:rPr>
          <w:rFonts w:ascii="Arial" w:hAnsi="Arial" w:cs="Arial"/>
          <w:sz w:val="24"/>
          <w:szCs w:val="24"/>
        </w:rPr>
      </w:pPr>
    </w:p>
    <w:p w14:paraId="58CF55B5" w14:textId="77777777" w:rsidR="002878CB" w:rsidRPr="00B82BF1" w:rsidRDefault="002878CB" w:rsidP="00B82BF1">
      <w:pPr>
        <w:spacing w:line="360" w:lineRule="auto"/>
        <w:jc w:val="both"/>
        <w:rPr>
          <w:rFonts w:ascii="Arial" w:hAnsi="Arial" w:cs="Arial"/>
          <w:sz w:val="24"/>
          <w:szCs w:val="24"/>
        </w:rPr>
      </w:pPr>
    </w:p>
    <w:p w14:paraId="09159838" w14:textId="77777777" w:rsidR="002878CB" w:rsidRPr="00B82BF1" w:rsidRDefault="002878CB" w:rsidP="00B82BF1">
      <w:pPr>
        <w:pStyle w:val="Heading1"/>
      </w:pPr>
      <w:bookmarkStart w:id="26" w:name="_Toc222776328"/>
      <w:r w:rsidRPr="00B82BF1">
        <w:lastRenderedPageBreak/>
        <w:t>References</w:t>
      </w:r>
      <w:bookmarkEnd w:id="26"/>
    </w:p>
    <w:p w14:paraId="1678C097"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Bailey, D. and De </w:t>
      </w:r>
      <w:proofErr w:type="spellStart"/>
      <w:r w:rsidRPr="006522FF">
        <w:rPr>
          <w:rFonts w:ascii="Arial" w:hAnsi="Arial" w:cs="Arial"/>
          <w:sz w:val="24"/>
          <w:szCs w:val="24"/>
        </w:rPr>
        <w:t>Propris</w:t>
      </w:r>
      <w:proofErr w:type="spellEnd"/>
      <w:r w:rsidRPr="006522FF">
        <w:rPr>
          <w:rFonts w:ascii="Arial" w:hAnsi="Arial" w:cs="Arial"/>
          <w:sz w:val="24"/>
          <w:szCs w:val="24"/>
        </w:rPr>
        <w:t xml:space="preserve">, L. (2017) ‘Brexit and the UK automotive industry’, </w:t>
      </w:r>
      <w:r w:rsidRPr="006522FF">
        <w:rPr>
          <w:rFonts w:ascii="Arial" w:hAnsi="Arial" w:cs="Arial"/>
          <w:i/>
          <w:iCs/>
          <w:sz w:val="24"/>
          <w:szCs w:val="24"/>
        </w:rPr>
        <w:t>National Institute Economic Review</w:t>
      </w:r>
      <w:r w:rsidRPr="006522FF">
        <w:rPr>
          <w:rFonts w:ascii="Arial" w:hAnsi="Arial" w:cs="Arial"/>
          <w:sz w:val="24"/>
          <w:szCs w:val="24"/>
        </w:rPr>
        <w:t>, 242(1), pp. R51–R59.</w:t>
      </w:r>
    </w:p>
    <w:p w14:paraId="31812112"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Commons Library (2025) </w:t>
      </w:r>
      <w:r w:rsidRPr="006522FF">
        <w:rPr>
          <w:rFonts w:ascii="Arial" w:hAnsi="Arial" w:cs="Arial"/>
          <w:i/>
          <w:iCs/>
          <w:sz w:val="24"/>
          <w:szCs w:val="24"/>
        </w:rPr>
        <w:t>UK automotive industry and trade arrangements</w:t>
      </w:r>
      <w:r w:rsidRPr="006522FF">
        <w:rPr>
          <w:rFonts w:ascii="Arial" w:hAnsi="Arial" w:cs="Arial"/>
          <w:sz w:val="24"/>
          <w:szCs w:val="24"/>
        </w:rPr>
        <w:t xml:space="preserve">. London: UK Parliament. Available at: </w:t>
      </w:r>
      <w:hyperlink r:id="rId9" w:tgtFrame="_new" w:history="1">
        <w:r w:rsidRPr="006522FF">
          <w:rPr>
            <w:rStyle w:val="Hyperlink"/>
            <w:rFonts w:ascii="Arial" w:hAnsi="Arial" w:cs="Arial"/>
            <w:sz w:val="24"/>
            <w:szCs w:val="24"/>
          </w:rPr>
          <w:t>https://commonslibrary.parliament.uk/</w:t>
        </w:r>
      </w:hyperlink>
      <w:r w:rsidRPr="006522FF">
        <w:rPr>
          <w:rFonts w:ascii="Arial" w:hAnsi="Arial" w:cs="Arial"/>
          <w:sz w:val="24"/>
          <w:szCs w:val="24"/>
        </w:rPr>
        <w:t xml:space="preserve"> (Accessed: February 2026).</w:t>
      </w:r>
    </w:p>
    <w:p w14:paraId="41DE7C91"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Costa, R. (2024) ‘Trade, exchange rate volatility and competitiveness in post-Brexit manufacturing’, </w:t>
      </w:r>
      <w:r w:rsidRPr="006522FF">
        <w:rPr>
          <w:rFonts w:ascii="Arial" w:hAnsi="Arial" w:cs="Arial"/>
          <w:i/>
          <w:iCs/>
          <w:sz w:val="24"/>
          <w:szCs w:val="24"/>
        </w:rPr>
        <w:t>International Journal of Transport Economics</w:t>
      </w:r>
      <w:r w:rsidRPr="006522FF">
        <w:rPr>
          <w:rFonts w:ascii="Arial" w:hAnsi="Arial" w:cs="Arial"/>
          <w:sz w:val="24"/>
          <w:szCs w:val="24"/>
        </w:rPr>
        <w:t>, 51(2), pp. 155–173.</w:t>
      </w:r>
    </w:p>
    <w:p w14:paraId="0F5D9607" w14:textId="77777777" w:rsidR="006522FF" w:rsidRPr="006522FF" w:rsidRDefault="006522FF" w:rsidP="006522FF">
      <w:pPr>
        <w:spacing w:line="360" w:lineRule="auto"/>
        <w:jc w:val="both"/>
        <w:rPr>
          <w:rFonts w:ascii="Arial" w:hAnsi="Arial" w:cs="Arial"/>
          <w:sz w:val="24"/>
          <w:szCs w:val="24"/>
        </w:rPr>
      </w:pPr>
      <w:proofErr w:type="spellStart"/>
      <w:r w:rsidRPr="006522FF">
        <w:rPr>
          <w:rFonts w:ascii="Arial" w:hAnsi="Arial" w:cs="Arial"/>
          <w:sz w:val="24"/>
          <w:szCs w:val="24"/>
        </w:rPr>
        <w:t>Cresti</w:t>
      </w:r>
      <w:proofErr w:type="spellEnd"/>
      <w:r w:rsidRPr="006522FF">
        <w:rPr>
          <w:rFonts w:ascii="Arial" w:hAnsi="Arial" w:cs="Arial"/>
          <w:sz w:val="24"/>
          <w:szCs w:val="24"/>
        </w:rPr>
        <w:t xml:space="preserve">, L., Mazzilli, D., </w:t>
      </w:r>
      <w:proofErr w:type="spellStart"/>
      <w:r w:rsidRPr="006522FF">
        <w:rPr>
          <w:rFonts w:ascii="Arial" w:hAnsi="Arial" w:cs="Arial"/>
          <w:sz w:val="24"/>
          <w:szCs w:val="24"/>
        </w:rPr>
        <w:t>Patelli</w:t>
      </w:r>
      <w:proofErr w:type="spellEnd"/>
      <w:r w:rsidRPr="006522FF">
        <w:rPr>
          <w:rFonts w:ascii="Arial" w:hAnsi="Arial" w:cs="Arial"/>
          <w:sz w:val="24"/>
          <w:szCs w:val="24"/>
        </w:rPr>
        <w:t xml:space="preserve">, A., Sbardella, A. and </w:t>
      </w:r>
      <w:proofErr w:type="spellStart"/>
      <w:r w:rsidRPr="006522FF">
        <w:rPr>
          <w:rFonts w:ascii="Arial" w:hAnsi="Arial" w:cs="Arial"/>
          <w:sz w:val="24"/>
          <w:szCs w:val="24"/>
        </w:rPr>
        <w:t>Tacchella</w:t>
      </w:r>
      <w:proofErr w:type="spellEnd"/>
      <w:r w:rsidRPr="006522FF">
        <w:rPr>
          <w:rFonts w:ascii="Arial" w:hAnsi="Arial" w:cs="Arial"/>
          <w:sz w:val="24"/>
          <w:szCs w:val="24"/>
        </w:rPr>
        <w:t xml:space="preserve">, A. (2025) ‘Vulnerabilities and capabilities in the EU automotive industry’, </w:t>
      </w:r>
      <w:proofErr w:type="spellStart"/>
      <w:r w:rsidRPr="006522FF">
        <w:rPr>
          <w:rFonts w:ascii="Arial" w:hAnsi="Arial" w:cs="Arial"/>
          <w:i/>
          <w:iCs/>
          <w:sz w:val="24"/>
          <w:szCs w:val="24"/>
        </w:rPr>
        <w:t>arXiv</w:t>
      </w:r>
      <w:proofErr w:type="spellEnd"/>
      <w:r w:rsidRPr="006522FF">
        <w:rPr>
          <w:rFonts w:ascii="Arial" w:hAnsi="Arial" w:cs="Arial"/>
          <w:i/>
          <w:iCs/>
          <w:sz w:val="24"/>
          <w:szCs w:val="24"/>
        </w:rPr>
        <w:t xml:space="preserve"> preprint</w:t>
      </w:r>
      <w:r w:rsidRPr="006522FF">
        <w:rPr>
          <w:rFonts w:ascii="Arial" w:hAnsi="Arial" w:cs="Arial"/>
          <w:sz w:val="24"/>
          <w:szCs w:val="24"/>
        </w:rPr>
        <w:t>.</w:t>
      </w:r>
    </w:p>
    <w:p w14:paraId="14514BBC"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Deloitte (2024) </w:t>
      </w:r>
      <w:r w:rsidRPr="006522FF">
        <w:rPr>
          <w:rFonts w:ascii="Arial" w:hAnsi="Arial" w:cs="Arial"/>
          <w:i/>
          <w:iCs/>
          <w:sz w:val="24"/>
          <w:szCs w:val="24"/>
        </w:rPr>
        <w:t>Electric vehicle transformation and industry impact</w:t>
      </w:r>
      <w:r w:rsidRPr="006522FF">
        <w:rPr>
          <w:rFonts w:ascii="Arial" w:hAnsi="Arial" w:cs="Arial"/>
          <w:sz w:val="24"/>
          <w:szCs w:val="24"/>
        </w:rPr>
        <w:t xml:space="preserve">. Available at: </w:t>
      </w:r>
      <w:hyperlink r:id="rId10" w:tgtFrame="_new" w:history="1">
        <w:r w:rsidRPr="006522FF">
          <w:rPr>
            <w:rStyle w:val="Hyperlink"/>
            <w:rFonts w:ascii="Arial" w:hAnsi="Arial" w:cs="Arial"/>
            <w:sz w:val="24"/>
            <w:szCs w:val="24"/>
          </w:rPr>
          <w:t>https://www2.deloitte.com</w:t>
        </w:r>
      </w:hyperlink>
    </w:p>
    <w:p w14:paraId="0DD31FD3"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de Ruyter, A. (2024) ‘A just transition for workers in the automotive sector’, </w:t>
      </w:r>
      <w:r w:rsidRPr="006522FF">
        <w:rPr>
          <w:rFonts w:ascii="Arial" w:hAnsi="Arial" w:cs="Arial"/>
          <w:i/>
          <w:iCs/>
          <w:sz w:val="24"/>
          <w:szCs w:val="24"/>
        </w:rPr>
        <w:t>Work, Employment and Society</w:t>
      </w:r>
      <w:r w:rsidRPr="006522FF">
        <w:rPr>
          <w:rFonts w:ascii="Arial" w:hAnsi="Arial" w:cs="Arial"/>
          <w:sz w:val="24"/>
          <w:szCs w:val="24"/>
        </w:rPr>
        <w:t>, 38(4), pp. 765–782.</w:t>
      </w:r>
    </w:p>
    <w:p w14:paraId="7778A1CA" w14:textId="77777777" w:rsidR="006522FF" w:rsidRPr="006522FF" w:rsidRDefault="006522FF" w:rsidP="006522FF">
      <w:pPr>
        <w:spacing w:line="360" w:lineRule="auto"/>
        <w:jc w:val="both"/>
        <w:rPr>
          <w:rFonts w:ascii="Arial" w:hAnsi="Arial" w:cs="Arial"/>
          <w:sz w:val="24"/>
          <w:szCs w:val="24"/>
        </w:rPr>
      </w:pPr>
      <w:proofErr w:type="spellStart"/>
      <w:r w:rsidRPr="006522FF">
        <w:rPr>
          <w:rFonts w:ascii="Arial" w:hAnsi="Arial" w:cs="Arial"/>
          <w:sz w:val="24"/>
          <w:szCs w:val="24"/>
        </w:rPr>
        <w:t>Escaith</w:t>
      </w:r>
      <w:proofErr w:type="spellEnd"/>
      <w:r w:rsidRPr="006522FF">
        <w:rPr>
          <w:rFonts w:ascii="Arial" w:hAnsi="Arial" w:cs="Arial"/>
          <w:sz w:val="24"/>
          <w:szCs w:val="24"/>
        </w:rPr>
        <w:t xml:space="preserve">, H., Khorana, S. and Kerr, W.A. (2020) ‘The hidden cost of supply chain disruptions: The case of the UK automotive sector’, </w:t>
      </w:r>
      <w:proofErr w:type="spellStart"/>
      <w:r w:rsidRPr="006522FF">
        <w:rPr>
          <w:rFonts w:ascii="Arial" w:hAnsi="Arial" w:cs="Arial"/>
          <w:i/>
          <w:iCs/>
          <w:sz w:val="24"/>
          <w:szCs w:val="24"/>
        </w:rPr>
        <w:t>SocioEconomic</w:t>
      </w:r>
      <w:proofErr w:type="spellEnd"/>
      <w:r w:rsidRPr="006522FF">
        <w:rPr>
          <w:rFonts w:ascii="Arial" w:hAnsi="Arial" w:cs="Arial"/>
          <w:i/>
          <w:iCs/>
          <w:sz w:val="24"/>
          <w:szCs w:val="24"/>
        </w:rPr>
        <w:t xml:space="preserve"> Challenges</w:t>
      </w:r>
      <w:r w:rsidRPr="006522FF">
        <w:rPr>
          <w:rFonts w:ascii="Arial" w:hAnsi="Arial" w:cs="Arial"/>
          <w:sz w:val="24"/>
          <w:szCs w:val="24"/>
        </w:rPr>
        <w:t>, 4(3), pp. 5–19.</w:t>
      </w:r>
    </w:p>
    <w:p w14:paraId="69E3AECD"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Gibbs, G. (1988) </w:t>
      </w:r>
      <w:r w:rsidRPr="006522FF">
        <w:rPr>
          <w:rFonts w:ascii="Arial" w:hAnsi="Arial" w:cs="Arial"/>
          <w:i/>
          <w:iCs/>
          <w:sz w:val="24"/>
          <w:szCs w:val="24"/>
        </w:rPr>
        <w:t>Learning by Doing: A Guide to Teaching and Learning Methods</w:t>
      </w:r>
      <w:r w:rsidRPr="006522FF">
        <w:rPr>
          <w:rFonts w:ascii="Arial" w:hAnsi="Arial" w:cs="Arial"/>
          <w:sz w:val="24"/>
          <w:szCs w:val="24"/>
        </w:rPr>
        <w:t>. Oxford: Oxford Polytechnic.</w:t>
      </w:r>
    </w:p>
    <w:p w14:paraId="5EB5E861"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Huang, K. (2023) ‘Automotive supply chain disruption risk management’, </w:t>
      </w:r>
      <w:r w:rsidRPr="006522FF">
        <w:rPr>
          <w:rFonts w:ascii="Arial" w:hAnsi="Arial" w:cs="Arial"/>
          <w:i/>
          <w:iCs/>
          <w:sz w:val="24"/>
          <w:szCs w:val="24"/>
        </w:rPr>
        <w:t>Processes</w:t>
      </w:r>
      <w:r w:rsidRPr="006522FF">
        <w:rPr>
          <w:rFonts w:ascii="Arial" w:hAnsi="Arial" w:cs="Arial"/>
          <w:sz w:val="24"/>
          <w:szCs w:val="24"/>
        </w:rPr>
        <w:t>, 11(3), pp. 710–725.</w:t>
      </w:r>
    </w:p>
    <w:p w14:paraId="03A0BF63"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International Energy Agency (IEA) (2024) </w:t>
      </w:r>
      <w:r w:rsidRPr="006522FF">
        <w:rPr>
          <w:rFonts w:ascii="Arial" w:hAnsi="Arial" w:cs="Arial"/>
          <w:i/>
          <w:iCs/>
          <w:sz w:val="24"/>
          <w:szCs w:val="24"/>
        </w:rPr>
        <w:t>Global EV Outlook 2024</w:t>
      </w:r>
      <w:r w:rsidRPr="006522FF">
        <w:rPr>
          <w:rFonts w:ascii="Arial" w:hAnsi="Arial" w:cs="Arial"/>
          <w:sz w:val="24"/>
          <w:szCs w:val="24"/>
        </w:rPr>
        <w:t xml:space="preserve">. Available at: </w:t>
      </w:r>
      <w:hyperlink r:id="rId11" w:tgtFrame="_new" w:history="1">
        <w:r w:rsidRPr="006522FF">
          <w:rPr>
            <w:rStyle w:val="Hyperlink"/>
            <w:rFonts w:ascii="Arial" w:hAnsi="Arial" w:cs="Arial"/>
            <w:sz w:val="24"/>
            <w:szCs w:val="24"/>
          </w:rPr>
          <w:t>https://www.iea.org/reports/global-ev-outlook-2024</w:t>
        </w:r>
      </w:hyperlink>
    </w:p>
    <w:p w14:paraId="48DAECE4"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Investment Monitor (2025) ‘Brexit and UK automotive competitiveness’. Available at: </w:t>
      </w:r>
      <w:hyperlink r:id="rId12" w:tgtFrame="_new" w:history="1">
        <w:r w:rsidRPr="006522FF">
          <w:rPr>
            <w:rStyle w:val="Hyperlink"/>
            <w:rFonts w:ascii="Arial" w:hAnsi="Arial" w:cs="Arial"/>
            <w:sz w:val="24"/>
            <w:szCs w:val="24"/>
          </w:rPr>
          <w:t>https://www.investmentmonitor.ai/</w:t>
        </w:r>
      </w:hyperlink>
      <w:r w:rsidRPr="006522FF">
        <w:rPr>
          <w:rFonts w:ascii="Arial" w:hAnsi="Arial" w:cs="Arial"/>
          <w:sz w:val="24"/>
          <w:szCs w:val="24"/>
        </w:rPr>
        <w:t xml:space="preserve"> (Accessed: February 2026).</w:t>
      </w:r>
    </w:p>
    <w:p w14:paraId="11BEBBF3"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Jackson, J. (2024) ‘The UK’s EV transition as industrial restructuring’, </w:t>
      </w:r>
      <w:r w:rsidRPr="006522FF">
        <w:rPr>
          <w:rFonts w:ascii="Arial" w:hAnsi="Arial" w:cs="Arial"/>
          <w:i/>
          <w:iCs/>
          <w:sz w:val="24"/>
          <w:szCs w:val="24"/>
        </w:rPr>
        <w:t>Journal of Transport Geography</w:t>
      </w:r>
      <w:r w:rsidRPr="006522FF">
        <w:rPr>
          <w:rFonts w:ascii="Arial" w:hAnsi="Arial" w:cs="Arial"/>
          <w:sz w:val="24"/>
          <w:szCs w:val="24"/>
        </w:rPr>
        <w:t>, 112, 103478.</w:t>
      </w:r>
    </w:p>
    <w:p w14:paraId="5D3D19F0" w14:textId="77777777" w:rsidR="006522FF" w:rsidRPr="006522FF" w:rsidRDefault="006522FF" w:rsidP="006522FF">
      <w:pPr>
        <w:spacing w:line="360" w:lineRule="auto"/>
        <w:jc w:val="both"/>
        <w:rPr>
          <w:rFonts w:ascii="Arial" w:hAnsi="Arial" w:cs="Arial"/>
          <w:sz w:val="24"/>
          <w:szCs w:val="24"/>
        </w:rPr>
      </w:pPr>
      <w:proofErr w:type="spellStart"/>
      <w:r w:rsidRPr="006522FF">
        <w:rPr>
          <w:rFonts w:ascii="Arial" w:hAnsi="Arial" w:cs="Arial"/>
          <w:sz w:val="24"/>
          <w:szCs w:val="24"/>
        </w:rPr>
        <w:lastRenderedPageBreak/>
        <w:t>Jagani</w:t>
      </w:r>
      <w:proofErr w:type="spellEnd"/>
      <w:r w:rsidRPr="006522FF">
        <w:rPr>
          <w:rFonts w:ascii="Arial" w:hAnsi="Arial" w:cs="Arial"/>
          <w:sz w:val="24"/>
          <w:szCs w:val="24"/>
        </w:rPr>
        <w:t xml:space="preserve">, S. et al. (2024) ‘The electric vehicle supply chain ecosystem: Changing roles and challenges’, </w:t>
      </w:r>
      <w:r w:rsidRPr="006522FF">
        <w:rPr>
          <w:rFonts w:ascii="Arial" w:hAnsi="Arial" w:cs="Arial"/>
          <w:i/>
          <w:iCs/>
          <w:sz w:val="24"/>
          <w:szCs w:val="24"/>
        </w:rPr>
        <w:t>Sustainability</w:t>
      </w:r>
      <w:r w:rsidRPr="006522FF">
        <w:rPr>
          <w:rFonts w:ascii="Arial" w:hAnsi="Arial" w:cs="Arial"/>
          <w:sz w:val="24"/>
          <w:szCs w:val="24"/>
        </w:rPr>
        <w:t>, 16(4), 1570.</w:t>
      </w:r>
    </w:p>
    <w:p w14:paraId="0C190307"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Jeong, J.H. (2024) ‘Three major challenges in the shift to electric vehicles’, </w:t>
      </w:r>
      <w:r w:rsidRPr="006522FF">
        <w:rPr>
          <w:rFonts w:ascii="Arial" w:hAnsi="Arial" w:cs="Arial"/>
          <w:i/>
          <w:iCs/>
          <w:sz w:val="24"/>
          <w:szCs w:val="24"/>
        </w:rPr>
        <w:t>Sociology Compass</w:t>
      </w:r>
      <w:r w:rsidRPr="006522FF">
        <w:rPr>
          <w:rFonts w:ascii="Arial" w:hAnsi="Arial" w:cs="Arial"/>
          <w:sz w:val="24"/>
          <w:szCs w:val="24"/>
        </w:rPr>
        <w:t>, 18(3), e13142.</w:t>
      </w:r>
    </w:p>
    <w:p w14:paraId="3695DA2B"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McKinsey &amp; Company (2023) </w:t>
      </w:r>
      <w:r w:rsidRPr="006522FF">
        <w:rPr>
          <w:rFonts w:ascii="Arial" w:hAnsi="Arial" w:cs="Arial"/>
          <w:i/>
          <w:iCs/>
          <w:sz w:val="24"/>
          <w:szCs w:val="24"/>
        </w:rPr>
        <w:t>The future of automotive supply chains</w:t>
      </w:r>
      <w:r w:rsidRPr="006522FF">
        <w:rPr>
          <w:rFonts w:ascii="Arial" w:hAnsi="Arial" w:cs="Arial"/>
          <w:sz w:val="24"/>
          <w:szCs w:val="24"/>
        </w:rPr>
        <w:t xml:space="preserve">. Available at: </w:t>
      </w:r>
      <w:hyperlink r:id="rId13" w:tgtFrame="_new" w:history="1">
        <w:r w:rsidRPr="006522FF">
          <w:rPr>
            <w:rStyle w:val="Hyperlink"/>
            <w:rFonts w:ascii="Arial" w:hAnsi="Arial" w:cs="Arial"/>
            <w:sz w:val="24"/>
            <w:szCs w:val="24"/>
          </w:rPr>
          <w:t>https://www.mckinsey.com</w:t>
        </w:r>
      </w:hyperlink>
    </w:p>
    <w:p w14:paraId="2DDF670F"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No-deal Brexit and UK Automotive (2018) </w:t>
      </w:r>
      <w:r w:rsidRPr="006522FF">
        <w:rPr>
          <w:rFonts w:ascii="Arial" w:hAnsi="Arial" w:cs="Arial"/>
          <w:i/>
          <w:iCs/>
          <w:sz w:val="24"/>
          <w:szCs w:val="24"/>
        </w:rPr>
        <w:t>Regional Studies Policy Impact Briefing</w:t>
      </w:r>
      <w:r w:rsidRPr="006522FF">
        <w:rPr>
          <w:rFonts w:ascii="Arial" w:hAnsi="Arial" w:cs="Arial"/>
          <w:sz w:val="24"/>
          <w:szCs w:val="24"/>
        </w:rPr>
        <w:t xml:space="preserve">. Available at: </w:t>
      </w:r>
      <w:hyperlink r:id="rId14" w:tgtFrame="_new" w:history="1">
        <w:r w:rsidRPr="006522FF">
          <w:rPr>
            <w:rStyle w:val="Hyperlink"/>
            <w:rFonts w:ascii="Arial" w:hAnsi="Arial" w:cs="Arial"/>
            <w:sz w:val="24"/>
            <w:szCs w:val="24"/>
          </w:rPr>
          <w:t>https://regions.regionalstudies.org/</w:t>
        </w:r>
      </w:hyperlink>
      <w:r w:rsidRPr="006522FF">
        <w:rPr>
          <w:rFonts w:ascii="Arial" w:hAnsi="Arial" w:cs="Arial"/>
          <w:sz w:val="24"/>
          <w:szCs w:val="24"/>
        </w:rPr>
        <w:t xml:space="preserve"> (Accessed: February 2026).</w:t>
      </w:r>
    </w:p>
    <w:p w14:paraId="6E817034"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Shahnawaz, M. and </w:t>
      </w:r>
      <w:proofErr w:type="spellStart"/>
      <w:r w:rsidRPr="006522FF">
        <w:rPr>
          <w:rFonts w:ascii="Arial" w:hAnsi="Arial" w:cs="Arial"/>
          <w:sz w:val="24"/>
          <w:szCs w:val="24"/>
        </w:rPr>
        <w:t>Safder</w:t>
      </w:r>
      <w:proofErr w:type="spellEnd"/>
      <w:r w:rsidRPr="006522FF">
        <w:rPr>
          <w:rFonts w:ascii="Arial" w:hAnsi="Arial" w:cs="Arial"/>
          <w:sz w:val="24"/>
          <w:szCs w:val="24"/>
        </w:rPr>
        <w:t xml:space="preserve">, A. (2025) ‘Resilient automotive supply chain optimisation models’, </w:t>
      </w:r>
      <w:proofErr w:type="spellStart"/>
      <w:r w:rsidRPr="006522FF">
        <w:rPr>
          <w:rFonts w:ascii="Arial" w:hAnsi="Arial" w:cs="Arial"/>
          <w:i/>
          <w:iCs/>
          <w:sz w:val="24"/>
          <w:szCs w:val="24"/>
        </w:rPr>
        <w:t>arXiv</w:t>
      </w:r>
      <w:proofErr w:type="spellEnd"/>
      <w:r w:rsidRPr="006522FF">
        <w:rPr>
          <w:rFonts w:ascii="Arial" w:hAnsi="Arial" w:cs="Arial"/>
          <w:i/>
          <w:iCs/>
          <w:sz w:val="24"/>
          <w:szCs w:val="24"/>
        </w:rPr>
        <w:t xml:space="preserve"> preprint</w:t>
      </w:r>
      <w:r w:rsidRPr="006522FF">
        <w:rPr>
          <w:rFonts w:ascii="Arial" w:hAnsi="Arial" w:cs="Arial"/>
          <w:sz w:val="24"/>
          <w:szCs w:val="24"/>
        </w:rPr>
        <w:t>.</w:t>
      </w:r>
    </w:p>
    <w:p w14:paraId="76BA7F36"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SMMT (2025a) </w:t>
      </w:r>
      <w:r w:rsidRPr="006522FF">
        <w:rPr>
          <w:rFonts w:ascii="Arial" w:hAnsi="Arial" w:cs="Arial"/>
          <w:i/>
          <w:iCs/>
          <w:sz w:val="24"/>
          <w:szCs w:val="24"/>
        </w:rPr>
        <w:t>UK automotive industry facts and figures</w:t>
      </w:r>
      <w:r w:rsidRPr="006522FF">
        <w:rPr>
          <w:rFonts w:ascii="Arial" w:hAnsi="Arial" w:cs="Arial"/>
          <w:sz w:val="24"/>
          <w:szCs w:val="24"/>
        </w:rPr>
        <w:t xml:space="preserve">. London: Society of Motor Manufacturers and Traders. Available at: </w:t>
      </w:r>
      <w:hyperlink r:id="rId15" w:tgtFrame="_new" w:history="1">
        <w:r w:rsidRPr="006522FF">
          <w:rPr>
            <w:rStyle w:val="Hyperlink"/>
            <w:rFonts w:ascii="Arial" w:hAnsi="Arial" w:cs="Arial"/>
            <w:sz w:val="24"/>
            <w:szCs w:val="24"/>
          </w:rPr>
          <w:t>https://www.smmt.c</w:t>
        </w:r>
        <w:r w:rsidRPr="006522FF">
          <w:rPr>
            <w:rStyle w:val="Hyperlink"/>
            <w:rFonts w:ascii="Arial" w:hAnsi="Arial" w:cs="Arial"/>
            <w:sz w:val="24"/>
            <w:szCs w:val="24"/>
          </w:rPr>
          <w:t>o</w:t>
        </w:r>
        <w:r w:rsidRPr="006522FF">
          <w:rPr>
            <w:rStyle w:val="Hyperlink"/>
            <w:rFonts w:ascii="Arial" w:hAnsi="Arial" w:cs="Arial"/>
            <w:sz w:val="24"/>
            <w:szCs w:val="24"/>
          </w:rPr>
          <w:t>.uk/</w:t>
        </w:r>
      </w:hyperlink>
      <w:r w:rsidRPr="006522FF">
        <w:rPr>
          <w:rFonts w:ascii="Arial" w:hAnsi="Arial" w:cs="Arial"/>
          <w:sz w:val="24"/>
          <w:szCs w:val="24"/>
        </w:rPr>
        <w:t xml:space="preserve"> (Accessed: February 2026).</w:t>
      </w:r>
    </w:p>
    <w:p w14:paraId="6BAF326D"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SMMT (2025b) </w:t>
      </w:r>
      <w:r w:rsidRPr="006522FF">
        <w:rPr>
          <w:rFonts w:ascii="Arial" w:hAnsi="Arial" w:cs="Arial"/>
          <w:i/>
          <w:iCs/>
          <w:sz w:val="24"/>
          <w:szCs w:val="24"/>
        </w:rPr>
        <w:t>Vehicle production and export statistics</w:t>
      </w:r>
      <w:r w:rsidRPr="006522FF">
        <w:rPr>
          <w:rFonts w:ascii="Arial" w:hAnsi="Arial" w:cs="Arial"/>
          <w:sz w:val="24"/>
          <w:szCs w:val="24"/>
        </w:rPr>
        <w:t xml:space="preserve">. London: Society of Motor Manufacturers and Traders. Available at: </w:t>
      </w:r>
      <w:hyperlink r:id="rId16" w:tgtFrame="_new" w:history="1">
        <w:r w:rsidRPr="006522FF">
          <w:rPr>
            <w:rStyle w:val="Hyperlink"/>
            <w:rFonts w:ascii="Arial" w:hAnsi="Arial" w:cs="Arial"/>
            <w:sz w:val="24"/>
            <w:szCs w:val="24"/>
          </w:rPr>
          <w:t>https://www.smmt.co.uk/</w:t>
        </w:r>
      </w:hyperlink>
      <w:r w:rsidRPr="006522FF">
        <w:rPr>
          <w:rFonts w:ascii="Arial" w:hAnsi="Arial" w:cs="Arial"/>
          <w:sz w:val="24"/>
          <w:szCs w:val="24"/>
        </w:rPr>
        <w:t xml:space="preserve"> (Accessed: February 2026).</w:t>
      </w:r>
    </w:p>
    <w:p w14:paraId="3B2E6A85"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SMMT (2025c) </w:t>
      </w:r>
      <w:r w:rsidRPr="006522FF">
        <w:rPr>
          <w:rFonts w:ascii="Arial" w:hAnsi="Arial" w:cs="Arial"/>
          <w:i/>
          <w:iCs/>
          <w:sz w:val="24"/>
          <w:szCs w:val="24"/>
        </w:rPr>
        <w:t>Full throttle: Driving UK automotive competitiveness</w:t>
      </w:r>
      <w:r w:rsidRPr="006522FF">
        <w:rPr>
          <w:rFonts w:ascii="Arial" w:hAnsi="Arial" w:cs="Arial"/>
          <w:sz w:val="24"/>
          <w:szCs w:val="24"/>
        </w:rPr>
        <w:t xml:space="preserve">. London: Society of Motor Manufacturers and Traders. Available at: </w:t>
      </w:r>
      <w:hyperlink r:id="rId17" w:tgtFrame="_new" w:history="1">
        <w:r w:rsidRPr="006522FF">
          <w:rPr>
            <w:rStyle w:val="Hyperlink"/>
            <w:rFonts w:ascii="Arial" w:hAnsi="Arial" w:cs="Arial"/>
            <w:sz w:val="24"/>
            <w:szCs w:val="24"/>
          </w:rPr>
          <w:t>https://www.smmt.co.uk/</w:t>
        </w:r>
      </w:hyperlink>
      <w:r w:rsidRPr="006522FF">
        <w:rPr>
          <w:rFonts w:ascii="Arial" w:hAnsi="Arial" w:cs="Arial"/>
          <w:sz w:val="24"/>
          <w:szCs w:val="24"/>
        </w:rPr>
        <w:t xml:space="preserve"> (Accessed: February 2026).</w:t>
      </w:r>
    </w:p>
    <w:p w14:paraId="7EB951F2"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Suzuki, H. (2020) ‘Post-Brexit Britain, the EU and Japan: Implications for the car industry’, </w:t>
      </w:r>
      <w:r w:rsidRPr="006522FF">
        <w:rPr>
          <w:rFonts w:ascii="Arial" w:hAnsi="Arial" w:cs="Arial"/>
          <w:i/>
          <w:iCs/>
          <w:sz w:val="24"/>
          <w:szCs w:val="24"/>
        </w:rPr>
        <w:t>East-West Law Review</w:t>
      </w:r>
      <w:r w:rsidRPr="006522FF">
        <w:rPr>
          <w:rFonts w:ascii="Arial" w:hAnsi="Arial" w:cs="Arial"/>
          <w:sz w:val="24"/>
          <w:szCs w:val="24"/>
        </w:rPr>
        <w:t>, 4(2), pp. 45–63.</w:t>
      </w:r>
    </w:p>
    <w:p w14:paraId="2689A4C1" w14:textId="77777777" w:rsidR="006522FF" w:rsidRPr="006522FF" w:rsidRDefault="006522FF" w:rsidP="006522FF">
      <w:pPr>
        <w:spacing w:line="360" w:lineRule="auto"/>
        <w:jc w:val="both"/>
        <w:rPr>
          <w:rFonts w:ascii="Arial" w:hAnsi="Arial" w:cs="Arial"/>
          <w:sz w:val="24"/>
          <w:szCs w:val="24"/>
        </w:rPr>
      </w:pPr>
      <w:r w:rsidRPr="006522FF">
        <w:rPr>
          <w:rFonts w:ascii="Arial" w:hAnsi="Arial" w:cs="Arial"/>
          <w:sz w:val="24"/>
          <w:szCs w:val="24"/>
        </w:rPr>
        <w:t xml:space="preserve">World Economic Forum (2023) </w:t>
      </w:r>
      <w:r w:rsidRPr="006522FF">
        <w:rPr>
          <w:rFonts w:ascii="Arial" w:hAnsi="Arial" w:cs="Arial"/>
          <w:i/>
          <w:iCs/>
          <w:sz w:val="24"/>
          <w:szCs w:val="24"/>
        </w:rPr>
        <w:t>Supply chain resilience in manufacturing</w:t>
      </w:r>
      <w:r w:rsidRPr="006522FF">
        <w:rPr>
          <w:rFonts w:ascii="Arial" w:hAnsi="Arial" w:cs="Arial"/>
          <w:sz w:val="24"/>
          <w:szCs w:val="24"/>
        </w:rPr>
        <w:t xml:space="preserve">. Available at: </w:t>
      </w:r>
      <w:hyperlink r:id="rId18" w:tgtFrame="_new" w:history="1">
        <w:r w:rsidRPr="006522FF">
          <w:rPr>
            <w:rStyle w:val="Hyperlink"/>
            <w:rFonts w:ascii="Arial" w:hAnsi="Arial" w:cs="Arial"/>
            <w:sz w:val="24"/>
            <w:szCs w:val="24"/>
          </w:rPr>
          <w:t>https://www.weforum.org</w:t>
        </w:r>
      </w:hyperlink>
    </w:p>
    <w:p w14:paraId="2314FDC2" w14:textId="77777777" w:rsidR="002878CB" w:rsidRPr="00B82BF1" w:rsidRDefault="002878CB" w:rsidP="00B82BF1">
      <w:pPr>
        <w:spacing w:line="360" w:lineRule="auto"/>
        <w:jc w:val="both"/>
        <w:rPr>
          <w:rFonts w:ascii="Arial" w:hAnsi="Arial" w:cs="Arial"/>
          <w:sz w:val="24"/>
          <w:szCs w:val="24"/>
        </w:rPr>
      </w:pPr>
    </w:p>
    <w:sectPr w:rsidR="002878CB" w:rsidRPr="00B82BF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A32B6" w14:textId="77777777" w:rsidR="00F85588" w:rsidRDefault="00F85588" w:rsidP="00B82BF1">
      <w:pPr>
        <w:spacing w:after="0" w:line="240" w:lineRule="auto"/>
      </w:pPr>
      <w:r>
        <w:separator/>
      </w:r>
    </w:p>
  </w:endnote>
  <w:endnote w:type="continuationSeparator" w:id="0">
    <w:p w14:paraId="57B2DEF3" w14:textId="77777777" w:rsidR="00F85588" w:rsidRDefault="00F85588" w:rsidP="00B82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482851"/>
      <w:docPartObj>
        <w:docPartGallery w:val="Page Numbers (Bottom of Page)"/>
        <w:docPartUnique/>
      </w:docPartObj>
    </w:sdtPr>
    <w:sdtEndPr>
      <w:rPr>
        <w:noProof/>
      </w:rPr>
    </w:sdtEndPr>
    <w:sdtContent>
      <w:p w14:paraId="3ED36B80" w14:textId="7799F2E0" w:rsidR="00B82BF1" w:rsidRDefault="00B82B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EF9D5B" w14:textId="77777777" w:rsidR="00B82BF1" w:rsidRDefault="00B82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B527F" w14:textId="77777777" w:rsidR="00F85588" w:rsidRDefault="00F85588" w:rsidP="00B82BF1">
      <w:pPr>
        <w:spacing w:after="0" w:line="240" w:lineRule="auto"/>
      </w:pPr>
      <w:r>
        <w:separator/>
      </w:r>
    </w:p>
  </w:footnote>
  <w:footnote w:type="continuationSeparator" w:id="0">
    <w:p w14:paraId="24C5C7C5" w14:textId="77777777" w:rsidR="00F85588" w:rsidRDefault="00F85588" w:rsidP="00B82B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78A"/>
    <w:rsid w:val="00141DD7"/>
    <w:rsid w:val="00171AC5"/>
    <w:rsid w:val="002052CD"/>
    <w:rsid w:val="0023271B"/>
    <w:rsid w:val="002820AF"/>
    <w:rsid w:val="002878CB"/>
    <w:rsid w:val="002F7CCB"/>
    <w:rsid w:val="003332B6"/>
    <w:rsid w:val="003605E2"/>
    <w:rsid w:val="0039407D"/>
    <w:rsid w:val="003B54FC"/>
    <w:rsid w:val="003C07CE"/>
    <w:rsid w:val="003C1034"/>
    <w:rsid w:val="003F3F6F"/>
    <w:rsid w:val="004143CD"/>
    <w:rsid w:val="004C030B"/>
    <w:rsid w:val="004C4C9B"/>
    <w:rsid w:val="005E63B9"/>
    <w:rsid w:val="00613A3B"/>
    <w:rsid w:val="006402C5"/>
    <w:rsid w:val="006522FF"/>
    <w:rsid w:val="00730A50"/>
    <w:rsid w:val="00775EDD"/>
    <w:rsid w:val="0079761F"/>
    <w:rsid w:val="007B3767"/>
    <w:rsid w:val="00846E9B"/>
    <w:rsid w:val="008652C0"/>
    <w:rsid w:val="00980403"/>
    <w:rsid w:val="009C3829"/>
    <w:rsid w:val="009D28E7"/>
    <w:rsid w:val="00AD4F68"/>
    <w:rsid w:val="00B002E6"/>
    <w:rsid w:val="00B436A9"/>
    <w:rsid w:val="00B82BF1"/>
    <w:rsid w:val="00BF5D74"/>
    <w:rsid w:val="00C87D50"/>
    <w:rsid w:val="00D5578A"/>
    <w:rsid w:val="00D55BDB"/>
    <w:rsid w:val="00DA3023"/>
    <w:rsid w:val="00DD2889"/>
    <w:rsid w:val="00E407FA"/>
    <w:rsid w:val="00E41344"/>
    <w:rsid w:val="00E75A2B"/>
    <w:rsid w:val="00E84B4F"/>
    <w:rsid w:val="00E860E8"/>
    <w:rsid w:val="00E90CF9"/>
    <w:rsid w:val="00EB2681"/>
    <w:rsid w:val="00EE25DB"/>
    <w:rsid w:val="00EE49C9"/>
    <w:rsid w:val="00F855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56B8"/>
  <w15:chartTrackingRefBased/>
  <w15:docId w15:val="{8BB3E21C-8A74-4C7D-84E6-054A458D4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BF1"/>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82BF1"/>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unhideWhenUsed/>
    <w:qFormat/>
    <w:rsid w:val="00D5578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5578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5578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55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BF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B82BF1"/>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rsid w:val="00D5578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5578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5578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55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78A"/>
    <w:rPr>
      <w:rFonts w:eastAsiaTheme="majorEastAsia" w:cstheme="majorBidi"/>
      <w:color w:val="272727" w:themeColor="text1" w:themeTint="D8"/>
    </w:rPr>
  </w:style>
  <w:style w:type="paragraph" w:styleId="Title">
    <w:name w:val="Title"/>
    <w:basedOn w:val="Normal"/>
    <w:next w:val="Normal"/>
    <w:link w:val="TitleChar"/>
    <w:uiPriority w:val="10"/>
    <w:qFormat/>
    <w:rsid w:val="00D55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78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7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578A"/>
    <w:rPr>
      <w:i/>
      <w:iCs/>
      <w:color w:val="404040" w:themeColor="text1" w:themeTint="BF"/>
    </w:rPr>
  </w:style>
  <w:style w:type="paragraph" w:styleId="ListParagraph">
    <w:name w:val="List Paragraph"/>
    <w:basedOn w:val="Normal"/>
    <w:uiPriority w:val="34"/>
    <w:qFormat/>
    <w:rsid w:val="00D5578A"/>
    <w:pPr>
      <w:ind w:left="720"/>
      <w:contextualSpacing/>
    </w:pPr>
  </w:style>
  <w:style w:type="character" w:styleId="IntenseEmphasis">
    <w:name w:val="Intense Emphasis"/>
    <w:basedOn w:val="DefaultParagraphFont"/>
    <w:uiPriority w:val="21"/>
    <w:qFormat/>
    <w:rsid w:val="00D5578A"/>
    <w:rPr>
      <w:i/>
      <w:iCs/>
      <w:color w:val="365F91" w:themeColor="accent1" w:themeShade="BF"/>
    </w:rPr>
  </w:style>
  <w:style w:type="paragraph" w:styleId="IntenseQuote">
    <w:name w:val="Intense Quote"/>
    <w:basedOn w:val="Normal"/>
    <w:next w:val="Normal"/>
    <w:link w:val="IntenseQuoteChar"/>
    <w:uiPriority w:val="30"/>
    <w:qFormat/>
    <w:rsid w:val="00D5578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5578A"/>
    <w:rPr>
      <w:i/>
      <w:iCs/>
      <w:color w:val="365F91" w:themeColor="accent1" w:themeShade="BF"/>
    </w:rPr>
  </w:style>
  <w:style w:type="character" w:styleId="IntenseReference">
    <w:name w:val="Intense Reference"/>
    <w:basedOn w:val="DefaultParagraphFont"/>
    <w:uiPriority w:val="32"/>
    <w:qFormat/>
    <w:rsid w:val="00D5578A"/>
    <w:rPr>
      <w:b/>
      <w:bCs/>
      <w:smallCaps/>
      <w:color w:val="365F91" w:themeColor="accent1" w:themeShade="BF"/>
      <w:spacing w:val="5"/>
    </w:rPr>
  </w:style>
  <w:style w:type="character" w:styleId="Hyperlink">
    <w:name w:val="Hyperlink"/>
    <w:basedOn w:val="DefaultParagraphFont"/>
    <w:uiPriority w:val="99"/>
    <w:unhideWhenUsed/>
    <w:rsid w:val="002878CB"/>
    <w:rPr>
      <w:color w:val="0000FF" w:themeColor="hyperlink"/>
      <w:u w:val="single"/>
    </w:rPr>
  </w:style>
  <w:style w:type="character" w:styleId="UnresolvedMention">
    <w:name w:val="Unresolved Mention"/>
    <w:basedOn w:val="DefaultParagraphFont"/>
    <w:uiPriority w:val="99"/>
    <w:semiHidden/>
    <w:unhideWhenUsed/>
    <w:rsid w:val="002878CB"/>
    <w:rPr>
      <w:color w:val="605E5C"/>
      <w:shd w:val="clear" w:color="auto" w:fill="E1DFDD"/>
    </w:rPr>
  </w:style>
  <w:style w:type="table" w:styleId="GridTable4-Accent3">
    <w:name w:val="Grid Table 4 Accent 3"/>
    <w:basedOn w:val="TableNormal"/>
    <w:uiPriority w:val="49"/>
    <w:rsid w:val="00B82BF1"/>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5">
    <w:name w:val="Grid Table 4 Accent 5"/>
    <w:basedOn w:val="TableNormal"/>
    <w:uiPriority w:val="49"/>
    <w:rsid w:val="00B82BF1"/>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2">
    <w:name w:val="Grid Table 4 Accent 2"/>
    <w:basedOn w:val="TableNormal"/>
    <w:uiPriority w:val="49"/>
    <w:rsid w:val="00B82BF1"/>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4">
    <w:name w:val="Grid Table 4 Accent 4"/>
    <w:basedOn w:val="TableNormal"/>
    <w:uiPriority w:val="49"/>
    <w:rsid w:val="00B82BF1"/>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Header">
    <w:name w:val="header"/>
    <w:basedOn w:val="Normal"/>
    <w:link w:val="HeaderChar"/>
    <w:uiPriority w:val="99"/>
    <w:unhideWhenUsed/>
    <w:rsid w:val="00B82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BF1"/>
  </w:style>
  <w:style w:type="paragraph" w:styleId="Footer">
    <w:name w:val="footer"/>
    <w:basedOn w:val="Normal"/>
    <w:link w:val="FooterChar"/>
    <w:uiPriority w:val="99"/>
    <w:unhideWhenUsed/>
    <w:rsid w:val="00B82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BF1"/>
  </w:style>
  <w:style w:type="paragraph" w:styleId="TOCHeading">
    <w:name w:val="TOC Heading"/>
    <w:basedOn w:val="Heading1"/>
    <w:next w:val="Normal"/>
    <w:uiPriority w:val="39"/>
    <w:unhideWhenUsed/>
    <w:qFormat/>
    <w:rsid w:val="003B54FC"/>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3B54FC"/>
    <w:pPr>
      <w:spacing w:after="100"/>
    </w:pPr>
  </w:style>
  <w:style w:type="paragraph" w:styleId="TOC2">
    <w:name w:val="toc 2"/>
    <w:basedOn w:val="Normal"/>
    <w:next w:val="Normal"/>
    <w:autoRedefine/>
    <w:uiPriority w:val="39"/>
    <w:unhideWhenUsed/>
    <w:rsid w:val="003B54FC"/>
    <w:pPr>
      <w:spacing w:after="100"/>
      <w:ind w:left="220"/>
    </w:pPr>
  </w:style>
  <w:style w:type="character" w:styleId="FollowedHyperlink">
    <w:name w:val="FollowedHyperlink"/>
    <w:basedOn w:val="DefaultParagraphFont"/>
    <w:uiPriority w:val="99"/>
    <w:semiHidden/>
    <w:unhideWhenUsed/>
    <w:rsid w:val="0098040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mckinsey.com" TargetMode="External"/><Relationship Id="rId18" Type="http://schemas.openxmlformats.org/officeDocument/2006/relationships/hyperlink" Target="https://www.weforum.or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nvestmentmonitor.ai/" TargetMode="External"/><Relationship Id="rId17" Type="http://schemas.openxmlformats.org/officeDocument/2006/relationships/hyperlink" Target="https://www.smmt.co.uk/" TargetMode="External"/><Relationship Id="rId2" Type="http://schemas.openxmlformats.org/officeDocument/2006/relationships/styles" Target="styles.xml"/><Relationship Id="rId16" Type="http://schemas.openxmlformats.org/officeDocument/2006/relationships/hyperlink" Target="https://www.smmt.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ea.org/reports/global-ev-outlook-2024" TargetMode="External"/><Relationship Id="rId5" Type="http://schemas.openxmlformats.org/officeDocument/2006/relationships/footnotes" Target="footnotes.xml"/><Relationship Id="rId15" Type="http://schemas.openxmlformats.org/officeDocument/2006/relationships/hyperlink" Target="https://www.smmt.co.uk/" TargetMode="External"/><Relationship Id="rId10" Type="http://schemas.openxmlformats.org/officeDocument/2006/relationships/hyperlink" Target="https://www2.deloitte.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mmonslibrary.parliament.uk/" TargetMode="External"/><Relationship Id="rId14" Type="http://schemas.openxmlformats.org/officeDocument/2006/relationships/hyperlink" Target="https://regions.regionalstudi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0C712-6240-41CF-A7F2-C37C68990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6475</Words>
  <Characters>36911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ITRS</cp:lastModifiedBy>
  <cp:revision>2</cp:revision>
  <dcterms:created xsi:type="dcterms:W3CDTF">2026-03-19T21:58:00Z</dcterms:created>
  <dcterms:modified xsi:type="dcterms:W3CDTF">2026-03-19T21:58:00Z</dcterms:modified>
</cp:coreProperties>
</file>