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24F2A57">
      <w:pPr>
        <w:spacing w:before="120" w:after="120" w:line="360" w:lineRule="auto"/>
        <w:jc w:val="center"/>
        <w:rPr>
          <w:sz w:val="28"/>
          <w:szCs w:val="28"/>
        </w:rPr>
      </w:pPr>
      <w:bookmarkStart w:id="0" w:name="_h7eoy1qeg1vu" w:colFirst="0" w:colLast="0"/>
      <w:bookmarkEnd w:id="0"/>
      <w:r>
        <w:drawing>
          <wp:inline distT="0" distB="0" distL="0" distR="0">
            <wp:extent cx="3333750" cy="1311275"/>
            <wp:effectExtent l="0" t="0" r="0" b="3175"/>
            <wp:docPr id="231675270" name="Picture 1"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675270" name="Picture 1" descr="University of Wales Trinity St David - UniKitOut"/>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3333750" cy="1311275"/>
                    </a:xfrm>
                    <a:prstGeom prst="rect">
                      <a:avLst/>
                    </a:prstGeom>
                    <a:noFill/>
                    <a:ln>
                      <a:noFill/>
                    </a:ln>
                  </pic:spPr>
                </pic:pic>
              </a:graphicData>
            </a:graphic>
          </wp:inline>
        </w:drawing>
      </w:r>
    </w:p>
    <w:p w14:paraId="12183CAD">
      <w:pPr>
        <w:spacing w:before="120" w:after="120" w:line="360" w:lineRule="auto"/>
        <w:rPr>
          <w:b/>
          <w:sz w:val="28"/>
          <w:szCs w:val="28"/>
        </w:rPr>
      </w:pPr>
      <w:bookmarkStart w:id="1" w:name="_vly5ndjoj81x" w:colFirst="0" w:colLast="0"/>
      <w:bookmarkEnd w:id="1"/>
    </w:p>
    <w:p w14:paraId="11C1577E">
      <w:pPr>
        <w:spacing w:before="120" w:after="120" w:line="360" w:lineRule="auto"/>
        <w:jc w:val="center"/>
        <w:rPr>
          <w:b/>
          <w:bCs/>
          <w:sz w:val="28"/>
          <w:szCs w:val="28"/>
        </w:rPr>
      </w:pPr>
      <w:bookmarkStart w:id="2" w:name="_j4jybpymne99" w:colFirst="0" w:colLast="0"/>
      <w:bookmarkEnd w:id="2"/>
      <w:bookmarkStart w:id="3" w:name="_oifgoqto1jnd" w:colFirst="0" w:colLast="0"/>
      <w:bookmarkEnd w:id="3"/>
      <w:r>
        <w:rPr>
          <w:b/>
          <w:bCs/>
          <w:sz w:val="28"/>
          <w:szCs w:val="28"/>
        </w:rPr>
        <w:t>Component 1</w:t>
      </w:r>
    </w:p>
    <w:p w14:paraId="6B60FA46">
      <w:pPr>
        <w:spacing w:before="120" w:after="120" w:line="360" w:lineRule="auto"/>
        <w:jc w:val="center"/>
        <w:rPr>
          <w:b/>
          <w:bCs/>
          <w:sz w:val="28"/>
          <w:szCs w:val="28"/>
        </w:rPr>
      </w:pPr>
      <w:r>
        <w:rPr>
          <w:b/>
          <w:bCs/>
          <w:sz w:val="28"/>
          <w:szCs w:val="28"/>
        </w:rPr>
        <w:t xml:space="preserve">Blog and Poster </w:t>
      </w:r>
    </w:p>
    <w:p w14:paraId="414625AF">
      <w:pPr>
        <w:spacing w:before="120" w:after="120" w:line="360" w:lineRule="auto"/>
        <w:jc w:val="center"/>
        <w:rPr>
          <w:b/>
          <w:sz w:val="28"/>
          <w:szCs w:val="28"/>
        </w:rPr>
      </w:pPr>
      <w:bookmarkStart w:id="4" w:name="_3kwr6ep62wmo" w:colFirst="0" w:colLast="0"/>
      <w:bookmarkEnd w:id="4"/>
    </w:p>
    <w:p w14:paraId="4FC9DC2B">
      <w:pPr>
        <w:spacing w:before="120" w:after="120" w:line="360" w:lineRule="auto"/>
        <w:jc w:val="center"/>
        <w:rPr>
          <w:sz w:val="28"/>
          <w:szCs w:val="28"/>
          <w:lang w:val="en-IN"/>
        </w:rPr>
      </w:pPr>
      <w:bookmarkStart w:id="5" w:name="_7ga8bdrit2h" w:colFirst="0" w:colLast="0"/>
      <w:bookmarkEnd w:id="5"/>
      <w:bookmarkStart w:id="6" w:name="_eng9ezu8dj54" w:colFirst="0" w:colLast="0"/>
      <w:bookmarkEnd w:id="6"/>
      <w:r>
        <w:rPr>
          <w:b/>
          <w:bCs/>
          <w:sz w:val="28"/>
          <w:szCs w:val="28"/>
        </w:rPr>
        <w:t>Student name:</w:t>
      </w:r>
      <w:r>
        <w:rPr>
          <w:b/>
          <w:bCs/>
          <w:sz w:val="28"/>
          <w:szCs w:val="28"/>
          <w:lang w:val="en-IN"/>
        </w:rPr>
        <w:t>-</w:t>
      </w:r>
      <w:r>
        <w:rPr>
          <w:sz w:val="28"/>
          <w:szCs w:val="28"/>
          <w:lang w:val="en-IN"/>
        </w:rPr>
        <w:t xml:space="preserve"> Devang Kishorbhai vaddoriya </w:t>
      </w:r>
    </w:p>
    <w:p w14:paraId="65F60042">
      <w:pPr>
        <w:spacing w:before="120" w:after="120" w:line="360" w:lineRule="auto"/>
        <w:jc w:val="center"/>
        <w:rPr>
          <w:sz w:val="28"/>
          <w:szCs w:val="28"/>
          <w:lang w:val="en-IN"/>
        </w:rPr>
      </w:pPr>
      <w:r>
        <w:rPr>
          <w:b/>
          <w:bCs/>
          <w:sz w:val="28"/>
          <w:szCs w:val="28"/>
          <w:lang w:val="en-IN"/>
        </w:rPr>
        <w:t>Student Id:</w:t>
      </w:r>
      <w:r>
        <w:rPr>
          <w:sz w:val="28"/>
          <w:szCs w:val="28"/>
          <w:lang w:val="en-IN"/>
        </w:rPr>
        <w:t xml:space="preserve"> - 2411567</w:t>
      </w:r>
    </w:p>
    <w:p w14:paraId="3C1D9BD4">
      <w:pPr>
        <w:spacing w:before="120" w:after="120" w:line="360" w:lineRule="auto"/>
        <w:jc w:val="center"/>
        <w:rPr>
          <w:b w:val="0"/>
          <w:bCs w:val="0"/>
          <w:sz w:val="28"/>
          <w:szCs w:val="28"/>
        </w:rPr>
      </w:pPr>
      <w:r>
        <w:rPr>
          <w:rFonts w:hint="default"/>
          <w:b/>
          <w:bCs/>
          <w:sz w:val="28"/>
          <w:szCs w:val="28"/>
          <w:lang w:val="en-US"/>
        </w:rPr>
        <w:t xml:space="preserve">Module name: </w:t>
      </w:r>
      <w:r>
        <w:rPr>
          <w:b w:val="0"/>
          <w:bCs w:val="0"/>
          <w:sz w:val="28"/>
          <w:szCs w:val="28"/>
        </w:rPr>
        <w:t>Population Health and Digital Health Promotion</w:t>
      </w:r>
    </w:p>
    <w:p w14:paraId="0B386685">
      <w:pPr>
        <w:spacing w:before="120" w:after="120" w:line="360" w:lineRule="auto"/>
        <w:jc w:val="center"/>
        <w:rPr>
          <w:rFonts w:hint="default"/>
          <w:sz w:val="28"/>
          <w:szCs w:val="28"/>
          <w:lang w:val="en-US"/>
        </w:rPr>
      </w:pPr>
      <w:r>
        <w:rPr>
          <w:rFonts w:hint="default"/>
          <w:b/>
          <w:bCs/>
          <w:sz w:val="28"/>
          <w:szCs w:val="28"/>
          <w:lang w:val="en-US"/>
        </w:rPr>
        <w:t xml:space="preserve">Module code: </w:t>
      </w:r>
      <w:r>
        <w:rPr>
          <w:b w:val="0"/>
          <w:bCs w:val="0"/>
          <w:sz w:val="28"/>
          <w:szCs w:val="28"/>
        </w:rPr>
        <w:t>LCHS7007</w:t>
      </w:r>
    </w:p>
    <w:p w14:paraId="3DF6FE7E">
      <w:pPr>
        <w:spacing w:before="120" w:after="120" w:line="360" w:lineRule="auto"/>
        <w:jc w:val="center"/>
        <w:rPr>
          <w:rFonts w:hint="default"/>
          <w:sz w:val="28"/>
          <w:szCs w:val="28"/>
          <w:lang w:val="en-US"/>
        </w:rPr>
      </w:pPr>
      <w:r>
        <w:rPr>
          <w:rFonts w:hint="default"/>
          <w:b/>
          <w:bCs/>
          <w:sz w:val="28"/>
          <w:szCs w:val="28"/>
          <w:lang w:val="en-US"/>
        </w:rPr>
        <w:t>Lecturer name:</w:t>
      </w:r>
      <w:r>
        <w:rPr>
          <w:rFonts w:hint="default"/>
          <w:sz w:val="28"/>
          <w:szCs w:val="28"/>
          <w:lang w:val="en-US"/>
        </w:rPr>
        <w:t xml:space="preserve"> Dr Ping Wu</w:t>
      </w:r>
    </w:p>
    <w:p w14:paraId="6332F9E8">
      <w:pPr>
        <w:spacing w:before="120" w:after="120" w:line="360" w:lineRule="auto"/>
        <w:jc w:val="center"/>
        <w:rPr>
          <w:rFonts w:hint="default"/>
          <w:sz w:val="28"/>
          <w:szCs w:val="28"/>
          <w:lang w:val="en-US"/>
        </w:rPr>
      </w:pPr>
    </w:p>
    <w:p w14:paraId="59B3E8B7">
      <w:pPr>
        <w:spacing w:before="120" w:after="120" w:line="360" w:lineRule="auto"/>
        <w:jc w:val="center"/>
        <w:rPr>
          <w:b/>
          <w:lang w:val="en-IN"/>
        </w:rPr>
      </w:pPr>
      <w:bookmarkStart w:id="7" w:name="_k4qw88p617gw" w:colFirst="0" w:colLast="0"/>
      <w:bookmarkEnd w:id="7"/>
      <w:r>
        <w:rPr>
          <w:lang w:val="en-IN"/>
        </w:rPr>
        <w:br w:type="page"/>
      </w:r>
    </w:p>
    <w:p w14:paraId="7CC9376C">
      <w:pPr>
        <w:pStyle w:val="2"/>
        <w:spacing w:before="120" w:after="120" w:line="360" w:lineRule="auto"/>
        <w:jc w:val="both"/>
      </w:pPr>
      <w:bookmarkStart w:id="8" w:name="_ystoq7efcbto" w:colFirst="0" w:colLast="0"/>
      <w:bookmarkEnd w:id="8"/>
      <w:r>
        <w:drawing>
          <wp:anchor distT="0" distB="0" distL="114300" distR="114300" simplePos="0" relativeHeight="251660288" behindDoc="0" locked="0" layoutInCell="1" allowOverlap="1">
            <wp:simplePos x="0" y="0"/>
            <wp:positionH relativeFrom="column">
              <wp:posOffset>0</wp:posOffset>
            </wp:positionH>
            <wp:positionV relativeFrom="paragraph">
              <wp:posOffset>387985</wp:posOffset>
            </wp:positionV>
            <wp:extent cx="3638550" cy="1031875"/>
            <wp:effectExtent l="0" t="0" r="0" b="0"/>
            <wp:wrapThrough wrapText="bothSides">
              <wp:wrapPolygon>
                <wp:start x="0" y="0"/>
                <wp:lineTo x="0" y="21135"/>
                <wp:lineTo x="21487" y="21135"/>
                <wp:lineTo x="21487" y="0"/>
                <wp:lineTo x="0" y="0"/>
              </wp:wrapPolygon>
            </wp:wrapThrough>
            <wp:docPr id="3" name="Picture 3" descr="Fitbit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Fitbit Logo, symbol, meaning, history, PNG, brand"/>
                    <pic:cNvPicPr>
                      <a:picLocks noChangeAspect="1" noChangeArrowheads="1"/>
                    </pic:cNvPicPr>
                  </pic:nvPicPr>
                  <pic:blipFill>
                    <a:blip r:embed="rId8" cstate="print">
                      <a:extLst>
                        <a:ext uri="{28A0092B-C50C-407E-A947-70E740481C1C}">
                          <a14:useLocalDpi xmlns:a14="http://schemas.microsoft.com/office/drawing/2010/main" val="0"/>
                        </a:ext>
                      </a:extLst>
                    </a:blip>
                    <a:srcRect t="24786" b="24786"/>
                    <a:stretch>
                      <a:fillRect/>
                    </a:stretch>
                  </pic:blipFill>
                  <pic:spPr>
                    <a:xfrm>
                      <a:off x="0" y="0"/>
                      <a:ext cx="3638550" cy="1031875"/>
                    </a:xfrm>
                    <a:prstGeom prst="rect">
                      <a:avLst/>
                    </a:prstGeom>
                    <a:noFill/>
                    <a:ln>
                      <a:noFill/>
                    </a:ln>
                  </pic:spPr>
                </pic:pic>
              </a:graphicData>
            </a:graphic>
          </wp:anchor>
        </w:drawing>
      </w:r>
      <w:r>
        <w:t>Blog 1: Fitbit - Stepping into a Healthier Lifestyle?</w:t>
      </w:r>
    </w:p>
    <w:p w14:paraId="4EFAA22F">
      <w:pPr>
        <w:spacing w:before="120" w:after="120" w:line="360" w:lineRule="auto"/>
        <w:jc w:val="both"/>
      </w:pPr>
      <w:r>
        <w:t>A sedentary lifestyle can be characterised by both minimal physical activities along with prolonged sitting (Park, 2020). This is known to have emerged as a significant health issue around the world. According to WHO (2024a), 31% of adults and 80% of adolescents do not meet the recommended levels of physical activity. Additionally, around 3.2 million deaths are known to occur per year related to physical inactivity, making it a major risk factor for various non-communicable diseases (World Heart Federation, 2021). Due to sedentary behaviours becoming more and more common mainly due to modern work alongside lifestyle patterns, there is a growing necessity for innovative interventions that will help in promoting active living.</w:t>
      </w:r>
    </w:p>
    <w:p w14:paraId="002CBD32">
      <w:pPr>
        <w:pStyle w:val="2"/>
        <w:spacing w:before="120" w:after="120" w:line="360" w:lineRule="auto"/>
        <w:jc w:val="both"/>
      </w:pPr>
      <w:bookmarkStart w:id="9" w:name="_ycrdojbla75i" w:colFirst="0" w:colLast="0"/>
      <w:bookmarkEnd w:id="9"/>
      <w:r>
        <w:t>Fitbit Technology Overview</w:t>
      </w:r>
    </w:p>
    <w:p w14:paraId="1C2BB11E">
      <w:pPr>
        <w:spacing w:before="120" w:after="120" w:line="360" w:lineRule="auto"/>
        <w:jc w:val="both"/>
      </w:pPr>
      <w:r>
        <w:drawing>
          <wp:anchor distT="0" distB="0" distL="114300" distR="114300" simplePos="0" relativeHeight="251659264" behindDoc="0" locked="0" layoutInCell="1" allowOverlap="1">
            <wp:simplePos x="0" y="0"/>
            <wp:positionH relativeFrom="column">
              <wp:posOffset>2962275</wp:posOffset>
            </wp:positionH>
            <wp:positionV relativeFrom="paragraph">
              <wp:posOffset>107315</wp:posOffset>
            </wp:positionV>
            <wp:extent cx="3181350" cy="3314700"/>
            <wp:effectExtent l="0" t="0" r="0" b="0"/>
            <wp:wrapThrough wrapText="bothSides">
              <wp:wrapPolygon>
                <wp:start x="0" y="0"/>
                <wp:lineTo x="0" y="21476"/>
                <wp:lineTo x="21471" y="21476"/>
                <wp:lineTo x="21471" y="0"/>
                <wp:lineTo x="0" y="0"/>
              </wp:wrapPolygon>
            </wp:wrapThrough>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9" cstate="print">
                      <a:extLst>
                        <a:ext uri="{28A0092B-C50C-407E-A947-70E740481C1C}">
                          <a14:useLocalDpi xmlns:a14="http://schemas.microsoft.com/office/drawing/2010/main" val="0"/>
                        </a:ext>
                      </a:extLst>
                    </a:blip>
                    <a:srcRect l="17468" t="16186" r="20673" b="17788"/>
                    <a:stretch>
                      <a:fillRect/>
                    </a:stretch>
                  </pic:blipFill>
                  <pic:spPr>
                    <a:xfrm>
                      <a:off x="0" y="0"/>
                      <a:ext cx="3181350" cy="3314700"/>
                    </a:xfrm>
                    <a:prstGeom prst="rect">
                      <a:avLst/>
                    </a:prstGeom>
                    <a:ln>
                      <a:noFill/>
                    </a:ln>
                  </pic:spPr>
                </pic:pic>
              </a:graphicData>
            </a:graphic>
          </wp:anchor>
        </w:drawing>
      </w:r>
      <w:r>
        <w:t>Fitbit is known as a revolutionary innovation, which is a leading brand in wearable fitness technology. Fitbit devices are known for being able to track key health metrics such as daily steps along with heart rate and sleep quality, among many more. The technology is mainly designed for promoting healthier habits by providing various features such as personalised goal setting and gamification, along with group challenges. Such elements are known for being strategically built to encourage users to focus more on remaining active throughout the day (Evans, 2022).</w:t>
      </w:r>
    </w:p>
    <w:p w14:paraId="53369FE4">
      <w:pPr>
        <w:pStyle w:val="2"/>
        <w:spacing w:before="120" w:after="120" w:line="360" w:lineRule="auto"/>
        <w:jc w:val="both"/>
      </w:pPr>
      <w:bookmarkStart w:id="10" w:name="_sg9t5ako9h4g" w:colFirst="0" w:colLast="0"/>
      <w:bookmarkEnd w:id="10"/>
      <w:r>
        <w:t>Evidence of Fitbit's Health Promotion Impact</w:t>
      </w:r>
    </w:p>
    <w:p w14:paraId="5B14514F">
      <w:pPr>
        <w:spacing w:before="120" w:after="120" w:line="360" w:lineRule="auto"/>
        <w:jc w:val="both"/>
      </w:pPr>
      <w:r>
        <w:t>According to the World Economic Forum (2021), people who track the number of steps they walk are known to take around 2,000 more steps a day than those who do not. Wang, Lizardo and Hachen (2022) also state that such devices have the potential to produce long-term changes in routines and habits. This is possible by providing information on behaviours users are then able to retrieve and monitor. This also indicates the device's potential to promote sustained behaviour change.</w:t>
      </w:r>
    </w:p>
    <w:p w14:paraId="43A7F3CC">
      <w:pPr>
        <w:pStyle w:val="2"/>
        <w:spacing w:before="120" w:after="120" w:line="360" w:lineRule="auto"/>
        <w:jc w:val="both"/>
      </w:pPr>
      <w:bookmarkStart w:id="11" w:name="_x2i7u4whig7r" w:colFirst="0" w:colLast="0"/>
      <w:bookmarkEnd w:id="11"/>
      <w:r>
        <w:t>Critical Analysis</w:t>
      </w:r>
    </w:p>
    <w:p w14:paraId="1D40B08E">
      <w:pPr>
        <w:spacing w:before="120" w:after="120" w:line="360" w:lineRule="auto"/>
        <w:jc w:val="both"/>
      </w:pPr>
      <w:r>
        <w:drawing>
          <wp:anchor distT="0" distB="0" distL="114300" distR="114300" simplePos="0" relativeHeight="251661312" behindDoc="0" locked="0" layoutInCell="1" allowOverlap="1">
            <wp:simplePos x="0" y="0"/>
            <wp:positionH relativeFrom="column">
              <wp:posOffset>0</wp:posOffset>
            </wp:positionH>
            <wp:positionV relativeFrom="paragraph">
              <wp:posOffset>24130</wp:posOffset>
            </wp:positionV>
            <wp:extent cx="3857625" cy="1905000"/>
            <wp:effectExtent l="0" t="0" r="9525" b="0"/>
            <wp:wrapThrough wrapText="bothSides">
              <wp:wrapPolygon>
                <wp:start x="0" y="0"/>
                <wp:lineTo x="0" y="21384"/>
                <wp:lineTo x="21547" y="21384"/>
                <wp:lineTo x="21547" y="0"/>
                <wp:lineTo x="0" y="0"/>
              </wp:wrapPolygon>
            </wp:wrapThrough>
            <wp:docPr id="4" name="Picture 4" descr="Enhance Health Research with New Data Endpoints from Fitbit Devic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Enhance Health Research with New Data Endpoints from Fitbit Devices ..."/>
                    <pic:cNvPicPr>
                      <a:picLocks noChangeAspect="1" noChangeArrowheads="1"/>
                    </pic:cNvPicPr>
                  </pic:nvPicPr>
                  <pic:blipFill>
                    <a:blip r:embed="rId10" cstate="print">
                      <a:extLst>
                        <a:ext uri="{28A0092B-C50C-407E-A947-70E740481C1C}">
                          <a14:useLocalDpi xmlns:a14="http://schemas.microsoft.com/office/drawing/2010/main" val="0"/>
                        </a:ext>
                      </a:extLst>
                    </a:blip>
                    <a:srcRect l="3846" t="5822" r="5930" b="4269"/>
                    <a:stretch>
                      <a:fillRect/>
                    </a:stretch>
                  </pic:blipFill>
                  <pic:spPr>
                    <a:xfrm>
                      <a:off x="0" y="0"/>
                      <a:ext cx="3857625" cy="1905000"/>
                    </a:xfrm>
                    <a:prstGeom prst="rect">
                      <a:avLst/>
                    </a:prstGeom>
                    <a:noFill/>
                    <a:ln>
                      <a:noFill/>
                    </a:ln>
                  </pic:spPr>
                </pic:pic>
              </a:graphicData>
            </a:graphic>
          </wp:anchor>
        </w:drawing>
      </w:r>
      <w:r>
        <w:t>It is essential to note that although gamification, along with real-time feedback, helps in offering initial motivation, user engagement often decreases over time (Bitrián, Buil and Catalán, 2021). This also increases the necessity of long-term user engagement. On the other hand, there is the challenge of affordability of Fitbit devices due to their cost. This could result in giving rise to digital health inequality concerns (Canali, Schiaffonati and Aliverti, 2022). It is also essential to note that access to technology along with digital literacy also varies significantly, which limits Fitbit's reach among vulnerable or older populations.</w:t>
      </w:r>
    </w:p>
    <w:p w14:paraId="55C1EA16">
      <w:pPr>
        <w:pStyle w:val="2"/>
        <w:spacing w:before="120" w:after="120" w:line="360" w:lineRule="auto"/>
        <w:jc w:val="both"/>
      </w:pPr>
      <w:bookmarkStart w:id="12" w:name="_9yr3goecbi33" w:colFirst="0" w:colLast="0"/>
      <w:bookmarkEnd w:id="12"/>
      <w:r>
        <w:t>Addressing Fitbit's Shortfalls</w:t>
      </w:r>
    </w:p>
    <w:p w14:paraId="0B3E382B">
      <w:pPr>
        <w:spacing w:before="120" w:after="120" w:line="360" w:lineRule="auto"/>
        <w:jc w:val="both"/>
      </w:pPr>
      <w:r>
        <w:t>In order to address such challenges, Fitbit could be subsidised by public health initiatives particularly for low-income individuals. It could also be beneficial to offer them the devices through various workplace wellness programs. By providing digital literacy training, it will also be possible to empower various users to properly use wearable technology (Kang and Exworthy, 2022). On the other hand, if Fitbit is integrated into a hybrid approach, which is a combination of digital tracking and personal coaching, it might be able to improve long-term engagement.</w:t>
      </w:r>
      <w:r>
        <w:br w:type="page"/>
      </w:r>
    </w:p>
    <w:p w14:paraId="6CFD8BDB">
      <w:pPr>
        <w:pStyle w:val="2"/>
        <w:spacing w:before="120" w:after="120" w:line="360" w:lineRule="auto"/>
      </w:pPr>
      <w:bookmarkStart w:id="13" w:name="_1fnr0eydafk6" w:colFirst="0" w:colLast="0"/>
      <w:bookmarkEnd w:id="13"/>
      <w:r>
        <w:rPr>
          <w:sz w:val="40"/>
          <w:szCs w:val="40"/>
        </w:rPr>
        <mc:AlternateContent>
          <mc:Choice Requires="wps">
            <w:drawing>
              <wp:anchor distT="0" distB="0" distL="114300" distR="114300" simplePos="0" relativeHeight="251662336" behindDoc="0" locked="0" layoutInCell="1" allowOverlap="1">
                <wp:simplePos x="0" y="0"/>
                <wp:positionH relativeFrom="column">
                  <wp:posOffset>4692650</wp:posOffset>
                </wp:positionH>
                <wp:positionV relativeFrom="paragraph">
                  <wp:posOffset>109855</wp:posOffset>
                </wp:positionV>
                <wp:extent cx="1828800" cy="1828800"/>
                <wp:effectExtent l="0" t="228600" r="0" b="238125"/>
                <wp:wrapNone/>
                <wp:docPr id="5" name="Text Box 5"/>
                <wp:cNvGraphicFramePr/>
                <a:graphic xmlns:a="http://schemas.openxmlformats.org/drawingml/2006/main">
                  <a:graphicData uri="http://schemas.microsoft.com/office/word/2010/wordprocessingShape">
                    <wps:wsp>
                      <wps:cNvSpPr txBox="1"/>
                      <wps:spPr>
                        <a:xfrm rot="20850736">
                          <a:off x="0" y="0"/>
                          <a:ext cx="1828800" cy="1828800"/>
                        </a:xfrm>
                        <a:prstGeom prst="rect">
                          <a:avLst/>
                        </a:prstGeom>
                        <a:noFill/>
                        <a:ln>
                          <a:noFill/>
                        </a:ln>
                      </wps:spPr>
                      <wps:txbx>
                        <w:txbxContent>
                          <w:p w14:paraId="39914A5C">
                            <w:pPr>
                              <w:jc w:val="center"/>
                              <w:rPr>
                                <w:b/>
                                <w:color w:val="C0504D" w:themeColor="accent2"/>
                                <w:sz w:val="72"/>
                                <w:szCs w:val="72"/>
                                <w:lang w:val="en-US"/>
                                <w14:textOutline w14:w="19050" w14:cap="flat" w14:cmpd="sng" w14:algn="ctr">
                                  <w14:solidFill>
                                    <w14:schemeClr w14:val="accent2"/>
                                  </w14:solidFill>
                                  <w14:prstDash w14:val="solid"/>
                                  <w14:round/>
                                </w14:textOutline>
                                <w14:textFill>
                                  <w14:gradFill>
                                    <w14:gsLst>
                                      <w14:gs w14:pos="0">
                                        <w14:schemeClr w14:val="accent2">
                                          <w14:lumMod w14:val="40000"/>
                                          <w14:lumOff w14:val="60000"/>
                                          <w14:shade w14:val="30000"/>
                                          <w14:satMod w14:val="115000"/>
                                        </w14:schemeClr>
                                      </w14:gs>
                                      <w14:gs w14:pos="50000">
                                        <w14:schemeClr w14:val="accent2">
                                          <w14:lumMod w14:val="40000"/>
                                          <w14:lumOff w14:val="60000"/>
                                          <w14:shade w14:val="67500"/>
                                          <w14:satMod w14:val="115000"/>
                                        </w14:schemeClr>
                                      </w14:gs>
                                      <w14:gs w14:pos="100000">
                                        <w14:schemeClr w14:val="accent2">
                                          <w14:lumMod w14:val="40000"/>
                                          <w14:lumOff w14:val="60000"/>
                                          <w14:shade w14:val="100000"/>
                                          <w14:satMod w14:val="115000"/>
                                        </w14:schemeClr>
                                      </w14:gs>
                                    </w14:gsLst>
                                    <w14:lin w14:ang="5400000" w14:scaled="0"/>
                                  </w14:gradFill>
                                </w14:textFill>
                              </w:rPr>
                            </w:pPr>
                            <w:r>
                              <w:rPr>
                                <w:b/>
                                <w:color w:val="C0504D" w:themeColor="accent2"/>
                                <w:sz w:val="72"/>
                                <w:szCs w:val="72"/>
                                <w:lang w:val="en-US"/>
                                <w14:textOutline w14:w="19050" w14:cap="flat" w14:cmpd="sng" w14:algn="ctr">
                                  <w14:solidFill>
                                    <w14:schemeClr w14:val="accent2"/>
                                  </w14:solidFill>
                                  <w14:prstDash w14:val="solid"/>
                                  <w14:round/>
                                </w14:textOutline>
                                <w14:textFill>
                                  <w14:gradFill>
                                    <w14:gsLst>
                                      <w14:gs w14:pos="0">
                                        <w14:schemeClr w14:val="accent2">
                                          <w14:lumMod w14:val="40000"/>
                                          <w14:lumOff w14:val="60000"/>
                                          <w14:shade w14:val="30000"/>
                                          <w14:satMod w14:val="115000"/>
                                        </w14:schemeClr>
                                      </w14:gs>
                                      <w14:gs w14:pos="50000">
                                        <w14:schemeClr w14:val="accent2">
                                          <w14:lumMod w14:val="40000"/>
                                          <w14:lumOff w14:val="60000"/>
                                          <w14:shade w14:val="67500"/>
                                          <w14:satMod w14:val="115000"/>
                                        </w14:schemeClr>
                                      </w14:gs>
                                      <w14:gs w14:pos="100000">
                                        <w14:schemeClr w14:val="accent2">
                                          <w14:lumMod w14:val="40000"/>
                                          <w14:lumOff w14:val="60000"/>
                                          <w14:shade w14:val="100000"/>
                                          <w14:satMod w14:val="115000"/>
                                        </w14:schemeClr>
                                      </w14:gs>
                                    </w14:gsLst>
                                    <w14:lin w14:ang="5400000" w14:scaled="0"/>
                                  </w14:gradFill>
                                </w14:textFill>
                              </w:rPr>
                              <w:t>AKTIVIO</w:t>
                            </w:r>
                          </w:p>
                        </w:txbxContent>
                      </wps:txbx>
                      <wps:bodyPr rot="0" spcFirstLastPara="0" vertOverflow="overflow" horzOverflow="overflow" vert="horz" wrap="none" lIns="91440" tIns="45720" rIns="91440" bIns="45720" numCol="1" spcCol="0" rtlCol="0" fromWordArt="0" anchor="t" anchorCtr="0" forceAA="0" compatLnSpc="1">
                        <a:spAutoFit/>
                        <a:scene3d>
                          <a:camera prst="isometricOffAxis1Right"/>
                          <a:lightRig rig="threePt" dir="t"/>
                        </a:scene3d>
                      </wps:bodyPr>
                    </wps:wsp>
                  </a:graphicData>
                </a:graphic>
              </wp:anchor>
            </w:drawing>
          </mc:Choice>
          <mc:Fallback>
            <w:pict>
              <v:shape id="_x0000_s1026" o:spid="_x0000_s1026" o:spt="202" type="#_x0000_t202" style="position:absolute;left:0pt;margin-left:369.5pt;margin-top:8.65pt;height:144pt;width:144pt;mso-wrap-style:none;rotation:-818396f;z-index:251662336;mso-width-relative:page;mso-height-relative:page;" filled="f" stroked="f" coordsize="21600,21600" o:gfxdata="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">
                <v:fill on="f" focussize="0,0"/>
                <v:stroke on="f"/>
                <v:imagedata o:title=""/>
                <o:lock v:ext="edit" aspectratio="f"/>
                <v:textbox style="mso-fit-shape-to-text:t;">
                  <w:txbxContent>
                    <w:p w14:paraId="39914A5C">
                      <w:pPr>
                        <w:jc w:val="center"/>
                        <w:rPr>
                          <w:b/>
                          <w:color w:val="C0504D" w:themeColor="accent2"/>
                          <w:sz w:val="72"/>
                          <w:szCs w:val="72"/>
                          <w:lang w:val="en-US"/>
                          <w14:textOutline w14:w="19050" w14:cap="flat" w14:cmpd="sng" w14:algn="ctr">
                            <w14:solidFill>
                              <w14:schemeClr w14:val="accent2"/>
                            </w14:solidFill>
                            <w14:prstDash w14:val="solid"/>
                            <w14:round/>
                          </w14:textOutline>
                          <w14:textFill>
                            <w14:gradFill>
                              <w14:gsLst>
                                <w14:gs w14:pos="0">
                                  <w14:schemeClr w14:val="accent2">
                                    <w14:lumMod w14:val="40000"/>
                                    <w14:lumOff w14:val="60000"/>
                                    <w14:shade w14:val="30000"/>
                                    <w14:satMod w14:val="115000"/>
                                  </w14:schemeClr>
                                </w14:gs>
                                <w14:gs w14:pos="50000">
                                  <w14:schemeClr w14:val="accent2">
                                    <w14:lumMod w14:val="40000"/>
                                    <w14:lumOff w14:val="60000"/>
                                    <w14:shade w14:val="67500"/>
                                    <w14:satMod w14:val="115000"/>
                                  </w14:schemeClr>
                                </w14:gs>
                                <w14:gs w14:pos="100000">
                                  <w14:schemeClr w14:val="accent2">
                                    <w14:lumMod w14:val="40000"/>
                                    <w14:lumOff w14:val="60000"/>
                                    <w14:shade w14:val="100000"/>
                                    <w14:satMod w14:val="115000"/>
                                  </w14:schemeClr>
                                </w14:gs>
                              </w14:gsLst>
                              <w14:lin w14:ang="5400000" w14:scaled="0"/>
                            </w14:gradFill>
                          </w14:textFill>
                        </w:rPr>
                      </w:pPr>
                      <w:r>
                        <w:rPr>
                          <w:b/>
                          <w:color w:val="C0504D" w:themeColor="accent2"/>
                          <w:sz w:val="72"/>
                          <w:szCs w:val="72"/>
                          <w:lang w:val="en-US"/>
                          <w14:textOutline w14:w="19050" w14:cap="flat" w14:cmpd="sng" w14:algn="ctr">
                            <w14:solidFill>
                              <w14:schemeClr w14:val="accent2"/>
                            </w14:solidFill>
                            <w14:prstDash w14:val="solid"/>
                            <w14:round/>
                          </w14:textOutline>
                          <w14:textFill>
                            <w14:gradFill>
                              <w14:gsLst>
                                <w14:gs w14:pos="0">
                                  <w14:schemeClr w14:val="accent2">
                                    <w14:lumMod w14:val="40000"/>
                                    <w14:lumOff w14:val="60000"/>
                                    <w14:shade w14:val="30000"/>
                                    <w14:satMod w14:val="115000"/>
                                  </w14:schemeClr>
                                </w14:gs>
                                <w14:gs w14:pos="50000">
                                  <w14:schemeClr w14:val="accent2">
                                    <w14:lumMod w14:val="40000"/>
                                    <w14:lumOff w14:val="60000"/>
                                    <w14:shade w14:val="67500"/>
                                    <w14:satMod w14:val="115000"/>
                                  </w14:schemeClr>
                                </w14:gs>
                                <w14:gs w14:pos="100000">
                                  <w14:schemeClr w14:val="accent2">
                                    <w14:lumMod w14:val="40000"/>
                                    <w14:lumOff w14:val="60000"/>
                                    <w14:shade w14:val="100000"/>
                                    <w14:satMod w14:val="115000"/>
                                  </w14:schemeClr>
                                </w14:gs>
                              </w14:gsLst>
                              <w14:lin w14:ang="5400000" w14:scaled="0"/>
                            </w14:gradFill>
                          </w14:textFill>
                        </w:rPr>
                        <w:t>AKTIVIO</w:t>
                      </w:r>
                    </w:p>
                  </w:txbxContent>
                </v:textbox>
              </v:shape>
            </w:pict>
          </mc:Fallback>
        </mc:AlternateContent>
      </w:r>
      <w:r>
        <w:rPr>
          <w:sz w:val="40"/>
          <w:szCs w:val="40"/>
        </w:rPr>
        <w:t>Blog 2: Aktivio - Your Personalised Path to Physical Activity</w:t>
      </w:r>
    </w:p>
    <w:p w14:paraId="3D0DB70A">
      <w:pPr>
        <w:spacing w:before="120" w:after="120" w:line="360" w:lineRule="auto"/>
        <w:jc w:val="both"/>
      </w:pPr>
      <w:bookmarkStart w:id="14" w:name="_s8pd077t8its" w:colFirst="0" w:colLast="0"/>
      <w:bookmarkEnd w:id="14"/>
      <w:r>
        <w:drawing>
          <wp:anchor distT="0" distB="0" distL="114300" distR="114300" simplePos="0" relativeHeight="251663360" behindDoc="0" locked="0" layoutInCell="1" allowOverlap="1">
            <wp:simplePos x="0" y="0"/>
            <wp:positionH relativeFrom="column">
              <wp:posOffset>3695700</wp:posOffset>
            </wp:positionH>
            <wp:positionV relativeFrom="paragraph">
              <wp:posOffset>1312545</wp:posOffset>
            </wp:positionV>
            <wp:extent cx="2830195" cy="3181350"/>
            <wp:effectExtent l="0" t="0" r="8255" b="0"/>
            <wp:wrapThrough wrapText="bothSides">
              <wp:wrapPolygon>
                <wp:start x="0" y="0"/>
                <wp:lineTo x="0" y="21471"/>
                <wp:lineTo x="21518" y="21471"/>
                <wp:lineTo x="21518" y="0"/>
                <wp:lineTo x="0" y="0"/>
              </wp:wrapPolygon>
            </wp:wrapThrough>
            <wp:docPr id="6" name="Picture 6" descr="Wearable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Wearable Technolo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2830195" cy="3181350"/>
                    </a:xfrm>
                    <a:prstGeom prst="rect">
                      <a:avLst/>
                    </a:prstGeom>
                    <a:noFill/>
                    <a:ln>
                      <a:noFill/>
                    </a:ln>
                  </pic:spPr>
                </pic:pic>
              </a:graphicData>
            </a:graphic>
          </wp:anchor>
        </w:drawing>
      </w:r>
      <w:r>
        <w:t xml:space="preserve">Nowadays, sedentary lifestyles are known for being a significant concern in this technology-driven world. People are known for spending more time while seated at their desks or even in cars or couches. This results in physical inactivity becoming a widespread issue (Woessner </w:t>
      </w:r>
      <w:r>
        <w:rPr>
          <w:i/>
        </w:rPr>
        <w:t>et al.,</w:t>
      </w:r>
      <w:r>
        <w:t xml:space="preserve"> 2021). According to WHO (2024b), 31% of adults, along with 80% of adolescents, are known for not meeting the recommended levels of physical activity. Such inactivity is known for increasing the risk of various chronic diseases, including obesity, cardiovascular disease, and diabetes (WHO, 2024c). This results in giving rise to the requirements of innovative digital solutions for encouraging and sustaining physical activity.</w:t>
      </w:r>
    </w:p>
    <w:p w14:paraId="4670B6D6">
      <w:pPr>
        <w:pStyle w:val="2"/>
        <w:spacing w:before="120" w:after="120" w:line="360" w:lineRule="auto"/>
        <w:jc w:val="both"/>
      </w:pPr>
      <w:bookmarkStart w:id="15" w:name="_uaqrbe4brkat" w:colFirst="0" w:colLast="0"/>
      <w:bookmarkEnd w:id="15"/>
      <w:r>
        <w:t>Introduction to Aktivio (Designed Technology)</w:t>
      </w:r>
    </w:p>
    <w:p w14:paraId="2848A4B1">
      <w:pPr>
        <w:spacing w:before="120" w:after="120" w:line="360" w:lineRule="auto"/>
        <w:jc w:val="both"/>
      </w:pPr>
      <w:r>
        <w:t>Aktivio is a smartphone application which will be primarily designed for tackling inactivity. It will be known for utilising the power of AI along with community engagement. This platform will help in offering users a highly personalised path to physical wellness. The mobile app will also be delivering tailored activity recommendations which will be primarily based on individual preferences along with their goals and physical capabilities. The app will also include various features, such as AI-driven adaptive coaching, which is known for adjusting routines along with suggestions in real time according to the progress of a user (</w:t>
      </w:r>
      <w:r>
        <w:rPr>
          <w:color w:val="222222"/>
          <w:highlight w:val="white"/>
        </w:rPr>
        <w:t>Ghezelseflou and Choori, 2023)</w:t>
      </w:r>
      <w:r>
        <w:t>. There will also be various other features, such as gamification, which will include earning badges and rewards along with interactive forums for sharing progress.</w:t>
      </w:r>
    </w:p>
    <w:p w14:paraId="05E2EDED">
      <w:pPr>
        <w:pStyle w:val="2"/>
        <w:spacing w:before="120" w:after="120" w:line="360" w:lineRule="auto"/>
        <w:jc w:val="both"/>
      </w:pPr>
      <w:bookmarkStart w:id="16" w:name="_8j1nitx09o62" w:colFirst="0" w:colLast="0"/>
      <w:bookmarkEnd w:id="16"/>
      <w:r>
        <w:t>How Aktivio Promotes Health</w:t>
      </w:r>
    </w:p>
    <w:p w14:paraId="6DCE457B">
      <w:pPr>
        <w:spacing w:before="120" w:after="120" w:line="360" w:lineRule="auto"/>
        <w:jc w:val="both"/>
      </w:pPr>
      <w:r>
        <w:t>Aktivio will also be encouraging physical activity, which will be possible through adaptive AI coaching, evolving with the behaviour and requirements of the user. The app will provide proper guidance that will be aligned with the physical activity guidelines of WHO whether the user is a beginner or already active. The gamification elements will include the feature of unlocking achievements along with earning rewards and fun challenges. This will help in boosting motivation (Barney, 2023). On the other hand, the community forums will help in developing a sense of social connection alongside accountability. This will help in increasing user engagement along with emotional support.</w:t>
      </w:r>
    </w:p>
    <w:p w14:paraId="74A5D53D">
      <w:pPr>
        <w:spacing w:before="120" w:after="120" w:line="360" w:lineRule="auto"/>
        <w:jc w:val="center"/>
      </w:pPr>
      <w:r>
        <w:drawing>
          <wp:inline distT="0" distB="0" distL="0" distR="0">
            <wp:extent cx="5943600" cy="2857500"/>
            <wp:effectExtent l="0" t="0" r="0" b="0"/>
            <wp:docPr id="7" name="Picture 7" descr="Global Wearable Technology Market Size, Share Analysis Report, 2022-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lobal Wearable Technology Market Size, Share Analysis Report, 2022-203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943600" cy="2857500"/>
                    </a:xfrm>
                    <a:prstGeom prst="rect">
                      <a:avLst/>
                    </a:prstGeom>
                    <a:noFill/>
                    <a:ln>
                      <a:noFill/>
                    </a:ln>
                  </pic:spPr>
                </pic:pic>
              </a:graphicData>
            </a:graphic>
          </wp:inline>
        </w:drawing>
      </w:r>
    </w:p>
    <w:p w14:paraId="1D4C7C38">
      <w:pPr>
        <w:pStyle w:val="2"/>
        <w:spacing w:before="120" w:after="120" w:line="360" w:lineRule="auto"/>
        <w:jc w:val="both"/>
      </w:pPr>
      <w:bookmarkStart w:id="17" w:name="_h9cjelyt0nd4" w:colFirst="0" w:colLast="0"/>
      <w:bookmarkEnd w:id="17"/>
      <w:r>
        <w:t>Critical Analysis of Aktivio</w:t>
      </w:r>
    </w:p>
    <w:p w14:paraId="1A461FA0">
      <w:pPr>
        <w:spacing w:before="120" w:after="120" w:line="360" w:lineRule="auto"/>
        <w:jc w:val="both"/>
      </w:pPr>
      <w:r>
        <w:t>The major strength of the app will lie in its approach, which will be personalised and accessible in nature. It will be offering tailored recommendations through smartphones, which will ensure both relevance and reach. There will also be the integration of psychology along with social components, such as setting goals and peer support, along with various rewards, which will make the app a comprehensive tool. However, various potential challenges will also remain, such as the app will rely heavily on users requiring constant digital access along with basic digital literacy. On the other hand, user motivation could also decline over time, which could be due to users becoming dependent on external rewards.</w:t>
      </w:r>
    </w:p>
    <w:p w14:paraId="0F380835">
      <w:pPr>
        <w:pStyle w:val="2"/>
        <w:spacing w:before="120" w:after="120" w:line="360" w:lineRule="auto"/>
        <w:jc w:val="both"/>
      </w:pPr>
      <w:bookmarkStart w:id="18" w:name="_5dkjj1opu4pf" w:colFirst="0" w:colLast="0"/>
      <w:bookmarkEnd w:id="18"/>
      <w:r>
        <w:t>Addressing Shortfalls</w:t>
      </w:r>
    </w:p>
    <w:p w14:paraId="4AEC7359">
      <w:pPr>
        <w:spacing w:before="120" w:after="120" w:line="360" w:lineRule="auto"/>
        <w:jc w:val="both"/>
      </w:pPr>
      <w:r>
        <w:t>In order to improve inclusivity along with long-term effectiveness, Aktivio could be integrated with blended support systems. Those could include in-person workshops or even coaching sessions. It will also be possible to empower more users to fully engage with the app by offering digital literacy programs (Hussain and Shumaila Phulpoto, 2024). It will also be beneficial to balance gamified rewards with various strategies that will help increase internal motivation, such as self-reflection prompts or even habit tracking. This will also help in sustaining long-term engagement (Mintoak, 2024).</w:t>
      </w:r>
      <w:bookmarkStart w:id="19" w:name="_rxccinltbsnh" w:colFirst="0" w:colLast="0"/>
      <w:bookmarkEnd w:id="19"/>
    </w:p>
    <w:p w14:paraId="355C266B">
      <w:r>
        <w:br w:type="page"/>
      </w:r>
    </w:p>
    <w:p w14:paraId="6C11EE7A">
      <w:pPr>
        <w:pStyle w:val="2"/>
        <w:spacing w:before="120" w:after="120" w:line="360" w:lineRule="auto"/>
        <w:jc w:val="both"/>
      </w:pPr>
      <w:bookmarkStart w:id="20" w:name="_hsa1d9wy4ud4" w:colFirst="0" w:colLast="0"/>
      <w:bookmarkEnd w:id="20"/>
      <w:r>
        <w:t>References</w:t>
      </w:r>
    </w:p>
    <w:p w14:paraId="3C2C2686">
      <w:pPr>
        <w:spacing w:before="120" w:after="120" w:line="360" w:lineRule="auto"/>
        <w:jc w:val="both"/>
      </w:pPr>
      <w:r>
        <w:t xml:space="preserve">Barney, N. (2023). </w:t>
      </w:r>
      <w:r>
        <w:rPr>
          <w:i/>
        </w:rPr>
        <w:t>What Is Gamification? How It Works and How to Use It</w:t>
      </w:r>
      <w:r>
        <w:t>. [online] Tech Target. Available at: https://www.techtarget.com/searchhrsoftware/definition/gamification [Accessed 22 Mar. 2025].</w:t>
      </w:r>
    </w:p>
    <w:p w14:paraId="04CEC105">
      <w:pPr>
        <w:spacing w:before="120" w:after="120" w:line="360" w:lineRule="auto"/>
        <w:jc w:val="both"/>
      </w:pPr>
      <w:r>
        <w:t xml:space="preserve">Bitrián, P., Buil, I. and Catalán, S. (2021). Enhancing user engagement: The role of gamification in mobile apps. </w:t>
      </w:r>
      <w:r>
        <w:rPr>
          <w:i/>
        </w:rPr>
        <w:t>Journal of Business Research</w:t>
      </w:r>
      <w:r>
        <w:t>, 132(1), pp.170–185. doi:https://doi.org/10.1016/j.jbusres.2021.04.028.</w:t>
      </w:r>
    </w:p>
    <w:p w14:paraId="0ACF843B">
      <w:pPr>
        <w:spacing w:before="120" w:after="120" w:line="360" w:lineRule="auto"/>
        <w:jc w:val="both"/>
      </w:pPr>
      <w:r>
        <w:t xml:space="preserve">Canali, S., Schiaffonati, V. and Aliverti, A. (2022). Challenges and Recommendations for Wearable Devices in Digital health: Data quality, interoperability, Health equity, Fairness. </w:t>
      </w:r>
      <w:r>
        <w:rPr>
          <w:i/>
        </w:rPr>
        <w:t>PLOS Digital Health</w:t>
      </w:r>
      <w:r>
        <w:t>, [online] 1(10). doi:https://doi.org/10.1371/journal.pdig.0000104.</w:t>
      </w:r>
    </w:p>
    <w:p w14:paraId="561093BD">
      <w:pPr>
        <w:spacing w:before="120" w:after="120" w:line="360" w:lineRule="auto"/>
        <w:jc w:val="both"/>
      </w:pPr>
      <w:r>
        <w:t xml:space="preserve">Evans, M. (2022). </w:t>
      </w:r>
      <w:r>
        <w:rPr>
          <w:i/>
        </w:rPr>
        <w:t>The best Fitbit 2022</w:t>
      </w:r>
      <w:r>
        <w:t>. [online] TechRadar. Available at: https://www.techradar.com/best/the-best-fitbit [Accessed 22 Mar. 2025].</w:t>
      </w:r>
    </w:p>
    <w:p w14:paraId="55009E5D">
      <w:pPr>
        <w:spacing w:before="120" w:after="120" w:line="360" w:lineRule="auto"/>
        <w:jc w:val="both"/>
      </w:pPr>
      <w:r>
        <w:rPr>
          <w:color w:val="222222"/>
          <w:highlight w:val="white"/>
        </w:rPr>
        <w:t xml:space="preserve">Ghezelseflou, H. and Choori, A., (2023). Athlete perspectives on AI-driven coaching technologies: a qualitative inquiry. </w:t>
      </w:r>
      <w:r>
        <w:rPr>
          <w:i/>
          <w:color w:val="222222"/>
          <w:highlight w:val="white"/>
        </w:rPr>
        <w:t>AI Tech. Behav. Soc. Sci</w:t>
      </w:r>
      <w:r>
        <w:rPr>
          <w:color w:val="222222"/>
          <w:highlight w:val="white"/>
        </w:rPr>
        <w:t xml:space="preserve">, </w:t>
      </w:r>
      <w:r>
        <w:rPr>
          <w:i/>
          <w:color w:val="222222"/>
          <w:highlight w:val="white"/>
        </w:rPr>
        <w:t>1</w:t>
      </w:r>
      <w:r>
        <w:rPr>
          <w:color w:val="222222"/>
          <w:highlight w:val="white"/>
        </w:rPr>
        <w:t>, pp.4-11.</w:t>
      </w:r>
    </w:p>
    <w:p w14:paraId="13C8346C">
      <w:pPr>
        <w:spacing w:before="120" w:after="120" w:line="360" w:lineRule="auto"/>
        <w:jc w:val="both"/>
        <w:rPr>
          <w:color w:val="222222"/>
          <w:highlight w:val="white"/>
        </w:rPr>
      </w:pPr>
      <w:r>
        <w:rPr>
          <w:color w:val="222222"/>
          <w:highlight w:val="white"/>
        </w:rPr>
        <w:t xml:space="preserve">Hussain, N. and Shumaila Phulpoto (2024). Digital Literacy: Empowering Individuals in the Digital Age. </w:t>
      </w:r>
      <w:r>
        <w:rPr>
          <w:i/>
          <w:color w:val="222222"/>
          <w:highlight w:val="white"/>
        </w:rPr>
        <w:t>Assyfa Learning Journal</w:t>
      </w:r>
      <w:r>
        <w:rPr>
          <w:color w:val="222222"/>
          <w:highlight w:val="white"/>
        </w:rPr>
        <w:t>, [online] 2(2), pp.70–83. doi:</w:t>
      </w:r>
      <w:r>
        <w:fldChar w:fldCharType="begin"/>
      </w:r>
      <w:r>
        <w:instrText xml:space="preserve"> HYPERLINK "https://doi.org/10.61650/alj.v2i2.231" \h </w:instrText>
      </w:r>
      <w:r>
        <w:fldChar w:fldCharType="separate"/>
      </w:r>
      <w:r>
        <w:rPr>
          <w:color w:val="1155CC"/>
          <w:highlight w:val="white"/>
          <w:u w:val="single"/>
        </w:rPr>
        <w:t>https://doi.org/10.61650/alj.v2i2.231</w:t>
      </w:r>
      <w:r>
        <w:rPr>
          <w:color w:val="1155CC"/>
          <w:highlight w:val="white"/>
          <w:u w:val="single"/>
        </w:rPr>
        <w:fldChar w:fldCharType="end"/>
      </w:r>
      <w:r>
        <w:rPr>
          <w:color w:val="222222"/>
          <w:highlight w:val="white"/>
        </w:rPr>
        <w:t>.</w:t>
      </w:r>
    </w:p>
    <w:p w14:paraId="028FD686">
      <w:pPr>
        <w:spacing w:before="120" w:after="120" w:line="360" w:lineRule="auto"/>
        <w:jc w:val="both"/>
      </w:pPr>
      <w:r>
        <w:t xml:space="preserve">Kang, H.S. and Exworthy, M. (2022). Wearing the Future—Wearables to Empower Users to Take Greater Responsibility for Their Health and Care: Scoping Review. </w:t>
      </w:r>
      <w:r>
        <w:rPr>
          <w:i/>
        </w:rPr>
        <w:t>JMIR mHealth and uHealth</w:t>
      </w:r>
      <w:r>
        <w:t>, 10(7). doi:https://doi.org/10.2196/35684.</w:t>
      </w:r>
    </w:p>
    <w:p w14:paraId="63258A80">
      <w:pPr>
        <w:spacing w:before="120" w:after="120" w:line="360" w:lineRule="auto"/>
        <w:jc w:val="both"/>
      </w:pPr>
      <w:r>
        <w:t xml:space="preserve">Masterson, V. (2021). </w:t>
      </w:r>
      <w:r>
        <w:rPr>
          <w:i/>
        </w:rPr>
        <w:t>People who wear fitness trackers are more active</w:t>
      </w:r>
      <w:r>
        <w:t>. [online] World Economic Forum. Available at: https://www.weforum.org/stories/2021/01/steps-fitness-tracker-health-wearable/ [Accessed 22 Mar. 2025].</w:t>
      </w:r>
    </w:p>
    <w:p w14:paraId="323F36B5">
      <w:pPr>
        <w:spacing w:before="120" w:after="120" w:line="360" w:lineRule="auto"/>
        <w:jc w:val="both"/>
        <w:rPr>
          <w:color w:val="222222"/>
          <w:highlight w:val="white"/>
        </w:rPr>
      </w:pPr>
      <w:r>
        <w:rPr>
          <w:color w:val="222222"/>
          <w:highlight w:val="white"/>
        </w:rPr>
        <w:t xml:space="preserve">Mintoak (2024). </w:t>
      </w:r>
      <w:r>
        <w:rPr>
          <w:i/>
          <w:color w:val="222222"/>
          <w:highlight w:val="white"/>
        </w:rPr>
        <w:t>Psychological Impact of Gamification: Merchant Retention</w:t>
      </w:r>
      <w:r>
        <w:rPr>
          <w:color w:val="222222"/>
          <w:highlight w:val="white"/>
        </w:rPr>
        <w:t>. [online] Mintoak.com. Available at: https://www.mintoak.com/resource/blog/How-gamification-works-on-a-psychological-level-and-increases-merchant-retention-on-the-app [Accessed 22 Mar. 2025].</w:t>
      </w:r>
    </w:p>
    <w:p w14:paraId="3E227EF1">
      <w:pPr>
        <w:spacing w:before="120" w:after="120" w:line="360" w:lineRule="auto"/>
        <w:jc w:val="both"/>
      </w:pPr>
      <w:r>
        <w:t xml:space="preserve">Park, J.H. (2020). Sedentary lifestyle: Overview of updated evidence of potential health risks. </w:t>
      </w:r>
      <w:r>
        <w:rPr>
          <w:i/>
        </w:rPr>
        <w:t>Korean Journal of Family Medicine</w:t>
      </w:r>
      <w:r>
        <w:t>, [online] 41(6), pp.365–373. doi:https://doi.org/10.4082/kjfm.20.0165.</w:t>
      </w:r>
    </w:p>
    <w:p w14:paraId="4C6CBE70">
      <w:pPr>
        <w:spacing w:before="120" w:after="120" w:line="360" w:lineRule="auto"/>
        <w:jc w:val="both"/>
        <w:rPr>
          <w:lang w:val="en-US"/>
        </w:rPr>
      </w:pPr>
      <w:r>
        <w:rPr>
          <w:lang w:val="en-US"/>
        </w:rPr>
        <w:t xml:space="preserve">Polaris Market Research (2022). </w:t>
      </w:r>
      <w:r>
        <w:rPr>
          <w:i/>
          <w:iCs/>
          <w:lang w:val="en-US"/>
        </w:rPr>
        <w:t>Global Wearable Technology Market Size, Share Analysis Report, 2022-2030</w:t>
      </w:r>
      <w:r>
        <w:rPr>
          <w:lang w:val="en-US"/>
        </w:rPr>
        <w:t>. [online] Polaris. Available at: https://www.polarismarketresearch.com/industry-analysis/wearable-technology-market [Accessed 22 Mar. 2025].</w:t>
      </w:r>
    </w:p>
    <w:p w14:paraId="02D2B532">
      <w:pPr>
        <w:spacing w:before="120" w:after="120" w:line="360" w:lineRule="auto"/>
        <w:jc w:val="both"/>
      </w:pPr>
      <w:r>
        <w:t xml:space="preserve">Wang, C., Lizardo, O. and Hachen, D.S. (2022). A Longitudinal Study of Fitbit Usage Behavior Among College Students. </w:t>
      </w:r>
      <w:r>
        <w:rPr>
          <w:i/>
        </w:rPr>
        <w:t>Cyberpsychology, Behavior, and Social Networking</w:t>
      </w:r>
      <w:r>
        <w:t>. doi:https://doi.org/10.1089/cyber.2021.0047.</w:t>
      </w:r>
    </w:p>
    <w:p w14:paraId="687DDEDB">
      <w:pPr>
        <w:spacing w:before="120" w:after="120" w:line="360" w:lineRule="auto"/>
        <w:jc w:val="both"/>
      </w:pPr>
      <w:r>
        <w:t xml:space="preserve">WHO (2024a). </w:t>
      </w:r>
      <w:r>
        <w:rPr>
          <w:i/>
        </w:rPr>
        <w:t>Physical activity</w:t>
      </w:r>
      <w:r>
        <w:t>. [online] World Health Organization. Available at: https://www.who.int/news-room/fact-sheets/detail/physical-activity [Accessed 22 Mar. 2025].</w:t>
      </w:r>
    </w:p>
    <w:p w14:paraId="3FDB7165">
      <w:pPr>
        <w:spacing w:before="120" w:after="120" w:line="360" w:lineRule="auto"/>
        <w:jc w:val="both"/>
      </w:pPr>
      <w:r>
        <w:t xml:space="preserve">WHO (2024b). </w:t>
      </w:r>
      <w:r>
        <w:rPr>
          <w:i/>
        </w:rPr>
        <w:t>Physical activity</w:t>
      </w:r>
      <w:r>
        <w:t>. [online] World Health Organization. Available at: https://www.who.int/news-room/fact-sheets/detail/physical-activity [Accessed 22 Mar. 2025].</w:t>
      </w:r>
    </w:p>
    <w:p w14:paraId="609A0781">
      <w:pPr>
        <w:spacing w:before="120" w:after="120" w:line="360" w:lineRule="auto"/>
        <w:jc w:val="both"/>
      </w:pPr>
      <w:r>
        <w:t xml:space="preserve">WHO (2024c). </w:t>
      </w:r>
      <w:r>
        <w:rPr>
          <w:i/>
        </w:rPr>
        <w:t>Nearly 1.8 Billion Adults at Risk of Disease from Not Doing Enough Physical Activity</w:t>
      </w:r>
      <w:r>
        <w:t>. [online] World Health Organization. Available at: https://www.who.int/news/item/26-06-2024-nearly-1.8-billion-adults-at-risk-of-disease-from-not-doing-enough-physical-activity [Accessed 22 Mar. 2025].</w:t>
      </w:r>
    </w:p>
    <w:p w14:paraId="101EDB93">
      <w:pPr>
        <w:spacing w:before="120" w:after="120" w:line="360" w:lineRule="auto"/>
        <w:jc w:val="both"/>
      </w:pPr>
      <w:r>
        <w:t xml:space="preserve">Woessner, M.N., Tacey, A., Levinger-Limor, A., Parker, A.G., Levinger, P. and Levinger, I. (2021). The Evolution of Technology and Physical Inactivity: The Good, the Bad, and the Way Forward. </w:t>
      </w:r>
      <w:r>
        <w:rPr>
          <w:i/>
        </w:rPr>
        <w:t>Frontiers in Public Health</w:t>
      </w:r>
      <w:r>
        <w:t>, [online] 9(655491). doi:https://doi.org/10.3389/fpubh.2021.655491.</w:t>
      </w:r>
    </w:p>
    <w:p w14:paraId="0ADA459C">
      <w:pPr>
        <w:spacing w:before="120" w:after="120" w:line="360" w:lineRule="auto"/>
        <w:jc w:val="both"/>
      </w:pPr>
      <w:r>
        <w:t xml:space="preserve">World Heart Federation (2021). </w:t>
      </w:r>
      <w:r>
        <w:rPr>
          <w:i/>
        </w:rPr>
        <w:t>Physical inactivity Physical inactivity Physical inactivity kills</w:t>
      </w:r>
      <w:r>
        <w:t>. [online] Available at: https://world-heart-federation.org/wp-content/uploads/2021/05/WHF-Factsheet-Physical-activity.pdf [Accessed 22 Mar. 2025].</w:t>
      </w:r>
    </w:p>
    <w:p w14:paraId="6320C1F1">
      <w:pPr>
        <w:spacing w:before="120" w:after="120" w:line="360" w:lineRule="auto"/>
        <w:jc w:val="both"/>
      </w:pPr>
    </w:p>
    <w:p w14:paraId="465BE89E">
      <w:pPr>
        <w:spacing w:before="120" w:after="120" w:line="360" w:lineRule="auto"/>
        <w:jc w:val="both"/>
      </w:pPr>
    </w:p>
    <w:p w14:paraId="70317F9D">
      <w:pPr>
        <w:spacing w:before="120" w:after="120" w:line="360" w:lineRule="auto"/>
        <w:jc w:val="both"/>
      </w:pPr>
    </w:p>
    <w:p w14:paraId="13C4B534">
      <w:pPr>
        <w:spacing w:before="120" w:after="120" w:line="360" w:lineRule="auto"/>
        <w:jc w:val="both"/>
        <w:rPr>
          <w:b/>
          <w:bCs/>
          <w:sz w:val="28"/>
          <w:szCs w:val="28"/>
        </w:rPr>
      </w:pPr>
    </w:p>
    <w:p w14:paraId="38BD5B39">
      <w:pPr>
        <w:spacing w:before="120" w:after="120" w:line="360" w:lineRule="auto"/>
        <w:jc w:val="center"/>
        <w:rPr>
          <w:b/>
          <w:bCs/>
          <w:sz w:val="28"/>
          <w:szCs w:val="28"/>
        </w:rPr>
      </w:pPr>
      <w:r>
        <w:rPr>
          <w:b/>
          <w:bCs/>
          <w:sz w:val="28"/>
          <w:szCs w:val="28"/>
        </w:rPr>
        <w:t>Poster</w:t>
      </w:r>
    </w:p>
    <w:p w14:paraId="4F7D2EE5">
      <w:pPr>
        <w:spacing w:before="120" w:after="120" w:line="360" w:lineRule="auto"/>
        <w:jc w:val="both"/>
        <w:rPr>
          <w:b/>
          <w:bCs/>
          <w:sz w:val="40"/>
          <w:szCs w:val="40"/>
        </w:rPr>
      </w:pPr>
      <w:bookmarkStart w:id="21" w:name="_GoBack"/>
      <w:r>
        <w:rPr>
          <w:b/>
          <w:bCs/>
          <w:sz w:val="40"/>
          <w:szCs w:val="40"/>
        </w:rPr>
        <w:drawing>
          <wp:inline distT="0" distB="0" distL="0" distR="0">
            <wp:extent cx="5911850" cy="8071485"/>
            <wp:effectExtent l="0" t="0" r="0" b="5715"/>
            <wp:docPr id="1694288803" name="Picture 2"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288803" name="Picture 2" descr="A screenshot of a website&#10;&#10;AI-generated content may be incorrect."/>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12963" cy="8073568"/>
                    </a:xfrm>
                    <a:prstGeom prst="rect">
                      <a:avLst/>
                    </a:prstGeom>
                  </pic:spPr>
                </pic:pic>
              </a:graphicData>
            </a:graphic>
          </wp:inline>
        </w:drawing>
      </w:r>
      <w:bookmarkEnd w:id="21"/>
    </w:p>
    <w:sectPr>
      <w:footerReference r:id="rId5" w:type="default"/>
      <w:pgSz w:w="12240" w:h="15840"/>
      <w:pgMar w:top="1276" w:right="1440" w:bottom="709" w:left="1440" w:header="720" w:footer="720" w:gutter="0"/>
      <w:pgBorders w:offsetFrom="page">
        <w:top w:val="triple" w:color="auto" w:sz="4" w:space="24"/>
        <w:left w:val="triple" w:color="auto" w:sz="4" w:space="24"/>
        <w:bottom w:val="triple" w:color="auto" w:sz="4" w:space="24"/>
        <w:right w:val="trip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9D96D86">
    <w:pPr>
      <w:jc w:val="right"/>
    </w:pPr>
    <w:r>
      <w:fldChar w:fldCharType="begin"/>
    </w:r>
    <w:r>
      <w:instrText xml:space="preserve">PAGE</w:instrText>
    </w:r>
    <w:r>
      <w:fldChar w:fldCharType="separate"/>
    </w:r>
    <w: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17"/>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MDc0NjKzMLQwNjMyszRQ0lEKTi0uzszPAykwqgUA1c11nSwAAAA="/>
  </w:docVars>
  <w:rsids>
    <w:rsidRoot w:val="0048090B"/>
    <w:rsid w:val="00447342"/>
    <w:rsid w:val="0048090B"/>
    <w:rsid w:val="004F521F"/>
    <w:rsid w:val="00572479"/>
    <w:rsid w:val="0062326E"/>
    <w:rsid w:val="00624E11"/>
    <w:rsid w:val="00852015"/>
    <w:rsid w:val="00952A5E"/>
    <w:rsid w:val="00A31CB6"/>
    <w:rsid w:val="00A545DC"/>
    <w:rsid w:val="00B13D07"/>
    <w:rsid w:val="00B15999"/>
    <w:rsid w:val="00B44CE0"/>
    <w:rsid w:val="00C04BCA"/>
    <w:rsid w:val="00C53C08"/>
    <w:rsid w:val="00CB1ADB"/>
    <w:rsid w:val="00D47D6C"/>
    <w:rsid w:val="00D60B65"/>
    <w:rsid w:val="00D709C7"/>
    <w:rsid w:val="722F06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Calibri" w:hAnsi="Calibri" w:eastAsia="Calibri" w:cs="Calibri"/>
      <w:sz w:val="24"/>
      <w:szCs w:val="24"/>
      <w:lang w:val="en-GB" w:eastAsia="en-US" w:bidi="ar-SA"/>
    </w:rPr>
  </w:style>
  <w:style w:type="paragraph" w:styleId="2">
    <w:name w:val="heading 1"/>
    <w:basedOn w:val="1"/>
    <w:next w:val="1"/>
    <w:qFormat/>
    <w:uiPriority w:val="9"/>
    <w:pPr>
      <w:keepNext/>
      <w:keepLines/>
      <w:outlineLvl w:val="0"/>
    </w:pPr>
    <w:rPr>
      <w:b/>
      <w:sz w:val="28"/>
      <w:szCs w:val="28"/>
    </w:rPr>
  </w:style>
  <w:style w:type="paragraph" w:styleId="3">
    <w:name w:val="heading 2"/>
    <w:basedOn w:val="1"/>
    <w:next w:val="1"/>
    <w:semiHidden/>
    <w:unhideWhenUsed/>
    <w:qFormat/>
    <w:uiPriority w:val="9"/>
    <w:pPr>
      <w:keepNext/>
      <w:keepLines/>
      <w:spacing w:before="360" w:after="120"/>
      <w:outlineLvl w:val="1"/>
    </w:pPr>
    <w:rPr>
      <w:sz w:val="32"/>
      <w:szCs w:val="32"/>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color w:val="666666"/>
      <w:sz w:val="22"/>
      <w:szCs w:val="22"/>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Subtitle"/>
    <w:basedOn w:val="1"/>
    <w:next w:val="1"/>
    <w:qFormat/>
    <w:uiPriority w:val="11"/>
    <w:pPr>
      <w:keepNext/>
      <w:keepLines/>
      <w:spacing w:after="320"/>
    </w:pPr>
    <w:rPr>
      <w:rFonts w:ascii="Arial" w:hAnsi="Arial" w:eastAsia="Arial" w:cs="Arial"/>
      <w:color w:val="666666"/>
      <w:sz w:val="30"/>
      <w:szCs w:val="30"/>
    </w:rPr>
  </w:style>
  <w:style w:type="paragraph" w:styleId="11">
    <w:name w:val="Title"/>
    <w:basedOn w:val="1"/>
    <w:next w:val="1"/>
    <w:qFormat/>
    <w:uiPriority w:val="10"/>
    <w:pPr>
      <w:keepNext/>
      <w:keepLines/>
      <w:spacing w:after="60"/>
    </w:pPr>
    <w:rPr>
      <w:sz w:val="52"/>
      <w:szCs w:val="52"/>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7.jpeg"/><Relationship Id="rId12" Type="http://schemas.openxmlformats.org/officeDocument/2006/relationships/image" Target="media/image6.png"/><Relationship Id="rId11" Type="http://schemas.openxmlformats.org/officeDocument/2006/relationships/image" Target="media/image5.jpe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10</Pages>
  <Words>1624</Words>
  <Characters>9262</Characters>
  <Lines>77</Lines>
  <Paragraphs>21</Paragraphs>
  <TotalTime>4</TotalTime>
  <ScaleCrop>false</ScaleCrop>
  <LinksUpToDate>false</LinksUpToDate>
  <CharactersWithSpaces>10865</CharactersWithSpaces>
  <Application>WPS Office_12.2.0.20326_F1E327BC-269C-435d-A152-05C5408002CA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2025-03-22T15:31:00Z</dcterms:created>
  <dc:creator>Naitik</dc:creator>
  <cp:lastModifiedBy>Dev Patel</cp:lastModifiedBy>
  <dcterms:modified xsi:type="dcterms:W3CDTF">2025-04-01T20:06:37Z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1033-12.2.0.20326</vt:lpwstr>
  </property>
  <property fmtid="{D5CDD505-2E9C-101B-9397-08002B2CF9AE}" pid="3" name="ICV">
    <vt:lpwstr>7123B23C22A645E8A55038EC8F15DAC2_12</vt:lpwstr>
  </property>
</Properties>
</file>