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7A3EE" w14:textId="77777777" w:rsidR="00C953C4" w:rsidRDefault="001B7747" w:rsidP="001B7747">
      <w:pPr>
        <w:spacing w:line="360" w:lineRule="auto"/>
        <w:jc w:val="center"/>
        <w:rPr>
          <w:rFonts w:ascii="Arial" w:eastAsia="Arial" w:hAnsi="Arial" w:cs="Arial"/>
          <w:b/>
          <w:bCs/>
          <w:sz w:val="32"/>
          <w:szCs w:val="32"/>
        </w:rPr>
      </w:pPr>
      <w:r>
        <w:rPr>
          <w:rFonts w:ascii="Arial" w:eastAsia="Arial" w:hAnsi="Arial" w:cs="Arial"/>
          <w:b/>
          <w:bCs/>
          <w:noProof/>
          <w:sz w:val="32"/>
          <w:szCs w:val="32"/>
        </w:rPr>
        <w:drawing>
          <wp:inline distT="114300" distB="114300" distL="114300" distR="114300" wp14:anchorId="254C2128" wp14:editId="74A0C6E8">
            <wp:extent cx="2968463" cy="114524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2968463" cy="1145240"/>
                    </a:xfrm>
                    <a:prstGeom prst="rect">
                      <a:avLst/>
                    </a:prstGeom>
                    <a:ln/>
                  </pic:spPr>
                </pic:pic>
              </a:graphicData>
            </a:graphic>
          </wp:inline>
        </w:drawing>
      </w:r>
    </w:p>
    <w:p w14:paraId="60D8ABA3" w14:textId="77777777" w:rsidR="00C953C4" w:rsidRDefault="00C953C4" w:rsidP="001B7747">
      <w:pPr>
        <w:spacing w:line="360" w:lineRule="auto"/>
        <w:jc w:val="center"/>
        <w:rPr>
          <w:rFonts w:ascii="Arial" w:eastAsia="Arial" w:hAnsi="Arial" w:cs="Arial"/>
          <w:b/>
          <w:bCs/>
          <w:sz w:val="32"/>
          <w:szCs w:val="32"/>
        </w:rPr>
      </w:pPr>
    </w:p>
    <w:p w14:paraId="733D85AC" w14:textId="77777777" w:rsidR="00C953C4" w:rsidRDefault="001B7747" w:rsidP="001B7747">
      <w:pPr>
        <w:spacing w:line="360" w:lineRule="auto"/>
        <w:jc w:val="center"/>
        <w:rPr>
          <w:rFonts w:ascii="Arial" w:eastAsia="Arial" w:hAnsi="Arial" w:cs="Arial"/>
          <w:b/>
          <w:bCs/>
          <w:sz w:val="28"/>
          <w:szCs w:val="28"/>
        </w:rPr>
      </w:pPr>
      <w:r>
        <w:rPr>
          <w:rFonts w:ascii="Arial" w:eastAsia="Arial" w:hAnsi="Arial" w:cs="Arial"/>
          <w:b/>
          <w:bCs/>
          <w:sz w:val="28"/>
          <w:szCs w:val="28"/>
        </w:rPr>
        <w:t>Student ID: 2542500</w:t>
      </w:r>
    </w:p>
    <w:p w14:paraId="1A3E022F" w14:textId="77777777" w:rsidR="00C953C4" w:rsidRDefault="001B7747" w:rsidP="001B7747">
      <w:pPr>
        <w:spacing w:line="360" w:lineRule="auto"/>
        <w:jc w:val="center"/>
        <w:rPr>
          <w:rFonts w:ascii="Arial" w:eastAsia="Arial" w:hAnsi="Arial" w:cs="Arial"/>
          <w:b/>
          <w:bCs/>
          <w:sz w:val="28"/>
          <w:szCs w:val="28"/>
        </w:rPr>
      </w:pPr>
      <w:r>
        <w:rPr>
          <w:rFonts w:ascii="Arial" w:eastAsia="Arial" w:hAnsi="Arial" w:cs="Arial"/>
          <w:b/>
          <w:bCs/>
          <w:sz w:val="28"/>
          <w:szCs w:val="28"/>
        </w:rPr>
        <w:t>Student Name: PATEL PRINCEKUMAR HARSHADBHAI</w:t>
      </w:r>
    </w:p>
    <w:p w14:paraId="57E691BA" w14:textId="77777777" w:rsidR="00C953C4" w:rsidRDefault="00C953C4" w:rsidP="001B7747">
      <w:pPr>
        <w:spacing w:line="360" w:lineRule="auto"/>
        <w:jc w:val="center"/>
        <w:rPr>
          <w:rFonts w:ascii="Arial" w:eastAsia="Arial" w:hAnsi="Arial" w:cs="Arial"/>
          <w:b/>
          <w:bCs/>
          <w:sz w:val="28"/>
          <w:szCs w:val="28"/>
        </w:rPr>
      </w:pPr>
    </w:p>
    <w:p w14:paraId="43715F71" w14:textId="77777777" w:rsidR="00C953C4" w:rsidRDefault="001B7747" w:rsidP="001B7747">
      <w:pPr>
        <w:spacing w:line="360" w:lineRule="auto"/>
        <w:jc w:val="center"/>
        <w:rPr>
          <w:rFonts w:ascii="Arial" w:eastAsia="Arial" w:hAnsi="Arial" w:cs="Arial"/>
          <w:b/>
          <w:bCs/>
          <w:sz w:val="28"/>
          <w:szCs w:val="28"/>
        </w:rPr>
      </w:pPr>
      <w:r>
        <w:rPr>
          <w:rFonts w:ascii="Arial" w:eastAsia="Arial" w:hAnsi="Arial" w:cs="Arial"/>
          <w:b/>
          <w:bCs/>
          <w:sz w:val="28"/>
          <w:szCs w:val="28"/>
        </w:rPr>
        <w:t xml:space="preserve">Module name: HUMAN CAPITAL MANAGEMENT </w:t>
      </w:r>
    </w:p>
    <w:p w14:paraId="6F6747D7" w14:textId="77777777" w:rsidR="00C953C4" w:rsidRDefault="001B7747" w:rsidP="001B7747">
      <w:pPr>
        <w:spacing w:line="360" w:lineRule="auto"/>
        <w:jc w:val="center"/>
        <w:rPr>
          <w:rFonts w:ascii="Arial" w:eastAsia="Arial" w:hAnsi="Arial" w:cs="Arial"/>
          <w:b/>
          <w:bCs/>
          <w:sz w:val="28"/>
          <w:szCs w:val="28"/>
        </w:rPr>
      </w:pPr>
      <w:r>
        <w:rPr>
          <w:rFonts w:ascii="Arial" w:eastAsia="Arial" w:hAnsi="Arial" w:cs="Arial"/>
          <w:b/>
          <w:bCs/>
          <w:sz w:val="28"/>
          <w:szCs w:val="28"/>
        </w:rPr>
        <w:t>Module code: LCMB7023</w:t>
      </w:r>
    </w:p>
    <w:p w14:paraId="683C027B" w14:textId="77777777" w:rsidR="00C953C4" w:rsidRDefault="001B7747" w:rsidP="001B7747">
      <w:pPr>
        <w:spacing w:line="360" w:lineRule="auto"/>
        <w:jc w:val="center"/>
        <w:rPr>
          <w:rFonts w:ascii="Arial" w:eastAsia="Arial" w:hAnsi="Arial" w:cs="Arial"/>
          <w:b/>
          <w:bCs/>
          <w:sz w:val="28"/>
          <w:szCs w:val="28"/>
        </w:rPr>
      </w:pPr>
      <w:r>
        <w:rPr>
          <w:rFonts w:ascii="Arial" w:eastAsia="Arial" w:hAnsi="Arial" w:cs="Arial"/>
          <w:b/>
          <w:bCs/>
          <w:sz w:val="28"/>
          <w:szCs w:val="28"/>
        </w:rPr>
        <w:t>ASSESSMENT COMPONENT 1: INDIVIDUAL REPORT</w:t>
      </w:r>
    </w:p>
    <w:p w14:paraId="613820CB" w14:textId="77777777" w:rsidR="00C953C4" w:rsidRDefault="001B7747" w:rsidP="001B7747">
      <w:pPr>
        <w:spacing w:line="360" w:lineRule="auto"/>
        <w:jc w:val="center"/>
        <w:rPr>
          <w:rFonts w:ascii="Arial" w:eastAsia="Arial" w:hAnsi="Arial" w:cs="Arial"/>
          <w:b/>
          <w:bCs/>
          <w:sz w:val="28"/>
          <w:szCs w:val="28"/>
        </w:rPr>
      </w:pPr>
      <w:r>
        <w:rPr>
          <w:rFonts w:ascii="Arial" w:eastAsia="Arial" w:hAnsi="Arial" w:cs="Arial"/>
          <w:b/>
          <w:bCs/>
          <w:sz w:val="28"/>
          <w:szCs w:val="28"/>
        </w:rPr>
        <w:t>DESIGNING A HUMAN CAPITAL ARCHITECTURE FOR STRATEGIC RENEWAL: A CASE OF HELIOS URBAN MOBILITY (HUM)</w:t>
      </w:r>
    </w:p>
    <w:p w14:paraId="414EEC1B" w14:textId="77777777" w:rsidR="00C953C4" w:rsidRDefault="00C953C4" w:rsidP="001B7747">
      <w:pPr>
        <w:spacing w:line="360" w:lineRule="auto"/>
        <w:jc w:val="center"/>
        <w:rPr>
          <w:rFonts w:ascii="Arial" w:eastAsia="Arial" w:hAnsi="Arial" w:cs="Arial"/>
          <w:b/>
          <w:bCs/>
          <w:sz w:val="28"/>
          <w:szCs w:val="28"/>
        </w:rPr>
      </w:pPr>
    </w:p>
    <w:p w14:paraId="0BC491EB" w14:textId="77777777" w:rsidR="00C953C4" w:rsidRDefault="00C953C4" w:rsidP="001B7747">
      <w:pPr>
        <w:spacing w:line="360" w:lineRule="auto"/>
        <w:jc w:val="center"/>
        <w:rPr>
          <w:rFonts w:ascii="Arial" w:eastAsia="Arial" w:hAnsi="Arial" w:cs="Arial"/>
          <w:b/>
          <w:bCs/>
          <w:sz w:val="28"/>
          <w:szCs w:val="28"/>
        </w:rPr>
      </w:pPr>
    </w:p>
    <w:p w14:paraId="0F1E8A23" w14:textId="77777777" w:rsidR="00C953C4" w:rsidRDefault="001B7747" w:rsidP="001B7747">
      <w:pPr>
        <w:spacing w:line="360" w:lineRule="auto"/>
        <w:jc w:val="center"/>
        <w:rPr>
          <w:rFonts w:ascii="Arial" w:eastAsia="Arial" w:hAnsi="Arial" w:cs="Arial"/>
          <w:sz w:val="28"/>
          <w:szCs w:val="28"/>
        </w:rPr>
      </w:pPr>
      <w:r>
        <w:rPr>
          <w:rFonts w:ascii="Arial" w:eastAsia="Arial" w:hAnsi="Arial" w:cs="Arial"/>
          <w:b/>
          <w:bCs/>
          <w:sz w:val="28"/>
          <w:szCs w:val="28"/>
        </w:rPr>
        <w:t xml:space="preserve">Lecturer name: </w:t>
      </w:r>
      <w:r>
        <w:rPr>
          <w:rFonts w:ascii="Arial" w:eastAsia="Arial" w:hAnsi="Arial" w:cs="Arial"/>
          <w:sz w:val="28"/>
          <w:szCs w:val="28"/>
        </w:rPr>
        <w:t xml:space="preserve">Gladius </w:t>
      </w:r>
      <w:proofErr w:type="spellStart"/>
      <w:r>
        <w:rPr>
          <w:rFonts w:ascii="Arial" w:eastAsia="Arial" w:hAnsi="Arial" w:cs="Arial"/>
          <w:sz w:val="28"/>
          <w:szCs w:val="28"/>
        </w:rPr>
        <w:t>Kulothungan</w:t>
      </w:r>
      <w:proofErr w:type="spellEnd"/>
    </w:p>
    <w:p w14:paraId="21A6292C" w14:textId="77777777" w:rsidR="00C953C4" w:rsidRDefault="001B7747" w:rsidP="001B7747">
      <w:pPr>
        <w:spacing w:line="360" w:lineRule="auto"/>
        <w:jc w:val="center"/>
        <w:rPr>
          <w:rFonts w:ascii="Arial" w:eastAsia="Arial" w:hAnsi="Arial" w:cs="Arial"/>
          <w:color w:val="000000"/>
          <w:sz w:val="28"/>
          <w:szCs w:val="28"/>
        </w:rPr>
      </w:pPr>
      <w:r>
        <w:rPr>
          <w:rFonts w:ascii="Arial" w:eastAsia="Arial" w:hAnsi="Arial" w:cs="Arial"/>
          <w:b/>
          <w:bCs/>
          <w:color w:val="000000"/>
          <w:sz w:val="28"/>
          <w:szCs w:val="28"/>
        </w:rPr>
        <w:t xml:space="preserve">Submission date: </w:t>
      </w:r>
      <w:r>
        <w:rPr>
          <w:rFonts w:ascii="Arial" w:eastAsia="Arial" w:hAnsi="Arial" w:cs="Arial"/>
          <w:color w:val="000000"/>
          <w:sz w:val="28"/>
          <w:szCs w:val="28"/>
        </w:rPr>
        <w:t>17th July 2026</w:t>
      </w:r>
    </w:p>
    <w:p w14:paraId="7E864942" w14:textId="64A4F498" w:rsidR="00C953C4" w:rsidRDefault="001B7747" w:rsidP="001B7747">
      <w:pPr>
        <w:spacing w:line="360" w:lineRule="auto"/>
        <w:jc w:val="center"/>
        <w:rPr>
          <w:rFonts w:ascii="Arial" w:eastAsia="Arial" w:hAnsi="Arial" w:cs="Arial"/>
          <w:b/>
          <w:bCs/>
          <w:color w:val="000000"/>
          <w:sz w:val="28"/>
          <w:szCs w:val="28"/>
        </w:rPr>
      </w:pPr>
      <w:r>
        <w:rPr>
          <w:rFonts w:ascii="Arial" w:eastAsia="Arial" w:hAnsi="Arial" w:cs="Arial"/>
          <w:b/>
          <w:bCs/>
          <w:color w:val="000000"/>
          <w:sz w:val="28"/>
          <w:szCs w:val="28"/>
        </w:rPr>
        <w:t xml:space="preserve">Word count: </w:t>
      </w:r>
      <w:r>
        <w:rPr>
          <w:rFonts w:ascii="Arial" w:eastAsia="Arial" w:hAnsi="Arial" w:cs="Arial"/>
          <w:color w:val="000000"/>
          <w:sz w:val="28"/>
          <w:szCs w:val="28"/>
        </w:rPr>
        <w:t>2639</w:t>
      </w:r>
      <w:r>
        <w:br w:type="page"/>
      </w:r>
    </w:p>
    <w:p w14:paraId="00B565BD" w14:textId="77777777" w:rsidR="00C953C4" w:rsidRDefault="001B7747" w:rsidP="001B7747">
      <w:pPr>
        <w:spacing w:line="360" w:lineRule="auto"/>
        <w:jc w:val="center"/>
        <w:rPr>
          <w:rFonts w:ascii="Arial" w:eastAsia="Arial" w:hAnsi="Arial" w:cs="Arial"/>
          <w:b/>
          <w:bCs/>
          <w:sz w:val="28"/>
          <w:szCs w:val="28"/>
        </w:rPr>
      </w:pPr>
      <w:r>
        <w:rPr>
          <w:rFonts w:ascii="Arial" w:eastAsia="Arial" w:hAnsi="Arial" w:cs="Arial"/>
          <w:b/>
          <w:bCs/>
          <w:sz w:val="28"/>
          <w:szCs w:val="28"/>
        </w:rPr>
        <w:lastRenderedPageBreak/>
        <w:t>Executive summary</w:t>
      </w:r>
    </w:p>
    <w:p w14:paraId="4A0CA168" w14:textId="77777777" w:rsidR="00C953C4" w:rsidRDefault="00C953C4" w:rsidP="001B7747">
      <w:pPr>
        <w:spacing w:line="360" w:lineRule="auto"/>
        <w:jc w:val="center"/>
        <w:rPr>
          <w:rFonts w:ascii="Arial" w:eastAsia="Arial" w:hAnsi="Arial" w:cs="Arial"/>
          <w:b/>
          <w:bCs/>
          <w:sz w:val="24"/>
          <w:szCs w:val="24"/>
        </w:rPr>
      </w:pPr>
    </w:p>
    <w:p w14:paraId="6198F0E4" w14:textId="77777777" w:rsidR="00C953C4" w:rsidRDefault="001B7747" w:rsidP="001B7747">
      <w:pPr>
        <w:spacing w:after="120" w:line="360" w:lineRule="auto"/>
        <w:jc w:val="both"/>
        <w:rPr>
          <w:rFonts w:ascii="Arial" w:eastAsia="Arial" w:hAnsi="Arial" w:cs="Arial"/>
          <w:sz w:val="24"/>
          <w:szCs w:val="24"/>
        </w:rPr>
      </w:pPr>
      <w:r>
        <w:rPr>
          <w:rFonts w:ascii="Arial" w:eastAsia="Arial" w:hAnsi="Arial" w:cs="Arial"/>
          <w:sz w:val="24"/>
          <w:szCs w:val="24"/>
        </w:rPr>
        <w:t>This report is focused on analysing the case study company, named Helios Urban Mobility. It is seen to be facing major employment ramp-up times, reduced engagement and higher graduate turnover. This shows weaknesses in socialisation, job design and onboard</w:t>
      </w:r>
      <w:r>
        <w:rPr>
          <w:rFonts w:ascii="Arial" w:eastAsia="Arial" w:hAnsi="Arial" w:cs="Arial"/>
          <w:sz w:val="24"/>
          <w:szCs w:val="24"/>
        </w:rPr>
        <w:t xml:space="preserve">ing approaches. The report has recommended a strategic socialisation framework considering pre-boarding, the first 90 days, and the first year for enhancing organisational identification, professional standards and retention rates. Key initiatives include </w:t>
      </w:r>
      <w:r>
        <w:rPr>
          <w:rFonts w:ascii="Arial" w:eastAsia="Arial" w:hAnsi="Arial" w:cs="Arial"/>
          <w:sz w:val="24"/>
          <w:szCs w:val="24"/>
        </w:rPr>
        <w:t xml:space="preserve">realistic job previewing, mentoring, cross-functional collaboration, innovation communities, and stakeholder exposures. To enhance adaptability and motivation, the report proposed enriched role-based on the Job Characteristic Model, supported job crafting </w:t>
      </w:r>
      <w:r>
        <w:rPr>
          <w:rFonts w:ascii="Arial" w:eastAsia="Arial" w:hAnsi="Arial" w:cs="Arial"/>
          <w:sz w:val="24"/>
          <w:szCs w:val="24"/>
        </w:rPr>
        <w:t>and a skill-based internal talent marketplace. The discussions have finally shed light on responsible AI usage for HR decision-making and highlighted the future capability development priorities for ensuring sustainable performance and growth.</w:t>
      </w:r>
    </w:p>
    <w:p w14:paraId="435E4587" w14:textId="77777777" w:rsidR="00C953C4" w:rsidRDefault="001B7747" w:rsidP="001B7747">
      <w:pPr>
        <w:spacing w:line="360" w:lineRule="auto"/>
        <w:jc w:val="both"/>
      </w:pPr>
      <w:r>
        <w:br w:type="page"/>
      </w:r>
    </w:p>
    <w:p w14:paraId="129E18B3" w14:textId="77777777" w:rsidR="00C953C4" w:rsidRDefault="001B7747" w:rsidP="001B7747">
      <w:pPr>
        <w:keepNext/>
        <w:keepLines/>
        <w:pBdr>
          <w:top w:val="nil"/>
          <w:left w:val="nil"/>
          <w:bottom w:val="nil"/>
          <w:right w:val="nil"/>
          <w:between w:val="nil"/>
        </w:pBdr>
        <w:spacing w:before="480" w:after="0" w:line="360" w:lineRule="auto"/>
        <w:jc w:val="center"/>
        <w:rPr>
          <w:rFonts w:ascii="Arial" w:eastAsia="Arial" w:hAnsi="Arial" w:cs="Arial"/>
          <w:b/>
          <w:bCs/>
          <w:color w:val="000000"/>
          <w:sz w:val="28"/>
          <w:szCs w:val="28"/>
        </w:rPr>
      </w:pPr>
      <w:r>
        <w:rPr>
          <w:rFonts w:ascii="Arial" w:eastAsia="Arial" w:hAnsi="Arial" w:cs="Arial"/>
          <w:b/>
          <w:bCs/>
          <w:color w:val="000000"/>
          <w:sz w:val="28"/>
          <w:szCs w:val="28"/>
        </w:rPr>
        <w:lastRenderedPageBreak/>
        <w:t>Table of C</w:t>
      </w:r>
      <w:r>
        <w:rPr>
          <w:rFonts w:ascii="Arial" w:eastAsia="Arial" w:hAnsi="Arial" w:cs="Arial"/>
          <w:b/>
          <w:bCs/>
          <w:color w:val="000000"/>
          <w:sz w:val="28"/>
          <w:szCs w:val="28"/>
        </w:rPr>
        <w:t>ontents</w:t>
      </w:r>
    </w:p>
    <w:p w14:paraId="56263789" w14:textId="77777777" w:rsidR="00C953C4" w:rsidRDefault="00C953C4" w:rsidP="001B7747">
      <w:pPr>
        <w:keepNext/>
        <w:keepLines/>
        <w:pBdr>
          <w:top w:val="nil"/>
          <w:left w:val="nil"/>
          <w:bottom w:val="nil"/>
          <w:right w:val="nil"/>
          <w:between w:val="nil"/>
        </w:pBdr>
        <w:spacing w:before="480" w:after="0" w:line="360" w:lineRule="auto"/>
        <w:jc w:val="center"/>
        <w:rPr>
          <w:rFonts w:ascii="Arial" w:eastAsia="Arial" w:hAnsi="Arial" w:cs="Arial"/>
          <w:b/>
          <w:bCs/>
          <w:color w:val="000000"/>
          <w:sz w:val="24"/>
          <w:szCs w:val="24"/>
        </w:rPr>
      </w:pPr>
    </w:p>
    <w:sdt>
      <w:sdtPr>
        <w:id w:val="766823550"/>
        <w:docPartObj>
          <w:docPartGallery w:val="Table of Contents"/>
          <w:docPartUnique/>
        </w:docPartObj>
      </w:sdtPr>
      <w:sdtEndPr/>
      <w:sdtContent>
        <w:p w14:paraId="05D826EC" w14:textId="361F83B9" w:rsidR="001B7747" w:rsidRPr="001B7747" w:rsidRDefault="001B7747" w:rsidP="001B7747">
          <w:pPr>
            <w:pStyle w:val="TOC1"/>
            <w:tabs>
              <w:tab w:val="right" w:pos="9016"/>
            </w:tabs>
            <w:spacing w:line="360" w:lineRule="auto"/>
            <w:jc w:val="both"/>
            <w:rPr>
              <w:rFonts w:ascii="Arial" w:hAnsi="Arial" w:cs="Arial"/>
              <w:noProof/>
              <w:sz w:val="24"/>
              <w:szCs w:val="24"/>
            </w:rPr>
          </w:pPr>
          <w:r w:rsidRPr="001B7747">
            <w:rPr>
              <w:rFonts w:ascii="Arial" w:hAnsi="Arial" w:cs="Arial"/>
              <w:sz w:val="24"/>
              <w:szCs w:val="24"/>
            </w:rPr>
            <w:fldChar w:fldCharType="begin"/>
          </w:r>
          <w:r w:rsidRPr="001B7747">
            <w:rPr>
              <w:rFonts w:ascii="Arial" w:hAnsi="Arial" w:cs="Arial"/>
              <w:sz w:val="24"/>
              <w:szCs w:val="24"/>
            </w:rPr>
            <w:instrText xml:space="preserve"> TOC \h \u \z \t "Heading 1,1,Heading 2,2,Heading 3,3,"</w:instrText>
          </w:r>
          <w:r w:rsidRPr="001B7747">
            <w:rPr>
              <w:rFonts w:ascii="Arial" w:hAnsi="Arial" w:cs="Arial"/>
              <w:sz w:val="24"/>
              <w:szCs w:val="24"/>
            </w:rPr>
            <w:fldChar w:fldCharType="separate"/>
          </w:r>
          <w:hyperlink w:anchor="_Toc235089970" w:history="1">
            <w:r w:rsidRPr="001B7747">
              <w:rPr>
                <w:rStyle w:val="Hyperlink"/>
                <w:rFonts w:ascii="Arial" w:hAnsi="Arial" w:cs="Arial"/>
                <w:noProof/>
                <w:sz w:val="24"/>
                <w:szCs w:val="24"/>
              </w:rPr>
              <w:t>Introduction</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_Toc235089970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4</w:t>
            </w:r>
            <w:r w:rsidRPr="001B7747">
              <w:rPr>
                <w:rFonts w:ascii="Arial" w:hAnsi="Arial" w:cs="Arial"/>
                <w:noProof/>
                <w:webHidden/>
                <w:sz w:val="24"/>
                <w:szCs w:val="24"/>
              </w:rPr>
              <w:fldChar w:fldCharType="end"/>
            </w:r>
          </w:hyperlink>
        </w:p>
        <w:p w14:paraId="5059F10B" w14:textId="2E38ECAD" w:rsidR="001B7747" w:rsidRPr="001B7747" w:rsidRDefault="001B7747" w:rsidP="001B7747">
          <w:pPr>
            <w:pStyle w:val="TOC1"/>
            <w:tabs>
              <w:tab w:val="right" w:pos="9016"/>
            </w:tabs>
            <w:spacing w:line="360" w:lineRule="auto"/>
            <w:jc w:val="both"/>
            <w:rPr>
              <w:rFonts w:ascii="Arial" w:hAnsi="Arial" w:cs="Arial"/>
              <w:noProof/>
              <w:sz w:val="24"/>
              <w:szCs w:val="24"/>
            </w:rPr>
          </w:pPr>
          <w:hyperlink w:anchor="_Toc235089971" w:history="1">
            <w:r w:rsidRPr="001B7747">
              <w:rPr>
                <w:rStyle w:val="Hyperlink"/>
                <w:rFonts w:ascii="Arial" w:hAnsi="Arial" w:cs="Arial"/>
                <w:noProof/>
                <w:sz w:val="24"/>
                <w:szCs w:val="24"/>
              </w:rPr>
              <w:t>TASK A: Socialisation, Identity &amp; Business Activism</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_Toc235089971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4</w:t>
            </w:r>
            <w:r w:rsidRPr="001B7747">
              <w:rPr>
                <w:rFonts w:ascii="Arial" w:hAnsi="Arial" w:cs="Arial"/>
                <w:noProof/>
                <w:webHidden/>
                <w:sz w:val="24"/>
                <w:szCs w:val="24"/>
              </w:rPr>
              <w:fldChar w:fldCharType="end"/>
            </w:r>
          </w:hyperlink>
        </w:p>
        <w:p w14:paraId="25810D83" w14:textId="54C76EAC" w:rsidR="001B7747" w:rsidRPr="001B7747" w:rsidRDefault="001B7747" w:rsidP="001B7747">
          <w:pPr>
            <w:pStyle w:val="TOC2"/>
            <w:tabs>
              <w:tab w:val="right" w:pos="9016"/>
            </w:tabs>
            <w:spacing w:line="360" w:lineRule="auto"/>
            <w:jc w:val="both"/>
            <w:rPr>
              <w:rFonts w:ascii="Arial" w:hAnsi="Arial" w:cs="Arial"/>
              <w:noProof/>
              <w:sz w:val="24"/>
              <w:szCs w:val="24"/>
            </w:rPr>
          </w:pPr>
          <w:hyperlink w:anchor="_Toc235089972" w:history="1">
            <w:r w:rsidRPr="001B7747">
              <w:rPr>
                <w:rStyle w:val="Hyperlink"/>
                <w:rFonts w:ascii="Arial" w:hAnsi="Arial" w:cs="Arial"/>
                <w:noProof/>
                <w:sz w:val="24"/>
                <w:szCs w:val="24"/>
              </w:rPr>
              <w:t>1. Evaluation of traditional onboarding vs. strategic organisational socialisation</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_Toc235089972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4</w:t>
            </w:r>
            <w:r w:rsidRPr="001B7747">
              <w:rPr>
                <w:rFonts w:ascii="Arial" w:hAnsi="Arial" w:cs="Arial"/>
                <w:noProof/>
                <w:webHidden/>
                <w:sz w:val="24"/>
                <w:szCs w:val="24"/>
              </w:rPr>
              <w:fldChar w:fldCharType="end"/>
            </w:r>
          </w:hyperlink>
        </w:p>
        <w:p w14:paraId="62F01E40" w14:textId="1B2EC618" w:rsidR="001B7747" w:rsidRPr="001B7747" w:rsidRDefault="001B7747" w:rsidP="001B7747">
          <w:pPr>
            <w:pStyle w:val="TOC2"/>
            <w:tabs>
              <w:tab w:val="right" w:pos="9016"/>
            </w:tabs>
            <w:spacing w:line="360" w:lineRule="auto"/>
            <w:jc w:val="both"/>
            <w:rPr>
              <w:rFonts w:ascii="Arial" w:hAnsi="Arial" w:cs="Arial"/>
              <w:noProof/>
              <w:sz w:val="24"/>
              <w:szCs w:val="24"/>
            </w:rPr>
          </w:pPr>
          <w:hyperlink w:anchor="_Toc235089973" w:history="1">
            <w:r w:rsidRPr="001B7747">
              <w:rPr>
                <w:rStyle w:val="Hyperlink"/>
                <w:rFonts w:ascii="Arial" w:hAnsi="Arial" w:cs="Arial"/>
                <w:noProof/>
                <w:sz w:val="24"/>
                <w:szCs w:val="24"/>
              </w:rPr>
              <w:t>2. Structured socialisation framework for Helios</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_Toc235089973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6</w:t>
            </w:r>
            <w:r w:rsidRPr="001B7747">
              <w:rPr>
                <w:rFonts w:ascii="Arial" w:hAnsi="Arial" w:cs="Arial"/>
                <w:noProof/>
                <w:webHidden/>
                <w:sz w:val="24"/>
                <w:szCs w:val="24"/>
              </w:rPr>
              <w:fldChar w:fldCharType="end"/>
            </w:r>
          </w:hyperlink>
        </w:p>
        <w:p w14:paraId="30C557EA" w14:textId="04F7769A" w:rsidR="001B7747" w:rsidRPr="001B7747" w:rsidRDefault="001B7747" w:rsidP="001B7747">
          <w:pPr>
            <w:pStyle w:val="TOC2"/>
            <w:tabs>
              <w:tab w:val="right" w:pos="9016"/>
            </w:tabs>
            <w:spacing w:line="360" w:lineRule="auto"/>
            <w:jc w:val="both"/>
            <w:rPr>
              <w:rFonts w:ascii="Arial" w:hAnsi="Arial" w:cs="Arial"/>
              <w:noProof/>
              <w:sz w:val="24"/>
              <w:szCs w:val="24"/>
            </w:rPr>
          </w:pPr>
          <w:hyperlink w:anchor="_Toc235089974" w:history="1">
            <w:r w:rsidRPr="001B7747">
              <w:rPr>
                <w:rStyle w:val="Hyperlink"/>
                <w:rFonts w:ascii="Arial" w:hAnsi="Arial" w:cs="Arial"/>
                <w:noProof/>
                <w:sz w:val="24"/>
                <w:szCs w:val="24"/>
              </w:rPr>
              <w:t>3. Proposed mechanisms to cultivate</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_Toc235089974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7</w:t>
            </w:r>
            <w:r w:rsidRPr="001B7747">
              <w:rPr>
                <w:rFonts w:ascii="Arial" w:hAnsi="Arial" w:cs="Arial"/>
                <w:noProof/>
                <w:webHidden/>
                <w:sz w:val="24"/>
                <w:szCs w:val="24"/>
              </w:rPr>
              <w:fldChar w:fldCharType="end"/>
            </w:r>
          </w:hyperlink>
        </w:p>
        <w:p w14:paraId="1DCA7D9B" w14:textId="09162462" w:rsidR="001B7747" w:rsidRPr="001B7747" w:rsidRDefault="001B7747" w:rsidP="001B7747">
          <w:pPr>
            <w:pStyle w:val="TOC1"/>
            <w:tabs>
              <w:tab w:val="right" w:pos="9016"/>
            </w:tabs>
            <w:spacing w:line="360" w:lineRule="auto"/>
            <w:jc w:val="both"/>
            <w:rPr>
              <w:rFonts w:ascii="Arial" w:hAnsi="Arial" w:cs="Arial"/>
              <w:noProof/>
              <w:sz w:val="24"/>
              <w:szCs w:val="24"/>
            </w:rPr>
          </w:pPr>
          <w:hyperlink w:anchor="_Toc235089975" w:history="1">
            <w:r w:rsidRPr="001B7747">
              <w:rPr>
                <w:rStyle w:val="Hyperlink"/>
                <w:rFonts w:ascii="Arial" w:hAnsi="Arial" w:cs="Arial"/>
                <w:noProof/>
                <w:sz w:val="24"/>
                <w:szCs w:val="24"/>
              </w:rPr>
              <w:t>TASK B: Job Design</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_Toc235089975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9</w:t>
            </w:r>
            <w:r w:rsidRPr="001B7747">
              <w:rPr>
                <w:rFonts w:ascii="Arial" w:hAnsi="Arial" w:cs="Arial"/>
                <w:noProof/>
                <w:webHidden/>
                <w:sz w:val="24"/>
                <w:szCs w:val="24"/>
              </w:rPr>
              <w:fldChar w:fldCharType="end"/>
            </w:r>
          </w:hyperlink>
        </w:p>
        <w:p w14:paraId="7C4175BA" w14:textId="6FD67EA5" w:rsidR="001B7747" w:rsidRPr="001B7747" w:rsidRDefault="001B7747" w:rsidP="001B7747">
          <w:pPr>
            <w:pStyle w:val="TOC2"/>
            <w:tabs>
              <w:tab w:val="right" w:pos="9016"/>
            </w:tabs>
            <w:spacing w:line="360" w:lineRule="auto"/>
            <w:jc w:val="both"/>
            <w:rPr>
              <w:rFonts w:ascii="Arial" w:hAnsi="Arial" w:cs="Arial"/>
              <w:noProof/>
              <w:sz w:val="24"/>
              <w:szCs w:val="24"/>
            </w:rPr>
          </w:pPr>
          <w:hyperlink w:anchor="_Toc235089976" w:history="1">
            <w:r w:rsidRPr="001B7747">
              <w:rPr>
                <w:rStyle w:val="Hyperlink"/>
                <w:rFonts w:ascii="Arial" w:hAnsi="Arial" w:cs="Arial"/>
                <w:noProof/>
                <w:sz w:val="24"/>
                <w:szCs w:val="24"/>
              </w:rPr>
              <w:t>1. Innovative job design strategy</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_Toc235089976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9</w:t>
            </w:r>
            <w:r w:rsidRPr="001B7747">
              <w:rPr>
                <w:rFonts w:ascii="Arial" w:hAnsi="Arial" w:cs="Arial"/>
                <w:noProof/>
                <w:webHidden/>
                <w:sz w:val="24"/>
                <w:szCs w:val="24"/>
              </w:rPr>
              <w:fldChar w:fldCharType="end"/>
            </w:r>
          </w:hyperlink>
        </w:p>
        <w:p w14:paraId="764E5947" w14:textId="0D94217E" w:rsidR="001B7747" w:rsidRPr="001B7747" w:rsidRDefault="001B7747" w:rsidP="001B7747">
          <w:pPr>
            <w:pStyle w:val="TOC2"/>
            <w:tabs>
              <w:tab w:val="right" w:pos="9016"/>
            </w:tabs>
            <w:spacing w:line="360" w:lineRule="auto"/>
            <w:jc w:val="both"/>
            <w:rPr>
              <w:rFonts w:ascii="Arial" w:hAnsi="Arial" w:cs="Arial"/>
              <w:noProof/>
              <w:sz w:val="24"/>
              <w:szCs w:val="24"/>
            </w:rPr>
          </w:pPr>
          <w:hyperlink w:anchor="_Toc235089977" w:history="1">
            <w:r w:rsidRPr="001B7747">
              <w:rPr>
                <w:rStyle w:val="Hyperlink"/>
                <w:rFonts w:ascii="Arial" w:hAnsi="Arial" w:cs="Arial"/>
                <w:noProof/>
                <w:sz w:val="24"/>
                <w:szCs w:val="24"/>
              </w:rPr>
              <w:t>2. Design stimulation explanations</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_Toc235089977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11</w:t>
            </w:r>
            <w:r w:rsidRPr="001B7747">
              <w:rPr>
                <w:rFonts w:ascii="Arial" w:hAnsi="Arial" w:cs="Arial"/>
                <w:noProof/>
                <w:webHidden/>
                <w:sz w:val="24"/>
                <w:szCs w:val="24"/>
              </w:rPr>
              <w:fldChar w:fldCharType="end"/>
            </w:r>
          </w:hyperlink>
        </w:p>
        <w:p w14:paraId="36C3EA9C" w14:textId="4AC0DAA6" w:rsidR="001B7747" w:rsidRPr="001B7747" w:rsidRDefault="001B7747" w:rsidP="001B7747">
          <w:pPr>
            <w:pStyle w:val="TOC1"/>
            <w:tabs>
              <w:tab w:val="right" w:pos="9016"/>
            </w:tabs>
            <w:spacing w:line="360" w:lineRule="auto"/>
            <w:jc w:val="both"/>
            <w:rPr>
              <w:rFonts w:ascii="Arial" w:hAnsi="Arial" w:cs="Arial"/>
              <w:noProof/>
              <w:sz w:val="24"/>
              <w:szCs w:val="24"/>
            </w:rPr>
          </w:pPr>
          <w:hyperlink w:anchor="_Toc235089978" w:history="1">
            <w:r w:rsidRPr="001B7747">
              <w:rPr>
                <w:rStyle w:val="Hyperlink"/>
                <w:rFonts w:ascii="Arial" w:hAnsi="Arial" w:cs="Arial"/>
                <w:noProof/>
                <w:sz w:val="24"/>
                <w:szCs w:val="24"/>
              </w:rPr>
              <w:t>TASK C: Reflective report</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_Toc235089978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13</w:t>
            </w:r>
            <w:r w:rsidRPr="001B7747">
              <w:rPr>
                <w:rFonts w:ascii="Arial" w:hAnsi="Arial" w:cs="Arial"/>
                <w:noProof/>
                <w:webHidden/>
                <w:sz w:val="24"/>
                <w:szCs w:val="24"/>
              </w:rPr>
              <w:fldChar w:fldCharType="end"/>
            </w:r>
          </w:hyperlink>
        </w:p>
        <w:p w14:paraId="150C3938" w14:textId="1BE2E7B7" w:rsidR="001B7747" w:rsidRPr="001B7747" w:rsidRDefault="001B7747" w:rsidP="001B7747">
          <w:pPr>
            <w:pStyle w:val="TOC2"/>
            <w:tabs>
              <w:tab w:val="right" w:pos="9016"/>
            </w:tabs>
            <w:spacing w:line="360" w:lineRule="auto"/>
            <w:jc w:val="both"/>
            <w:rPr>
              <w:rFonts w:ascii="Arial" w:hAnsi="Arial" w:cs="Arial"/>
              <w:noProof/>
              <w:sz w:val="24"/>
              <w:szCs w:val="24"/>
            </w:rPr>
          </w:pPr>
          <w:hyperlink w:anchor="_Toc235089979" w:history="1">
            <w:r w:rsidRPr="001B7747">
              <w:rPr>
                <w:rStyle w:val="Hyperlink"/>
                <w:rFonts w:ascii="Arial" w:hAnsi="Arial" w:cs="Arial"/>
                <w:noProof/>
                <w:sz w:val="24"/>
                <w:szCs w:val="24"/>
              </w:rPr>
              <w:t>1. Use of AI as a decision-support tool without hindering Human judgement</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_Toc235089979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13</w:t>
            </w:r>
            <w:r w:rsidRPr="001B7747">
              <w:rPr>
                <w:rFonts w:ascii="Arial" w:hAnsi="Arial" w:cs="Arial"/>
                <w:noProof/>
                <w:webHidden/>
                <w:sz w:val="24"/>
                <w:szCs w:val="24"/>
              </w:rPr>
              <w:fldChar w:fldCharType="end"/>
            </w:r>
          </w:hyperlink>
        </w:p>
        <w:p w14:paraId="10FBC4F5" w14:textId="402E93D9" w:rsidR="001B7747" w:rsidRPr="001B7747" w:rsidRDefault="001B7747" w:rsidP="001B7747">
          <w:pPr>
            <w:pStyle w:val="TOC2"/>
            <w:tabs>
              <w:tab w:val="right" w:pos="9016"/>
            </w:tabs>
            <w:spacing w:line="360" w:lineRule="auto"/>
            <w:jc w:val="both"/>
            <w:rPr>
              <w:rFonts w:ascii="Arial" w:hAnsi="Arial" w:cs="Arial"/>
              <w:noProof/>
              <w:sz w:val="24"/>
              <w:szCs w:val="24"/>
            </w:rPr>
          </w:pPr>
          <w:hyperlink w:anchor="_Toc235089980" w:history="1">
            <w:r w:rsidRPr="001B7747">
              <w:rPr>
                <w:rStyle w:val="Hyperlink"/>
                <w:rFonts w:ascii="Arial" w:hAnsi="Arial" w:cs="Arial"/>
                <w:noProof/>
                <w:sz w:val="24"/>
                <w:szCs w:val="24"/>
              </w:rPr>
              <w:t>2. Personal capability development plan</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_Toc235089980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13</w:t>
            </w:r>
            <w:r w:rsidRPr="001B7747">
              <w:rPr>
                <w:rFonts w:ascii="Arial" w:hAnsi="Arial" w:cs="Arial"/>
                <w:noProof/>
                <w:webHidden/>
                <w:sz w:val="24"/>
                <w:szCs w:val="24"/>
              </w:rPr>
              <w:fldChar w:fldCharType="end"/>
            </w:r>
          </w:hyperlink>
        </w:p>
        <w:p w14:paraId="25BF938B" w14:textId="4E522C6B" w:rsidR="001B7747" w:rsidRPr="001B7747" w:rsidRDefault="001B7747" w:rsidP="001B7747">
          <w:pPr>
            <w:pStyle w:val="TOC1"/>
            <w:tabs>
              <w:tab w:val="right" w:pos="9016"/>
            </w:tabs>
            <w:spacing w:line="360" w:lineRule="auto"/>
            <w:jc w:val="both"/>
            <w:rPr>
              <w:rFonts w:ascii="Arial" w:hAnsi="Arial" w:cs="Arial"/>
              <w:noProof/>
              <w:sz w:val="24"/>
              <w:szCs w:val="24"/>
            </w:rPr>
          </w:pPr>
          <w:hyperlink w:anchor="_Toc235089981" w:history="1">
            <w:r w:rsidRPr="001B7747">
              <w:rPr>
                <w:rStyle w:val="Hyperlink"/>
                <w:rFonts w:ascii="Arial" w:hAnsi="Arial" w:cs="Arial"/>
                <w:noProof/>
                <w:sz w:val="24"/>
                <w:szCs w:val="24"/>
              </w:rPr>
              <w:t>Conclusion</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_Toc235089981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14</w:t>
            </w:r>
            <w:r w:rsidRPr="001B7747">
              <w:rPr>
                <w:rFonts w:ascii="Arial" w:hAnsi="Arial" w:cs="Arial"/>
                <w:noProof/>
                <w:webHidden/>
                <w:sz w:val="24"/>
                <w:szCs w:val="24"/>
              </w:rPr>
              <w:fldChar w:fldCharType="end"/>
            </w:r>
          </w:hyperlink>
        </w:p>
        <w:p w14:paraId="418BF93D" w14:textId="510E72F9" w:rsidR="001B7747" w:rsidRPr="001B7747" w:rsidRDefault="001B7747" w:rsidP="001B7747">
          <w:pPr>
            <w:pStyle w:val="TOC1"/>
            <w:tabs>
              <w:tab w:val="right" w:pos="9016"/>
            </w:tabs>
            <w:spacing w:line="360" w:lineRule="auto"/>
            <w:jc w:val="both"/>
            <w:rPr>
              <w:rFonts w:ascii="Arial" w:hAnsi="Arial" w:cs="Arial"/>
              <w:noProof/>
              <w:sz w:val="24"/>
              <w:szCs w:val="24"/>
            </w:rPr>
          </w:pPr>
          <w:hyperlink w:anchor="_Toc235089982" w:history="1">
            <w:r w:rsidRPr="001B7747">
              <w:rPr>
                <w:rStyle w:val="Hyperlink"/>
                <w:rFonts w:ascii="Arial" w:hAnsi="Arial" w:cs="Arial"/>
                <w:noProof/>
                <w:sz w:val="24"/>
                <w:szCs w:val="24"/>
              </w:rPr>
              <w:t>References</w:t>
            </w:r>
            <w:r w:rsidRPr="001B7747">
              <w:rPr>
                <w:rFonts w:ascii="Arial" w:hAnsi="Arial" w:cs="Arial"/>
                <w:noProof/>
                <w:webHidden/>
                <w:sz w:val="24"/>
                <w:szCs w:val="24"/>
              </w:rPr>
              <w:tab/>
            </w:r>
            <w:r w:rsidRPr="001B7747">
              <w:rPr>
                <w:rFonts w:ascii="Arial" w:hAnsi="Arial" w:cs="Arial"/>
                <w:noProof/>
                <w:webHidden/>
                <w:sz w:val="24"/>
                <w:szCs w:val="24"/>
              </w:rPr>
              <w:fldChar w:fldCharType="begin"/>
            </w:r>
            <w:r w:rsidRPr="001B7747">
              <w:rPr>
                <w:rFonts w:ascii="Arial" w:hAnsi="Arial" w:cs="Arial"/>
                <w:noProof/>
                <w:webHidden/>
                <w:sz w:val="24"/>
                <w:szCs w:val="24"/>
              </w:rPr>
              <w:instrText xml:space="preserve"> PAGEREF _Toc235089982 \h </w:instrText>
            </w:r>
            <w:r w:rsidRPr="001B7747">
              <w:rPr>
                <w:rFonts w:ascii="Arial" w:hAnsi="Arial" w:cs="Arial"/>
                <w:noProof/>
                <w:webHidden/>
                <w:sz w:val="24"/>
                <w:szCs w:val="24"/>
              </w:rPr>
            </w:r>
            <w:r w:rsidRPr="001B7747">
              <w:rPr>
                <w:rFonts w:ascii="Arial" w:hAnsi="Arial" w:cs="Arial"/>
                <w:noProof/>
                <w:webHidden/>
                <w:sz w:val="24"/>
                <w:szCs w:val="24"/>
              </w:rPr>
              <w:fldChar w:fldCharType="separate"/>
            </w:r>
            <w:r w:rsidRPr="001B7747">
              <w:rPr>
                <w:rFonts w:ascii="Arial" w:hAnsi="Arial" w:cs="Arial"/>
                <w:noProof/>
                <w:webHidden/>
                <w:sz w:val="24"/>
                <w:szCs w:val="24"/>
              </w:rPr>
              <w:t>15</w:t>
            </w:r>
            <w:r w:rsidRPr="001B7747">
              <w:rPr>
                <w:rFonts w:ascii="Arial" w:hAnsi="Arial" w:cs="Arial"/>
                <w:noProof/>
                <w:webHidden/>
                <w:sz w:val="24"/>
                <w:szCs w:val="24"/>
              </w:rPr>
              <w:fldChar w:fldCharType="end"/>
            </w:r>
          </w:hyperlink>
        </w:p>
        <w:p w14:paraId="12D7683E" w14:textId="31E5666A" w:rsidR="00C953C4" w:rsidRDefault="001B7747" w:rsidP="001B7747">
          <w:pPr>
            <w:spacing w:line="360" w:lineRule="auto"/>
            <w:jc w:val="both"/>
            <w:rPr>
              <w:rFonts w:ascii="Arial" w:eastAsia="Arial" w:hAnsi="Arial" w:cs="Arial"/>
              <w:sz w:val="24"/>
              <w:szCs w:val="24"/>
            </w:rPr>
          </w:pPr>
          <w:r w:rsidRPr="001B7747">
            <w:rPr>
              <w:rFonts w:ascii="Arial" w:hAnsi="Arial" w:cs="Arial"/>
              <w:sz w:val="24"/>
              <w:szCs w:val="24"/>
            </w:rPr>
            <w:fldChar w:fldCharType="end"/>
          </w:r>
        </w:p>
      </w:sdtContent>
    </w:sdt>
    <w:p w14:paraId="6CC6C399" w14:textId="77777777" w:rsidR="00C953C4" w:rsidRDefault="001B7747" w:rsidP="001B7747">
      <w:pPr>
        <w:pStyle w:val="Heading1"/>
      </w:pPr>
      <w:bookmarkStart w:id="0" w:name="_heading=h.ne489g8v7kic" w:colFirst="0" w:colLast="0"/>
      <w:bookmarkEnd w:id="0"/>
      <w:r>
        <w:br w:type="page"/>
      </w:r>
    </w:p>
    <w:p w14:paraId="204AC3D0" w14:textId="77777777" w:rsidR="00C953C4" w:rsidRDefault="001B7747" w:rsidP="001B7747">
      <w:pPr>
        <w:pStyle w:val="Heading1"/>
      </w:pPr>
      <w:bookmarkStart w:id="1" w:name="_Toc235089970"/>
      <w:r>
        <w:lastRenderedPageBreak/>
        <w:t>Introduction</w:t>
      </w:r>
      <w:bookmarkEnd w:id="1"/>
    </w:p>
    <w:p w14:paraId="6F46C685" w14:textId="77777777" w:rsidR="00C953C4" w:rsidRDefault="001B7747" w:rsidP="001B7747">
      <w:pPr>
        <w:spacing w:after="120" w:line="360" w:lineRule="auto"/>
        <w:jc w:val="both"/>
        <w:rPr>
          <w:rFonts w:ascii="Arial" w:eastAsia="Arial" w:hAnsi="Arial" w:cs="Arial"/>
          <w:sz w:val="24"/>
          <w:szCs w:val="24"/>
        </w:rPr>
      </w:pPr>
      <w:r>
        <w:rPr>
          <w:rFonts w:ascii="Arial" w:eastAsia="Arial" w:hAnsi="Arial" w:cs="Arial"/>
          <w:sz w:val="24"/>
          <w:szCs w:val="24"/>
        </w:rPr>
        <w:t>As per the given case study, Helios Urban Mobility is observed to face some significant organisational challenges, with an average ramp-up period of eight months, reducing engagement levels, and loss of high-potential graduates. Employees were seen to be c</w:t>
      </w:r>
      <w:r>
        <w:rPr>
          <w:rFonts w:ascii="Arial" w:eastAsia="Arial" w:hAnsi="Arial" w:cs="Arial"/>
          <w:sz w:val="24"/>
          <w:szCs w:val="24"/>
        </w:rPr>
        <w:t>onsidering too much time to become productive and are not creating a strong organisational bond. As a result, traditional onboarding cannot be efficient enough in this case, requiring the company to consider a strategic organisational socialisation system.</w:t>
      </w:r>
      <w:r>
        <w:rPr>
          <w:rFonts w:ascii="Arial" w:eastAsia="Arial" w:hAnsi="Arial" w:cs="Arial"/>
          <w:sz w:val="24"/>
          <w:szCs w:val="24"/>
        </w:rPr>
        <w:t xml:space="preserve"> This report has analysed how organisational socialisation and innovative job design can support strategic renewal in the company. The reflective account focuses on the AI’s responsible use in HR setting and how capability development initiatives are cruci</w:t>
      </w:r>
      <w:r>
        <w:rPr>
          <w:rFonts w:ascii="Arial" w:eastAsia="Arial" w:hAnsi="Arial" w:cs="Arial"/>
          <w:sz w:val="24"/>
          <w:szCs w:val="24"/>
        </w:rPr>
        <w:t>al for sustainable future career growth.</w:t>
      </w:r>
    </w:p>
    <w:p w14:paraId="093AD2DB" w14:textId="77777777" w:rsidR="00C953C4" w:rsidRDefault="001B7747" w:rsidP="001B7747">
      <w:pPr>
        <w:pStyle w:val="Heading1"/>
      </w:pPr>
      <w:bookmarkStart w:id="2" w:name="_Toc235089971"/>
      <w:r>
        <w:t>TASK A: Socialisation, Identity &amp; Business Activism</w:t>
      </w:r>
      <w:bookmarkEnd w:id="2"/>
    </w:p>
    <w:p w14:paraId="30B7DCD3" w14:textId="77777777" w:rsidR="00C953C4" w:rsidRPr="001B7747" w:rsidRDefault="001B7747" w:rsidP="001B7747">
      <w:pPr>
        <w:pStyle w:val="Heading2"/>
        <w:rPr>
          <w:color w:val="auto"/>
        </w:rPr>
      </w:pPr>
      <w:bookmarkStart w:id="3" w:name="_Toc235089972"/>
      <w:r w:rsidRPr="001B7747">
        <w:rPr>
          <w:color w:val="auto"/>
        </w:rPr>
        <w:t>1. Evaluation of traditional onboarding vs. strategic organisational socialisation</w:t>
      </w:r>
      <w:bookmarkEnd w:id="3"/>
    </w:p>
    <w:p w14:paraId="189F4626"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Based on the current situation of Helios, it can be identified how the tradition</w:t>
      </w:r>
      <w:r w:rsidRPr="001B7747">
        <w:rPr>
          <w:rFonts w:ascii="Arial" w:eastAsia="Arial" w:hAnsi="Arial" w:cs="Arial"/>
          <w:sz w:val="24"/>
          <w:szCs w:val="24"/>
        </w:rPr>
        <w:t xml:space="preserve">al approach is not meeting the current demands. </w:t>
      </w:r>
      <w:proofErr w:type="spellStart"/>
      <w:r w:rsidRPr="001B7747">
        <w:rPr>
          <w:rFonts w:ascii="Arial" w:eastAsia="Arial" w:hAnsi="Arial" w:cs="Arial"/>
          <w:sz w:val="24"/>
          <w:szCs w:val="24"/>
        </w:rPr>
        <w:t>Jeske</w:t>
      </w:r>
      <w:proofErr w:type="spellEnd"/>
      <w:r w:rsidRPr="001B7747">
        <w:rPr>
          <w:rFonts w:ascii="Arial" w:eastAsia="Arial" w:hAnsi="Arial" w:cs="Arial"/>
          <w:sz w:val="24"/>
          <w:szCs w:val="24"/>
        </w:rPr>
        <w:t xml:space="preserve"> and Olson (2022) argued how traditional onboarding is designed for familiarising new employees with new business processes, policies, and job tasks, focusing on individuals understanding what they are r</w:t>
      </w:r>
      <w:r w:rsidRPr="001B7747">
        <w:rPr>
          <w:rFonts w:ascii="Arial" w:eastAsia="Arial" w:hAnsi="Arial" w:cs="Arial"/>
          <w:sz w:val="24"/>
          <w:szCs w:val="24"/>
        </w:rPr>
        <w:t>equired to do and how the company operates. Regardless of whether this model can reduce uncertainty for a short time, it can shift its focus of adjustments to short-term processes. On the contrary, the strategic organisational socialisation is focused on h</w:t>
      </w:r>
      <w:r w:rsidRPr="001B7747">
        <w:rPr>
          <w:rFonts w:ascii="Arial" w:eastAsia="Arial" w:hAnsi="Arial" w:cs="Arial"/>
          <w:sz w:val="24"/>
          <w:szCs w:val="24"/>
        </w:rPr>
        <w:t xml:space="preserve">ow appropriate integration is not limited to a short time, especially while considering Van </w:t>
      </w:r>
      <w:proofErr w:type="spellStart"/>
      <w:r w:rsidRPr="001B7747">
        <w:rPr>
          <w:rFonts w:ascii="Arial" w:eastAsia="Arial" w:hAnsi="Arial" w:cs="Arial"/>
          <w:sz w:val="24"/>
          <w:szCs w:val="24"/>
        </w:rPr>
        <w:t>Maanen</w:t>
      </w:r>
      <w:proofErr w:type="spellEnd"/>
      <w:r w:rsidRPr="001B7747">
        <w:rPr>
          <w:rFonts w:ascii="Arial" w:eastAsia="Arial" w:hAnsi="Arial" w:cs="Arial"/>
          <w:sz w:val="24"/>
          <w:szCs w:val="24"/>
        </w:rPr>
        <w:t xml:space="preserve"> and Schein’s socialisation framework, which identified how companies can influence how new employees learn company operations, values, and behaviours through</w:t>
      </w:r>
      <w:r w:rsidRPr="001B7747">
        <w:rPr>
          <w:rFonts w:ascii="Arial" w:eastAsia="Arial" w:hAnsi="Arial" w:cs="Arial"/>
          <w:sz w:val="24"/>
          <w:szCs w:val="24"/>
        </w:rPr>
        <w:t xml:space="preserve"> socialisation approaches (Hein, 2023). Institutionalised approaches like formal mentoring and collective learning approaches are effective to reduce uncertainties and enhance adjustment approaches. For Helios, this is crucial as the long ramp-up time is s</w:t>
      </w:r>
      <w:r w:rsidRPr="001B7747">
        <w:rPr>
          <w:rFonts w:ascii="Arial" w:eastAsia="Arial" w:hAnsi="Arial" w:cs="Arial"/>
          <w:sz w:val="24"/>
          <w:szCs w:val="24"/>
        </w:rPr>
        <w:t>howing how employees may not be gaining proper support.</w:t>
      </w:r>
    </w:p>
    <w:p w14:paraId="3152DBD3" w14:textId="77777777" w:rsidR="00C953C4" w:rsidRPr="001B7747" w:rsidRDefault="001B7747" w:rsidP="001B7747">
      <w:pPr>
        <w:spacing w:after="120" w:line="360" w:lineRule="auto"/>
        <w:jc w:val="center"/>
        <w:rPr>
          <w:rFonts w:ascii="Arial" w:eastAsia="Arial" w:hAnsi="Arial" w:cs="Arial"/>
          <w:b/>
          <w:bCs/>
          <w:sz w:val="24"/>
          <w:szCs w:val="24"/>
        </w:rPr>
      </w:pPr>
      <w:r w:rsidRPr="001B7747">
        <w:rPr>
          <w:rFonts w:ascii="Arial" w:eastAsia="Arial" w:hAnsi="Arial" w:cs="Arial"/>
          <w:b/>
          <w:bCs/>
          <w:noProof/>
          <w:sz w:val="24"/>
          <w:szCs w:val="24"/>
        </w:rPr>
        <w:lastRenderedPageBreak/>
        <w:drawing>
          <wp:inline distT="0" distB="0" distL="0" distR="0" wp14:anchorId="56FBA824" wp14:editId="0F6E62A5">
            <wp:extent cx="5900738" cy="337185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900738" cy="3371850"/>
                    </a:xfrm>
                    <a:prstGeom prst="rect">
                      <a:avLst/>
                    </a:prstGeom>
                    <a:ln/>
                  </pic:spPr>
                </pic:pic>
              </a:graphicData>
            </a:graphic>
          </wp:inline>
        </w:drawing>
      </w:r>
    </w:p>
    <w:p w14:paraId="52C7F416" w14:textId="77777777" w:rsidR="00C953C4" w:rsidRPr="001B7747" w:rsidRDefault="001B7747" w:rsidP="001B7747">
      <w:pPr>
        <w:pStyle w:val="Heading5"/>
        <w:rPr>
          <w:color w:val="auto"/>
        </w:rPr>
      </w:pPr>
      <w:bookmarkStart w:id="4" w:name="_heading=h.xkdcirffi0ua" w:colFirst="0" w:colLast="0"/>
      <w:bookmarkEnd w:id="4"/>
      <w:r w:rsidRPr="001B7747">
        <w:rPr>
          <w:color w:val="auto"/>
        </w:rPr>
        <w:t>Figure 1: organisational socialisation framework</w:t>
      </w:r>
    </w:p>
    <w:p w14:paraId="5BEBBFF0" w14:textId="77777777" w:rsidR="00C953C4" w:rsidRPr="001B7747" w:rsidRDefault="001B7747" w:rsidP="001B7747">
      <w:pPr>
        <w:spacing w:after="120" w:line="360" w:lineRule="auto"/>
        <w:jc w:val="center"/>
        <w:rPr>
          <w:rFonts w:ascii="Arial" w:eastAsia="Arial" w:hAnsi="Arial" w:cs="Arial"/>
          <w:sz w:val="24"/>
          <w:szCs w:val="24"/>
        </w:rPr>
      </w:pPr>
      <w:r w:rsidRPr="001B7747">
        <w:rPr>
          <w:rFonts w:ascii="Arial" w:eastAsia="Arial" w:hAnsi="Arial" w:cs="Arial"/>
          <w:sz w:val="24"/>
          <w:szCs w:val="24"/>
        </w:rPr>
        <w:t xml:space="preserve">(Source: Inspired by the ideas of </w:t>
      </w:r>
      <w:proofErr w:type="spellStart"/>
      <w:r w:rsidRPr="001B7747">
        <w:rPr>
          <w:rFonts w:ascii="Arial" w:eastAsia="Arial" w:hAnsi="Arial" w:cs="Arial"/>
          <w:sz w:val="24"/>
          <w:szCs w:val="24"/>
        </w:rPr>
        <w:t>Mohatla</w:t>
      </w:r>
      <w:proofErr w:type="spellEnd"/>
      <w:r w:rsidRPr="001B7747">
        <w:rPr>
          <w:rFonts w:ascii="Arial" w:eastAsia="Arial" w:hAnsi="Arial" w:cs="Arial"/>
          <w:sz w:val="24"/>
          <w:szCs w:val="24"/>
        </w:rPr>
        <w:t xml:space="preserve"> and </w:t>
      </w:r>
      <w:proofErr w:type="spellStart"/>
      <w:r w:rsidRPr="001B7747">
        <w:rPr>
          <w:rFonts w:ascii="Arial" w:eastAsia="Arial" w:hAnsi="Arial" w:cs="Arial"/>
          <w:sz w:val="24"/>
          <w:szCs w:val="24"/>
        </w:rPr>
        <w:t>Bussin</w:t>
      </w:r>
      <w:proofErr w:type="spellEnd"/>
      <w:r w:rsidRPr="001B7747">
        <w:rPr>
          <w:rFonts w:ascii="Arial" w:eastAsia="Arial" w:hAnsi="Arial" w:cs="Arial"/>
          <w:sz w:val="24"/>
          <w:szCs w:val="24"/>
        </w:rPr>
        <w:t>, 2022)</w:t>
      </w:r>
    </w:p>
    <w:p w14:paraId="7E2F531E"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Although a single institutionalised approach can also not be crucial for this type of innovative technology company. Critics often argue how a majorly structured socialisation approach can pressure employees to adapt to group norms and not consider indepen</w:t>
      </w:r>
      <w:r w:rsidRPr="001B7747">
        <w:rPr>
          <w:rFonts w:ascii="Arial" w:eastAsia="Arial" w:hAnsi="Arial" w:cs="Arial"/>
          <w:sz w:val="24"/>
          <w:szCs w:val="24"/>
        </w:rPr>
        <w:t>dent thinking (</w:t>
      </w:r>
      <w:proofErr w:type="spellStart"/>
      <w:r w:rsidRPr="001B7747">
        <w:rPr>
          <w:rFonts w:ascii="Arial" w:eastAsia="Arial" w:hAnsi="Arial" w:cs="Arial"/>
          <w:sz w:val="24"/>
          <w:szCs w:val="24"/>
        </w:rPr>
        <w:t>Næss</w:t>
      </w:r>
      <w:proofErr w:type="spellEnd"/>
      <w:r w:rsidRPr="001B7747">
        <w:rPr>
          <w:rFonts w:ascii="Arial" w:eastAsia="Arial" w:hAnsi="Arial" w:cs="Arial"/>
          <w:sz w:val="24"/>
          <w:szCs w:val="24"/>
        </w:rPr>
        <w:t>, 2025). Considering how Helios operated in the AI-based mobility context, innovation is based on employees and their independent thinking for new idea development. Therefore, a strict standardisation may not be effective alone. The Psyc</w:t>
      </w:r>
      <w:r w:rsidRPr="001B7747">
        <w:rPr>
          <w:rFonts w:ascii="Arial" w:eastAsia="Arial" w:hAnsi="Arial" w:cs="Arial"/>
          <w:sz w:val="24"/>
          <w:szCs w:val="24"/>
        </w:rPr>
        <w:t>hological Contrast theory sheds light on the context of how onboarding only can potentially not allow Helios to overcome retention issues. Samson and Swink (2023) identified how new employees develop expectations for career development, management support,</w:t>
      </w:r>
      <w:r w:rsidRPr="001B7747">
        <w:rPr>
          <w:rFonts w:ascii="Arial" w:eastAsia="Arial" w:hAnsi="Arial" w:cs="Arial"/>
          <w:sz w:val="24"/>
          <w:szCs w:val="24"/>
        </w:rPr>
        <w:t xml:space="preserve"> and proper work and organisational culture before joining a company. </w:t>
      </w:r>
    </w:p>
    <w:p w14:paraId="7894AC8B"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If these expectations are not being fulfilled, employees can feel that the psychological contract has been broken. In such cases, their engagement will be reduced, thereby increasing tu</w:t>
      </w:r>
      <w:r w:rsidRPr="001B7747">
        <w:rPr>
          <w:rFonts w:ascii="Arial" w:eastAsia="Arial" w:hAnsi="Arial" w:cs="Arial"/>
          <w:sz w:val="24"/>
          <w:szCs w:val="24"/>
        </w:rPr>
        <w:t xml:space="preserve">rnover intentions. Based on the identity construction concept, ways in which employees can become committed to company engagement have been identified when they can develop their identity and negotiate a sense of self (Anderson </w:t>
      </w:r>
      <w:r w:rsidRPr="001B7747">
        <w:rPr>
          <w:rFonts w:ascii="Arial" w:eastAsia="Arial" w:hAnsi="Arial" w:cs="Arial"/>
          <w:i/>
          <w:iCs/>
          <w:sz w:val="24"/>
          <w:szCs w:val="24"/>
        </w:rPr>
        <w:t>et al</w:t>
      </w:r>
      <w:r w:rsidRPr="001B7747">
        <w:rPr>
          <w:rFonts w:ascii="Arial" w:eastAsia="Arial" w:hAnsi="Arial" w:cs="Arial"/>
          <w:sz w:val="24"/>
          <w:szCs w:val="24"/>
        </w:rPr>
        <w:t>., 2022). This allows t</w:t>
      </w:r>
      <w:r w:rsidRPr="001B7747">
        <w:rPr>
          <w:rFonts w:ascii="Arial" w:eastAsia="Arial" w:hAnsi="Arial" w:cs="Arial"/>
          <w:sz w:val="24"/>
          <w:szCs w:val="24"/>
        </w:rPr>
        <w:t xml:space="preserve">hem to remain engaged as they might consider company </w:t>
      </w:r>
      <w:r w:rsidRPr="001B7747">
        <w:rPr>
          <w:rFonts w:ascii="Arial" w:eastAsia="Arial" w:hAnsi="Arial" w:cs="Arial"/>
          <w:sz w:val="24"/>
          <w:szCs w:val="24"/>
        </w:rPr>
        <w:lastRenderedPageBreak/>
        <w:t>success being personally meaningful. For Helios, the issue is to ensure that its employees can consider it as technical support and even conditions for a future sustainable urban mobility concept. Theref</w:t>
      </w:r>
      <w:r w:rsidRPr="001B7747">
        <w:rPr>
          <w:rFonts w:ascii="Arial" w:eastAsia="Arial" w:hAnsi="Arial" w:cs="Arial"/>
          <w:sz w:val="24"/>
          <w:szCs w:val="24"/>
        </w:rPr>
        <w:t>ore, alignment with personal values and meeting employee identity development demands can support Helios in this case.</w:t>
      </w:r>
    </w:p>
    <w:p w14:paraId="7AAC3A11" w14:textId="77777777" w:rsidR="00C953C4" w:rsidRPr="001B7747" w:rsidRDefault="001B7747" w:rsidP="001B7747">
      <w:pPr>
        <w:pStyle w:val="Heading2"/>
        <w:rPr>
          <w:color w:val="auto"/>
        </w:rPr>
      </w:pPr>
      <w:bookmarkStart w:id="5" w:name="_Toc235089973"/>
      <w:r w:rsidRPr="001B7747">
        <w:rPr>
          <w:color w:val="auto"/>
        </w:rPr>
        <w:t>2. Structured socialisation framework for Helios</w:t>
      </w:r>
      <w:bookmarkEnd w:id="5"/>
    </w:p>
    <w:p w14:paraId="3C3C9BD5"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 xml:space="preserve">To overcome the current challenges, Helios should focus on implementing a strict custom </w:t>
      </w:r>
      <w:r w:rsidRPr="001B7747">
        <w:rPr>
          <w:rFonts w:ascii="Arial" w:eastAsia="Arial" w:hAnsi="Arial" w:cs="Arial"/>
          <w:sz w:val="24"/>
          <w:szCs w:val="24"/>
        </w:rPr>
        <w:t>socialisation framework from pre-boarding to the first year of employment while considering the traditional</w:t>
      </w:r>
      <w:r w:rsidRPr="001B7747">
        <w:rPr>
          <w:rFonts w:ascii="Arial" w:eastAsia="Arial" w:hAnsi="Arial" w:cs="Arial"/>
          <w:b/>
          <w:bCs/>
          <w:sz w:val="24"/>
          <w:szCs w:val="24"/>
        </w:rPr>
        <w:t xml:space="preserve"> </w:t>
      </w:r>
      <w:r w:rsidRPr="001B7747">
        <w:rPr>
          <w:rFonts w:ascii="Arial" w:eastAsia="Arial" w:hAnsi="Arial" w:cs="Arial"/>
          <w:sz w:val="24"/>
          <w:szCs w:val="24"/>
        </w:rPr>
        <w:t>four phases of onboarding.</w:t>
      </w:r>
    </w:p>
    <w:tbl>
      <w:tblPr>
        <w:tblStyle w:val="a"/>
        <w:tblW w:w="92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5"/>
        <w:gridCol w:w="3420"/>
        <w:gridCol w:w="4005"/>
      </w:tblGrid>
      <w:tr w:rsidR="001B7747" w:rsidRPr="001B7747" w14:paraId="681A588B" w14:textId="77777777">
        <w:tc>
          <w:tcPr>
            <w:tcW w:w="1815" w:type="dxa"/>
          </w:tcPr>
          <w:p w14:paraId="7C330561" w14:textId="77777777" w:rsidR="00C953C4" w:rsidRPr="001B7747" w:rsidRDefault="001B7747" w:rsidP="001B7747">
            <w:pPr>
              <w:spacing w:line="360" w:lineRule="auto"/>
              <w:jc w:val="center"/>
              <w:rPr>
                <w:rFonts w:ascii="Arial" w:eastAsia="Arial" w:hAnsi="Arial" w:cs="Arial"/>
                <w:b/>
                <w:bCs/>
                <w:sz w:val="24"/>
                <w:szCs w:val="24"/>
              </w:rPr>
            </w:pPr>
            <w:r w:rsidRPr="001B7747">
              <w:rPr>
                <w:rFonts w:ascii="Arial" w:eastAsia="Arial" w:hAnsi="Arial" w:cs="Arial"/>
                <w:b/>
                <w:bCs/>
                <w:sz w:val="24"/>
                <w:szCs w:val="24"/>
              </w:rPr>
              <w:t>Stages</w:t>
            </w:r>
          </w:p>
        </w:tc>
        <w:tc>
          <w:tcPr>
            <w:tcW w:w="3420" w:type="dxa"/>
          </w:tcPr>
          <w:p w14:paraId="4C62539F" w14:textId="77777777" w:rsidR="00C953C4" w:rsidRPr="001B7747" w:rsidRDefault="001B7747" w:rsidP="001B7747">
            <w:pPr>
              <w:spacing w:line="360" w:lineRule="auto"/>
              <w:jc w:val="center"/>
              <w:rPr>
                <w:rFonts w:ascii="Arial" w:eastAsia="Arial" w:hAnsi="Arial" w:cs="Arial"/>
                <w:b/>
                <w:bCs/>
                <w:sz w:val="24"/>
                <w:szCs w:val="24"/>
              </w:rPr>
            </w:pPr>
            <w:r w:rsidRPr="001B7747">
              <w:rPr>
                <w:rFonts w:ascii="Arial" w:eastAsia="Arial" w:hAnsi="Arial" w:cs="Arial"/>
                <w:b/>
                <w:bCs/>
                <w:sz w:val="24"/>
                <w:szCs w:val="24"/>
              </w:rPr>
              <w:t>Objectives</w:t>
            </w:r>
          </w:p>
        </w:tc>
        <w:tc>
          <w:tcPr>
            <w:tcW w:w="4005" w:type="dxa"/>
          </w:tcPr>
          <w:p w14:paraId="732EDE7D" w14:textId="77777777" w:rsidR="00C953C4" w:rsidRPr="001B7747" w:rsidRDefault="001B7747" w:rsidP="001B7747">
            <w:pPr>
              <w:spacing w:line="360" w:lineRule="auto"/>
              <w:jc w:val="center"/>
              <w:rPr>
                <w:rFonts w:ascii="Arial" w:eastAsia="Arial" w:hAnsi="Arial" w:cs="Arial"/>
                <w:b/>
                <w:bCs/>
                <w:sz w:val="24"/>
                <w:szCs w:val="24"/>
              </w:rPr>
            </w:pPr>
            <w:r w:rsidRPr="001B7747">
              <w:rPr>
                <w:rFonts w:ascii="Arial" w:eastAsia="Arial" w:hAnsi="Arial" w:cs="Arial"/>
                <w:b/>
                <w:bCs/>
                <w:sz w:val="24"/>
                <w:szCs w:val="24"/>
              </w:rPr>
              <w:t xml:space="preserve">Key efforts </w:t>
            </w:r>
          </w:p>
        </w:tc>
      </w:tr>
      <w:tr w:rsidR="001B7747" w:rsidRPr="001B7747" w14:paraId="59D6FFA1" w14:textId="77777777">
        <w:tc>
          <w:tcPr>
            <w:tcW w:w="1815" w:type="dxa"/>
          </w:tcPr>
          <w:p w14:paraId="55C3C581"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Pre-boarding</w:t>
            </w:r>
          </w:p>
        </w:tc>
        <w:tc>
          <w:tcPr>
            <w:tcW w:w="3420" w:type="dxa"/>
          </w:tcPr>
          <w:p w14:paraId="527CCD1D"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Developing connection and realistic expectations</w:t>
            </w:r>
          </w:p>
        </w:tc>
        <w:tc>
          <w:tcPr>
            <w:tcW w:w="4005" w:type="dxa"/>
          </w:tcPr>
          <w:p w14:paraId="18D5B6EA"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Digital onboarding hubs, re</w:t>
            </w:r>
            <w:r w:rsidRPr="001B7747">
              <w:rPr>
                <w:rFonts w:ascii="Arial" w:eastAsia="Arial" w:hAnsi="Arial" w:cs="Arial"/>
                <w:sz w:val="24"/>
                <w:szCs w:val="24"/>
              </w:rPr>
              <w:t>alistic job previewing</w:t>
            </w:r>
          </w:p>
        </w:tc>
      </w:tr>
      <w:tr w:rsidR="001B7747" w:rsidRPr="001B7747" w14:paraId="2DCA5C8C" w14:textId="77777777">
        <w:tc>
          <w:tcPr>
            <w:tcW w:w="1815" w:type="dxa"/>
          </w:tcPr>
          <w:p w14:paraId="2819AE6A"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First 90 days</w:t>
            </w:r>
          </w:p>
        </w:tc>
        <w:tc>
          <w:tcPr>
            <w:tcW w:w="3420" w:type="dxa"/>
          </w:tcPr>
          <w:p w14:paraId="7C44D3B3"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Enhance adjustments and performance</w:t>
            </w:r>
          </w:p>
        </w:tc>
        <w:tc>
          <w:tcPr>
            <w:tcW w:w="4005" w:type="dxa"/>
          </w:tcPr>
          <w:p w14:paraId="777A66E5"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Cross-function projects, supervision and stakeholder exposure</w:t>
            </w:r>
          </w:p>
        </w:tc>
      </w:tr>
      <w:tr w:rsidR="001B7747" w:rsidRPr="001B7747" w14:paraId="0D7A2B6A" w14:textId="77777777">
        <w:tc>
          <w:tcPr>
            <w:tcW w:w="1815" w:type="dxa"/>
          </w:tcPr>
          <w:p w14:paraId="474D3C5A"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1st year</w:t>
            </w:r>
          </w:p>
        </w:tc>
        <w:tc>
          <w:tcPr>
            <w:tcW w:w="3420" w:type="dxa"/>
          </w:tcPr>
          <w:p w14:paraId="79112C32"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Enhance identity and retention</w:t>
            </w:r>
          </w:p>
        </w:tc>
        <w:tc>
          <w:tcPr>
            <w:tcW w:w="4005" w:type="dxa"/>
          </w:tcPr>
          <w:p w14:paraId="22D982C3"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Mentoring, innovation communities, career development reviews</w:t>
            </w:r>
          </w:p>
        </w:tc>
      </w:tr>
    </w:tbl>
    <w:p w14:paraId="22E03A4E" w14:textId="77777777" w:rsidR="00C953C4" w:rsidRPr="001B7747" w:rsidRDefault="00C953C4" w:rsidP="001B7747">
      <w:pPr>
        <w:spacing w:after="120" w:line="360" w:lineRule="auto"/>
        <w:jc w:val="both"/>
        <w:rPr>
          <w:rFonts w:ascii="Arial" w:eastAsia="Arial" w:hAnsi="Arial" w:cs="Arial"/>
          <w:sz w:val="24"/>
          <w:szCs w:val="24"/>
        </w:rPr>
      </w:pPr>
    </w:p>
    <w:p w14:paraId="0F29900A"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The pre-boarding stage should start right after contract acceptance. Helios should focus on providing access to a digital onboarding hub, shedding light on organisational approach, values and operations (</w:t>
      </w:r>
      <w:proofErr w:type="spellStart"/>
      <w:r w:rsidRPr="001B7747">
        <w:rPr>
          <w:rFonts w:ascii="Arial" w:eastAsia="Arial" w:hAnsi="Arial" w:cs="Arial"/>
          <w:sz w:val="24"/>
          <w:szCs w:val="24"/>
        </w:rPr>
        <w:t>Sunarjo</w:t>
      </w:r>
      <w:proofErr w:type="spellEnd"/>
      <w:r w:rsidRPr="001B7747">
        <w:rPr>
          <w:rFonts w:ascii="Arial" w:eastAsia="Arial" w:hAnsi="Arial" w:cs="Arial"/>
          <w:sz w:val="24"/>
          <w:szCs w:val="24"/>
        </w:rPr>
        <w:t xml:space="preserve"> </w:t>
      </w:r>
      <w:r w:rsidRPr="001B7747">
        <w:rPr>
          <w:rFonts w:ascii="Arial" w:eastAsia="Arial" w:hAnsi="Arial" w:cs="Arial"/>
          <w:i/>
          <w:iCs/>
          <w:sz w:val="24"/>
          <w:szCs w:val="24"/>
        </w:rPr>
        <w:t>et al</w:t>
      </w:r>
      <w:r w:rsidRPr="001B7747">
        <w:rPr>
          <w:rFonts w:ascii="Arial" w:eastAsia="Arial" w:hAnsi="Arial" w:cs="Arial"/>
          <w:sz w:val="24"/>
          <w:szCs w:val="24"/>
        </w:rPr>
        <w:t>., 2025). Realistic job showcases shoul</w:t>
      </w:r>
      <w:r w:rsidRPr="001B7747">
        <w:rPr>
          <w:rFonts w:ascii="Arial" w:eastAsia="Arial" w:hAnsi="Arial" w:cs="Arial"/>
          <w:sz w:val="24"/>
          <w:szCs w:val="24"/>
        </w:rPr>
        <w:t>d be able to shed light on opportunities and challenges that will align with employee expectations before employment starts.  </w:t>
      </w:r>
    </w:p>
    <w:p w14:paraId="488790F8"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In the first 90 days, socialisation should consider improving integration while developing organisational purpose. The analysis o</w:t>
      </w:r>
      <w:r w:rsidRPr="001B7747">
        <w:rPr>
          <w:rFonts w:ascii="Arial" w:eastAsia="Arial" w:hAnsi="Arial" w:cs="Arial"/>
          <w:sz w:val="24"/>
          <w:szCs w:val="24"/>
        </w:rPr>
        <w:t xml:space="preserve">f </w:t>
      </w:r>
      <w:proofErr w:type="spellStart"/>
      <w:r w:rsidRPr="001B7747">
        <w:rPr>
          <w:rFonts w:ascii="Arial" w:eastAsia="Arial" w:hAnsi="Arial" w:cs="Arial"/>
          <w:sz w:val="24"/>
          <w:szCs w:val="24"/>
        </w:rPr>
        <w:t>Jeske</w:t>
      </w:r>
      <w:proofErr w:type="spellEnd"/>
      <w:r w:rsidRPr="001B7747">
        <w:rPr>
          <w:rFonts w:ascii="Arial" w:eastAsia="Arial" w:hAnsi="Arial" w:cs="Arial"/>
          <w:sz w:val="24"/>
          <w:szCs w:val="24"/>
        </w:rPr>
        <w:t xml:space="preserve"> and Olson (2022) showed how the transition to a new workplace can be challenging, Helios should allow new hires to participate in cross-functional projects with colleagues from Singapore, Berlin, and London. This will allow for a supportive environ</w:t>
      </w:r>
      <w:r w:rsidRPr="001B7747">
        <w:rPr>
          <w:rFonts w:ascii="Arial" w:eastAsia="Arial" w:hAnsi="Arial" w:cs="Arial"/>
          <w:sz w:val="24"/>
          <w:szCs w:val="24"/>
        </w:rPr>
        <w:t>ment for newcomers and make them understand how the company functions in various geographical locations. The first-year market is important for ensuring proper employee retention and overcoming the issues with engagement and turnover of Helios. For Helios,</w:t>
      </w:r>
      <w:r w:rsidRPr="001B7747">
        <w:rPr>
          <w:rFonts w:ascii="Arial" w:eastAsia="Arial" w:hAnsi="Arial" w:cs="Arial"/>
          <w:sz w:val="24"/>
          <w:szCs w:val="24"/>
        </w:rPr>
        <w:t xml:space="preserve"> employee relations need to focus not only on initial onboarding, but also focus on professional development, organisational management and career planning. It is also essential for employees to be engaged in formal career development opportunity conversat</w:t>
      </w:r>
      <w:r w:rsidRPr="001B7747">
        <w:rPr>
          <w:rFonts w:ascii="Arial" w:eastAsia="Arial" w:hAnsi="Arial" w:cs="Arial"/>
          <w:sz w:val="24"/>
          <w:szCs w:val="24"/>
        </w:rPr>
        <w:t xml:space="preserve">ions. </w:t>
      </w:r>
      <w:r w:rsidRPr="001B7747">
        <w:rPr>
          <w:rFonts w:ascii="Arial" w:eastAsia="Arial" w:hAnsi="Arial" w:cs="Arial"/>
          <w:sz w:val="24"/>
          <w:szCs w:val="24"/>
        </w:rPr>
        <w:lastRenderedPageBreak/>
        <w:t xml:space="preserve">The views of </w:t>
      </w:r>
      <w:proofErr w:type="spellStart"/>
      <w:r w:rsidRPr="001B7747">
        <w:rPr>
          <w:rFonts w:ascii="Arial" w:eastAsia="Arial" w:hAnsi="Arial" w:cs="Arial"/>
          <w:sz w:val="24"/>
          <w:szCs w:val="24"/>
        </w:rPr>
        <w:t>Dewi</w:t>
      </w:r>
      <w:proofErr w:type="spellEnd"/>
      <w:r w:rsidRPr="001B7747">
        <w:rPr>
          <w:rFonts w:ascii="Arial" w:eastAsia="Arial" w:hAnsi="Arial" w:cs="Arial"/>
          <w:sz w:val="24"/>
          <w:szCs w:val="24"/>
        </w:rPr>
        <w:t xml:space="preserve"> </w:t>
      </w:r>
      <w:r w:rsidRPr="001B7747">
        <w:rPr>
          <w:rFonts w:ascii="Arial" w:eastAsia="Arial" w:hAnsi="Arial" w:cs="Arial"/>
          <w:i/>
          <w:iCs/>
          <w:sz w:val="24"/>
          <w:szCs w:val="24"/>
        </w:rPr>
        <w:t>et al</w:t>
      </w:r>
      <w:r w:rsidRPr="001B7747">
        <w:rPr>
          <w:rFonts w:ascii="Arial" w:eastAsia="Arial" w:hAnsi="Arial" w:cs="Arial"/>
          <w:sz w:val="24"/>
          <w:szCs w:val="24"/>
        </w:rPr>
        <w:t>. (2021) have portrayed these to be crucial for long-term organisational commitment development. There should also be innovation communities where they can collaborate on operational challenges across locations of Helios operat</w:t>
      </w:r>
      <w:r w:rsidRPr="001B7747">
        <w:rPr>
          <w:rFonts w:ascii="Arial" w:eastAsia="Arial" w:hAnsi="Arial" w:cs="Arial"/>
          <w:sz w:val="24"/>
          <w:szCs w:val="24"/>
        </w:rPr>
        <w:t>ions.</w:t>
      </w:r>
    </w:p>
    <w:p w14:paraId="13D162EC" w14:textId="77777777" w:rsidR="00C953C4" w:rsidRPr="001B7747" w:rsidRDefault="001B7747" w:rsidP="001B7747">
      <w:pPr>
        <w:spacing w:after="120" w:line="360" w:lineRule="auto"/>
        <w:jc w:val="center"/>
        <w:rPr>
          <w:rFonts w:ascii="Arial" w:eastAsia="Arial" w:hAnsi="Arial" w:cs="Arial"/>
          <w:b/>
          <w:bCs/>
          <w:sz w:val="24"/>
          <w:szCs w:val="24"/>
        </w:rPr>
      </w:pPr>
      <w:r w:rsidRPr="001B7747">
        <w:rPr>
          <w:rFonts w:ascii="Arial" w:eastAsia="Arial" w:hAnsi="Arial" w:cs="Arial"/>
          <w:b/>
          <w:bCs/>
          <w:noProof/>
          <w:sz w:val="24"/>
          <w:szCs w:val="24"/>
        </w:rPr>
        <w:drawing>
          <wp:inline distT="0" distB="0" distL="0" distR="0" wp14:anchorId="18CB0732" wp14:editId="3FDFC5EE">
            <wp:extent cx="5731510" cy="296143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1510" cy="2961433"/>
                    </a:xfrm>
                    <a:prstGeom prst="rect">
                      <a:avLst/>
                    </a:prstGeom>
                    <a:ln/>
                  </pic:spPr>
                </pic:pic>
              </a:graphicData>
            </a:graphic>
          </wp:inline>
        </w:drawing>
      </w:r>
    </w:p>
    <w:p w14:paraId="62CCAFA1" w14:textId="77777777" w:rsidR="00C953C4" w:rsidRPr="001B7747" w:rsidRDefault="001B7747" w:rsidP="001B7747">
      <w:pPr>
        <w:pStyle w:val="Heading5"/>
        <w:rPr>
          <w:color w:val="auto"/>
        </w:rPr>
      </w:pPr>
      <w:bookmarkStart w:id="6" w:name="_heading=h.qke1iyt17ifc" w:colFirst="0" w:colLast="0"/>
      <w:bookmarkEnd w:id="6"/>
      <w:r w:rsidRPr="001B7747">
        <w:rPr>
          <w:color w:val="auto"/>
        </w:rPr>
        <w:t>Figure 2: The traditional four phases of onboarding</w:t>
      </w:r>
    </w:p>
    <w:p w14:paraId="617AA0A8" w14:textId="77777777" w:rsidR="00C953C4" w:rsidRPr="001B7747" w:rsidRDefault="001B7747" w:rsidP="001B7747">
      <w:pPr>
        <w:spacing w:after="120" w:line="360" w:lineRule="auto"/>
        <w:jc w:val="center"/>
        <w:rPr>
          <w:rFonts w:ascii="Arial" w:eastAsia="Arial" w:hAnsi="Arial" w:cs="Arial"/>
          <w:sz w:val="24"/>
          <w:szCs w:val="24"/>
        </w:rPr>
      </w:pPr>
      <w:r w:rsidRPr="001B7747">
        <w:rPr>
          <w:rFonts w:ascii="Arial" w:eastAsia="Arial" w:hAnsi="Arial" w:cs="Arial"/>
          <w:sz w:val="24"/>
          <w:szCs w:val="24"/>
        </w:rPr>
        <w:t xml:space="preserve">(Source: </w:t>
      </w:r>
      <w:proofErr w:type="spellStart"/>
      <w:r w:rsidRPr="001B7747">
        <w:rPr>
          <w:rFonts w:ascii="Arial" w:eastAsia="Arial" w:hAnsi="Arial" w:cs="Arial"/>
          <w:sz w:val="24"/>
          <w:szCs w:val="24"/>
        </w:rPr>
        <w:t>Tarika</w:t>
      </w:r>
      <w:proofErr w:type="spellEnd"/>
      <w:r w:rsidRPr="001B7747">
        <w:rPr>
          <w:rFonts w:ascii="Arial" w:eastAsia="Arial" w:hAnsi="Arial" w:cs="Arial"/>
          <w:sz w:val="24"/>
          <w:szCs w:val="24"/>
        </w:rPr>
        <w:t>, 2025)</w:t>
      </w:r>
    </w:p>
    <w:p w14:paraId="38723FD2"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This framework is suitable for Helios, as it balances the structure of traditional onboarding phases while considering flexibility in it (</w:t>
      </w:r>
      <w:proofErr w:type="spellStart"/>
      <w:r w:rsidRPr="001B7747">
        <w:rPr>
          <w:rFonts w:ascii="Arial" w:eastAsia="Arial" w:hAnsi="Arial" w:cs="Arial"/>
          <w:sz w:val="24"/>
          <w:szCs w:val="24"/>
        </w:rPr>
        <w:t>Tarika</w:t>
      </w:r>
      <w:proofErr w:type="spellEnd"/>
      <w:r w:rsidRPr="001B7747">
        <w:rPr>
          <w:rFonts w:ascii="Arial" w:eastAsia="Arial" w:hAnsi="Arial" w:cs="Arial"/>
          <w:sz w:val="24"/>
          <w:szCs w:val="24"/>
        </w:rPr>
        <w:t>, 2025). Furthermore, it supp</w:t>
      </w:r>
      <w:r w:rsidRPr="001B7747">
        <w:rPr>
          <w:rFonts w:ascii="Arial" w:eastAsia="Arial" w:hAnsi="Arial" w:cs="Arial"/>
          <w:sz w:val="24"/>
          <w:szCs w:val="24"/>
        </w:rPr>
        <w:t>orts consistency in international locations without major standardisation.</w:t>
      </w:r>
    </w:p>
    <w:p w14:paraId="12073F9F" w14:textId="77777777" w:rsidR="00C953C4" w:rsidRPr="001B7747" w:rsidRDefault="001B7747" w:rsidP="001B7747">
      <w:pPr>
        <w:pStyle w:val="Heading2"/>
        <w:rPr>
          <w:color w:val="auto"/>
        </w:rPr>
      </w:pPr>
      <w:bookmarkStart w:id="7" w:name="_Toc235089974"/>
      <w:r w:rsidRPr="001B7747">
        <w:rPr>
          <w:color w:val="auto"/>
        </w:rPr>
        <w:t>3. Proposed mechanisms to cultivate</w:t>
      </w:r>
      <w:bookmarkEnd w:id="7"/>
    </w:p>
    <w:p w14:paraId="3B20728E"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Organisational identification can be enhanced via meaningful stories, shared experiences and value considerations. Management should show employe</w:t>
      </w:r>
      <w:r w:rsidRPr="001B7747">
        <w:rPr>
          <w:rFonts w:ascii="Arial" w:eastAsia="Arial" w:hAnsi="Arial" w:cs="Arial"/>
          <w:sz w:val="24"/>
          <w:szCs w:val="24"/>
        </w:rPr>
        <w:t xml:space="preserve">es how they can contribute towards organisational outcomes, which can eventually allow better engagement (Babalola </w:t>
      </w:r>
      <w:r w:rsidRPr="001B7747">
        <w:rPr>
          <w:rFonts w:ascii="Arial" w:eastAsia="Arial" w:hAnsi="Arial" w:cs="Arial"/>
          <w:i/>
          <w:iCs/>
          <w:sz w:val="24"/>
          <w:szCs w:val="24"/>
        </w:rPr>
        <w:t>et al</w:t>
      </w:r>
      <w:r w:rsidRPr="001B7747">
        <w:rPr>
          <w:rFonts w:ascii="Arial" w:eastAsia="Arial" w:hAnsi="Arial" w:cs="Arial"/>
          <w:sz w:val="24"/>
          <w:szCs w:val="24"/>
        </w:rPr>
        <w:t>., 2021). Cross-location collaboration is also crucial for shared experience development and develops a centred company identity, regard</w:t>
      </w:r>
      <w:r w:rsidRPr="001B7747">
        <w:rPr>
          <w:rFonts w:ascii="Arial" w:eastAsia="Arial" w:hAnsi="Arial" w:cs="Arial"/>
          <w:sz w:val="24"/>
          <w:szCs w:val="24"/>
        </w:rPr>
        <w:t xml:space="preserve">less of Helios’s diverse geographical separation. </w:t>
      </w:r>
      <w:proofErr w:type="spellStart"/>
      <w:r w:rsidRPr="001B7747">
        <w:rPr>
          <w:rFonts w:ascii="Arial" w:eastAsia="Arial" w:hAnsi="Arial" w:cs="Arial"/>
          <w:sz w:val="24"/>
          <w:szCs w:val="24"/>
        </w:rPr>
        <w:t>Montani</w:t>
      </w:r>
      <w:proofErr w:type="spellEnd"/>
      <w:r w:rsidRPr="001B7747">
        <w:rPr>
          <w:rFonts w:ascii="Arial" w:eastAsia="Arial" w:hAnsi="Arial" w:cs="Arial"/>
          <w:sz w:val="24"/>
          <w:szCs w:val="24"/>
        </w:rPr>
        <w:t xml:space="preserve"> </w:t>
      </w:r>
      <w:r w:rsidRPr="001B7747">
        <w:rPr>
          <w:rFonts w:ascii="Arial" w:eastAsia="Arial" w:hAnsi="Arial" w:cs="Arial"/>
          <w:i/>
          <w:iCs/>
          <w:sz w:val="24"/>
          <w:szCs w:val="24"/>
        </w:rPr>
        <w:t>et al</w:t>
      </w:r>
      <w:r w:rsidRPr="001B7747">
        <w:rPr>
          <w:rFonts w:ascii="Arial" w:eastAsia="Arial" w:hAnsi="Arial" w:cs="Arial"/>
          <w:sz w:val="24"/>
          <w:szCs w:val="24"/>
        </w:rPr>
        <w:t>. (2020) have identified that recognition programmes can reward employee behaviour for showcasing collaboration and developing meaningful collaborative approaches.</w:t>
      </w:r>
    </w:p>
    <w:p w14:paraId="66D7897A"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 xml:space="preserve">Employee professionalism is also crucial, especially due to the AI reliance and public-sector partnership of Helios. Risks like algorithmic bias, data privacy and responsible </w:t>
      </w:r>
      <w:r w:rsidRPr="001B7747">
        <w:rPr>
          <w:rFonts w:ascii="Arial" w:eastAsia="Arial" w:hAnsi="Arial" w:cs="Arial"/>
          <w:sz w:val="24"/>
          <w:szCs w:val="24"/>
        </w:rPr>
        <w:lastRenderedPageBreak/>
        <w:t xml:space="preserve">innovation can develop major ethical challenges, requiring ethical consideration </w:t>
      </w:r>
      <w:r w:rsidRPr="001B7747">
        <w:rPr>
          <w:rFonts w:ascii="Arial" w:eastAsia="Arial" w:hAnsi="Arial" w:cs="Arial"/>
          <w:sz w:val="24"/>
          <w:szCs w:val="24"/>
        </w:rPr>
        <w:t>in operations, to ensure decision-making is guided through ethical vision (</w:t>
      </w:r>
      <w:proofErr w:type="spellStart"/>
      <w:r w:rsidRPr="001B7747">
        <w:rPr>
          <w:rFonts w:ascii="Arial" w:eastAsia="Arial" w:hAnsi="Arial" w:cs="Arial"/>
          <w:sz w:val="24"/>
          <w:szCs w:val="24"/>
        </w:rPr>
        <w:t>Bahangulu</w:t>
      </w:r>
      <w:proofErr w:type="spellEnd"/>
      <w:r w:rsidRPr="001B7747">
        <w:rPr>
          <w:rFonts w:ascii="Arial" w:eastAsia="Arial" w:hAnsi="Arial" w:cs="Arial"/>
          <w:sz w:val="24"/>
          <w:szCs w:val="24"/>
        </w:rPr>
        <w:t xml:space="preserve"> and Owusu-</w:t>
      </w:r>
      <w:proofErr w:type="spellStart"/>
      <w:r w:rsidRPr="001B7747">
        <w:rPr>
          <w:rFonts w:ascii="Arial" w:eastAsia="Arial" w:hAnsi="Arial" w:cs="Arial"/>
          <w:sz w:val="24"/>
          <w:szCs w:val="24"/>
        </w:rPr>
        <w:t>Berko</w:t>
      </w:r>
      <w:proofErr w:type="spellEnd"/>
      <w:r w:rsidRPr="001B7747">
        <w:rPr>
          <w:rFonts w:ascii="Arial" w:eastAsia="Arial" w:hAnsi="Arial" w:cs="Arial"/>
          <w:sz w:val="24"/>
          <w:szCs w:val="24"/>
        </w:rPr>
        <w:t>, 2025). Scenario-based workshops including realistic organisational challenges can allow employees to analyse stakeholder interest and justify their decisi</w:t>
      </w:r>
      <w:r w:rsidRPr="001B7747">
        <w:rPr>
          <w:rFonts w:ascii="Arial" w:eastAsia="Arial" w:hAnsi="Arial" w:cs="Arial"/>
          <w:sz w:val="24"/>
          <w:szCs w:val="24"/>
        </w:rPr>
        <w:t xml:space="preserve">ons in a professional setting. There is a dire need for Helios to also foster a business activist mindset through considering Ulrich's evolving concept of HR. As identified by </w:t>
      </w:r>
      <w:proofErr w:type="spellStart"/>
      <w:r w:rsidRPr="001B7747">
        <w:rPr>
          <w:rFonts w:ascii="Arial" w:eastAsia="Arial" w:hAnsi="Arial" w:cs="Arial"/>
          <w:sz w:val="24"/>
          <w:szCs w:val="24"/>
        </w:rPr>
        <w:t>Sarvaiya</w:t>
      </w:r>
      <w:proofErr w:type="spellEnd"/>
      <w:r w:rsidRPr="001B7747">
        <w:rPr>
          <w:rFonts w:ascii="Arial" w:eastAsia="Arial" w:hAnsi="Arial" w:cs="Arial"/>
          <w:sz w:val="24"/>
          <w:szCs w:val="24"/>
        </w:rPr>
        <w:t xml:space="preserve"> </w:t>
      </w:r>
      <w:r w:rsidRPr="001B7747">
        <w:rPr>
          <w:rFonts w:ascii="Arial" w:eastAsia="Arial" w:hAnsi="Arial" w:cs="Arial"/>
          <w:i/>
          <w:iCs/>
          <w:sz w:val="24"/>
          <w:szCs w:val="24"/>
        </w:rPr>
        <w:t>et al</w:t>
      </w:r>
      <w:r w:rsidRPr="001B7747">
        <w:rPr>
          <w:rFonts w:ascii="Arial" w:eastAsia="Arial" w:hAnsi="Arial" w:cs="Arial"/>
          <w:sz w:val="24"/>
          <w:szCs w:val="24"/>
        </w:rPr>
        <w:t>. (2021), this will focus on creating value for various stakeholde</w:t>
      </w:r>
      <w:r w:rsidRPr="001B7747">
        <w:rPr>
          <w:rFonts w:ascii="Arial" w:eastAsia="Arial" w:hAnsi="Arial" w:cs="Arial"/>
          <w:sz w:val="24"/>
          <w:szCs w:val="24"/>
        </w:rPr>
        <w:t>rs and not only focus on internal organisational efficiency. Furthermore, stakeholder capitalism can also be considered. This focuses on how sustainable organisational performance is based on balancing investor, employee, consumer and government interest b</w:t>
      </w:r>
      <w:r w:rsidRPr="001B7747">
        <w:rPr>
          <w:rFonts w:ascii="Arial" w:eastAsia="Arial" w:hAnsi="Arial" w:cs="Arial"/>
          <w:sz w:val="24"/>
          <w:szCs w:val="24"/>
        </w:rPr>
        <w:t xml:space="preserve">alancing (Paine, 2023). For Helios, this concept is relevant as the products are directly influencing public infrastructure and urban development concepts. </w:t>
      </w:r>
    </w:p>
    <w:p w14:paraId="75C1E9A1" w14:textId="77777777" w:rsidR="00C953C4" w:rsidRDefault="001B7747" w:rsidP="001B7747">
      <w:pPr>
        <w:spacing w:line="360" w:lineRule="auto"/>
        <w:rPr>
          <w:rFonts w:ascii="Arial" w:eastAsia="Arial" w:hAnsi="Arial" w:cs="Arial"/>
          <w:b/>
          <w:bCs/>
          <w:color w:val="000000"/>
          <w:sz w:val="24"/>
          <w:szCs w:val="24"/>
        </w:rPr>
      </w:pPr>
      <w:r>
        <w:br w:type="page"/>
      </w:r>
    </w:p>
    <w:p w14:paraId="2B2CBD4D" w14:textId="77777777" w:rsidR="00C953C4" w:rsidRDefault="001B7747" w:rsidP="001B7747">
      <w:pPr>
        <w:pStyle w:val="Heading1"/>
      </w:pPr>
      <w:bookmarkStart w:id="8" w:name="_Toc235089975"/>
      <w:r>
        <w:lastRenderedPageBreak/>
        <w:t>TASK B: Job Design</w:t>
      </w:r>
      <w:bookmarkEnd w:id="8"/>
    </w:p>
    <w:p w14:paraId="6E66F788" w14:textId="77777777" w:rsidR="00C953C4" w:rsidRPr="001B7747" w:rsidRDefault="001B7747" w:rsidP="001B7747">
      <w:pPr>
        <w:pStyle w:val="Heading2"/>
        <w:rPr>
          <w:color w:val="auto"/>
        </w:rPr>
      </w:pPr>
      <w:bookmarkStart w:id="9" w:name="_Toc235089976"/>
      <w:r w:rsidRPr="001B7747">
        <w:rPr>
          <w:color w:val="auto"/>
        </w:rPr>
        <w:t>1. Innovative job design strategy</w:t>
      </w:r>
      <w:bookmarkEnd w:id="9"/>
    </w:p>
    <w:p w14:paraId="7F32FDF6"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Helios Urban Mobility showcased declining en</w:t>
      </w:r>
      <w:r w:rsidRPr="001B7747">
        <w:rPr>
          <w:rFonts w:ascii="Arial" w:eastAsia="Arial" w:hAnsi="Arial" w:cs="Arial"/>
          <w:sz w:val="24"/>
          <w:szCs w:val="24"/>
        </w:rPr>
        <w:t>gagement levels and higher turnover among high-potential graduates, showing existing jobs are not properly supporting employee development or motivation for long-term engagement. Therefore, to overcome this issue, Helios should focus on integrating the job</w:t>
      </w:r>
      <w:r w:rsidRPr="001B7747">
        <w:rPr>
          <w:rFonts w:ascii="Arial" w:eastAsia="Arial" w:hAnsi="Arial" w:cs="Arial"/>
          <w:sz w:val="24"/>
          <w:szCs w:val="24"/>
        </w:rPr>
        <w:t xml:space="preserve"> design approach. This will be focused on the Job Characteristics Model (JCM), Job Crafting theory and skill-based internal talent marketplace. The JCM of Hackman and Oldham has five key characteristics, including skills variety, task identity, autonomy, t</w:t>
      </w:r>
      <w:r w:rsidRPr="001B7747">
        <w:rPr>
          <w:rFonts w:ascii="Arial" w:eastAsia="Arial" w:hAnsi="Arial" w:cs="Arial"/>
          <w:sz w:val="24"/>
          <w:szCs w:val="24"/>
        </w:rPr>
        <w:t>ask significance and feedback for developing psychological conditions for intrinsic motivations (</w:t>
      </w:r>
      <w:r w:rsidRPr="001B7747">
        <w:rPr>
          <w:rFonts w:ascii="Arial" w:eastAsia="Arial" w:hAnsi="Arial" w:cs="Arial"/>
          <w:sz w:val="24"/>
          <w:szCs w:val="24"/>
          <w:highlight w:val="white"/>
        </w:rPr>
        <w:t>Kamani, 2020</w:t>
      </w:r>
      <w:r w:rsidRPr="001B7747">
        <w:rPr>
          <w:rFonts w:ascii="Arial" w:eastAsia="Arial" w:hAnsi="Arial" w:cs="Arial"/>
          <w:sz w:val="24"/>
          <w:szCs w:val="24"/>
        </w:rPr>
        <w:t>). It identifies the structural characteristics instrumental to an effective course design and presents related instructional strategies for maximi</w:t>
      </w:r>
      <w:r w:rsidRPr="001B7747">
        <w:rPr>
          <w:rFonts w:ascii="Arial" w:eastAsia="Arial" w:hAnsi="Arial" w:cs="Arial"/>
          <w:sz w:val="24"/>
          <w:szCs w:val="24"/>
        </w:rPr>
        <w:t>zing student motivation in business school classrooms. This model is still crucial as it can link job design to employee performances and engagement. However, this model is also criticised, especially for its potential focus on being a one-size-fits-all ap</w:t>
      </w:r>
      <w:r w:rsidRPr="001B7747">
        <w:rPr>
          <w:rFonts w:ascii="Arial" w:eastAsia="Arial" w:hAnsi="Arial" w:cs="Arial"/>
          <w:sz w:val="24"/>
          <w:szCs w:val="24"/>
        </w:rPr>
        <w:t>proach (El-Farr, 2023). For Helios, this model will provide a solid base of basis for job design.</w:t>
      </w:r>
    </w:p>
    <w:p w14:paraId="6245B363" w14:textId="77777777" w:rsidR="00C953C4" w:rsidRPr="001B7747" w:rsidRDefault="001B7747" w:rsidP="001B7747">
      <w:pPr>
        <w:spacing w:after="120" w:line="360" w:lineRule="auto"/>
        <w:jc w:val="center"/>
        <w:rPr>
          <w:rFonts w:ascii="Arial" w:eastAsia="Arial" w:hAnsi="Arial" w:cs="Arial"/>
          <w:b/>
          <w:bCs/>
          <w:sz w:val="24"/>
          <w:szCs w:val="24"/>
        </w:rPr>
      </w:pPr>
      <w:r w:rsidRPr="001B7747">
        <w:rPr>
          <w:rFonts w:ascii="Arial" w:eastAsia="Arial" w:hAnsi="Arial" w:cs="Arial"/>
          <w:b/>
          <w:bCs/>
          <w:noProof/>
          <w:sz w:val="24"/>
          <w:szCs w:val="24"/>
        </w:rPr>
        <w:drawing>
          <wp:inline distT="0" distB="0" distL="0" distR="0" wp14:anchorId="06B92138" wp14:editId="073C0816">
            <wp:extent cx="4920125" cy="3916679"/>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l="14381" b="9645"/>
                    <a:stretch>
                      <a:fillRect/>
                    </a:stretch>
                  </pic:blipFill>
                  <pic:spPr>
                    <a:xfrm>
                      <a:off x="0" y="0"/>
                      <a:ext cx="4920125" cy="3916679"/>
                    </a:xfrm>
                    <a:prstGeom prst="rect">
                      <a:avLst/>
                    </a:prstGeom>
                    <a:ln/>
                  </pic:spPr>
                </pic:pic>
              </a:graphicData>
            </a:graphic>
          </wp:inline>
        </w:drawing>
      </w:r>
    </w:p>
    <w:p w14:paraId="26FFC1E5" w14:textId="77777777" w:rsidR="00C953C4" w:rsidRPr="001B7747" w:rsidRDefault="001B7747" w:rsidP="001B7747">
      <w:pPr>
        <w:pStyle w:val="Heading5"/>
        <w:rPr>
          <w:color w:val="auto"/>
        </w:rPr>
      </w:pPr>
      <w:bookmarkStart w:id="10" w:name="_heading=h.8cesklibjafe" w:colFirst="0" w:colLast="0"/>
      <w:bookmarkEnd w:id="10"/>
      <w:r w:rsidRPr="001B7747">
        <w:rPr>
          <w:color w:val="auto"/>
        </w:rPr>
        <w:lastRenderedPageBreak/>
        <w:t>Figure 3: The Job characteristic model</w:t>
      </w:r>
    </w:p>
    <w:p w14:paraId="3CBE3B5E" w14:textId="77777777" w:rsidR="00C953C4" w:rsidRPr="001B7747" w:rsidRDefault="001B7747" w:rsidP="001B7747">
      <w:pPr>
        <w:spacing w:after="120" w:line="360" w:lineRule="auto"/>
        <w:jc w:val="center"/>
        <w:rPr>
          <w:rFonts w:ascii="Arial" w:eastAsia="Arial" w:hAnsi="Arial" w:cs="Arial"/>
          <w:sz w:val="24"/>
          <w:szCs w:val="24"/>
        </w:rPr>
      </w:pPr>
      <w:r w:rsidRPr="001B7747">
        <w:rPr>
          <w:rFonts w:ascii="Arial" w:eastAsia="Arial" w:hAnsi="Arial" w:cs="Arial"/>
          <w:sz w:val="24"/>
          <w:szCs w:val="24"/>
        </w:rPr>
        <w:t xml:space="preserve">(Source: MUWANGUZI </w:t>
      </w:r>
      <w:r w:rsidRPr="001B7747">
        <w:rPr>
          <w:rFonts w:ascii="Arial" w:eastAsia="Arial" w:hAnsi="Arial" w:cs="Arial"/>
          <w:i/>
          <w:iCs/>
          <w:sz w:val="24"/>
          <w:szCs w:val="24"/>
        </w:rPr>
        <w:t>et al</w:t>
      </w:r>
      <w:r w:rsidRPr="001B7747">
        <w:rPr>
          <w:rFonts w:ascii="Arial" w:eastAsia="Arial" w:hAnsi="Arial" w:cs="Arial"/>
          <w:sz w:val="24"/>
          <w:szCs w:val="24"/>
        </w:rPr>
        <w:t>., 2022)</w:t>
      </w:r>
    </w:p>
    <w:p w14:paraId="68F8626F"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The job crafting theory addresses the limitations through considering employees as active participants in managing their own work. It allows employees to make meaningful changes to their roles, which can lead to better alignment with their personal strengt</w:t>
      </w:r>
      <w:r w:rsidRPr="001B7747">
        <w:rPr>
          <w:rFonts w:ascii="Arial" w:eastAsia="Arial" w:hAnsi="Arial" w:cs="Arial"/>
          <w:sz w:val="24"/>
          <w:szCs w:val="24"/>
        </w:rPr>
        <w:t xml:space="preserve">hs and aspirations (Rashmi </w:t>
      </w:r>
      <w:r w:rsidRPr="001B7747">
        <w:rPr>
          <w:rFonts w:ascii="Arial" w:eastAsia="Arial" w:hAnsi="Arial" w:cs="Arial"/>
          <w:i/>
          <w:iCs/>
          <w:sz w:val="24"/>
          <w:szCs w:val="24"/>
        </w:rPr>
        <w:t>et al</w:t>
      </w:r>
      <w:r w:rsidRPr="001B7747">
        <w:rPr>
          <w:rFonts w:ascii="Arial" w:eastAsia="Arial" w:hAnsi="Arial" w:cs="Arial"/>
          <w:sz w:val="24"/>
          <w:szCs w:val="24"/>
        </w:rPr>
        <w:t xml:space="preserve">., 2025). Based on this, employees can alter their tasks, relations, and perceptions to efficiently fit their individual strengths and company values. Based on </w:t>
      </w:r>
      <w:proofErr w:type="spellStart"/>
      <w:r w:rsidRPr="001B7747">
        <w:rPr>
          <w:rFonts w:ascii="Arial" w:eastAsia="Arial" w:hAnsi="Arial" w:cs="Arial"/>
          <w:sz w:val="24"/>
          <w:szCs w:val="24"/>
        </w:rPr>
        <w:t>Signore</w:t>
      </w:r>
      <w:proofErr w:type="spellEnd"/>
      <w:r w:rsidRPr="001B7747">
        <w:rPr>
          <w:rFonts w:ascii="Arial" w:eastAsia="Arial" w:hAnsi="Arial" w:cs="Arial"/>
          <w:sz w:val="24"/>
          <w:szCs w:val="24"/>
        </w:rPr>
        <w:t xml:space="preserve"> </w:t>
      </w:r>
      <w:r w:rsidRPr="001B7747">
        <w:rPr>
          <w:rFonts w:ascii="Arial" w:eastAsia="Arial" w:hAnsi="Arial" w:cs="Arial"/>
          <w:i/>
          <w:iCs/>
          <w:sz w:val="24"/>
          <w:szCs w:val="24"/>
        </w:rPr>
        <w:t>et al</w:t>
      </w:r>
      <w:r w:rsidRPr="001B7747">
        <w:rPr>
          <w:rFonts w:ascii="Arial" w:eastAsia="Arial" w:hAnsi="Arial" w:cs="Arial"/>
          <w:sz w:val="24"/>
          <w:szCs w:val="24"/>
        </w:rPr>
        <w:t xml:space="preserve">. (2025), job crafting can increase engagement and </w:t>
      </w:r>
      <w:r w:rsidRPr="001B7747">
        <w:rPr>
          <w:rFonts w:ascii="Arial" w:eastAsia="Arial" w:hAnsi="Arial" w:cs="Arial"/>
          <w:sz w:val="24"/>
          <w:szCs w:val="24"/>
        </w:rPr>
        <w:t>adaptability. Therefore, Helios needs to adapt a structured job crafting approach in which flexibility is focused, with clear strategic boundaries to align. Finally, the skills-based architecture supported through an internal talent marketplace can provide</w:t>
      </w:r>
      <w:r w:rsidRPr="001B7747">
        <w:rPr>
          <w:rFonts w:ascii="Arial" w:eastAsia="Arial" w:hAnsi="Arial" w:cs="Arial"/>
          <w:sz w:val="24"/>
          <w:szCs w:val="24"/>
        </w:rPr>
        <w:t xml:space="preserve"> storing support. In contrast to traditional job structures, a skills-based approach of an internal talent marketplace is more focused on the concept that capabilities can be deployed in projects, teams, and even locations (Devine, 2021). This model is inc</w:t>
      </w:r>
      <w:r w:rsidRPr="001B7747">
        <w:rPr>
          <w:rFonts w:ascii="Arial" w:eastAsia="Arial" w:hAnsi="Arial" w:cs="Arial"/>
          <w:sz w:val="24"/>
          <w:szCs w:val="24"/>
        </w:rPr>
        <w:t>reasingly related to organisational agility, as it can ensure talent to move rapidly in relation to emerging priorities.</w:t>
      </w:r>
    </w:p>
    <w:p w14:paraId="1BE51BA3"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b/>
          <w:bCs/>
          <w:i/>
          <w:iCs/>
          <w:sz w:val="24"/>
          <w:szCs w:val="24"/>
        </w:rPr>
        <w:t>Summary of job design components</w:t>
      </w:r>
    </w:p>
    <w:tbl>
      <w:tblPr>
        <w:tblStyle w:val="a0"/>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0"/>
        <w:gridCol w:w="3081"/>
        <w:gridCol w:w="3081"/>
      </w:tblGrid>
      <w:tr w:rsidR="001B7747" w:rsidRPr="001B7747" w14:paraId="4063B6ED" w14:textId="77777777">
        <w:tc>
          <w:tcPr>
            <w:tcW w:w="3080" w:type="dxa"/>
          </w:tcPr>
          <w:p w14:paraId="3F61F17D" w14:textId="77777777" w:rsidR="00C953C4" w:rsidRPr="001B7747" w:rsidRDefault="001B7747" w:rsidP="001B7747">
            <w:pPr>
              <w:spacing w:line="360" w:lineRule="auto"/>
              <w:jc w:val="both"/>
              <w:rPr>
                <w:rFonts w:ascii="Arial" w:eastAsia="Arial" w:hAnsi="Arial" w:cs="Arial"/>
                <w:b/>
                <w:bCs/>
                <w:sz w:val="24"/>
                <w:szCs w:val="24"/>
              </w:rPr>
            </w:pPr>
            <w:r w:rsidRPr="001B7747">
              <w:rPr>
                <w:rFonts w:ascii="Arial" w:eastAsia="Arial" w:hAnsi="Arial" w:cs="Arial"/>
                <w:b/>
                <w:bCs/>
                <w:sz w:val="24"/>
                <w:szCs w:val="24"/>
              </w:rPr>
              <w:t xml:space="preserve">Component </w:t>
            </w:r>
          </w:p>
        </w:tc>
        <w:tc>
          <w:tcPr>
            <w:tcW w:w="3081" w:type="dxa"/>
          </w:tcPr>
          <w:p w14:paraId="2B7A27DF" w14:textId="77777777" w:rsidR="00C953C4" w:rsidRPr="001B7747" w:rsidRDefault="001B7747" w:rsidP="001B7747">
            <w:pPr>
              <w:spacing w:line="360" w:lineRule="auto"/>
              <w:jc w:val="both"/>
              <w:rPr>
                <w:rFonts w:ascii="Arial" w:eastAsia="Arial" w:hAnsi="Arial" w:cs="Arial"/>
                <w:b/>
                <w:bCs/>
                <w:sz w:val="24"/>
                <w:szCs w:val="24"/>
              </w:rPr>
            </w:pPr>
            <w:r w:rsidRPr="001B7747">
              <w:rPr>
                <w:rFonts w:ascii="Arial" w:eastAsia="Arial" w:hAnsi="Arial" w:cs="Arial"/>
                <w:b/>
                <w:bCs/>
                <w:sz w:val="24"/>
                <w:szCs w:val="24"/>
              </w:rPr>
              <w:t xml:space="preserve">Features </w:t>
            </w:r>
          </w:p>
        </w:tc>
        <w:tc>
          <w:tcPr>
            <w:tcW w:w="3081" w:type="dxa"/>
          </w:tcPr>
          <w:p w14:paraId="0858593A" w14:textId="77777777" w:rsidR="00C953C4" w:rsidRPr="001B7747" w:rsidRDefault="001B7747" w:rsidP="001B7747">
            <w:pPr>
              <w:spacing w:line="360" w:lineRule="auto"/>
              <w:jc w:val="both"/>
              <w:rPr>
                <w:rFonts w:ascii="Arial" w:eastAsia="Arial" w:hAnsi="Arial" w:cs="Arial"/>
                <w:b/>
                <w:bCs/>
                <w:sz w:val="24"/>
                <w:szCs w:val="24"/>
              </w:rPr>
            </w:pPr>
            <w:r w:rsidRPr="001B7747">
              <w:rPr>
                <w:rFonts w:ascii="Arial" w:eastAsia="Arial" w:hAnsi="Arial" w:cs="Arial"/>
                <w:b/>
                <w:bCs/>
                <w:sz w:val="24"/>
                <w:szCs w:val="24"/>
              </w:rPr>
              <w:t>Strategic benefits</w:t>
            </w:r>
          </w:p>
        </w:tc>
      </w:tr>
      <w:tr w:rsidR="001B7747" w:rsidRPr="001B7747" w14:paraId="00E8AC16" w14:textId="77777777">
        <w:tc>
          <w:tcPr>
            <w:tcW w:w="3080" w:type="dxa"/>
          </w:tcPr>
          <w:p w14:paraId="4C6D660F"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Job enrichment</w:t>
            </w:r>
          </w:p>
        </w:tc>
        <w:tc>
          <w:tcPr>
            <w:tcW w:w="3081" w:type="dxa"/>
          </w:tcPr>
          <w:p w14:paraId="1BF11DA0"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Wider responsibilities and ownership</w:t>
            </w:r>
          </w:p>
        </w:tc>
        <w:tc>
          <w:tcPr>
            <w:tcW w:w="3081" w:type="dxa"/>
          </w:tcPr>
          <w:p w14:paraId="0C0A443E"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Better en</w:t>
            </w:r>
            <w:r w:rsidRPr="001B7747">
              <w:rPr>
                <w:rFonts w:ascii="Arial" w:eastAsia="Arial" w:hAnsi="Arial" w:cs="Arial"/>
                <w:sz w:val="24"/>
                <w:szCs w:val="24"/>
              </w:rPr>
              <w:t>gagement</w:t>
            </w:r>
          </w:p>
        </w:tc>
      </w:tr>
      <w:tr w:rsidR="001B7747" w:rsidRPr="001B7747" w14:paraId="3403D6A2" w14:textId="77777777">
        <w:tc>
          <w:tcPr>
            <w:tcW w:w="3080" w:type="dxa"/>
          </w:tcPr>
          <w:p w14:paraId="791E65E3"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Supported job crafting</w:t>
            </w:r>
          </w:p>
        </w:tc>
        <w:tc>
          <w:tcPr>
            <w:tcW w:w="3081" w:type="dxa"/>
          </w:tcPr>
          <w:p w14:paraId="1E37A184"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Employee-focused role adjustments</w:t>
            </w:r>
          </w:p>
        </w:tc>
        <w:tc>
          <w:tcPr>
            <w:tcW w:w="3081" w:type="dxa"/>
          </w:tcPr>
          <w:p w14:paraId="573C011F"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 xml:space="preserve">Higher adaptability </w:t>
            </w:r>
          </w:p>
        </w:tc>
      </w:tr>
      <w:tr w:rsidR="001B7747" w:rsidRPr="001B7747" w14:paraId="416C0BFD" w14:textId="77777777">
        <w:tc>
          <w:tcPr>
            <w:tcW w:w="3080" w:type="dxa"/>
          </w:tcPr>
          <w:p w14:paraId="124DCC90"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Internal Talent marketplace</w:t>
            </w:r>
          </w:p>
        </w:tc>
        <w:tc>
          <w:tcPr>
            <w:tcW w:w="3081" w:type="dxa"/>
          </w:tcPr>
          <w:p w14:paraId="4DAD5D45"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 xml:space="preserve">Skills-based project allocation </w:t>
            </w:r>
          </w:p>
        </w:tc>
        <w:tc>
          <w:tcPr>
            <w:tcW w:w="3081" w:type="dxa"/>
          </w:tcPr>
          <w:p w14:paraId="0EDFF94F" w14:textId="77777777" w:rsidR="00C953C4"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Retention and innovations</w:t>
            </w:r>
          </w:p>
        </w:tc>
      </w:tr>
    </w:tbl>
    <w:p w14:paraId="6914BCE7" w14:textId="77777777" w:rsidR="00C953C4" w:rsidRPr="001B7747" w:rsidRDefault="00C953C4" w:rsidP="001B7747">
      <w:pPr>
        <w:spacing w:after="120" w:line="360" w:lineRule="auto"/>
        <w:jc w:val="both"/>
        <w:rPr>
          <w:rFonts w:ascii="Arial" w:eastAsia="Arial" w:hAnsi="Arial" w:cs="Arial"/>
          <w:sz w:val="24"/>
          <w:szCs w:val="24"/>
        </w:rPr>
      </w:pPr>
    </w:p>
    <w:p w14:paraId="5B9FDB82"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In terms of implementation, the first stage includes redesigning existing job roles based on the principles of the Job Characteristics Model. It will be a mandate for every employee to have better visibility of the complete mobility solution lifecycle with</w:t>
      </w:r>
      <w:r w:rsidRPr="001B7747">
        <w:rPr>
          <w:rFonts w:ascii="Arial" w:eastAsia="Arial" w:hAnsi="Arial" w:cs="Arial"/>
          <w:sz w:val="24"/>
          <w:szCs w:val="24"/>
        </w:rPr>
        <w:t xml:space="preserve"> greater transparency. For example, the software engineer must participate in client implementation review, while data analysts can contribute to discussions for policy outcomes and service betterment. This approach will help increase task identity by allo</w:t>
      </w:r>
      <w:r w:rsidRPr="001B7747">
        <w:rPr>
          <w:rFonts w:ascii="Arial" w:eastAsia="Arial" w:hAnsi="Arial" w:cs="Arial"/>
          <w:sz w:val="24"/>
          <w:szCs w:val="24"/>
        </w:rPr>
        <w:t xml:space="preserve">wing employees to have better observation for the final impact of their tasks and </w:t>
      </w:r>
      <w:r w:rsidRPr="001B7747">
        <w:rPr>
          <w:rFonts w:ascii="Arial" w:eastAsia="Arial" w:hAnsi="Arial" w:cs="Arial"/>
          <w:sz w:val="24"/>
          <w:szCs w:val="24"/>
        </w:rPr>
        <w:lastRenderedPageBreak/>
        <w:t>connecting it to wider societal outcomes like sustainable mobility solutions, aligning with the characteristics model (Raihan, 2020). These connections are crucial, especiall</w:t>
      </w:r>
      <w:r w:rsidRPr="001B7747">
        <w:rPr>
          <w:rFonts w:ascii="Arial" w:eastAsia="Arial" w:hAnsi="Arial" w:cs="Arial"/>
          <w:sz w:val="24"/>
          <w:szCs w:val="24"/>
        </w:rPr>
        <w:t>y for young professionals who seek purpose in their work while considering career progression. A focus on skill variety should be given through enhancing it via rotational opportunities in product development, implementation or stakeholder engagement. As p</w:t>
      </w:r>
      <w:r w:rsidRPr="001B7747">
        <w:rPr>
          <w:rFonts w:ascii="Arial" w:eastAsia="Arial" w:hAnsi="Arial" w:cs="Arial"/>
          <w:sz w:val="24"/>
          <w:szCs w:val="24"/>
        </w:rPr>
        <w:t xml:space="preserve">er </w:t>
      </w:r>
      <w:proofErr w:type="spellStart"/>
      <w:r w:rsidRPr="001B7747">
        <w:rPr>
          <w:rFonts w:ascii="Arial" w:eastAsia="Arial" w:hAnsi="Arial" w:cs="Arial"/>
          <w:sz w:val="24"/>
          <w:szCs w:val="24"/>
        </w:rPr>
        <w:t>Mlekus</w:t>
      </w:r>
      <w:proofErr w:type="spellEnd"/>
      <w:r w:rsidRPr="001B7747">
        <w:rPr>
          <w:rFonts w:ascii="Arial" w:eastAsia="Arial" w:hAnsi="Arial" w:cs="Arial"/>
          <w:sz w:val="24"/>
          <w:szCs w:val="24"/>
        </w:rPr>
        <w:t xml:space="preserve"> and Maier (2021), allowing them to engage with various disciplines will increase organisational understanding while reducing monotony in work. Autonomy will also be included through workflow design and problem-solving tasks. Finally, continuous f</w:t>
      </w:r>
      <w:r w:rsidRPr="001B7747">
        <w:rPr>
          <w:rFonts w:ascii="Arial" w:eastAsia="Arial" w:hAnsi="Arial" w:cs="Arial"/>
          <w:sz w:val="24"/>
          <w:szCs w:val="24"/>
        </w:rPr>
        <w:t>eedback sessions will help understanding stakeholder perspectives and employee concerns or queries.</w:t>
      </w:r>
    </w:p>
    <w:p w14:paraId="1EB4F228"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 xml:space="preserve">In the second stage, guided job crafting is done. Employees will participate in quarterly development discussions for opportunity identification and manage </w:t>
      </w:r>
      <w:r w:rsidRPr="001B7747">
        <w:rPr>
          <w:rFonts w:ascii="Arial" w:eastAsia="Arial" w:hAnsi="Arial" w:cs="Arial"/>
          <w:sz w:val="24"/>
          <w:szCs w:val="24"/>
        </w:rPr>
        <w:t>aspects of their roles (</w:t>
      </w:r>
      <w:proofErr w:type="spellStart"/>
      <w:r w:rsidRPr="001B7747">
        <w:rPr>
          <w:rFonts w:ascii="Arial" w:eastAsia="Arial" w:hAnsi="Arial" w:cs="Arial"/>
          <w:sz w:val="24"/>
          <w:szCs w:val="24"/>
        </w:rPr>
        <w:t>Kooij</w:t>
      </w:r>
      <w:proofErr w:type="spellEnd"/>
      <w:r w:rsidRPr="001B7747">
        <w:rPr>
          <w:rFonts w:ascii="Arial" w:eastAsia="Arial" w:hAnsi="Arial" w:cs="Arial"/>
          <w:sz w:val="24"/>
          <w:szCs w:val="24"/>
        </w:rPr>
        <w:t xml:space="preserve"> </w:t>
      </w:r>
      <w:r w:rsidRPr="001B7747">
        <w:rPr>
          <w:rFonts w:ascii="Arial" w:eastAsia="Arial" w:hAnsi="Arial" w:cs="Arial"/>
          <w:i/>
          <w:iCs/>
          <w:sz w:val="24"/>
          <w:szCs w:val="24"/>
        </w:rPr>
        <w:t>et al</w:t>
      </w:r>
      <w:r w:rsidRPr="001B7747">
        <w:rPr>
          <w:rFonts w:ascii="Arial" w:eastAsia="Arial" w:hAnsi="Arial" w:cs="Arial"/>
          <w:sz w:val="24"/>
          <w:szCs w:val="24"/>
        </w:rPr>
        <w:t>., 2022). For example, an engineer interested in sustainability policy can support stakeholder engagement approaches. Furthermore, data analysts can gain leadership experience in terms of coordinating a cross-functional a</w:t>
      </w:r>
      <w:r w:rsidRPr="001B7747">
        <w:rPr>
          <w:rFonts w:ascii="Arial" w:eastAsia="Arial" w:hAnsi="Arial" w:cs="Arial"/>
          <w:sz w:val="24"/>
          <w:szCs w:val="24"/>
        </w:rPr>
        <w:t>pproach. These adjustments will increase the feel of ownership and allow employees to align their work with personal strengths and aspirational goals.</w:t>
      </w:r>
    </w:p>
    <w:p w14:paraId="1EBA9989"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The third stage will focus on implementation of an internal talent marketplace. Employees will manage the</w:t>
      </w:r>
      <w:r w:rsidRPr="001B7747">
        <w:rPr>
          <w:rFonts w:ascii="Arial" w:eastAsia="Arial" w:hAnsi="Arial" w:cs="Arial"/>
          <w:sz w:val="24"/>
          <w:szCs w:val="24"/>
        </w:rPr>
        <w:t>ir digital skills profile with technical expertise analysis, certifications, languages and developmental interests. While managers can advertise innovation projects, international assignments, and strategic work through a primary platform. This marketplace</w:t>
      </w:r>
      <w:r w:rsidRPr="001B7747">
        <w:rPr>
          <w:rFonts w:ascii="Arial" w:eastAsia="Arial" w:hAnsi="Arial" w:cs="Arial"/>
          <w:sz w:val="24"/>
          <w:szCs w:val="24"/>
        </w:rPr>
        <w:t xml:space="preserve"> will allow to directly address graduate turnover issues faced by the company through showing visible career opportunities (Borg </w:t>
      </w:r>
      <w:r w:rsidRPr="001B7747">
        <w:rPr>
          <w:rFonts w:ascii="Arial" w:eastAsia="Arial" w:hAnsi="Arial" w:cs="Arial"/>
          <w:i/>
          <w:iCs/>
          <w:sz w:val="24"/>
          <w:szCs w:val="24"/>
        </w:rPr>
        <w:t>et al</w:t>
      </w:r>
      <w:r w:rsidRPr="001B7747">
        <w:rPr>
          <w:rFonts w:ascii="Arial" w:eastAsia="Arial" w:hAnsi="Arial" w:cs="Arial"/>
          <w:sz w:val="24"/>
          <w:szCs w:val="24"/>
        </w:rPr>
        <w:t>., 2021).</w:t>
      </w:r>
    </w:p>
    <w:p w14:paraId="77A0EEAA" w14:textId="77777777" w:rsidR="00C953C4" w:rsidRPr="001B7747" w:rsidRDefault="001B7747" w:rsidP="001B7747">
      <w:pPr>
        <w:pStyle w:val="Heading2"/>
        <w:rPr>
          <w:color w:val="auto"/>
        </w:rPr>
      </w:pPr>
      <w:bookmarkStart w:id="11" w:name="_Toc235089977"/>
      <w:r w:rsidRPr="001B7747">
        <w:rPr>
          <w:color w:val="auto"/>
        </w:rPr>
        <w:t>2. Design stimulation explanations</w:t>
      </w:r>
      <w:bookmarkEnd w:id="11"/>
    </w:p>
    <w:p w14:paraId="73F0DE0D"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The proposed architecture is supporting intrinsic motivation as it can develo</w:t>
      </w:r>
      <w:r w:rsidRPr="001B7747">
        <w:rPr>
          <w:rFonts w:ascii="Arial" w:eastAsia="Arial" w:hAnsi="Arial" w:cs="Arial"/>
          <w:sz w:val="24"/>
          <w:szCs w:val="24"/>
        </w:rPr>
        <w:t xml:space="preserve">p meaningful work, developmental opportunities, and strong company connections. Taking support of the Job Characteristics Model, employees are motivated when their work is considered significant and they feel the responsibility for outcomes (Judge </w:t>
      </w:r>
      <w:r w:rsidRPr="001B7747">
        <w:rPr>
          <w:rFonts w:ascii="Arial" w:eastAsia="Arial" w:hAnsi="Arial" w:cs="Arial"/>
          <w:i/>
          <w:iCs/>
          <w:sz w:val="24"/>
          <w:szCs w:val="24"/>
        </w:rPr>
        <w:t>et al</w:t>
      </w:r>
      <w:r w:rsidRPr="001B7747">
        <w:rPr>
          <w:rFonts w:ascii="Arial" w:eastAsia="Arial" w:hAnsi="Arial" w:cs="Arial"/>
          <w:sz w:val="24"/>
          <w:szCs w:val="24"/>
        </w:rPr>
        <w:t xml:space="preserve">., </w:t>
      </w:r>
      <w:r w:rsidRPr="001B7747">
        <w:rPr>
          <w:rFonts w:ascii="Arial" w:eastAsia="Arial" w:hAnsi="Arial" w:cs="Arial"/>
          <w:sz w:val="24"/>
          <w:szCs w:val="24"/>
        </w:rPr>
        <w:t xml:space="preserve">2023). Redesigned roles support these aspects through wider responsibilities, better autonomy, and continuous learning potential. As per </w:t>
      </w:r>
      <w:proofErr w:type="spellStart"/>
      <w:r w:rsidRPr="001B7747">
        <w:rPr>
          <w:rFonts w:ascii="Arial" w:eastAsia="Arial" w:hAnsi="Arial" w:cs="Arial"/>
          <w:sz w:val="24"/>
          <w:szCs w:val="24"/>
        </w:rPr>
        <w:t>Olafsen</w:t>
      </w:r>
      <w:proofErr w:type="spellEnd"/>
      <w:r w:rsidRPr="001B7747">
        <w:rPr>
          <w:rFonts w:ascii="Arial" w:eastAsia="Arial" w:hAnsi="Arial" w:cs="Arial"/>
          <w:sz w:val="24"/>
          <w:szCs w:val="24"/>
        </w:rPr>
        <w:t xml:space="preserve"> </w:t>
      </w:r>
      <w:r w:rsidRPr="001B7747">
        <w:rPr>
          <w:rFonts w:ascii="Arial" w:eastAsia="Arial" w:hAnsi="Arial" w:cs="Arial"/>
          <w:i/>
          <w:iCs/>
          <w:sz w:val="24"/>
          <w:szCs w:val="24"/>
        </w:rPr>
        <w:t>et al</w:t>
      </w:r>
      <w:r w:rsidRPr="001B7747">
        <w:rPr>
          <w:rFonts w:ascii="Arial" w:eastAsia="Arial" w:hAnsi="Arial" w:cs="Arial"/>
          <w:sz w:val="24"/>
          <w:szCs w:val="24"/>
        </w:rPr>
        <w:t>. (2025), this strategy is well-aligned with the concept of Self-Determination Theory (SDT) that focuses o</w:t>
      </w:r>
      <w:r w:rsidRPr="001B7747">
        <w:rPr>
          <w:rFonts w:ascii="Arial" w:eastAsia="Arial" w:hAnsi="Arial" w:cs="Arial"/>
          <w:sz w:val="24"/>
          <w:szCs w:val="24"/>
        </w:rPr>
        <w:t xml:space="preserve">n project ownerships and job crafting approaches for better autonomy </w:t>
      </w:r>
      <w:r w:rsidRPr="001B7747">
        <w:rPr>
          <w:rFonts w:ascii="Arial" w:eastAsia="Arial" w:hAnsi="Arial" w:cs="Arial"/>
          <w:sz w:val="24"/>
          <w:szCs w:val="24"/>
        </w:rPr>
        <w:lastRenderedPageBreak/>
        <w:t>development. The competence can also be created via marketplace opportunities for growth and rotational tasks. SDT identifies three core psychological needs that are essential for optimal</w:t>
      </w:r>
      <w:r w:rsidRPr="001B7747">
        <w:rPr>
          <w:rFonts w:ascii="Arial" w:eastAsia="Arial" w:hAnsi="Arial" w:cs="Arial"/>
          <w:sz w:val="24"/>
          <w:szCs w:val="24"/>
        </w:rPr>
        <w:t xml:space="preserve"> functioning, such as Autonomy (voluntary and self-endorsed actions), Competence (capable of meeting challenges and achieving desired outcomes) and Relatedness (feeling connected to and valued by others) (Kurt, 2025). </w:t>
      </w:r>
    </w:p>
    <w:p w14:paraId="7A8380F2" w14:textId="77777777" w:rsidR="00C953C4" w:rsidRPr="001B7747" w:rsidRDefault="001B7747" w:rsidP="001B7747">
      <w:pPr>
        <w:spacing w:after="120" w:line="360" w:lineRule="auto"/>
        <w:jc w:val="center"/>
        <w:rPr>
          <w:rFonts w:ascii="Arial" w:eastAsia="Arial" w:hAnsi="Arial" w:cs="Arial"/>
          <w:b/>
          <w:bCs/>
          <w:sz w:val="24"/>
          <w:szCs w:val="24"/>
        </w:rPr>
      </w:pPr>
      <w:r w:rsidRPr="001B7747">
        <w:rPr>
          <w:rFonts w:ascii="Arial" w:eastAsia="Arial" w:hAnsi="Arial" w:cs="Arial"/>
          <w:b/>
          <w:bCs/>
          <w:noProof/>
          <w:sz w:val="24"/>
          <w:szCs w:val="24"/>
        </w:rPr>
        <w:drawing>
          <wp:inline distT="0" distB="0" distL="0" distR="0" wp14:anchorId="250EE3F3" wp14:editId="474B9E58">
            <wp:extent cx="3955418" cy="302702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955418" cy="3027028"/>
                    </a:xfrm>
                    <a:prstGeom prst="rect">
                      <a:avLst/>
                    </a:prstGeom>
                    <a:ln/>
                  </pic:spPr>
                </pic:pic>
              </a:graphicData>
            </a:graphic>
          </wp:inline>
        </w:drawing>
      </w:r>
    </w:p>
    <w:p w14:paraId="21F6B73B" w14:textId="77777777" w:rsidR="00C953C4" w:rsidRPr="001B7747" w:rsidRDefault="001B7747" w:rsidP="001B7747">
      <w:pPr>
        <w:pStyle w:val="Heading5"/>
        <w:rPr>
          <w:color w:val="auto"/>
        </w:rPr>
      </w:pPr>
      <w:bookmarkStart w:id="12" w:name="_heading=h.dajlq57ogw07" w:colFirst="0" w:colLast="0"/>
      <w:bookmarkEnd w:id="12"/>
      <w:r w:rsidRPr="001B7747">
        <w:rPr>
          <w:color w:val="auto"/>
        </w:rPr>
        <w:t>Figure 4: Self-determination theory (SDT)</w:t>
      </w:r>
    </w:p>
    <w:p w14:paraId="10E01AE4" w14:textId="77777777" w:rsidR="00C953C4" w:rsidRPr="001B7747" w:rsidRDefault="001B7747" w:rsidP="001B7747">
      <w:pPr>
        <w:spacing w:after="120" w:line="360" w:lineRule="auto"/>
        <w:jc w:val="center"/>
        <w:rPr>
          <w:rFonts w:ascii="Arial" w:eastAsia="Arial" w:hAnsi="Arial" w:cs="Arial"/>
          <w:sz w:val="24"/>
          <w:szCs w:val="24"/>
        </w:rPr>
      </w:pPr>
      <w:r w:rsidRPr="001B7747">
        <w:rPr>
          <w:rFonts w:ascii="Arial" w:eastAsia="Arial" w:hAnsi="Arial" w:cs="Arial"/>
          <w:sz w:val="24"/>
          <w:szCs w:val="24"/>
        </w:rPr>
        <w:t>(Source: Kurt, 2025)</w:t>
      </w:r>
    </w:p>
    <w:p w14:paraId="0074691C" w14:textId="77777777" w:rsidR="00C953C4" w:rsidRPr="001B7747" w:rsidRDefault="001B7747" w:rsidP="001B7747">
      <w:pPr>
        <w:spacing w:after="120" w:line="360" w:lineRule="auto"/>
        <w:jc w:val="both"/>
        <w:rPr>
          <w:rFonts w:ascii="Arial" w:eastAsia="Arial" w:hAnsi="Arial" w:cs="Arial"/>
          <w:sz w:val="24"/>
          <w:szCs w:val="24"/>
        </w:rPr>
      </w:pPr>
      <w:r w:rsidRPr="001B7747">
        <w:rPr>
          <w:rFonts w:ascii="Arial" w:eastAsia="Arial" w:hAnsi="Arial" w:cs="Arial"/>
          <w:sz w:val="24"/>
          <w:szCs w:val="24"/>
        </w:rPr>
        <w:t>Innovation is based on job design, as strict structures can hinder experimentation, as employee focus is narrowed to single assigned tasks. While enriched jobs, guided job crafting, and talent marketplace ensures exploring and collaboration. The benefits o</w:t>
      </w:r>
      <w:r w:rsidRPr="001B7747">
        <w:rPr>
          <w:rFonts w:ascii="Arial" w:eastAsia="Arial" w:hAnsi="Arial" w:cs="Arial"/>
          <w:sz w:val="24"/>
          <w:szCs w:val="24"/>
        </w:rPr>
        <w:t>f cross-functional collaboration go beyond teamwork. A cross-functional team mixes people from different areas of a company. This mix creates a lively space for teamwork in innovation projects. Team members have different skills and views, leading to bette</w:t>
      </w:r>
      <w:r w:rsidRPr="001B7747">
        <w:rPr>
          <w:rFonts w:ascii="Arial" w:eastAsia="Arial" w:hAnsi="Arial" w:cs="Arial"/>
          <w:sz w:val="24"/>
          <w:szCs w:val="24"/>
        </w:rPr>
        <w:t>r solutions (Dsouza, 2025). In the case of Helios, the internal talent marketplace is especially crucial, as it focuses on innovation. Employees can gain structured access to projects that are not limited to their assigned roles only. This develops potenti</w:t>
      </w:r>
      <w:r w:rsidRPr="001B7747">
        <w:rPr>
          <w:rFonts w:ascii="Arial" w:eastAsia="Arial" w:hAnsi="Arial" w:cs="Arial"/>
          <w:sz w:val="24"/>
          <w:szCs w:val="24"/>
        </w:rPr>
        <w:t xml:space="preserve">al for knowledge recombination that is a key driver for innovation in technological situations (Kim </w:t>
      </w:r>
      <w:r w:rsidRPr="001B7747">
        <w:rPr>
          <w:rFonts w:ascii="Arial" w:eastAsia="Arial" w:hAnsi="Arial" w:cs="Arial"/>
          <w:i/>
          <w:iCs/>
          <w:sz w:val="24"/>
          <w:szCs w:val="24"/>
        </w:rPr>
        <w:t>et al</w:t>
      </w:r>
      <w:r w:rsidRPr="001B7747">
        <w:rPr>
          <w:rFonts w:ascii="Arial" w:eastAsia="Arial" w:hAnsi="Arial" w:cs="Arial"/>
          <w:sz w:val="24"/>
          <w:szCs w:val="24"/>
        </w:rPr>
        <w:t>., 2026). It can also allow for overcoming barriers of the company's diverse location presence and ensure collaboration in London, Berlin, and Singapor</w:t>
      </w:r>
      <w:r w:rsidRPr="001B7747">
        <w:rPr>
          <w:rFonts w:ascii="Arial" w:eastAsia="Arial" w:hAnsi="Arial" w:cs="Arial"/>
          <w:sz w:val="24"/>
          <w:szCs w:val="24"/>
        </w:rPr>
        <w:t>e.</w:t>
      </w:r>
    </w:p>
    <w:p w14:paraId="0CF10734" w14:textId="77777777" w:rsidR="00C953C4" w:rsidRPr="001B7747" w:rsidRDefault="001B7747" w:rsidP="001B7747">
      <w:pPr>
        <w:spacing w:line="360" w:lineRule="auto"/>
        <w:rPr>
          <w:rFonts w:ascii="Arial" w:eastAsia="Arial" w:hAnsi="Arial" w:cs="Arial"/>
          <w:b/>
          <w:bCs/>
          <w:sz w:val="24"/>
          <w:szCs w:val="24"/>
        </w:rPr>
      </w:pPr>
      <w:r w:rsidRPr="001B7747">
        <w:br w:type="page"/>
      </w:r>
    </w:p>
    <w:p w14:paraId="15AE19EE" w14:textId="77777777" w:rsidR="00C953C4" w:rsidRDefault="001B7747" w:rsidP="001B7747">
      <w:pPr>
        <w:pStyle w:val="Heading1"/>
      </w:pPr>
      <w:bookmarkStart w:id="13" w:name="_Toc235089978"/>
      <w:r>
        <w:lastRenderedPageBreak/>
        <w:t>TASK C: Reflective report</w:t>
      </w:r>
      <w:bookmarkEnd w:id="13"/>
    </w:p>
    <w:p w14:paraId="53257BBD" w14:textId="77777777" w:rsidR="00C953C4" w:rsidRDefault="001B7747" w:rsidP="001B7747">
      <w:pPr>
        <w:pStyle w:val="Heading2"/>
      </w:pPr>
      <w:bookmarkStart w:id="14" w:name="_Toc235089979"/>
      <w:r>
        <w:t>1. Use of AI as a decision-support tool without hindering Human judgement</w:t>
      </w:r>
      <w:bookmarkEnd w:id="14"/>
    </w:p>
    <w:p w14:paraId="6008F3A9" w14:textId="1A885E1E" w:rsidR="00C953C4" w:rsidRDefault="001B7747" w:rsidP="001B7747">
      <w:pPr>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The concept of Artificial Intelligence has become a crucial tool for modern HR approaches, especially while analysing workforce data, identifying trend</w:t>
      </w:r>
      <w:r>
        <w:rPr>
          <w:rFonts w:ascii="Arial" w:eastAsia="Arial" w:hAnsi="Arial" w:cs="Arial"/>
          <w:color w:val="000000"/>
          <w:sz w:val="24"/>
          <w:szCs w:val="24"/>
        </w:rPr>
        <w:t>s, and developing insights. Although I do not consider AI as a replacement for professional judgement, regardless of its capability to analyse a significant portion of data rapidly.</w:t>
      </w:r>
      <w:r>
        <w:rPr>
          <w:rFonts w:ascii="Arial" w:eastAsia="Arial" w:hAnsi="Arial" w:cs="Arial"/>
          <w:sz w:val="24"/>
          <w:szCs w:val="24"/>
        </w:rPr>
        <w:t xml:space="preserve"> It is because </w:t>
      </w:r>
      <w:r>
        <w:rPr>
          <w:rFonts w:ascii="Arial" w:eastAsia="Arial" w:hAnsi="Arial" w:cs="Arial"/>
          <w:color w:val="000000"/>
          <w:sz w:val="24"/>
          <w:szCs w:val="24"/>
        </w:rPr>
        <w:t>it cannot understand the wider concept of organisational cu</w:t>
      </w:r>
      <w:r>
        <w:rPr>
          <w:rFonts w:ascii="Arial" w:eastAsia="Arial" w:hAnsi="Arial" w:cs="Arial"/>
          <w:color w:val="000000"/>
          <w:sz w:val="24"/>
          <w:szCs w:val="24"/>
        </w:rPr>
        <w:t xml:space="preserve">lture, and employee emotions influencing decisions. Thus, </w:t>
      </w:r>
      <w:r>
        <w:rPr>
          <w:rFonts w:ascii="Arial" w:eastAsia="Arial" w:hAnsi="Arial" w:cs="Arial"/>
          <w:sz w:val="24"/>
          <w:szCs w:val="24"/>
        </w:rPr>
        <w:t>I aim</w:t>
      </w:r>
      <w:r>
        <w:rPr>
          <w:rFonts w:ascii="Arial" w:eastAsia="Arial" w:hAnsi="Arial" w:cs="Arial"/>
          <w:color w:val="000000"/>
          <w:sz w:val="24"/>
          <w:szCs w:val="24"/>
        </w:rPr>
        <w:t xml:space="preserve"> to use the capabilities of AI to enhance the speed of analysis while keeping authority over decision-making. I will also ensure all results or recommendations via AI are properly evaluated aga</w:t>
      </w:r>
      <w:r>
        <w:rPr>
          <w:rFonts w:ascii="Arial" w:eastAsia="Arial" w:hAnsi="Arial" w:cs="Arial"/>
          <w:color w:val="000000"/>
          <w:sz w:val="24"/>
          <w:szCs w:val="24"/>
        </w:rPr>
        <w:t xml:space="preserve">inst real data and </w:t>
      </w:r>
      <w:r>
        <w:rPr>
          <w:rFonts w:ascii="Arial" w:eastAsia="Arial" w:hAnsi="Arial" w:cs="Arial"/>
          <w:sz w:val="24"/>
          <w:szCs w:val="24"/>
        </w:rPr>
        <w:t>evidence</w:t>
      </w:r>
      <w:r>
        <w:rPr>
          <w:rFonts w:ascii="Arial" w:eastAsia="Arial" w:hAnsi="Arial" w:cs="Arial"/>
          <w:color w:val="000000"/>
          <w:sz w:val="24"/>
          <w:szCs w:val="24"/>
        </w:rPr>
        <w:t xml:space="preserve">. This approach will allow me to keep the sense of empathy, professional responsibility and even accountability while </w:t>
      </w:r>
      <w:r>
        <w:rPr>
          <w:rFonts w:ascii="Arial" w:eastAsia="Arial" w:hAnsi="Arial" w:cs="Arial"/>
          <w:sz w:val="24"/>
          <w:szCs w:val="24"/>
        </w:rPr>
        <w:t>utilising the benefits</w:t>
      </w:r>
      <w:r>
        <w:rPr>
          <w:rFonts w:ascii="Arial" w:eastAsia="Arial" w:hAnsi="Arial" w:cs="Arial"/>
          <w:color w:val="000000"/>
          <w:sz w:val="24"/>
          <w:szCs w:val="24"/>
        </w:rPr>
        <w:t xml:space="preserve"> of AI.</w:t>
      </w:r>
    </w:p>
    <w:p w14:paraId="5278956D" w14:textId="77777777" w:rsidR="00C953C4" w:rsidRDefault="001B7747" w:rsidP="001B7747">
      <w:pPr>
        <w:pStyle w:val="Heading2"/>
      </w:pPr>
      <w:bookmarkStart w:id="15" w:name="_Toc235089980"/>
      <w:r>
        <w:t>2. Personal capability development plan</w:t>
      </w:r>
      <w:bookmarkEnd w:id="15"/>
    </w:p>
    <w:tbl>
      <w:tblPr>
        <w:tblStyle w:val="a1"/>
        <w:tblW w:w="95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525"/>
        <w:gridCol w:w="1320"/>
        <w:gridCol w:w="2700"/>
      </w:tblGrid>
      <w:tr w:rsidR="00C953C4" w14:paraId="31F9681B" w14:textId="77777777">
        <w:tc>
          <w:tcPr>
            <w:tcW w:w="1980" w:type="dxa"/>
          </w:tcPr>
          <w:p w14:paraId="77095A2D" w14:textId="77777777" w:rsidR="00C953C4" w:rsidRDefault="001B7747" w:rsidP="001B7747">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Capability</w:t>
            </w:r>
          </w:p>
        </w:tc>
        <w:tc>
          <w:tcPr>
            <w:tcW w:w="3525" w:type="dxa"/>
          </w:tcPr>
          <w:p w14:paraId="3CD5598C" w14:textId="77777777" w:rsidR="00C953C4" w:rsidRDefault="001B7747" w:rsidP="001B7747">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Development activity</w:t>
            </w:r>
          </w:p>
        </w:tc>
        <w:tc>
          <w:tcPr>
            <w:tcW w:w="1320" w:type="dxa"/>
          </w:tcPr>
          <w:p w14:paraId="5FD92A99" w14:textId="77777777" w:rsidR="00C953C4" w:rsidRDefault="001B7747" w:rsidP="001B7747">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Timeline</w:t>
            </w:r>
          </w:p>
        </w:tc>
        <w:tc>
          <w:tcPr>
            <w:tcW w:w="2700" w:type="dxa"/>
          </w:tcPr>
          <w:p w14:paraId="29440826" w14:textId="77777777" w:rsidR="00C953C4" w:rsidRDefault="001B7747" w:rsidP="001B7747">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Success measurement indicator</w:t>
            </w:r>
          </w:p>
        </w:tc>
      </w:tr>
      <w:tr w:rsidR="00C953C4" w14:paraId="43DAF12B" w14:textId="77777777">
        <w:tc>
          <w:tcPr>
            <w:tcW w:w="1980" w:type="dxa"/>
          </w:tcPr>
          <w:p w14:paraId="481BA687"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Data literacy </w:t>
            </w:r>
          </w:p>
        </w:tc>
        <w:tc>
          <w:tcPr>
            <w:tcW w:w="3525" w:type="dxa"/>
          </w:tcPr>
          <w:p w14:paraId="67D07743"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Complete people analytics training and practices dashboard interpretation </w:t>
            </w:r>
          </w:p>
        </w:tc>
        <w:tc>
          <w:tcPr>
            <w:tcW w:w="1320" w:type="dxa"/>
          </w:tcPr>
          <w:p w14:paraId="437C2699"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10 months</w:t>
            </w:r>
          </w:p>
        </w:tc>
        <w:tc>
          <w:tcPr>
            <w:tcW w:w="2700" w:type="dxa"/>
          </w:tcPr>
          <w:p w14:paraId="0CE18C95"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Confidence in utilising HR data for decision-making. </w:t>
            </w:r>
          </w:p>
        </w:tc>
      </w:tr>
      <w:tr w:rsidR="00C953C4" w14:paraId="2CCDCD91" w14:textId="77777777">
        <w:tc>
          <w:tcPr>
            <w:tcW w:w="1980" w:type="dxa"/>
          </w:tcPr>
          <w:p w14:paraId="4162CB93"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AI augmentation for HR</w:t>
            </w:r>
          </w:p>
        </w:tc>
        <w:tc>
          <w:tcPr>
            <w:tcW w:w="3525" w:type="dxa"/>
          </w:tcPr>
          <w:p w14:paraId="06288EC9"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Learn AI-supported HR tools and prompt designing </w:t>
            </w:r>
          </w:p>
        </w:tc>
        <w:tc>
          <w:tcPr>
            <w:tcW w:w="1320" w:type="dxa"/>
          </w:tcPr>
          <w:p w14:paraId="5CFA7A54"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1 year</w:t>
            </w:r>
          </w:p>
        </w:tc>
        <w:tc>
          <w:tcPr>
            <w:tcW w:w="2700" w:type="dxa"/>
          </w:tcPr>
          <w:p w14:paraId="1033C308"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Efficient analysis and planning through AI.</w:t>
            </w:r>
          </w:p>
        </w:tc>
      </w:tr>
      <w:tr w:rsidR="00C953C4" w14:paraId="0E131E6B" w14:textId="77777777">
        <w:tc>
          <w:tcPr>
            <w:tcW w:w="1980" w:type="dxa"/>
          </w:tcPr>
          <w:p w14:paraId="6E540E56"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Strategic influencing</w:t>
            </w:r>
          </w:p>
        </w:tc>
        <w:tc>
          <w:tcPr>
            <w:tcW w:w="3525" w:type="dxa"/>
          </w:tcPr>
          <w:p w14:paraId="29B6F134"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Participate in presentations negotiations and stakeholder projects </w:t>
            </w:r>
          </w:p>
        </w:tc>
        <w:tc>
          <w:tcPr>
            <w:tcW w:w="1320" w:type="dxa"/>
          </w:tcPr>
          <w:p w14:paraId="6A502A62"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14 months </w:t>
            </w:r>
          </w:p>
        </w:tc>
        <w:tc>
          <w:tcPr>
            <w:tcW w:w="2700" w:type="dxa"/>
          </w:tcPr>
          <w:p w14:paraId="2076F148"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Enhanced communication and per</w:t>
            </w:r>
            <w:r>
              <w:rPr>
                <w:rFonts w:ascii="Arial" w:eastAsia="Arial" w:hAnsi="Arial" w:cs="Arial"/>
                <w:color w:val="000000"/>
                <w:sz w:val="24"/>
                <w:szCs w:val="24"/>
              </w:rPr>
              <w:t xml:space="preserve">suasion capabilities </w:t>
            </w:r>
          </w:p>
        </w:tc>
      </w:tr>
      <w:tr w:rsidR="00C953C4" w14:paraId="0FE2DAFF" w14:textId="77777777">
        <w:tc>
          <w:tcPr>
            <w:tcW w:w="1980" w:type="dxa"/>
          </w:tcPr>
          <w:p w14:paraId="0E829862"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Global mobility awareness </w:t>
            </w:r>
          </w:p>
        </w:tc>
        <w:tc>
          <w:tcPr>
            <w:tcW w:w="3525" w:type="dxa"/>
          </w:tcPr>
          <w:p w14:paraId="431CB334"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Study international HRM and </w:t>
            </w:r>
            <w:r>
              <w:rPr>
                <w:rFonts w:ascii="Arial" w:eastAsia="Arial" w:hAnsi="Arial" w:cs="Arial"/>
                <w:sz w:val="24"/>
                <w:szCs w:val="24"/>
              </w:rPr>
              <w:t>global workforce</w:t>
            </w:r>
            <w:r>
              <w:rPr>
                <w:rFonts w:ascii="Arial" w:eastAsia="Arial" w:hAnsi="Arial" w:cs="Arial"/>
                <w:color w:val="000000"/>
                <w:sz w:val="24"/>
                <w:szCs w:val="24"/>
              </w:rPr>
              <w:t xml:space="preserve"> trends. </w:t>
            </w:r>
          </w:p>
          <w:p w14:paraId="3F13B64B" w14:textId="77777777" w:rsidR="00C953C4" w:rsidRDefault="00C953C4" w:rsidP="001B7747">
            <w:pPr>
              <w:spacing w:line="360" w:lineRule="auto"/>
              <w:jc w:val="both"/>
              <w:rPr>
                <w:rFonts w:ascii="Arial" w:eastAsia="Arial" w:hAnsi="Arial" w:cs="Arial"/>
                <w:color w:val="000000"/>
                <w:sz w:val="24"/>
                <w:szCs w:val="24"/>
              </w:rPr>
            </w:pPr>
          </w:p>
        </w:tc>
        <w:tc>
          <w:tcPr>
            <w:tcW w:w="1320" w:type="dxa"/>
          </w:tcPr>
          <w:p w14:paraId="7245445E"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Ongoing </w:t>
            </w:r>
          </w:p>
        </w:tc>
        <w:tc>
          <w:tcPr>
            <w:tcW w:w="2700" w:type="dxa"/>
          </w:tcPr>
          <w:p w14:paraId="665CC448" w14:textId="77777777" w:rsidR="00C953C4" w:rsidRDefault="001B7747" w:rsidP="001B7747">
            <w:pPr>
              <w:spacing w:line="360" w:lineRule="auto"/>
              <w:jc w:val="both"/>
              <w:rPr>
                <w:rFonts w:ascii="Arial" w:eastAsia="Arial" w:hAnsi="Arial" w:cs="Arial"/>
                <w:color w:val="000000"/>
                <w:sz w:val="24"/>
                <w:szCs w:val="24"/>
              </w:rPr>
            </w:pPr>
            <w:r>
              <w:rPr>
                <w:rFonts w:ascii="Arial" w:eastAsia="Arial" w:hAnsi="Arial" w:cs="Arial"/>
                <w:color w:val="000000"/>
                <w:sz w:val="24"/>
                <w:szCs w:val="24"/>
              </w:rPr>
              <w:t>Strong understanding for cross-border employee management</w:t>
            </w:r>
          </w:p>
        </w:tc>
      </w:tr>
    </w:tbl>
    <w:p w14:paraId="0CF81E24" w14:textId="77777777" w:rsidR="00C953C4" w:rsidRDefault="00C953C4" w:rsidP="001B7747">
      <w:pPr>
        <w:spacing w:after="120" w:line="360" w:lineRule="auto"/>
        <w:jc w:val="both"/>
        <w:rPr>
          <w:rFonts w:ascii="Arial" w:eastAsia="Arial" w:hAnsi="Arial" w:cs="Arial"/>
          <w:color w:val="000000"/>
          <w:sz w:val="24"/>
          <w:szCs w:val="24"/>
        </w:rPr>
      </w:pPr>
    </w:p>
    <w:p w14:paraId="25A8F2B8" w14:textId="77777777" w:rsidR="00C953C4" w:rsidRDefault="001B7747" w:rsidP="001B7747">
      <w:pPr>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To enhance future employability, I will consider the need for continuous capability development and not focus on academic qualifications only. The first focus will be on enhancing data literacy. As companies are increasing workforce analytics, HR </w:t>
      </w:r>
      <w:r>
        <w:rPr>
          <w:rFonts w:ascii="Arial" w:eastAsia="Arial" w:hAnsi="Arial" w:cs="Arial"/>
          <w:color w:val="000000"/>
          <w:sz w:val="24"/>
          <w:szCs w:val="24"/>
        </w:rPr>
        <w:lastRenderedPageBreak/>
        <w:t>professio</w:t>
      </w:r>
      <w:r>
        <w:rPr>
          <w:rFonts w:ascii="Arial" w:eastAsia="Arial" w:hAnsi="Arial" w:cs="Arial"/>
          <w:color w:val="000000"/>
          <w:sz w:val="24"/>
          <w:szCs w:val="24"/>
        </w:rPr>
        <w:t xml:space="preserve">nals need to be </w:t>
      </w:r>
      <w:r>
        <w:rPr>
          <w:rFonts w:ascii="Arial" w:eastAsia="Arial" w:hAnsi="Arial" w:cs="Arial"/>
          <w:sz w:val="24"/>
          <w:szCs w:val="24"/>
        </w:rPr>
        <w:t>capable of</w:t>
      </w:r>
      <w:r>
        <w:rPr>
          <w:rFonts w:ascii="Arial" w:eastAsia="Arial" w:hAnsi="Arial" w:cs="Arial"/>
          <w:color w:val="000000"/>
          <w:sz w:val="24"/>
          <w:szCs w:val="24"/>
        </w:rPr>
        <w:t xml:space="preserve"> </w:t>
      </w:r>
      <w:r>
        <w:rPr>
          <w:rFonts w:ascii="Arial" w:eastAsia="Arial" w:hAnsi="Arial" w:cs="Arial"/>
          <w:sz w:val="24"/>
          <w:szCs w:val="24"/>
        </w:rPr>
        <w:t>analysing</w:t>
      </w:r>
      <w:r>
        <w:rPr>
          <w:rFonts w:ascii="Arial" w:eastAsia="Arial" w:hAnsi="Arial" w:cs="Arial"/>
          <w:color w:val="000000"/>
          <w:sz w:val="24"/>
          <w:szCs w:val="24"/>
        </w:rPr>
        <w:t xml:space="preserve"> data and turning findings into meaningful business recommendations. Developing confidence in analysing metrics and dashboards will allow enhancing my evidence-based decision-making skills.</w:t>
      </w:r>
      <w:r>
        <w:rPr>
          <w:rFonts w:ascii="Arial" w:eastAsia="Arial" w:hAnsi="Arial" w:cs="Arial"/>
          <w:sz w:val="24"/>
          <w:szCs w:val="24"/>
        </w:rPr>
        <w:t xml:space="preserve"> </w:t>
      </w:r>
      <w:r>
        <w:rPr>
          <w:rFonts w:ascii="Arial" w:eastAsia="Arial" w:hAnsi="Arial" w:cs="Arial"/>
          <w:color w:val="000000"/>
          <w:sz w:val="24"/>
          <w:szCs w:val="24"/>
        </w:rPr>
        <w:t>I will also focus on AI Augmen</w:t>
      </w:r>
      <w:r>
        <w:rPr>
          <w:rFonts w:ascii="Arial" w:eastAsia="Arial" w:hAnsi="Arial" w:cs="Arial"/>
          <w:color w:val="000000"/>
          <w:sz w:val="24"/>
          <w:szCs w:val="24"/>
        </w:rPr>
        <w:t>tation in HR</w:t>
      </w:r>
      <w:r>
        <w:rPr>
          <w:rFonts w:ascii="Arial" w:eastAsia="Arial" w:hAnsi="Arial" w:cs="Arial"/>
          <w:sz w:val="24"/>
          <w:szCs w:val="24"/>
        </w:rPr>
        <w:t>. I</w:t>
      </w:r>
      <w:r>
        <w:rPr>
          <w:rFonts w:ascii="Arial" w:eastAsia="Arial" w:hAnsi="Arial" w:cs="Arial"/>
          <w:color w:val="000000"/>
          <w:sz w:val="24"/>
          <w:szCs w:val="24"/>
        </w:rPr>
        <w:t>n contrast to considering AI as a threat, I aim to consider the capability to work alongside it</w:t>
      </w:r>
      <w:r>
        <w:rPr>
          <w:rFonts w:ascii="Arial" w:eastAsia="Arial" w:hAnsi="Arial" w:cs="Arial"/>
          <w:sz w:val="24"/>
          <w:szCs w:val="24"/>
        </w:rPr>
        <w:t>. T</w:t>
      </w:r>
      <w:r>
        <w:rPr>
          <w:rFonts w:ascii="Arial" w:eastAsia="Arial" w:hAnsi="Arial" w:cs="Arial"/>
          <w:color w:val="000000"/>
          <w:sz w:val="24"/>
          <w:szCs w:val="24"/>
        </w:rPr>
        <w:t>his will include understanding the capabilities and limitations. These skills will allow me to enhance productivity while managing professional</w:t>
      </w:r>
      <w:r>
        <w:rPr>
          <w:rFonts w:ascii="Arial" w:eastAsia="Arial" w:hAnsi="Arial" w:cs="Arial"/>
          <w:color w:val="000000"/>
          <w:sz w:val="24"/>
          <w:szCs w:val="24"/>
        </w:rPr>
        <w:t xml:space="preserve"> </w:t>
      </w:r>
      <w:r>
        <w:rPr>
          <w:rFonts w:ascii="Arial" w:eastAsia="Arial" w:hAnsi="Arial" w:cs="Arial"/>
          <w:sz w:val="24"/>
          <w:szCs w:val="24"/>
        </w:rPr>
        <w:t>judgments</w:t>
      </w:r>
      <w:r>
        <w:rPr>
          <w:rFonts w:ascii="Arial" w:eastAsia="Arial" w:hAnsi="Arial" w:cs="Arial"/>
          <w:color w:val="000000"/>
          <w:sz w:val="24"/>
          <w:szCs w:val="24"/>
        </w:rPr>
        <w:t>.</w:t>
      </w:r>
    </w:p>
    <w:p w14:paraId="5D7433B1" w14:textId="77777777" w:rsidR="00C953C4" w:rsidRDefault="001B7747" w:rsidP="001B7747">
      <w:pPr>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Strategic influencing is another key area for my development. HR professionals are raising expectations for contribution towards company strategy and not just focus on administrative functions. </w:t>
      </w:r>
      <w:r>
        <w:rPr>
          <w:rFonts w:ascii="Arial" w:eastAsia="Arial" w:hAnsi="Arial" w:cs="Arial"/>
          <w:sz w:val="24"/>
          <w:szCs w:val="24"/>
        </w:rPr>
        <w:t>Therefore</w:t>
      </w:r>
      <w:r>
        <w:rPr>
          <w:rFonts w:ascii="Arial" w:eastAsia="Arial" w:hAnsi="Arial" w:cs="Arial"/>
          <w:color w:val="000000"/>
          <w:sz w:val="24"/>
          <w:szCs w:val="24"/>
        </w:rPr>
        <w:t xml:space="preserve">, </w:t>
      </w:r>
      <w:r>
        <w:rPr>
          <w:rFonts w:ascii="Arial" w:eastAsia="Arial" w:hAnsi="Arial" w:cs="Arial"/>
          <w:sz w:val="24"/>
          <w:szCs w:val="24"/>
        </w:rPr>
        <w:t>I</w:t>
      </w:r>
      <w:r>
        <w:rPr>
          <w:rFonts w:ascii="Arial" w:eastAsia="Arial" w:hAnsi="Arial" w:cs="Arial"/>
          <w:color w:val="000000"/>
          <w:sz w:val="24"/>
          <w:szCs w:val="24"/>
        </w:rPr>
        <w:t xml:space="preserve"> will mainly focus on improving my existing negotiation and communication skills, while also considering stakeholder management through various real-world experiences and collaborative approaches. These will </w:t>
      </w:r>
      <w:r>
        <w:rPr>
          <w:rFonts w:ascii="Arial" w:eastAsia="Arial" w:hAnsi="Arial" w:cs="Arial"/>
          <w:sz w:val="24"/>
          <w:szCs w:val="24"/>
        </w:rPr>
        <w:t xml:space="preserve">altogether </w:t>
      </w:r>
      <w:r>
        <w:rPr>
          <w:rFonts w:ascii="Arial" w:eastAsia="Arial" w:hAnsi="Arial" w:cs="Arial"/>
          <w:color w:val="000000"/>
          <w:sz w:val="24"/>
          <w:szCs w:val="24"/>
        </w:rPr>
        <w:t>help me to create skills for influenc</w:t>
      </w:r>
      <w:r>
        <w:rPr>
          <w:rFonts w:ascii="Arial" w:eastAsia="Arial" w:hAnsi="Arial" w:cs="Arial"/>
          <w:color w:val="000000"/>
          <w:sz w:val="24"/>
          <w:szCs w:val="24"/>
        </w:rPr>
        <w:t>ing the final decision-making.</w:t>
      </w:r>
    </w:p>
    <w:p w14:paraId="4DEFE5A4" w14:textId="77777777" w:rsidR="00C953C4" w:rsidRDefault="001B7747" w:rsidP="001B7747">
      <w:pPr>
        <w:pStyle w:val="Heading1"/>
      </w:pPr>
      <w:bookmarkStart w:id="16" w:name="_Toc235089981"/>
      <w:r>
        <w:t>Conclusion</w:t>
      </w:r>
      <w:bookmarkEnd w:id="16"/>
    </w:p>
    <w:p w14:paraId="0749A457" w14:textId="77777777" w:rsidR="00C953C4" w:rsidRDefault="001B7747" w:rsidP="001B7747">
      <w:pPr>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Based on the above report, it can be identified that Helios Urban Mobility can overcome issues in the workforce through combining strategic socialisation and innovative job design. An onboarding process in a struct</w:t>
      </w:r>
      <w:r>
        <w:rPr>
          <w:rFonts w:ascii="Arial" w:eastAsia="Arial" w:hAnsi="Arial" w:cs="Arial"/>
          <w:color w:val="000000"/>
          <w:sz w:val="24"/>
          <w:szCs w:val="24"/>
        </w:rPr>
        <w:t>ured manner and development framework have shown to be effective for creating organisational identification, improve employee engagement, and reduce turnovers. On the other hand, the findings highlighted guided job crafting, enriched roles, and skill-based</w:t>
      </w:r>
      <w:r>
        <w:rPr>
          <w:rFonts w:ascii="Arial" w:eastAsia="Arial" w:hAnsi="Arial" w:cs="Arial"/>
          <w:color w:val="000000"/>
          <w:sz w:val="24"/>
          <w:szCs w:val="24"/>
        </w:rPr>
        <w:t xml:space="preserve"> talent marketplaces for better motivation and adaptability in the company. The effective implementation will allow Helios to develop a capable and engaged workforce aligned with its objectives. Finally, the reflective account supported understanding how A</w:t>
      </w:r>
      <w:r>
        <w:rPr>
          <w:rFonts w:ascii="Arial" w:eastAsia="Arial" w:hAnsi="Arial" w:cs="Arial"/>
          <w:color w:val="000000"/>
          <w:sz w:val="24"/>
          <w:szCs w:val="24"/>
        </w:rPr>
        <w:t>I can be used in HR decision-making without compromising the human touch in it. While the development plan ensured to understand best practices for future employment capabilities, considering key practices that should be done in pre-defined timelines.  </w:t>
      </w:r>
      <w:r>
        <w:br w:type="page"/>
      </w:r>
    </w:p>
    <w:p w14:paraId="2F325654" w14:textId="77777777" w:rsidR="00C953C4" w:rsidRDefault="001B7747" w:rsidP="001B7747">
      <w:pPr>
        <w:pStyle w:val="Heading1"/>
      </w:pPr>
      <w:bookmarkStart w:id="17" w:name="_Toc235089982"/>
      <w:r>
        <w:lastRenderedPageBreak/>
        <w:t>R</w:t>
      </w:r>
      <w:r>
        <w:t>eferences</w:t>
      </w:r>
      <w:bookmarkEnd w:id="17"/>
    </w:p>
    <w:p w14:paraId="714D4AEC" w14:textId="77777777" w:rsidR="001B7747" w:rsidRPr="001B7747" w:rsidRDefault="001B7747" w:rsidP="001B7747">
      <w:pPr>
        <w:spacing w:line="360" w:lineRule="auto"/>
        <w:jc w:val="both"/>
        <w:rPr>
          <w:rFonts w:ascii="Arial" w:eastAsia="Arial" w:hAnsi="Arial" w:cs="Arial"/>
          <w:color w:val="222222"/>
          <w:sz w:val="24"/>
          <w:szCs w:val="24"/>
          <w:highlight w:val="white"/>
        </w:rPr>
      </w:pPr>
      <w:r w:rsidRPr="001B7747">
        <w:rPr>
          <w:rFonts w:ascii="Arial" w:eastAsia="Arial" w:hAnsi="Arial" w:cs="Arial"/>
          <w:color w:val="222222"/>
          <w:sz w:val="24"/>
          <w:szCs w:val="24"/>
          <w:highlight w:val="white"/>
        </w:rPr>
        <w:t>Anderson, H., Stocker, R., Russell, S., Robinson, L., Hanratty, B., Robinson, L. and Adamson, J., 2022. Identity construction in the very old: A qualitative narrative study. </w:t>
      </w:r>
      <w:proofErr w:type="spellStart"/>
      <w:r w:rsidRPr="001B7747">
        <w:rPr>
          <w:rFonts w:ascii="Arial" w:eastAsia="Arial" w:hAnsi="Arial" w:cs="Arial"/>
          <w:i/>
          <w:iCs/>
          <w:color w:val="222222"/>
          <w:sz w:val="24"/>
          <w:szCs w:val="24"/>
          <w:highlight w:val="white"/>
        </w:rPr>
        <w:t>PloS</w:t>
      </w:r>
      <w:proofErr w:type="spellEnd"/>
      <w:r w:rsidRPr="001B7747">
        <w:rPr>
          <w:rFonts w:ascii="Arial" w:eastAsia="Arial" w:hAnsi="Arial" w:cs="Arial"/>
          <w:i/>
          <w:iCs/>
          <w:color w:val="222222"/>
          <w:sz w:val="24"/>
          <w:szCs w:val="24"/>
          <w:highlight w:val="white"/>
        </w:rPr>
        <w:t xml:space="preserve"> one</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17</w:t>
      </w:r>
      <w:r w:rsidRPr="001B7747">
        <w:rPr>
          <w:rFonts w:ascii="Arial" w:eastAsia="Arial" w:hAnsi="Arial" w:cs="Arial"/>
          <w:color w:val="222222"/>
          <w:sz w:val="24"/>
          <w:szCs w:val="24"/>
          <w:highlight w:val="white"/>
        </w:rPr>
        <w:t>(12), p.e0279098.</w:t>
      </w:r>
      <w:r w:rsidRPr="001B7747">
        <w:rPr>
          <w:rFonts w:ascii="Arial" w:eastAsia="Arial" w:hAnsi="Arial" w:cs="Arial"/>
          <w:sz w:val="24"/>
          <w:szCs w:val="24"/>
        </w:rPr>
        <w:t xml:space="preserve"> </w:t>
      </w:r>
      <w:hyperlink r:id="rId10">
        <w:r w:rsidRPr="001B7747">
          <w:rPr>
            <w:rFonts w:ascii="Arial" w:eastAsia="Arial" w:hAnsi="Arial" w:cs="Arial"/>
            <w:color w:val="0000FF"/>
            <w:sz w:val="24"/>
            <w:szCs w:val="24"/>
            <w:highlight w:val="white"/>
            <w:u w:val="single"/>
          </w:rPr>
          <w:t>https://journals.plos.org/plosone/article/file?id=10.1371/journal.pone.0279098&amp;type=printable</w:t>
        </w:r>
      </w:hyperlink>
    </w:p>
    <w:p w14:paraId="3D403AC4" w14:textId="77777777" w:rsidR="001B7747" w:rsidRPr="001B7747" w:rsidRDefault="001B7747" w:rsidP="001B7747">
      <w:pPr>
        <w:spacing w:line="360" w:lineRule="auto"/>
        <w:jc w:val="both"/>
        <w:rPr>
          <w:rFonts w:ascii="Arial" w:eastAsia="Arial" w:hAnsi="Arial" w:cs="Arial"/>
          <w:color w:val="222222"/>
          <w:sz w:val="24"/>
          <w:szCs w:val="24"/>
          <w:highlight w:val="white"/>
        </w:rPr>
      </w:pPr>
      <w:r w:rsidRPr="001B7747">
        <w:rPr>
          <w:rFonts w:ascii="Arial" w:eastAsia="Arial" w:hAnsi="Arial" w:cs="Arial"/>
          <w:color w:val="222222"/>
          <w:sz w:val="24"/>
          <w:szCs w:val="24"/>
          <w:highlight w:val="white"/>
        </w:rPr>
        <w:t xml:space="preserve">Babalola, M.T., </w:t>
      </w:r>
      <w:proofErr w:type="spellStart"/>
      <w:r w:rsidRPr="001B7747">
        <w:rPr>
          <w:rFonts w:ascii="Arial" w:eastAsia="Arial" w:hAnsi="Arial" w:cs="Arial"/>
          <w:color w:val="222222"/>
          <w:sz w:val="24"/>
          <w:szCs w:val="24"/>
          <w:highlight w:val="white"/>
        </w:rPr>
        <w:t>Mawritz</w:t>
      </w:r>
      <w:proofErr w:type="spellEnd"/>
      <w:r w:rsidRPr="001B7747">
        <w:rPr>
          <w:rFonts w:ascii="Arial" w:eastAsia="Arial" w:hAnsi="Arial" w:cs="Arial"/>
          <w:color w:val="222222"/>
          <w:sz w:val="24"/>
          <w:szCs w:val="24"/>
          <w:highlight w:val="white"/>
        </w:rPr>
        <w:t>, M.B., Greenbaum, R.L., Ren, S. and Garba, O.A., 2021. Whatever it takes: How and when supervisor bottom-line mentality motivates employee contributions in the workplace. </w:t>
      </w:r>
      <w:r w:rsidRPr="001B7747">
        <w:rPr>
          <w:rFonts w:ascii="Arial" w:eastAsia="Arial" w:hAnsi="Arial" w:cs="Arial"/>
          <w:i/>
          <w:iCs/>
          <w:color w:val="222222"/>
          <w:sz w:val="24"/>
          <w:szCs w:val="24"/>
          <w:highlight w:val="white"/>
        </w:rPr>
        <w:t>Journal of Management</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47</w:t>
      </w:r>
      <w:r w:rsidRPr="001B7747">
        <w:rPr>
          <w:rFonts w:ascii="Arial" w:eastAsia="Arial" w:hAnsi="Arial" w:cs="Arial"/>
          <w:color w:val="222222"/>
          <w:sz w:val="24"/>
          <w:szCs w:val="24"/>
          <w:highlight w:val="white"/>
        </w:rPr>
        <w:t>(5), pp.1134-1154.</w:t>
      </w:r>
      <w:r w:rsidRPr="001B7747">
        <w:rPr>
          <w:rFonts w:ascii="Arial" w:eastAsia="Arial" w:hAnsi="Arial" w:cs="Arial"/>
          <w:sz w:val="24"/>
          <w:szCs w:val="24"/>
        </w:rPr>
        <w:t xml:space="preserve"> </w:t>
      </w:r>
      <w:hyperlink r:id="rId11">
        <w:r w:rsidRPr="001B7747">
          <w:rPr>
            <w:rFonts w:ascii="Arial" w:eastAsia="Arial" w:hAnsi="Arial" w:cs="Arial"/>
            <w:color w:val="0000FF"/>
            <w:sz w:val="24"/>
            <w:szCs w:val="24"/>
            <w:highlight w:val="white"/>
            <w:u w:val="single"/>
          </w:rPr>
          <w:t>https://researchportal.northumbria.ac.uk/ws/files/27028624/JOM_RR3_manuscript_Final_03_01_2020.pdf</w:t>
        </w:r>
      </w:hyperlink>
    </w:p>
    <w:p w14:paraId="641B54EE"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color w:val="222222"/>
          <w:sz w:val="24"/>
          <w:szCs w:val="24"/>
          <w:highlight w:val="white"/>
        </w:rPr>
        <w:t>Bahangulu</w:t>
      </w:r>
      <w:proofErr w:type="spellEnd"/>
      <w:r w:rsidRPr="001B7747">
        <w:rPr>
          <w:rFonts w:ascii="Arial" w:eastAsia="Arial" w:hAnsi="Arial" w:cs="Arial"/>
          <w:color w:val="222222"/>
          <w:sz w:val="24"/>
          <w:szCs w:val="24"/>
          <w:highlight w:val="white"/>
        </w:rPr>
        <w:t>, J.K. and Owusu-</w:t>
      </w:r>
      <w:proofErr w:type="spellStart"/>
      <w:r w:rsidRPr="001B7747">
        <w:rPr>
          <w:rFonts w:ascii="Arial" w:eastAsia="Arial" w:hAnsi="Arial" w:cs="Arial"/>
          <w:color w:val="222222"/>
          <w:sz w:val="24"/>
          <w:szCs w:val="24"/>
          <w:highlight w:val="white"/>
        </w:rPr>
        <w:t>Berko</w:t>
      </w:r>
      <w:proofErr w:type="spellEnd"/>
      <w:r w:rsidRPr="001B7747">
        <w:rPr>
          <w:rFonts w:ascii="Arial" w:eastAsia="Arial" w:hAnsi="Arial" w:cs="Arial"/>
          <w:color w:val="222222"/>
          <w:sz w:val="24"/>
          <w:szCs w:val="24"/>
          <w:highlight w:val="white"/>
        </w:rPr>
        <w:t>, L., 2025. Algorithmic bias, data ethics, and governance: Ensuring fairness, transparency and compliance in AI-powered business analytics applications. </w:t>
      </w:r>
      <w:r w:rsidRPr="001B7747">
        <w:rPr>
          <w:rFonts w:ascii="Arial" w:eastAsia="Arial" w:hAnsi="Arial" w:cs="Arial"/>
          <w:i/>
          <w:iCs/>
          <w:color w:val="222222"/>
          <w:sz w:val="24"/>
          <w:szCs w:val="24"/>
          <w:highlight w:val="white"/>
        </w:rPr>
        <w:t>World Journal of Advanced Research and Reviews</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25</w:t>
      </w:r>
      <w:r w:rsidRPr="001B7747">
        <w:rPr>
          <w:rFonts w:ascii="Arial" w:eastAsia="Arial" w:hAnsi="Arial" w:cs="Arial"/>
          <w:color w:val="222222"/>
          <w:sz w:val="24"/>
          <w:szCs w:val="24"/>
          <w:highlight w:val="white"/>
        </w:rPr>
        <w:t>(2), pp.1746-1763.</w:t>
      </w:r>
      <w:r w:rsidRPr="001B7747">
        <w:rPr>
          <w:rFonts w:ascii="Arial" w:eastAsia="Arial" w:hAnsi="Arial" w:cs="Arial"/>
          <w:sz w:val="24"/>
          <w:szCs w:val="24"/>
        </w:rPr>
        <w:t xml:space="preserve"> </w:t>
      </w:r>
      <w:hyperlink r:id="rId12">
        <w:r w:rsidRPr="001B7747">
          <w:rPr>
            <w:rFonts w:ascii="Arial" w:eastAsia="Arial" w:hAnsi="Arial" w:cs="Arial"/>
            <w:color w:val="0000FF"/>
            <w:sz w:val="24"/>
            <w:szCs w:val="24"/>
            <w:highlight w:val="white"/>
            <w:u w:val="single"/>
          </w:rPr>
          <w:t>https://www.researchgate.net/profile/Louis-Owusu-Berko-2/publication/389397603_Algorithmic_bias_data_ethics_and_governance_Ensuring_fairness_transparency_and_compliance_in_AI-powered_business_analytics_applications/links/67c1200e207c0c20fa9ab59e/Algorithmic-bias-data-ethics-and-governance-Ensuring-fairness-transparency-and-compliance-in-AI-powered-business-analytics-applications.pdf</w:t>
        </w:r>
      </w:hyperlink>
    </w:p>
    <w:p w14:paraId="0796259A" w14:textId="77777777" w:rsidR="001B7747" w:rsidRPr="001B7747" w:rsidRDefault="001B7747" w:rsidP="001B7747">
      <w:pPr>
        <w:spacing w:line="360" w:lineRule="auto"/>
        <w:jc w:val="both"/>
        <w:rPr>
          <w:rFonts w:ascii="Arial" w:eastAsia="Arial" w:hAnsi="Arial" w:cs="Arial"/>
          <w:color w:val="222222"/>
          <w:sz w:val="24"/>
          <w:szCs w:val="24"/>
          <w:highlight w:val="white"/>
        </w:rPr>
      </w:pPr>
      <w:r w:rsidRPr="001B7747">
        <w:rPr>
          <w:rFonts w:ascii="Arial" w:eastAsia="Arial" w:hAnsi="Arial" w:cs="Arial"/>
          <w:color w:val="222222"/>
          <w:sz w:val="24"/>
          <w:szCs w:val="24"/>
          <w:highlight w:val="white"/>
        </w:rPr>
        <w:t xml:space="preserve">Borg, J., Borg, N., Scott-Young, C.M. and </w:t>
      </w:r>
      <w:proofErr w:type="spellStart"/>
      <w:r w:rsidRPr="001B7747">
        <w:rPr>
          <w:rFonts w:ascii="Arial" w:eastAsia="Arial" w:hAnsi="Arial" w:cs="Arial"/>
          <w:color w:val="222222"/>
          <w:sz w:val="24"/>
          <w:szCs w:val="24"/>
          <w:highlight w:val="white"/>
        </w:rPr>
        <w:t>Naderpajouh</w:t>
      </w:r>
      <w:proofErr w:type="spellEnd"/>
      <w:r w:rsidRPr="001B7747">
        <w:rPr>
          <w:rFonts w:ascii="Arial" w:eastAsia="Arial" w:hAnsi="Arial" w:cs="Arial"/>
          <w:color w:val="222222"/>
          <w:sz w:val="24"/>
          <w:szCs w:val="24"/>
          <w:highlight w:val="white"/>
        </w:rPr>
        <w:t>, N., 2021. The work readiness–career resilience linkage: implications for project talent management. </w:t>
      </w:r>
      <w:r w:rsidRPr="001B7747">
        <w:rPr>
          <w:rFonts w:ascii="Arial" w:eastAsia="Arial" w:hAnsi="Arial" w:cs="Arial"/>
          <w:i/>
          <w:iCs/>
          <w:color w:val="222222"/>
          <w:sz w:val="24"/>
          <w:szCs w:val="24"/>
          <w:highlight w:val="white"/>
        </w:rPr>
        <w:t>International journal of managing projects in business</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14</w:t>
      </w:r>
      <w:r w:rsidRPr="001B7747">
        <w:rPr>
          <w:rFonts w:ascii="Arial" w:eastAsia="Arial" w:hAnsi="Arial" w:cs="Arial"/>
          <w:color w:val="222222"/>
          <w:sz w:val="24"/>
          <w:szCs w:val="24"/>
          <w:highlight w:val="white"/>
        </w:rPr>
        <w:t>(4), pp.917-935.</w:t>
      </w:r>
      <w:r w:rsidRPr="001B7747">
        <w:rPr>
          <w:rFonts w:ascii="Arial" w:eastAsia="Arial" w:hAnsi="Arial" w:cs="Arial"/>
          <w:sz w:val="24"/>
          <w:szCs w:val="24"/>
        </w:rPr>
        <w:t xml:space="preserve"> </w:t>
      </w:r>
      <w:hyperlink r:id="rId13">
        <w:r w:rsidRPr="001B7747">
          <w:rPr>
            <w:rFonts w:ascii="Arial" w:eastAsia="Arial" w:hAnsi="Arial" w:cs="Arial"/>
            <w:color w:val="0000FF"/>
            <w:sz w:val="24"/>
            <w:szCs w:val="24"/>
            <w:highlight w:val="white"/>
            <w:u w:val="single"/>
          </w:rPr>
          <w:t>https://www.researchgate.net/profile/Jessica-Borg-5/publication/348017105_The_work_readiness-career_resilience_linkage_implications_for_project_talent_management/links/6004b440a6fdccdcb860837a/The-work-readiness-career-resilience-linkage-implications-for-project-talent-management.pdf</w:t>
        </w:r>
      </w:hyperlink>
    </w:p>
    <w:p w14:paraId="262D3114" w14:textId="77777777" w:rsidR="001B7747" w:rsidRPr="001B7747" w:rsidRDefault="001B7747" w:rsidP="001B7747">
      <w:pPr>
        <w:spacing w:line="360" w:lineRule="auto"/>
        <w:jc w:val="both"/>
        <w:rPr>
          <w:rFonts w:ascii="Arial" w:eastAsia="Arial" w:hAnsi="Arial" w:cs="Arial"/>
          <w:color w:val="222222"/>
          <w:sz w:val="24"/>
          <w:szCs w:val="24"/>
          <w:highlight w:val="white"/>
        </w:rPr>
      </w:pPr>
      <w:r w:rsidRPr="001B7747">
        <w:rPr>
          <w:rFonts w:ascii="Arial" w:eastAsia="Arial" w:hAnsi="Arial" w:cs="Arial"/>
          <w:color w:val="222222"/>
          <w:sz w:val="24"/>
          <w:szCs w:val="24"/>
          <w:highlight w:val="white"/>
        </w:rPr>
        <w:lastRenderedPageBreak/>
        <w:t xml:space="preserve">Devine, M., 2021. Navigating to a skills-based approach to talent development. Conference Board. </w:t>
      </w:r>
      <w:hyperlink r:id="rId14">
        <w:r w:rsidRPr="001B7747">
          <w:rPr>
            <w:rFonts w:ascii="Arial" w:eastAsia="Arial" w:hAnsi="Arial" w:cs="Arial"/>
            <w:color w:val="0000FF"/>
            <w:sz w:val="24"/>
            <w:szCs w:val="24"/>
            <w:highlight w:val="white"/>
            <w:u w:val="single"/>
          </w:rPr>
          <w:t>https://www.alaskasafetyalliance.org/wp-content/uploads/2024/09/skills-based_approach_to_talent_development.pdf</w:t>
        </w:r>
      </w:hyperlink>
    </w:p>
    <w:p w14:paraId="2EC0A595"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sz w:val="24"/>
          <w:szCs w:val="24"/>
        </w:rPr>
        <w:t>Dewi</w:t>
      </w:r>
      <w:proofErr w:type="spellEnd"/>
      <w:r w:rsidRPr="001B7747">
        <w:rPr>
          <w:rFonts w:ascii="Arial" w:eastAsia="Arial" w:hAnsi="Arial" w:cs="Arial"/>
          <w:sz w:val="24"/>
          <w:szCs w:val="24"/>
        </w:rPr>
        <w:t xml:space="preserve"> </w:t>
      </w:r>
      <w:r w:rsidRPr="001B7747">
        <w:rPr>
          <w:rFonts w:ascii="Arial" w:eastAsia="Arial" w:hAnsi="Arial" w:cs="Arial"/>
          <w:i/>
          <w:iCs/>
          <w:sz w:val="24"/>
          <w:szCs w:val="24"/>
        </w:rPr>
        <w:t>et al</w:t>
      </w:r>
      <w:r w:rsidRPr="001B7747">
        <w:rPr>
          <w:rFonts w:ascii="Arial" w:eastAsia="Arial" w:hAnsi="Arial" w:cs="Arial"/>
          <w:sz w:val="24"/>
          <w:szCs w:val="24"/>
        </w:rPr>
        <w:t xml:space="preserve">., 2021. </w:t>
      </w:r>
      <w:r w:rsidRPr="001B7747">
        <w:rPr>
          <w:rFonts w:ascii="Arial" w:eastAsia="Arial" w:hAnsi="Arial" w:cs="Arial"/>
          <w:i/>
          <w:iCs/>
          <w:sz w:val="24"/>
          <w:szCs w:val="24"/>
        </w:rPr>
        <w:t>The Effect of Career Development on Turnover Intention with Job Satisfaction and Organizational Commitment as Mediators, Study at PT Control Systems Arena Para Nusa</w:t>
      </w:r>
      <w:r w:rsidRPr="001B7747">
        <w:rPr>
          <w:rFonts w:ascii="Arial" w:eastAsia="Arial" w:hAnsi="Arial" w:cs="Arial"/>
          <w:sz w:val="24"/>
          <w:szCs w:val="24"/>
        </w:rPr>
        <w:t xml:space="preserve">. Available at: </w:t>
      </w:r>
      <w:hyperlink r:id="rId15">
        <w:r w:rsidRPr="001B7747">
          <w:rPr>
            <w:rFonts w:ascii="Arial" w:eastAsia="Arial" w:hAnsi="Arial" w:cs="Arial"/>
            <w:color w:val="0000FF"/>
            <w:sz w:val="24"/>
            <w:szCs w:val="24"/>
            <w:u w:val="single"/>
          </w:rPr>
          <w:t>https://www.researchgate.net/publication/353003585_The_Effect_of_Career_Development_on_Turnover_Intention_with_Job_Satisfaction_and_Organizational_Commitment_as_Mediators_Study_at_PT_Control_Systems_Arena_Para_Nusa</w:t>
        </w:r>
      </w:hyperlink>
      <w:r w:rsidRPr="001B7747">
        <w:rPr>
          <w:rFonts w:ascii="Arial" w:eastAsia="Arial" w:hAnsi="Arial" w:cs="Arial"/>
          <w:sz w:val="24"/>
          <w:szCs w:val="24"/>
        </w:rPr>
        <w:t xml:space="preserve"> </w:t>
      </w:r>
      <w:r w:rsidRPr="001B7747">
        <w:rPr>
          <w:rFonts w:ascii="Arial" w:eastAsia="Arial" w:hAnsi="Arial" w:cs="Arial"/>
          <w:color w:val="222222"/>
          <w:sz w:val="24"/>
          <w:szCs w:val="24"/>
          <w:highlight w:val="white"/>
        </w:rPr>
        <w:t>[Accessed at: 10/07/2026]</w:t>
      </w:r>
    </w:p>
    <w:p w14:paraId="2F9D0C63" w14:textId="77777777" w:rsidR="001B7747"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 xml:space="preserve">Dsouza, J., 2025. </w:t>
      </w:r>
      <w:r w:rsidRPr="001B7747">
        <w:rPr>
          <w:rFonts w:ascii="Arial" w:eastAsia="Arial" w:hAnsi="Arial" w:cs="Arial"/>
          <w:i/>
          <w:iCs/>
          <w:sz w:val="24"/>
          <w:szCs w:val="24"/>
        </w:rPr>
        <w:t>The Importance of Cross-Functional Collaboration in Innovation Projects</w:t>
      </w:r>
      <w:r w:rsidRPr="001B7747">
        <w:rPr>
          <w:rFonts w:ascii="Arial" w:eastAsia="Arial" w:hAnsi="Arial" w:cs="Arial"/>
          <w:sz w:val="24"/>
          <w:szCs w:val="24"/>
        </w:rPr>
        <w:t xml:space="preserve">. Available at: </w:t>
      </w:r>
      <w:hyperlink r:id="rId16">
        <w:r w:rsidRPr="001B7747">
          <w:rPr>
            <w:rFonts w:ascii="Arial" w:eastAsia="Arial" w:hAnsi="Arial" w:cs="Arial"/>
            <w:color w:val="0000FF"/>
            <w:sz w:val="24"/>
            <w:szCs w:val="24"/>
            <w:u w:val="single"/>
          </w:rPr>
          <w:t>https://zoetalentsolutions.com/cross-functional-collaboration-in-innovation-projects/</w:t>
        </w:r>
      </w:hyperlink>
      <w:r w:rsidRPr="001B7747">
        <w:rPr>
          <w:rFonts w:ascii="Arial" w:eastAsia="Arial" w:hAnsi="Arial" w:cs="Arial"/>
          <w:sz w:val="24"/>
          <w:szCs w:val="24"/>
        </w:rPr>
        <w:t xml:space="preserve"> [Accessed at: 10/07/2026]</w:t>
      </w:r>
    </w:p>
    <w:p w14:paraId="36F101D7" w14:textId="77777777" w:rsidR="001B7747"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color w:val="222222"/>
          <w:sz w:val="24"/>
          <w:szCs w:val="24"/>
          <w:highlight w:val="white"/>
        </w:rPr>
        <w:t>El-Farr, H., 2023. </w:t>
      </w:r>
      <w:r w:rsidRPr="001B7747">
        <w:rPr>
          <w:rFonts w:ascii="Arial" w:eastAsia="Arial" w:hAnsi="Arial" w:cs="Arial"/>
          <w:i/>
          <w:iCs/>
          <w:color w:val="222222"/>
          <w:sz w:val="24"/>
          <w:szCs w:val="24"/>
          <w:highlight w:val="white"/>
        </w:rPr>
        <w:t>Job Characteristics Theory</w:t>
      </w:r>
      <w:r w:rsidRPr="001B7747">
        <w:rPr>
          <w:rFonts w:ascii="Arial" w:eastAsia="Arial" w:hAnsi="Arial" w:cs="Arial"/>
          <w:color w:val="222222"/>
          <w:sz w:val="24"/>
          <w:szCs w:val="24"/>
          <w:highlight w:val="white"/>
        </w:rPr>
        <w:t xml:space="preserve">. Available at: </w:t>
      </w:r>
      <w:hyperlink r:id="rId17">
        <w:r w:rsidRPr="001B7747">
          <w:rPr>
            <w:rFonts w:ascii="Arial" w:eastAsia="Arial" w:hAnsi="Arial" w:cs="Arial"/>
            <w:color w:val="0000FF"/>
            <w:sz w:val="24"/>
            <w:szCs w:val="24"/>
            <w:highlight w:val="white"/>
            <w:u w:val="single"/>
          </w:rPr>
          <w:t>https://www.researchgate.net/publication/371483979_Job_Characteristics_Theory</w:t>
        </w:r>
      </w:hyperlink>
      <w:r w:rsidRPr="001B7747">
        <w:rPr>
          <w:rFonts w:ascii="Arial" w:eastAsia="Arial" w:hAnsi="Arial" w:cs="Arial"/>
          <w:color w:val="222222"/>
          <w:sz w:val="24"/>
          <w:szCs w:val="24"/>
          <w:highlight w:val="white"/>
        </w:rPr>
        <w:t xml:space="preserve">  </w:t>
      </w:r>
      <w:r w:rsidRPr="001B7747">
        <w:rPr>
          <w:rFonts w:ascii="Arial" w:eastAsia="Arial" w:hAnsi="Arial" w:cs="Arial"/>
          <w:sz w:val="24"/>
          <w:szCs w:val="24"/>
        </w:rPr>
        <w:t>[Accessed at: 10/07/2026]</w:t>
      </w:r>
    </w:p>
    <w:p w14:paraId="56E060B5" w14:textId="77777777" w:rsidR="001B7747" w:rsidRPr="001B7747" w:rsidRDefault="001B7747" w:rsidP="001B7747">
      <w:pPr>
        <w:spacing w:line="360" w:lineRule="auto"/>
        <w:jc w:val="both"/>
        <w:rPr>
          <w:rFonts w:ascii="Arial" w:eastAsia="Arial" w:hAnsi="Arial" w:cs="Arial"/>
          <w:color w:val="222222"/>
          <w:sz w:val="24"/>
          <w:szCs w:val="24"/>
          <w:highlight w:val="white"/>
        </w:rPr>
      </w:pPr>
      <w:r w:rsidRPr="001B7747">
        <w:rPr>
          <w:rFonts w:ascii="Arial" w:eastAsia="Arial" w:hAnsi="Arial" w:cs="Arial"/>
          <w:color w:val="222222"/>
          <w:sz w:val="24"/>
          <w:szCs w:val="24"/>
          <w:highlight w:val="white"/>
        </w:rPr>
        <w:t>Hein, A., 2023. Essays on the organizational socialization of new recruits in the public sector.</w:t>
      </w:r>
      <w:r w:rsidRPr="001B7747">
        <w:rPr>
          <w:rFonts w:ascii="Arial" w:eastAsia="Arial" w:hAnsi="Arial" w:cs="Arial"/>
          <w:sz w:val="24"/>
          <w:szCs w:val="24"/>
        </w:rPr>
        <w:t xml:space="preserve"> </w:t>
      </w:r>
      <w:hyperlink r:id="rId18">
        <w:r w:rsidRPr="001B7747">
          <w:rPr>
            <w:rFonts w:ascii="Arial" w:eastAsia="Arial" w:hAnsi="Arial" w:cs="Arial"/>
            <w:color w:val="0000FF"/>
            <w:sz w:val="24"/>
            <w:szCs w:val="24"/>
            <w:highlight w:val="white"/>
            <w:u w:val="single"/>
          </w:rPr>
          <w:t>https://ora.ox.ac.uk/objects/uuid:5f7d065c-cecc-4aa8-8efd-c889379f473c/files/d9c67wn60t</w:t>
        </w:r>
      </w:hyperlink>
    </w:p>
    <w:p w14:paraId="78EAE428"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color w:val="222222"/>
          <w:sz w:val="24"/>
          <w:szCs w:val="24"/>
          <w:highlight w:val="white"/>
        </w:rPr>
        <w:t>Jeske</w:t>
      </w:r>
      <w:proofErr w:type="spellEnd"/>
      <w:r w:rsidRPr="001B7747">
        <w:rPr>
          <w:rFonts w:ascii="Arial" w:eastAsia="Arial" w:hAnsi="Arial" w:cs="Arial"/>
          <w:color w:val="222222"/>
          <w:sz w:val="24"/>
          <w:szCs w:val="24"/>
          <w:highlight w:val="white"/>
        </w:rPr>
        <w:t>, D. and Olson, D., 2022. Onboarding new hires: recognising mutual learning opportunities. </w:t>
      </w:r>
      <w:r w:rsidRPr="001B7747">
        <w:rPr>
          <w:rFonts w:ascii="Arial" w:eastAsia="Arial" w:hAnsi="Arial" w:cs="Arial"/>
          <w:i/>
          <w:iCs/>
          <w:color w:val="222222"/>
          <w:sz w:val="24"/>
          <w:szCs w:val="24"/>
          <w:highlight w:val="white"/>
        </w:rPr>
        <w:t>Journal of Work-Applied Management</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14</w:t>
      </w:r>
      <w:r w:rsidRPr="001B7747">
        <w:rPr>
          <w:rFonts w:ascii="Arial" w:eastAsia="Arial" w:hAnsi="Arial" w:cs="Arial"/>
          <w:color w:val="222222"/>
          <w:sz w:val="24"/>
          <w:szCs w:val="24"/>
          <w:highlight w:val="white"/>
        </w:rPr>
        <w:t>(1), pp.63-76.</w:t>
      </w:r>
      <w:r w:rsidRPr="001B7747">
        <w:rPr>
          <w:rFonts w:ascii="Arial" w:eastAsia="Arial" w:hAnsi="Arial" w:cs="Arial"/>
          <w:sz w:val="24"/>
          <w:szCs w:val="24"/>
        </w:rPr>
        <w:t xml:space="preserve"> </w:t>
      </w:r>
      <w:hyperlink r:id="rId19">
        <w:r w:rsidRPr="001B7747">
          <w:rPr>
            <w:rFonts w:ascii="Arial" w:eastAsia="Arial" w:hAnsi="Arial" w:cs="Arial"/>
            <w:color w:val="0000FF"/>
            <w:sz w:val="24"/>
            <w:szCs w:val="24"/>
            <w:highlight w:val="white"/>
            <w:u w:val="single"/>
          </w:rPr>
          <w:t>https://www.emerald.com/jwam/article-pdf/14/1/63/1708061/jwam-04-2021-0036.pdf</w:t>
        </w:r>
      </w:hyperlink>
    </w:p>
    <w:p w14:paraId="663FBBA7" w14:textId="77777777" w:rsidR="001B7747" w:rsidRPr="001B7747" w:rsidRDefault="001B7747" w:rsidP="001B7747">
      <w:pPr>
        <w:spacing w:line="360" w:lineRule="auto"/>
        <w:jc w:val="both"/>
        <w:rPr>
          <w:rFonts w:ascii="Arial" w:eastAsia="Arial" w:hAnsi="Arial" w:cs="Arial"/>
          <w:color w:val="222222"/>
          <w:sz w:val="24"/>
          <w:szCs w:val="24"/>
          <w:highlight w:val="white"/>
        </w:rPr>
      </w:pPr>
      <w:r w:rsidRPr="001B7747">
        <w:rPr>
          <w:rFonts w:ascii="Arial" w:eastAsia="Arial" w:hAnsi="Arial" w:cs="Arial"/>
          <w:color w:val="222222"/>
          <w:sz w:val="24"/>
          <w:szCs w:val="24"/>
          <w:highlight w:val="white"/>
        </w:rPr>
        <w:t>Judge, T.A., Klinger, R. and Li, M., 2023. Promote job satisfaction through mental challenge. </w:t>
      </w:r>
      <w:r w:rsidRPr="001B7747">
        <w:rPr>
          <w:rFonts w:ascii="Arial" w:eastAsia="Arial" w:hAnsi="Arial" w:cs="Arial"/>
          <w:i/>
          <w:iCs/>
          <w:color w:val="222222"/>
          <w:sz w:val="24"/>
          <w:szCs w:val="24"/>
          <w:highlight w:val="white"/>
        </w:rPr>
        <w:t xml:space="preserve">Principles of Organizational </w:t>
      </w:r>
      <w:proofErr w:type="spellStart"/>
      <w:r w:rsidRPr="001B7747">
        <w:rPr>
          <w:rFonts w:ascii="Arial" w:eastAsia="Arial" w:hAnsi="Arial" w:cs="Arial"/>
          <w:i/>
          <w:iCs/>
          <w:color w:val="222222"/>
          <w:sz w:val="24"/>
          <w:szCs w:val="24"/>
          <w:highlight w:val="white"/>
        </w:rPr>
        <w:t>Behavior</w:t>
      </w:r>
      <w:proofErr w:type="spellEnd"/>
      <w:r w:rsidRPr="001B7747">
        <w:rPr>
          <w:rFonts w:ascii="Arial" w:eastAsia="Arial" w:hAnsi="Arial" w:cs="Arial"/>
          <w:i/>
          <w:iCs/>
          <w:color w:val="222222"/>
          <w:sz w:val="24"/>
          <w:szCs w:val="24"/>
          <w:highlight w:val="white"/>
        </w:rPr>
        <w:t>: The Handbook of Evidence</w:t>
      </w:r>
      <w:r w:rsidRPr="001B7747">
        <w:rPr>
          <w:rFonts w:ascii="Cambria Math" w:eastAsia="Cambria Math" w:hAnsi="Cambria Math" w:cs="Cambria Math"/>
          <w:i/>
          <w:iCs/>
          <w:color w:val="222222"/>
          <w:sz w:val="24"/>
          <w:szCs w:val="24"/>
          <w:highlight w:val="white"/>
        </w:rPr>
        <w:t>‐</w:t>
      </w:r>
      <w:r w:rsidRPr="001B7747">
        <w:rPr>
          <w:rFonts w:ascii="Arial" w:eastAsia="Arial" w:hAnsi="Arial" w:cs="Arial"/>
          <w:i/>
          <w:iCs/>
          <w:color w:val="222222"/>
          <w:sz w:val="24"/>
          <w:szCs w:val="24"/>
          <w:highlight w:val="white"/>
        </w:rPr>
        <w:t>Based Management 3rd Edition</w:t>
      </w:r>
      <w:r w:rsidRPr="001B7747">
        <w:rPr>
          <w:rFonts w:ascii="Arial" w:eastAsia="Arial" w:hAnsi="Arial" w:cs="Arial"/>
          <w:color w:val="222222"/>
          <w:sz w:val="24"/>
          <w:szCs w:val="24"/>
          <w:highlight w:val="white"/>
        </w:rPr>
        <w:t>, pp.161-178.</w:t>
      </w:r>
      <w:r w:rsidRPr="001B7747">
        <w:rPr>
          <w:rFonts w:ascii="Arial" w:eastAsia="Arial" w:hAnsi="Arial" w:cs="Arial"/>
          <w:sz w:val="24"/>
          <w:szCs w:val="24"/>
        </w:rPr>
        <w:t xml:space="preserve"> </w:t>
      </w:r>
      <w:hyperlink r:id="rId20" w:anchor="page=139">
        <w:r w:rsidRPr="001B7747">
          <w:rPr>
            <w:rFonts w:ascii="Arial" w:eastAsia="Arial" w:hAnsi="Arial" w:cs="Arial"/>
            <w:color w:val="0000FF"/>
            <w:sz w:val="24"/>
            <w:szCs w:val="24"/>
            <w:highlight w:val="white"/>
            <w:u w:val="single"/>
          </w:rPr>
          <w:t>https://www.academia.edu/download/46406951/Organizational_behavior.pdf#page=139</w:t>
        </w:r>
      </w:hyperlink>
    </w:p>
    <w:p w14:paraId="360EEFE0" w14:textId="77777777" w:rsidR="001B7747" w:rsidRPr="001B7747" w:rsidRDefault="001B7747" w:rsidP="001B7747">
      <w:pPr>
        <w:spacing w:line="360" w:lineRule="auto"/>
        <w:jc w:val="both"/>
        <w:rPr>
          <w:rFonts w:ascii="Arial" w:eastAsia="Arial" w:hAnsi="Arial" w:cs="Arial"/>
          <w:color w:val="0000FF"/>
          <w:sz w:val="24"/>
          <w:szCs w:val="24"/>
          <w:highlight w:val="white"/>
        </w:rPr>
      </w:pPr>
      <w:r w:rsidRPr="001B7747">
        <w:rPr>
          <w:rFonts w:ascii="Arial" w:eastAsia="Arial" w:hAnsi="Arial" w:cs="Arial"/>
          <w:color w:val="222222"/>
          <w:sz w:val="24"/>
          <w:szCs w:val="24"/>
          <w:highlight w:val="white"/>
        </w:rPr>
        <w:t>Kamani, T., 2020. Analysis of the job characteristics model. </w:t>
      </w:r>
      <w:r w:rsidRPr="001B7747">
        <w:rPr>
          <w:rFonts w:ascii="Arial" w:eastAsia="Arial" w:hAnsi="Arial" w:cs="Arial"/>
          <w:i/>
          <w:iCs/>
          <w:color w:val="222222"/>
          <w:sz w:val="24"/>
          <w:szCs w:val="24"/>
          <w:highlight w:val="white"/>
        </w:rPr>
        <w:t>Available at SSRN 3600844</w:t>
      </w:r>
      <w:r w:rsidRPr="001B7747">
        <w:rPr>
          <w:rFonts w:ascii="Arial" w:eastAsia="Arial" w:hAnsi="Arial" w:cs="Arial"/>
          <w:color w:val="222222"/>
          <w:sz w:val="24"/>
          <w:szCs w:val="24"/>
          <w:highlight w:val="white"/>
        </w:rPr>
        <w:t>.</w:t>
      </w:r>
      <w:r w:rsidRPr="001B7747">
        <w:rPr>
          <w:rFonts w:ascii="Arial" w:eastAsia="Arial" w:hAnsi="Arial" w:cs="Arial"/>
          <w:sz w:val="24"/>
          <w:szCs w:val="24"/>
        </w:rPr>
        <w:t xml:space="preserve"> </w:t>
      </w:r>
      <w:hyperlink r:id="rId21">
        <w:r w:rsidRPr="001B7747">
          <w:rPr>
            <w:rFonts w:ascii="Arial" w:eastAsia="Arial" w:hAnsi="Arial" w:cs="Arial"/>
            <w:color w:val="0000FF"/>
            <w:sz w:val="24"/>
            <w:szCs w:val="24"/>
            <w:highlight w:val="white"/>
            <w:u w:val="single"/>
          </w:rPr>
          <w:t>http://dx.doi.org/10.2139/ssrn.3600844</w:t>
        </w:r>
      </w:hyperlink>
      <w:r w:rsidRPr="001B7747">
        <w:rPr>
          <w:rFonts w:ascii="Arial" w:eastAsia="Arial" w:hAnsi="Arial" w:cs="Arial"/>
          <w:color w:val="0000FF"/>
          <w:sz w:val="24"/>
          <w:szCs w:val="24"/>
        </w:rPr>
        <w:t xml:space="preserve"> </w:t>
      </w:r>
    </w:p>
    <w:p w14:paraId="76154807" w14:textId="77777777" w:rsidR="001B7747" w:rsidRPr="001B7747" w:rsidRDefault="001B7747" w:rsidP="001B7747">
      <w:pPr>
        <w:spacing w:line="360" w:lineRule="auto"/>
        <w:jc w:val="both"/>
        <w:rPr>
          <w:rFonts w:ascii="Arial" w:eastAsia="Arial" w:hAnsi="Arial" w:cs="Arial"/>
          <w:color w:val="222222"/>
          <w:sz w:val="24"/>
          <w:szCs w:val="24"/>
          <w:highlight w:val="white"/>
        </w:rPr>
      </w:pPr>
      <w:r w:rsidRPr="001B7747">
        <w:rPr>
          <w:rFonts w:ascii="Arial" w:eastAsia="Arial" w:hAnsi="Arial" w:cs="Arial"/>
          <w:color w:val="222222"/>
          <w:sz w:val="24"/>
          <w:szCs w:val="24"/>
          <w:highlight w:val="white"/>
        </w:rPr>
        <w:lastRenderedPageBreak/>
        <w:t xml:space="preserve">Kim, K., </w:t>
      </w:r>
      <w:proofErr w:type="spellStart"/>
      <w:r w:rsidRPr="001B7747">
        <w:rPr>
          <w:rFonts w:ascii="Arial" w:eastAsia="Arial" w:hAnsi="Arial" w:cs="Arial"/>
          <w:color w:val="222222"/>
          <w:sz w:val="24"/>
          <w:szCs w:val="24"/>
          <w:highlight w:val="white"/>
        </w:rPr>
        <w:t>Kogler</w:t>
      </w:r>
      <w:proofErr w:type="spellEnd"/>
      <w:r w:rsidRPr="001B7747">
        <w:rPr>
          <w:rFonts w:ascii="Arial" w:eastAsia="Arial" w:hAnsi="Arial" w:cs="Arial"/>
          <w:color w:val="222222"/>
          <w:sz w:val="24"/>
          <w:szCs w:val="24"/>
          <w:highlight w:val="white"/>
        </w:rPr>
        <w:t xml:space="preserve">, D.F., Lee, J., </w:t>
      </w:r>
      <w:proofErr w:type="spellStart"/>
      <w:r w:rsidRPr="001B7747">
        <w:rPr>
          <w:rFonts w:ascii="Arial" w:eastAsia="Arial" w:hAnsi="Arial" w:cs="Arial"/>
          <w:color w:val="222222"/>
          <w:sz w:val="24"/>
          <w:szCs w:val="24"/>
          <w:highlight w:val="white"/>
        </w:rPr>
        <w:t>Maliphol</w:t>
      </w:r>
      <w:proofErr w:type="spellEnd"/>
      <w:r w:rsidRPr="001B7747">
        <w:rPr>
          <w:rFonts w:ascii="Arial" w:eastAsia="Arial" w:hAnsi="Arial" w:cs="Arial"/>
          <w:color w:val="222222"/>
          <w:sz w:val="24"/>
          <w:szCs w:val="24"/>
          <w:highlight w:val="white"/>
        </w:rPr>
        <w:t>, S. and Lee, C., 2026. Mapping knowledge recombination for innovation: cognitive proximity and business method patents in the digital era. </w:t>
      </w:r>
      <w:r w:rsidRPr="001B7747">
        <w:rPr>
          <w:rFonts w:ascii="Arial" w:eastAsia="Arial" w:hAnsi="Arial" w:cs="Arial"/>
          <w:i/>
          <w:iCs/>
          <w:color w:val="222222"/>
          <w:sz w:val="24"/>
          <w:szCs w:val="24"/>
          <w:highlight w:val="white"/>
        </w:rPr>
        <w:t>Journal of Knowledge Management</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30</w:t>
      </w:r>
      <w:r w:rsidRPr="001B7747">
        <w:rPr>
          <w:rFonts w:ascii="Arial" w:eastAsia="Arial" w:hAnsi="Arial" w:cs="Arial"/>
          <w:color w:val="222222"/>
          <w:sz w:val="24"/>
          <w:szCs w:val="24"/>
          <w:highlight w:val="white"/>
        </w:rPr>
        <w:t>(11), pp.57-82.</w:t>
      </w:r>
      <w:r w:rsidRPr="001B7747">
        <w:rPr>
          <w:rFonts w:ascii="Arial" w:eastAsia="Arial" w:hAnsi="Arial" w:cs="Arial"/>
          <w:sz w:val="24"/>
          <w:szCs w:val="24"/>
        </w:rPr>
        <w:t xml:space="preserve"> </w:t>
      </w:r>
      <w:hyperlink r:id="rId22">
        <w:r w:rsidRPr="001B7747">
          <w:rPr>
            <w:rFonts w:ascii="Arial" w:eastAsia="Arial" w:hAnsi="Arial" w:cs="Arial"/>
            <w:color w:val="0000FF"/>
            <w:sz w:val="24"/>
            <w:szCs w:val="24"/>
            <w:highlight w:val="white"/>
            <w:u w:val="single"/>
          </w:rPr>
          <w:t>https://www.emerald.com/jkm/article-pdf/doi/10.1108/JKM-05-2025-0751/11166545/jkm-05-2025-0751en.pdf</w:t>
        </w:r>
      </w:hyperlink>
    </w:p>
    <w:p w14:paraId="297924B6"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color w:val="222222"/>
          <w:sz w:val="24"/>
          <w:szCs w:val="24"/>
          <w:highlight w:val="white"/>
        </w:rPr>
        <w:t>Kooij</w:t>
      </w:r>
      <w:proofErr w:type="spellEnd"/>
      <w:r w:rsidRPr="001B7747">
        <w:rPr>
          <w:rFonts w:ascii="Arial" w:eastAsia="Arial" w:hAnsi="Arial" w:cs="Arial"/>
          <w:color w:val="222222"/>
          <w:sz w:val="24"/>
          <w:szCs w:val="24"/>
          <w:highlight w:val="white"/>
        </w:rPr>
        <w:t xml:space="preserve">, D.T., De Lange, A.H. and Van De </w:t>
      </w:r>
      <w:proofErr w:type="spellStart"/>
      <w:r w:rsidRPr="001B7747">
        <w:rPr>
          <w:rFonts w:ascii="Arial" w:eastAsia="Arial" w:hAnsi="Arial" w:cs="Arial"/>
          <w:color w:val="222222"/>
          <w:sz w:val="24"/>
          <w:szCs w:val="24"/>
          <w:highlight w:val="white"/>
        </w:rPr>
        <w:t>Voorde</w:t>
      </w:r>
      <w:proofErr w:type="spellEnd"/>
      <w:r w:rsidRPr="001B7747">
        <w:rPr>
          <w:rFonts w:ascii="Arial" w:eastAsia="Arial" w:hAnsi="Arial" w:cs="Arial"/>
          <w:color w:val="222222"/>
          <w:sz w:val="24"/>
          <w:szCs w:val="24"/>
          <w:highlight w:val="white"/>
        </w:rPr>
        <w:t xml:space="preserve">, K., 2022. Stimulating job crafting </w:t>
      </w:r>
      <w:proofErr w:type="spellStart"/>
      <w:r w:rsidRPr="001B7747">
        <w:rPr>
          <w:rFonts w:ascii="Arial" w:eastAsia="Arial" w:hAnsi="Arial" w:cs="Arial"/>
          <w:color w:val="222222"/>
          <w:sz w:val="24"/>
          <w:szCs w:val="24"/>
          <w:highlight w:val="white"/>
        </w:rPr>
        <w:t>behaviors</w:t>
      </w:r>
      <w:proofErr w:type="spellEnd"/>
      <w:r w:rsidRPr="001B7747">
        <w:rPr>
          <w:rFonts w:ascii="Arial" w:eastAsia="Arial" w:hAnsi="Arial" w:cs="Arial"/>
          <w:color w:val="222222"/>
          <w:sz w:val="24"/>
          <w:szCs w:val="24"/>
          <w:highlight w:val="white"/>
        </w:rPr>
        <w:t xml:space="preserve"> of older workers: The influence of opportunity-enhancing human resource practices and psychological empowerment. </w:t>
      </w:r>
      <w:r w:rsidRPr="001B7747">
        <w:rPr>
          <w:rFonts w:ascii="Arial" w:eastAsia="Arial" w:hAnsi="Arial" w:cs="Arial"/>
          <w:i/>
          <w:iCs/>
          <w:color w:val="222222"/>
          <w:sz w:val="24"/>
          <w:szCs w:val="24"/>
          <w:highlight w:val="white"/>
        </w:rPr>
        <w:t>European Journal of Work and Organizational Psychology</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31</w:t>
      </w:r>
      <w:r w:rsidRPr="001B7747">
        <w:rPr>
          <w:rFonts w:ascii="Arial" w:eastAsia="Arial" w:hAnsi="Arial" w:cs="Arial"/>
          <w:color w:val="222222"/>
          <w:sz w:val="24"/>
          <w:szCs w:val="24"/>
          <w:highlight w:val="white"/>
        </w:rPr>
        <w:t>(1), pp.22-34.</w:t>
      </w:r>
      <w:r w:rsidRPr="001B7747">
        <w:rPr>
          <w:rFonts w:ascii="Arial" w:eastAsia="Arial" w:hAnsi="Arial" w:cs="Arial"/>
          <w:sz w:val="24"/>
          <w:szCs w:val="24"/>
        </w:rPr>
        <w:t xml:space="preserve"> </w:t>
      </w:r>
      <w:hyperlink r:id="rId23">
        <w:r w:rsidRPr="001B7747">
          <w:rPr>
            <w:rFonts w:ascii="Arial" w:eastAsia="Arial" w:hAnsi="Arial" w:cs="Arial"/>
            <w:color w:val="0000FF"/>
            <w:sz w:val="24"/>
            <w:szCs w:val="24"/>
            <w:highlight w:val="white"/>
            <w:u w:val="single"/>
          </w:rPr>
          <w:t>https://www.tandfonline.com/doi/pdf/10.1080/1359432X.2021.1899161</w:t>
        </w:r>
      </w:hyperlink>
    </w:p>
    <w:p w14:paraId="278230D0" w14:textId="77777777" w:rsidR="001B7747"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 xml:space="preserve">Kurt, S., 2025. </w:t>
      </w:r>
      <w:r w:rsidRPr="001B7747">
        <w:rPr>
          <w:rFonts w:ascii="Arial" w:eastAsia="Arial" w:hAnsi="Arial" w:cs="Arial"/>
          <w:i/>
          <w:iCs/>
          <w:sz w:val="24"/>
          <w:szCs w:val="24"/>
        </w:rPr>
        <w:t>Self-Determination Theory: Understanding Motivation Across Contexts</w:t>
      </w:r>
      <w:r w:rsidRPr="001B7747">
        <w:rPr>
          <w:rFonts w:ascii="Arial" w:eastAsia="Arial" w:hAnsi="Arial" w:cs="Arial"/>
          <w:sz w:val="24"/>
          <w:szCs w:val="24"/>
        </w:rPr>
        <w:t xml:space="preserve">. Available at: </w:t>
      </w:r>
      <w:hyperlink r:id="rId24">
        <w:r w:rsidRPr="001B7747">
          <w:rPr>
            <w:rFonts w:ascii="Arial" w:eastAsia="Arial" w:hAnsi="Arial" w:cs="Arial"/>
            <w:color w:val="0000FF"/>
            <w:sz w:val="24"/>
            <w:szCs w:val="24"/>
            <w:u w:val="single"/>
          </w:rPr>
          <w:t>https://educationlibrary.org/self-determination-theory-understanding-motivation-across-contexts/</w:t>
        </w:r>
      </w:hyperlink>
      <w:r w:rsidRPr="001B7747">
        <w:rPr>
          <w:rFonts w:ascii="Arial" w:eastAsia="Arial" w:hAnsi="Arial" w:cs="Arial"/>
          <w:sz w:val="24"/>
          <w:szCs w:val="24"/>
        </w:rPr>
        <w:t xml:space="preserve">  [Accessed at: 10/07/2026]</w:t>
      </w:r>
    </w:p>
    <w:p w14:paraId="4897551B"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color w:val="222222"/>
          <w:sz w:val="24"/>
          <w:szCs w:val="24"/>
          <w:highlight w:val="white"/>
        </w:rPr>
        <w:t>Mlekus</w:t>
      </w:r>
      <w:proofErr w:type="spellEnd"/>
      <w:r w:rsidRPr="001B7747">
        <w:rPr>
          <w:rFonts w:ascii="Arial" w:eastAsia="Arial" w:hAnsi="Arial" w:cs="Arial"/>
          <w:color w:val="222222"/>
          <w:sz w:val="24"/>
          <w:szCs w:val="24"/>
          <w:highlight w:val="white"/>
        </w:rPr>
        <w:t>, L. and Maier, G.W., 2021. More hype than substance? A meta-analysis on job and task rotation. </w:t>
      </w:r>
      <w:r w:rsidRPr="001B7747">
        <w:rPr>
          <w:rFonts w:ascii="Arial" w:eastAsia="Arial" w:hAnsi="Arial" w:cs="Arial"/>
          <w:i/>
          <w:iCs/>
          <w:color w:val="222222"/>
          <w:sz w:val="24"/>
          <w:szCs w:val="24"/>
          <w:highlight w:val="white"/>
        </w:rPr>
        <w:t>Frontiers in psychology</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12</w:t>
      </w:r>
      <w:r w:rsidRPr="001B7747">
        <w:rPr>
          <w:rFonts w:ascii="Arial" w:eastAsia="Arial" w:hAnsi="Arial" w:cs="Arial"/>
          <w:color w:val="222222"/>
          <w:sz w:val="24"/>
          <w:szCs w:val="24"/>
          <w:highlight w:val="white"/>
        </w:rPr>
        <w:t>, p.633530.</w:t>
      </w:r>
      <w:r w:rsidRPr="001B7747">
        <w:rPr>
          <w:rFonts w:ascii="Arial" w:eastAsia="Arial" w:hAnsi="Arial" w:cs="Arial"/>
          <w:sz w:val="24"/>
          <w:szCs w:val="24"/>
        </w:rPr>
        <w:t xml:space="preserve"> </w:t>
      </w:r>
      <w:hyperlink r:id="rId25">
        <w:r w:rsidRPr="001B7747">
          <w:rPr>
            <w:rFonts w:ascii="Arial" w:eastAsia="Arial" w:hAnsi="Arial" w:cs="Arial"/>
            <w:color w:val="0000FF"/>
            <w:sz w:val="24"/>
            <w:szCs w:val="24"/>
            <w:highlight w:val="white"/>
            <w:u w:val="single"/>
          </w:rPr>
          <w:t>https://www.frontiersin.org/journals/psychology/articles/10.3389/fpsyg.2021.633530/pdf</w:t>
        </w:r>
      </w:hyperlink>
    </w:p>
    <w:p w14:paraId="70A8D9D4"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color w:val="222222"/>
          <w:sz w:val="24"/>
          <w:szCs w:val="24"/>
          <w:highlight w:val="white"/>
        </w:rPr>
        <w:t>Mohatla</w:t>
      </w:r>
      <w:proofErr w:type="spellEnd"/>
      <w:r w:rsidRPr="001B7747">
        <w:rPr>
          <w:rFonts w:ascii="Arial" w:eastAsia="Arial" w:hAnsi="Arial" w:cs="Arial"/>
          <w:color w:val="222222"/>
          <w:sz w:val="24"/>
          <w:szCs w:val="24"/>
          <w:highlight w:val="white"/>
        </w:rPr>
        <w:t xml:space="preserve">, S. and </w:t>
      </w:r>
      <w:proofErr w:type="spellStart"/>
      <w:r w:rsidRPr="001B7747">
        <w:rPr>
          <w:rFonts w:ascii="Arial" w:eastAsia="Arial" w:hAnsi="Arial" w:cs="Arial"/>
          <w:color w:val="222222"/>
          <w:sz w:val="24"/>
          <w:szCs w:val="24"/>
          <w:highlight w:val="white"/>
        </w:rPr>
        <w:t>Bussin</w:t>
      </w:r>
      <w:proofErr w:type="spellEnd"/>
      <w:r w:rsidRPr="001B7747">
        <w:rPr>
          <w:rFonts w:ascii="Arial" w:eastAsia="Arial" w:hAnsi="Arial" w:cs="Arial"/>
          <w:color w:val="222222"/>
          <w:sz w:val="24"/>
          <w:szCs w:val="24"/>
          <w:highlight w:val="white"/>
        </w:rPr>
        <w:t>, M., 2022. Exploring the socialisation experiences of female board members. </w:t>
      </w:r>
      <w:r w:rsidRPr="001B7747">
        <w:rPr>
          <w:rFonts w:ascii="Arial" w:eastAsia="Arial" w:hAnsi="Arial" w:cs="Arial"/>
          <w:i/>
          <w:iCs/>
          <w:color w:val="222222"/>
          <w:sz w:val="24"/>
          <w:szCs w:val="24"/>
          <w:highlight w:val="white"/>
        </w:rPr>
        <w:t>SA Journal of Human Resource Management</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20</w:t>
      </w:r>
      <w:r w:rsidRPr="001B7747">
        <w:rPr>
          <w:rFonts w:ascii="Arial" w:eastAsia="Arial" w:hAnsi="Arial" w:cs="Arial"/>
          <w:color w:val="222222"/>
          <w:sz w:val="24"/>
          <w:szCs w:val="24"/>
          <w:highlight w:val="white"/>
        </w:rPr>
        <w:t>, p.1710.</w:t>
      </w:r>
      <w:r w:rsidRPr="001B7747">
        <w:rPr>
          <w:rFonts w:ascii="Arial" w:eastAsia="Arial" w:hAnsi="Arial" w:cs="Arial"/>
          <w:sz w:val="24"/>
          <w:szCs w:val="24"/>
        </w:rPr>
        <w:t xml:space="preserve"> </w:t>
      </w:r>
      <w:hyperlink r:id="rId26">
        <w:r w:rsidRPr="001B7747">
          <w:rPr>
            <w:rFonts w:ascii="Arial" w:eastAsia="Arial" w:hAnsi="Arial" w:cs="Arial"/>
            <w:color w:val="0000FF"/>
            <w:sz w:val="24"/>
            <w:szCs w:val="24"/>
            <w:highlight w:val="white"/>
            <w:u w:val="single"/>
          </w:rPr>
          <w:t>https://repository.up.ac.za/bitstream/handle/2263/79617/Mohatla_Exploring_2020.pdf?sequence=1</w:t>
        </w:r>
      </w:hyperlink>
    </w:p>
    <w:p w14:paraId="18B97EDF"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color w:val="222222"/>
          <w:sz w:val="24"/>
          <w:szCs w:val="24"/>
          <w:highlight w:val="white"/>
        </w:rPr>
        <w:t>Montani</w:t>
      </w:r>
      <w:proofErr w:type="spellEnd"/>
      <w:r w:rsidRPr="001B7747">
        <w:rPr>
          <w:rFonts w:ascii="Arial" w:eastAsia="Arial" w:hAnsi="Arial" w:cs="Arial"/>
          <w:color w:val="222222"/>
          <w:sz w:val="24"/>
          <w:szCs w:val="24"/>
          <w:highlight w:val="white"/>
        </w:rPr>
        <w:t xml:space="preserve">, F., </w:t>
      </w:r>
      <w:proofErr w:type="spellStart"/>
      <w:r w:rsidRPr="001B7747">
        <w:rPr>
          <w:rFonts w:ascii="Arial" w:eastAsia="Arial" w:hAnsi="Arial" w:cs="Arial"/>
          <w:color w:val="222222"/>
          <w:sz w:val="24"/>
          <w:szCs w:val="24"/>
          <w:highlight w:val="white"/>
        </w:rPr>
        <w:t>Boudrias</w:t>
      </w:r>
      <w:proofErr w:type="spellEnd"/>
      <w:r w:rsidRPr="001B7747">
        <w:rPr>
          <w:rFonts w:ascii="Arial" w:eastAsia="Arial" w:hAnsi="Arial" w:cs="Arial"/>
          <w:color w:val="222222"/>
          <w:sz w:val="24"/>
          <w:szCs w:val="24"/>
          <w:highlight w:val="white"/>
        </w:rPr>
        <w:t>, J.S. and Pigeon, M., 2020. Employee recognition, meaningfulness and behavioural involvement: Test of a moderated mediation model. </w:t>
      </w:r>
      <w:r w:rsidRPr="001B7747">
        <w:rPr>
          <w:rFonts w:ascii="Arial" w:eastAsia="Arial" w:hAnsi="Arial" w:cs="Arial"/>
          <w:i/>
          <w:iCs/>
          <w:color w:val="222222"/>
          <w:sz w:val="24"/>
          <w:szCs w:val="24"/>
          <w:highlight w:val="white"/>
        </w:rPr>
        <w:t>The International Journal of Human Resource Management</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31</w:t>
      </w:r>
      <w:r w:rsidRPr="001B7747">
        <w:rPr>
          <w:rFonts w:ascii="Arial" w:eastAsia="Arial" w:hAnsi="Arial" w:cs="Arial"/>
          <w:color w:val="222222"/>
          <w:sz w:val="24"/>
          <w:szCs w:val="24"/>
          <w:highlight w:val="white"/>
        </w:rPr>
        <w:t>(3), pp.356-384.</w:t>
      </w:r>
      <w:r w:rsidRPr="001B7747">
        <w:rPr>
          <w:rFonts w:ascii="Arial" w:eastAsia="Arial" w:hAnsi="Arial" w:cs="Arial"/>
          <w:sz w:val="24"/>
          <w:szCs w:val="24"/>
        </w:rPr>
        <w:t xml:space="preserve"> </w:t>
      </w:r>
      <w:hyperlink r:id="rId27">
        <w:r w:rsidRPr="001B7747">
          <w:rPr>
            <w:rFonts w:ascii="Arial" w:eastAsia="Arial" w:hAnsi="Arial" w:cs="Arial"/>
            <w:color w:val="0000FF"/>
            <w:sz w:val="24"/>
            <w:szCs w:val="24"/>
            <w:highlight w:val="white"/>
            <w:u w:val="single"/>
          </w:rPr>
          <w:t>https://cris.unibo.it/bitstream/11585/788770/5/Employee%20recognition.pdf</w:t>
        </w:r>
      </w:hyperlink>
    </w:p>
    <w:p w14:paraId="1F44F75F" w14:textId="77777777" w:rsidR="001B7747"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sz w:val="24"/>
          <w:szCs w:val="24"/>
        </w:rPr>
        <w:t xml:space="preserve">MUWANGUZI </w:t>
      </w:r>
      <w:r w:rsidRPr="001B7747">
        <w:rPr>
          <w:rFonts w:ascii="Arial" w:eastAsia="Arial" w:hAnsi="Arial" w:cs="Arial"/>
          <w:i/>
          <w:iCs/>
          <w:sz w:val="24"/>
          <w:szCs w:val="24"/>
        </w:rPr>
        <w:t>et al</w:t>
      </w:r>
      <w:r w:rsidRPr="001B7747">
        <w:rPr>
          <w:rFonts w:ascii="Arial" w:eastAsia="Arial" w:hAnsi="Arial" w:cs="Arial"/>
          <w:sz w:val="24"/>
          <w:szCs w:val="24"/>
        </w:rPr>
        <w:t xml:space="preserve">., 2022. </w:t>
      </w:r>
      <w:r w:rsidRPr="001B7747">
        <w:rPr>
          <w:rFonts w:ascii="Arial" w:eastAsia="Arial" w:hAnsi="Arial" w:cs="Arial"/>
          <w:i/>
          <w:iCs/>
          <w:sz w:val="24"/>
          <w:szCs w:val="24"/>
        </w:rPr>
        <w:t>Applying Hackman and Oldham (1975) Job Characteristic Model in the analysis of Job Satisfaction at Makerere University: An Empirical Paper</w:t>
      </w:r>
      <w:r w:rsidRPr="001B7747">
        <w:rPr>
          <w:rFonts w:ascii="Arial" w:eastAsia="Arial" w:hAnsi="Arial" w:cs="Arial"/>
          <w:sz w:val="24"/>
          <w:szCs w:val="24"/>
        </w:rPr>
        <w:t xml:space="preserve">. Available at: </w:t>
      </w:r>
      <w:hyperlink r:id="rId28">
        <w:r w:rsidRPr="001B7747">
          <w:rPr>
            <w:rFonts w:ascii="Arial" w:eastAsia="Arial" w:hAnsi="Arial" w:cs="Arial"/>
            <w:color w:val="0000FF"/>
            <w:sz w:val="24"/>
            <w:szCs w:val="24"/>
            <w:u w:val="single"/>
          </w:rPr>
          <w:t>https://www.iosrjournals.org/iosr-jrme/papers/Vol-12%20Issue-1/Ser-4/B1201042027.pdf</w:t>
        </w:r>
      </w:hyperlink>
      <w:r w:rsidRPr="001B7747">
        <w:rPr>
          <w:rFonts w:ascii="Arial" w:eastAsia="Arial" w:hAnsi="Arial" w:cs="Arial"/>
          <w:sz w:val="24"/>
          <w:szCs w:val="24"/>
        </w:rPr>
        <w:t xml:space="preserve"> [Accessed at: 10/07/2026]</w:t>
      </w:r>
    </w:p>
    <w:p w14:paraId="33D2C07E"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color w:val="222222"/>
          <w:sz w:val="24"/>
          <w:szCs w:val="24"/>
          <w:highlight w:val="white"/>
        </w:rPr>
        <w:lastRenderedPageBreak/>
        <w:t>Næss</w:t>
      </w:r>
      <w:proofErr w:type="spellEnd"/>
      <w:r w:rsidRPr="001B7747">
        <w:rPr>
          <w:rFonts w:ascii="Arial" w:eastAsia="Arial" w:hAnsi="Arial" w:cs="Arial"/>
          <w:color w:val="222222"/>
          <w:sz w:val="24"/>
          <w:szCs w:val="24"/>
          <w:highlight w:val="white"/>
        </w:rPr>
        <w:t xml:space="preserve">, H.E., 2025. </w:t>
      </w:r>
      <w:r w:rsidRPr="001B7747">
        <w:rPr>
          <w:rFonts w:ascii="Arial" w:eastAsia="Arial" w:hAnsi="Arial" w:cs="Arial"/>
          <w:i/>
          <w:iCs/>
          <w:color w:val="222222"/>
          <w:sz w:val="24"/>
          <w:szCs w:val="24"/>
          <w:highlight w:val="white"/>
        </w:rPr>
        <w:t xml:space="preserve">Leave Me Alone. A Process Model Exploring </w:t>
      </w:r>
      <w:proofErr w:type="gramStart"/>
      <w:r w:rsidRPr="001B7747">
        <w:rPr>
          <w:rFonts w:ascii="Arial" w:eastAsia="Arial" w:hAnsi="Arial" w:cs="Arial"/>
          <w:i/>
          <w:iCs/>
          <w:color w:val="222222"/>
          <w:sz w:val="24"/>
          <w:szCs w:val="24"/>
          <w:highlight w:val="white"/>
        </w:rPr>
        <w:t>how</w:t>
      </w:r>
      <w:proofErr w:type="gramEnd"/>
      <w:r w:rsidRPr="001B7747">
        <w:rPr>
          <w:rFonts w:ascii="Arial" w:eastAsia="Arial" w:hAnsi="Arial" w:cs="Arial"/>
          <w:i/>
          <w:iCs/>
          <w:color w:val="222222"/>
          <w:sz w:val="24"/>
          <w:szCs w:val="24"/>
          <w:highlight w:val="white"/>
        </w:rPr>
        <w:t xml:space="preserve"> Excessive Socializing can Contribute to More Exclusionary Workplaces</w:t>
      </w:r>
      <w:r w:rsidRPr="001B7747">
        <w:rPr>
          <w:rFonts w:ascii="Arial" w:eastAsia="Arial" w:hAnsi="Arial" w:cs="Arial"/>
          <w:color w:val="222222"/>
          <w:sz w:val="24"/>
          <w:szCs w:val="24"/>
          <w:highlight w:val="white"/>
        </w:rPr>
        <w:t xml:space="preserve">. Available at: </w:t>
      </w:r>
      <w:hyperlink r:id="rId29">
        <w:r w:rsidRPr="001B7747">
          <w:rPr>
            <w:rFonts w:ascii="Arial" w:eastAsia="Arial" w:hAnsi="Arial" w:cs="Arial"/>
            <w:color w:val="0000FF"/>
            <w:sz w:val="24"/>
            <w:szCs w:val="24"/>
            <w:highlight w:val="white"/>
            <w:u w:val="single"/>
          </w:rPr>
          <w:t>https://www.degruyterbrill.com/document/doi/10.1515/joso-2025-0014/html</w:t>
        </w:r>
      </w:hyperlink>
      <w:r w:rsidRPr="001B7747">
        <w:rPr>
          <w:rFonts w:ascii="Arial" w:eastAsia="Arial" w:hAnsi="Arial" w:cs="Arial"/>
          <w:color w:val="222222"/>
          <w:sz w:val="24"/>
          <w:szCs w:val="24"/>
          <w:highlight w:val="white"/>
        </w:rPr>
        <w:t xml:space="preserve"> [Accessed at: 10/07/2026]</w:t>
      </w:r>
    </w:p>
    <w:p w14:paraId="372F7877"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color w:val="222222"/>
          <w:sz w:val="24"/>
          <w:szCs w:val="24"/>
          <w:highlight w:val="white"/>
        </w:rPr>
        <w:t>Olafsen</w:t>
      </w:r>
      <w:proofErr w:type="spellEnd"/>
      <w:r w:rsidRPr="001B7747">
        <w:rPr>
          <w:rFonts w:ascii="Arial" w:eastAsia="Arial" w:hAnsi="Arial" w:cs="Arial"/>
          <w:color w:val="222222"/>
          <w:sz w:val="24"/>
          <w:szCs w:val="24"/>
          <w:highlight w:val="white"/>
        </w:rPr>
        <w:t xml:space="preserve">, A.H., </w:t>
      </w:r>
      <w:proofErr w:type="spellStart"/>
      <w:r w:rsidRPr="001B7747">
        <w:rPr>
          <w:rFonts w:ascii="Arial" w:eastAsia="Arial" w:hAnsi="Arial" w:cs="Arial"/>
          <w:color w:val="222222"/>
          <w:sz w:val="24"/>
          <w:szCs w:val="24"/>
          <w:highlight w:val="white"/>
        </w:rPr>
        <w:t>Marescaux</w:t>
      </w:r>
      <w:proofErr w:type="spellEnd"/>
      <w:r w:rsidRPr="001B7747">
        <w:rPr>
          <w:rFonts w:ascii="Arial" w:eastAsia="Arial" w:hAnsi="Arial" w:cs="Arial"/>
          <w:color w:val="222222"/>
          <w:sz w:val="24"/>
          <w:szCs w:val="24"/>
          <w:highlight w:val="white"/>
        </w:rPr>
        <w:t xml:space="preserve">, B.P. and </w:t>
      </w:r>
      <w:proofErr w:type="spellStart"/>
      <w:r w:rsidRPr="001B7747">
        <w:rPr>
          <w:rFonts w:ascii="Arial" w:eastAsia="Arial" w:hAnsi="Arial" w:cs="Arial"/>
          <w:color w:val="222222"/>
          <w:sz w:val="24"/>
          <w:szCs w:val="24"/>
          <w:highlight w:val="white"/>
        </w:rPr>
        <w:t>Kujanpää</w:t>
      </w:r>
      <w:proofErr w:type="spellEnd"/>
      <w:r w:rsidRPr="001B7747">
        <w:rPr>
          <w:rFonts w:ascii="Arial" w:eastAsia="Arial" w:hAnsi="Arial" w:cs="Arial"/>
          <w:color w:val="222222"/>
          <w:sz w:val="24"/>
          <w:szCs w:val="24"/>
          <w:highlight w:val="white"/>
        </w:rPr>
        <w:t>, M., 2025. Crafting for autonomy, competence, and relatedness: A self</w:t>
      </w:r>
      <w:r w:rsidRPr="001B7747">
        <w:rPr>
          <w:rFonts w:ascii="Cambria Math" w:eastAsia="Cambria Math" w:hAnsi="Cambria Math" w:cs="Cambria Math"/>
          <w:color w:val="222222"/>
          <w:sz w:val="24"/>
          <w:szCs w:val="24"/>
          <w:highlight w:val="white"/>
        </w:rPr>
        <w:t>‐</w:t>
      </w:r>
      <w:r w:rsidRPr="001B7747">
        <w:rPr>
          <w:rFonts w:ascii="Arial" w:eastAsia="Arial" w:hAnsi="Arial" w:cs="Arial"/>
          <w:color w:val="222222"/>
          <w:sz w:val="24"/>
          <w:szCs w:val="24"/>
          <w:highlight w:val="white"/>
        </w:rPr>
        <w:t>determination theory model of need crafting at work. </w:t>
      </w:r>
      <w:r w:rsidRPr="001B7747">
        <w:rPr>
          <w:rFonts w:ascii="Arial" w:eastAsia="Arial" w:hAnsi="Arial" w:cs="Arial"/>
          <w:i/>
          <w:iCs/>
          <w:color w:val="222222"/>
          <w:sz w:val="24"/>
          <w:szCs w:val="24"/>
          <w:highlight w:val="white"/>
        </w:rPr>
        <w:t>Applied Psychology</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74</w:t>
      </w:r>
      <w:r w:rsidRPr="001B7747">
        <w:rPr>
          <w:rFonts w:ascii="Arial" w:eastAsia="Arial" w:hAnsi="Arial" w:cs="Arial"/>
          <w:color w:val="222222"/>
          <w:sz w:val="24"/>
          <w:szCs w:val="24"/>
          <w:highlight w:val="white"/>
        </w:rPr>
        <w:t>(1), p.e12570.</w:t>
      </w:r>
      <w:r w:rsidRPr="001B7747">
        <w:rPr>
          <w:rFonts w:ascii="Arial" w:eastAsia="Arial" w:hAnsi="Arial" w:cs="Arial"/>
          <w:sz w:val="24"/>
          <w:szCs w:val="24"/>
        </w:rPr>
        <w:t xml:space="preserve"> </w:t>
      </w:r>
      <w:hyperlink r:id="rId30">
        <w:r w:rsidRPr="001B7747">
          <w:rPr>
            <w:rFonts w:ascii="Arial" w:eastAsia="Arial" w:hAnsi="Arial" w:cs="Arial"/>
            <w:color w:val="0000FF"/>
            <w:sz w:val="24"/>
            <w:szCs w:val="24"/>
            <w:highlight w:val="white"/>
            <w:u w:val="single"/>
          </w:rPr>
          <w:t>https://iaap-journals.onlinelibrary.wiley.com/doi/pdf/10.1111/apps.12570</w:t>
        </w:r>
      </w:hyperlink>
    </w:p>
    <w:p w14:paraId="332D4D24" w14:textId="77777777" w:rsidR="001B7747" w:rsidRPr="001B7747" w:rsidRDefault="001B7747" w:rsidP="001B7747">
      <w:pPr>
        <w:spacing w:line="360" w:lineRule="auto"/>
        <w:jc w:val="both"/>
        <w:rPr>
          <w:rFonts w:ascii="Arial" w:eastAsia="Arial" w:hAnsi="Arial" w:cs="Arial"/>
          <w:color w:val="222222"/>
          <w:sz w:val="24"/>
          <w:szCs w:val="24"/>
          <w:highlight w:val="white"/>
        </w:rPr>
      </w:pPr>
      <w:r w:rsidRPr="001B7747">
        <w:rPr>
          <w:rFonts w:ascii="Arial" w:eastAsia="Arial" w:hAnsi="Arial" w:cs="Arial"/>
          <w:color w:val="222222"/>
          <w:sz w:val="24"/>
          <w:szCs w:val="24"/>
          <w:highlight w:val="white"/>
        </w:rPr>
        <w:t>Paine, L.S., 2023. What does “stakeholder capitalism” mean to you. </w:t>
      </w:r>
      <w:r w:rsidRPr="001B7747">
        <w:rPr>
          <w:rFonts w:ascii="Arial" w:eastAsia="Arial" w:hAnsi="Arial" w:cs="Arial"/>
          <w:i/>
          <w:iCs/>
          <w:color w:val="222222"/>
          <w:sz w:val="24"/>
          <w:szCs w:val="24"/>
          <w:highlight w:val="white"/>
        </w:rPr>
        <w:t>Harvard Business Review</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101</w:t>
      </w:r>
      <w:r w:rsidRPr="001B7747">
        <w:rPr>
          <w:rFonts w:ascii="Arial" w:eastAsia="Arial" w:hAnsi="Arial" w:cs="Arial"/>
          <w:color w:val="222222"/>
          <w:sz w:val="24"/>
          <w:szCs w:val="24"/>
          <w:highlight w:val="white"/>
        </w:rPr>
        <w:t>(5), pp.108-119.</w:t>
      </w:r>
      <w:r w:rsidRPr="001B7747">
        <w:rPr>
          <w:rFonts w:ascii="Arial" w:eastAsia="Arial" w:hAnsi="Arial" w:cs="Arial"/>
          <w:sz w:val="24"/>
          <w:szCs w:val="24"/>
        </w:rPr>
        <w:t xml:space="preserve"> </w:t>
      </w:r>
      <w:hyperlink r:id="rId31">
        <w:r w:rsidRPr="001B7747">
          <w:rPr>
            <w:rFonts w:ascii="Arial" w:eastAsia="Arial" w:hAnsi="Arial" w:cs="Arial"/>
            <w:color w:val="0000FF"/>
            <w:sz w:val="24"/>
            <w:szCs w:val="24"/>
            <w:highlight w:val="white"/>
            <w:u w:val="single"/>
          </w:rPr>
          <w:t>https://www.ew360.mx/clientes/Ado/especiales/271023/HBR1.pdf</w:t>
        </w:r>
      </w:hyperlink>
    </w:p>
    <w:p w14:paraId="6BF524BC" w14:textId="77777777" w:rsidR="001B7747" w:rsidRPr="001B7747" w:rsidRDefault="001B7747" w:rsidP="001B7747">
      <w:pPr>
        <w:spacing w:line="360" w:lineRule="auto"/>
        <w:jc w:val="both"/>
        <w:rPr>
          <w:rFonts w:ascii="Arial" w:eastAsia="Arial" w:hAnsi="Arial" w:cs="Arial"/>
          <w:color w:val="222222"/>
          <w:sz w:val="24"/>
          <w:szCs w:val="24"/>
          <w:highlight w:val="white"/>
        </w:rPr>
      </w:pPr>
      <w:r w:rsidRPr="001B7747">
        <w:rPr>
          <w:rFonts w:ascii="Arial" w:eastAsia="Arial" w:hAnsi="Arial" w:cs="Arial"/>
          <w:color w:val="222222"/>
          <w:sz w:val="24"/>
          <w:szCs w:val="24"/>
          <w:highlight w:val="white"/>
        </w:rPr>
        <w:t>Raihan, T., 2020. Role of job characteristics model on employee job satisfaction: An empirical study. </w:t>
      </w:r>
      <w:r w:rsidRPr="001B7747">
        <w:rPr>
          <w:rFonts w:ascii="Arial" w:eastAsia="Arial" w:hAnsi="Arial" w:cs="Arial"/>
          <w:i/>
          <w:iCs/>
          <w:color w:val="222222"/>
          <w:sz w:val="24"/>
          <w:szCs w:val="24"/>
          <w:highlight w:val="white"/>
        </w:rPr>
        <w:t>Journal of Business Administration</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32</w:t>
      </w:r>
      <w:r w:rsidRPr="001B7747">
        <w:rPr>
          <w:rFonts w:ascii="Arial" w:eastAsia="Arial" w:hAnsi="Arial" w:cs="Arial"/>
          <w:color w:val="222222"/>
          <w:sz w:val="24"/>
          <w:szCs w:val="24"/>
          <w:highlight w:val="white"/>
        </w:rPr>
        <w:t>(1), pp.179-196.</w:t>
      </w:r>
      <w:r w:rsidRPr="001B7747">
        <w:rPr>
          <w:rFonts w:ascii="Arial" w:eastAsia="Arial" w:hAnsi="Arial" w:cs="Arial"/>
          <w:sz w:val="24"/>
          <w:szCs w:val="24"/>
        </w:rPr>
        <w:t xml:space="preserve"> </w:t>
      </w:r>
      <w:hyperlink r:id="rId32">
        <w:r w:rsidRPr="001B7747">
          <w:rPr>
            <w:rFonts w:ascii="Arial" w:eastAsia="Arial" w:hAnsi="Arial" w:cs="Arial"/>
            <w:color w:val="0000FF"/>
            <w:sz w:val="24"/>
            <w:szCs w:val="24"/>
            <w:highlight w:val="white"/>
            <w:u w:val="single"/>
          </w:rPr>
          <w:t>https://www.researchgate.net/profile/Tarik-Raihan/publication/348742451_Role_of_Job_Characteristics_Model_on_Employee_Job_Satisfaction-_An_Empirical_Study/links/602ca217a6fdcc37a8300c4c/Role-of-Job-Characteristics-Model-on-Employee-Job-Satisfaction-An-Empirical-Study.pdf</w:t>
        </w:r>
      </w:hyperlink>
    </w:p>
    <w:p w14:paraId="368F2527" w14:textId="77777777" w:rsidR="001B7747" w:rsidRPr="001B7747" w:rsidRDefault="001B7747" w:rsidP="001B7747">
      <w:pPr>
        <w:spacing w:line="360" w:lineRule="auto"/>
        <w:jc w:val="both"/>
        <w:rPr>
          <w:rFonts w:ascii="Arial" w:eastAsia="Arial" w:hAnsi="Arial" w:cs="Arial"/>
          <w:sz w:val="24"/>
          <w:szCs w:val="24"/>
        </w:rPr>
      </w:pPr>
      <w:r w:rsidRPr="001B7747">
        <w:rPr>
          <w:rFonts w:ascii="Arial" w:eastAsia="Arial" w:hAnsi="Arial" w:cs="Arial"/>
          <w:color w:val="222222"/>
          <w:sz w:val="24"/>
          <w:szCs w:val="24"/>
          <w:highlight w:val="white"/>
        </w:rPr>
        <w:t xml:space="preserve">Rashmi, A. and Maurya, V., 2025. Examining the Relationships between Job Crafting, Work Engagement, and Job Satisfaction. </w:t>
      </w:r>
      <w:r w:rsidRPr="001B7747">
        <w:rPr>
          <w:rFonts w:ascii="Arial" w:eastAsia="Arial" w:hAnsi="Arial" w:cs="Arial"/>
          <w:i/>
          <w:iCs/>
          <w:color w:val="222222"/>
          <w:sz w:val="24"/>
          <w:szCs w:val="24"/>
          <w:highlight w:val="white"/>
        </w:rPr>
        <w:t>International Journal of Indian Psychology</w:t>
      </w:r>
      <w:r w:rsidRPr="001B7747">
        <w:rPr>
          <w:rFonts w:ascii="Arial" w:eastAsia="Arial" w:hAnsi="Arial" w:cs="Arial"/>
          <w:color w:val="222222"/>
          <w:sz w:val="24"/>
          <w:szCs w:val="24"/>
          <w:highlight w:val="white"/>
        </w:rPr>
        <w:t xml:space="preserve">, </w:t>
      </w:r>
      <w:r w:rsidRPr="001B7747">
        <w:rPr>
          <w:rFonts w:ascii="Arial" w:eastAsia="Arial" w:hAnsi="Arial" w:cs="Arial"/>
          <w:i/>
          <w:iCs/>
          <w:color w:val="222222"/>
          <w:sz w:val="24"/>
          <w:szCs w:val="24"/>
          <w:highlight w:val="white"/>
        </w:rPr>
        <w:t>13</w:t>
      </w:r>
      <w:r w:rsidRPr="001B7747">
        <w:rPr>
          <w:rFonts w:ascii="Arial" w:eastAsia="Arial" w:hAnsi="Arial" w:cs="Arial"/>
          <w:color w:val="222222"/>
          <w:sz w:val="24"/>
          <w:szCs w:val="24"/>
          <w:highlight w:val="white"/>
        </w:rPr>
        <w:t>(1), pp.9-41.</w:t>
      </w:r>
      <w:r w:rsidRPr="001B7747">
        <w:rPr>
          <w:rFonts w:ascii="Arial" w:eastAsia="Arial" w:hAnsi="Arial" w:cs="Arial"/>
          <w:sz w:val="24"/>
          <w:szCs w:val="24"/>
        </w:rPr>
        <w:t xml:space="preserve"> </w:t>
      </w:r>
      <w:hyperlink r:id="rId33">
        <w:r w:rsidRPr="001B7747">
          <w:rPr>
            <w:rFonts w:ascii="Arial" w:eastAsia="Arial" w:hAnsi="Arial" w:cs="Arial"/>
            <w:color w:val="0000FF"/>
            <w:sz w:val="24"/>
            <w:szCs w:val="24"/>
            <w:u w:val="single"/>
          </w:rPr>
          <w:t>https://ijip.in/wp-content/uploads/2025/04/18.01.288.20251301.pdf</w:t>
        </w:r>
      </w:hyperlink>
      <w:r w:rsidRPr="001B7747">
        <w:rPr>
          <w:rFonts w:ascii="Arial" w:eastAsia="Arial" w:hAnsi="Arial" w:cs="Arial"/>
          <w:sz w:val="24"/>
          <w:szCs w:val="24"/>
        </w:rPr>
        <w:t xml:space="preserve"> </w:t>
      </w:r>
    </w:p>
    <w:p w14:paraId="2C910F87" w14:textId="77777777" w:rsidR="001B7747" w:rsidRPr="001B7747" w:rsidRDefault="001B7747" w:rsidP="001B7747">
      <w:pPr>
        <w:spacing w:line="360" w:lineRule="auto"/>
        <w:jc w:val="both"/>
        <w:rPr>
          <w:rFonts w:ascii="Arial" w:eastAsia="Arial" w:hAnsi="Arial" w:cs="Arial"/>
          <w:color w:val="222222"/>
          <w:sz w:val="24"/>
          <w:szCs w:val="24"/>
          <w:highlight w:val="white"/>
        </w:rPr>
      </w:pPr>
      <w:r w:rsidRPr="001B7747">
        <w:rPr>
          <w:rFonts w:ascii="Arial" w:eastAsia="Arial" w:hAnsi="Arial" w:cs="Arial"/>
          <w:color w:val="222222"/>
          <w:sz w:val="24"/>
          <w:szCs w:val="24"/>
          <w:highlight w:val="white"/>
        </w:rPr>
        <w:t>Samson, D. and Swink, M., 2023. People, performance and transition: A case study of psychological contract and stakeholder orientation in the Toyota Australia plant closure. </w:t>
      </w:r>
      <w:r w:rsidRPr="001B7747">
        <w:rPr>
          <w:rFonts w:ascii="Arial" w:eastAsia="Arial" w:hAnsi="Arial" w:cs="Arial"/>
          <w:i/>
          <w:iCs/>
          <w:color w:val="222222"/>
          <w:sz w:val="24"/>
          <w:szCs w:val="24"/>
          <w:highlight w:val="white"/>
        </w:rPr>
        <w:t>Journal of Operations Management</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69</w:t>
      </w:r>
      <w:r w:rsidRPr="001B7747">
        <w:rPr>
          <w:rFonts w:ascii="Arial" w:eastAsia="Arial" w:hAnsi="Arial" w:cs="Arial"/>
          <w:color w:val="222222"/>
          <w:sz w:val="24"/>
          <w:szCs w:val="24"/>
          <w:highlight w:val="white"/>
        </w:rPr>
        <w:t>(1), pp.67-101.</w:t>
      </w:r>
      <w:r w:rsidRPr="001B7747">
        <w:rPr>
          <w:rFonts w:ascii="Arial" w:eastAsia="Arial" w:hAnsi="Arial" w:cs="Arial"/>
          <w:sz w:val="24"/>
          <w:szCs w:val="24"/>
        </w:rPr>
        <w:t xml:space="preserve"> </w:t>
      </w:r>
      <w:hyperlink r:id="rId34">
        <w:r w:rsidRPr="001B7747">
          <w:rPr>
            <w:rFonts w:ascii="Arial" w:eastAsia="Arial" w:hAnsi="Arial" w:cs="Arial"/>
            <w:color w:val="0000FF"/>
            <w:sz w:val="24"/>
            <w:szCs w:val="24"/>
            <w:highlight w:val="white"/>
            <w:u w:val="single"/>
          </w:rPr>
          <w:t>https://onlinelibrary.wiley.com/doi/pdfdirect/10.1002/joom.1218?utm_source=consensus</w:t>
        </w:r>
      </w:hyperlink>
    </w:p>
    <w:p w14:paraId="540D7706"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color w:val="222222"/>
          <w:sz w:val="24"/>
          <w:szCs w:val="24"/>
          <w:highlight w:val="white"/>
        </w:rPr>
        <w:t>Sarvaiya</w:t>
      </w:r>
      <w:proofErr w:type="spellEnd"/>
      <w:r w:rsidRPr="001B7747">
        <w:rPr>
          <w:rFonts w:ascii="Arial" w:eastAsia="Arial" w:hAnsi="Arial" w:cs="Arial"/>
          <w:color w:val="222222"/>
          <w:sz w:val="24"/>
          <w:szCs w:val="24"/>
          <w:highlight w:val="white"/>
        </w:rPr>
        <w:t xml:space="preserve">, H., Arrowsmith, J. and </w:t>
      </w:r>
      <w:proofErr w:type="spellStart"/>
      <w:r w:rsidRPr="001B7747">
        <w:rPr>
          <w:rFonts w:ascii="Arial" w:eastAsia="Arial" w:hAnsi="Arial" w:cs="Arial"/>
          <w:color w:val="222222"/>
          <w:sz w:val="24"/>
          <w:szCs w:val="24"/>
          <w:highlight w:val="white"/>
        </w:rPr>
        <w:t>Eweje</w:t>
      </w:r>
      <w:proofErr w:type="spellEnd"/>
      <w:r w:rsidRPr="001B7747">
        <w:rPr>
          <w:rFonts w:ascii="Arial" w:eastAsia="Arial" w:hAnsi="Arial" w:cs="Arial"/>
          <w:color w:val="222222"/>
          <w:sz w:val="24"/>
          <w:szCs w:val="24"/>
          <w:highlight w:val="white"/>
        </w:rPr>
        <w:t>, G., 2021. Exploring HRM involvement in CSR: variation of Ulrich’s HR roles by organisational context. </w:t>
      </w:r>
      <w:r w:rsidRPr="001B7747">
        <w:rPr>
          <w:rFonts w:ascii="Arial" w:eastAsia="Arial" w:hAnsi="Arial" w:cs="Arial"/>
          <w:i/>
          <w:iCs/>
          <w:color w:val="222222"/>
          <w:sz w:val="24"/>
          <w:szCs w:val="24"/>
          <w:highlight w:val="white"/>
        </w:rPr>
        <w:t>The International Journal of Human Resource Management</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32</w:t>
      </w:r>
      <w:r w:rsidRPr="001B7747">
        <w:rPr>
          <w:rFonts w:ascii="Arial" w:eastAsia="Arial" w:hAnsi="Arial" w:cs="Arial"/>
          <w:color w:val="222222"/>
          <w:sz w:val="24"/>
          <w:szCs w:val="24"/>
          <w:highlight w:val="white"/>
        </w:rPr>
        <w:t>(21), pp.4429-4462.</w:t>
      </w:r>
      <w:r w:rsidRPr="001B7747">
        <w:rPr>
          <w:rFonts w:ascii="Arial" w:eastAsia="Arial" w:hAnsi="Arial" w:cs="Arial"/>
          <w:sz w:val="24"/>
          <w:szCs w:val="24"/>
        </w:rPr>
        <w:t xml:space="preserve"> </w:t>
      </w:r>
      <w:hyperlink r:id="rId35">
        <w:r w:rsidRPr="001B7747">
          <w:rPr>
            <w:rFonts w:ascii="Arial" w:eastAsia="Arial" w:hAnsi="Arial" w:cs="Arial"/>
            <w:color w:val="0000FF"/>
            <w:sz w:val="24"/>
            <w:szCs w:val="24"/>
            <w:highlight w:val="white"/>
            <w:u w:val="single"/>
          </w:rPr>
          <w:t>https://www.academia.edu/download/121443806/09585192.2019.166069820250219-1-igbffj.pdf</w:t>
        </w:r>
      </w:hyperlink>
    </w:p>
    <w:p w14:paraId="239BF7E0"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color w:val="222222"/>
          <w:sz w:val="24"/>
          <w:szCs w:val="24"/>
          <w:highlight w:val="white"/>
        </w:rPr>
        <w:lastRenderedPageBreak/>
        <w:t>Signore</w:t>
      </w:r>
      <w:proofErr w:type="spellEnd"/>
      <w:r w:rsidRPr="001B7747">
        <w:rPr>
          <w:rFonts w:ascii="Arial" w:eastAsia="Arial" w:hAnsi="Arial" w:cs="Arial"/>
          <w:color w:val="222222"/>
          <w:sz w:val="24"/>
          <w:szCs w:val="24"/>
          <w:highlight w:val="white"/>
        </w:rPr>
        <w:t xml:space="preserve">, F., </w:t>
      </w:r>
      <w:proofErr w:type="spellStart"/>
      <w:r w:rsidRPr="001B7747">
        <w:rPr>
          <w:rFonts w:ascii="Arial" w:eastAsia="Arial" w:hAnsi="Arial" w:cs="Arial"/>
          <w:color w:val="222222"/>
          <w:sz w:val="24"/>
          <w:szCs w:val="24"/>
          <w:highlight w:val="white"/>
        </w:rPr>
        <w:t>Ingusci</w:t>
      </w:r>
      <w:proofErr w:type="spellEnd"/>
      <w:r w:rsidRPr="001B7747">
        <w:rPr>
          <w:rFonts w:ascii="Arial" w:eastAsia="Arial" w:hAnsi="Arial" w:cs="Arial"/>
          <w:color w:val="222222"/>
          <w:sz w:val="24"/>
          <w:szCs w:val="24"/>
          <w:highlight w:val="white"/>
        </w:rPr>
        <w:t xml:space="preserve">, E., De Carlo, E., Catalano, A.A., Cortese, C.G. and </w:t>
      </w:r>
      <w:proofErr w:type="spellStart"/>
      <w:r w:rsidRPr="001B7747">
        <w:rPr>
          <w:rFonts w:ascii="Arial" w:eastAsia="Arial" w:hAnsi="Arial" w:cs="Arial"/>
          <w:color w:val="222222"/>
          <w:sz w:val="24"/>
          <w:szCs w:val="24"/>
          <w:highlight w:val="white"/>
        </w:rPr>
        <w:t>Ciavolino</w:t>
      </w:r>
      <w:proofErr w:type="spellEnd"/>
      <w:r w:rsidRPr="001B7747">
        <w:rPr>
          <w:rFonts w:ascii="Arial" w:eastAsia="Arial" w:hAnsi="Arial" w:cs="Arial"/>
          <w:color w:val="222222"/>
          <w:sz w:val="24"/>
          <w:szCs w:val="24"/>
          <w:highlight w:val="white"/>
        </w:rPr>
        <w:t>, E., 2025. Job crafting and its role in fostering personal resources and adaptation to change in the context of a pandemic. </w:t>
      </w:r>
      <w:r w:rsidRPr="001B7747">
        <w:rPr>
          <w:rFonts w:ascii="Arial" w:eastAsia="Arial" w:hAnsi="Arial" w:cs="Arial"/>
          <w:i/>
          <w:iCs/>
          <w:color w:val="222222"/>
          <w:sz w:val="24"/>
          <w:szCs w:val="24"/>
          <w:highlight w:val="white"/>
        </w:rPr>
        <w:t>Frontiers in Organizational Psychology</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3</w:t>
      </w:r>
      <w:r w:rsidRPr="001B7747">
        <w:rPr>
          <w:rFonts w:ascii="Arial" w:eastAsia="Arial" w:hAnsi="Arial" w:cs="Arial"/>
          <w:color w:val="222222"/>
          <w:sz w:val="24"/>
          <w:szCs w:val="24"/>
          <w:highlight w:val="white"/>
        </w:rPr>
        <w:t>, p.1576289.</w:t>
      </w:r>
      <w:r w:rsidRPr="001B7747">
        <w:rPr>
          <w:rFonts w:ascii="Arial" w:eastAsia="Arial" w:hAnsi="Arial" w:cs="Arial"/>
          <w:sz w:val="24"/>
          <w:szCs w:val="24"/>
        </w:rPr>
        <w:t xml:space="preserve"> </w:t>
      </w:r>
      <w:hyperlink r:id="rId36">
        <w:r w:rsidRPr="001B7747">
          <w:rPr>
            <w:rFonts w:ascii="Arial" w:eastAsia="Arial" w:hAnsi="Arial" w:cs="Arial"/>
            <w:color w:val="0000FF"/>
            <w:sz w:val="24"/>
            <w:szCs w:val="24"/>
            <w:highlight w:val="white"/>
            <w:u w:val="single"/>
          </w:rPr>
          <w:t>https://www.frontiersin.org/journals/organizational-psychology/articles/10.3389/forgp.2025.1576289/pdf</w:t>
        </w:r>
      </w:hyperlink>
    </w:p>
    <w:p w14:paraId="318105EC"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color w:val="222222"/>
          <w:sz w:val="24"/>
          <w:szCs w:val="24"/>
          <w:highlight w:val="white"/>
        </w:rPr>
        <w:t>Sunarjo</w:t>
      </w:r>
      <w:proofErr w:type="spellEnd"/>
      <w:r w:rsidRPr="001B7747">
        <w:rPr>
          <w:rFonts w:ascii="Arial" w:eastAsia="Arial" w:hAnsi="Arial" w:cs="Arial"/>
          <w:color w:val="222222"/>
          <w:sz w:val="24"/>
          <w:szCs w:val="24"/>
          <w:highlight w:val="white"/>
        </w:rPr>
        <w:t xml:space="preserve">, R.A., </w:t>
      </w:r>
      <w:proofErr w:type="spellStart"/>
      <w:r w:rsidRPr="001B7747">
        <w:rPr>
          <w:rFonts w:ascii="Arial" w:eastAsia="Arial" w:hAnsi="Arial" w:cs="Arial"/>
          <w:color w:val="222222"/>
          <w:sz w:val="24"/>
          <w:szCs w:val="24"/>
          <w:highlight w:val="white"/>
        </w:rPr>
        <w:t>Pujiati</w:t>
      </w:r>
      <w:proofErr w:type="spellEnd"/>
      <w:r w:rsidRPr="001B7747">
        <w:rPr>
          <w:rFonts w:ascii="Arial" w:eastAsia="Arial" w:hAnsi="Arial" w:cs="Arial"/>
          <w:color w:val="222222"/>
          <w:sz w:val="24"/>
          <w:szCs w:val="24"/>
          <w:highlight w:val="white"/>
        </w:rPr>
        <w:t xml:space="preserve">, T., </w:t>
      </w:r>
      <w:proofErr w:type="spellStart"/>
      <w:r w:rsidRPr="001B7747">
        <w:rPr>
          <w:rFonts w:ascii="Arial" w:eastAsia="Arial" w:hAnsi="Arial" w:cs="Arial"/>
          <w:color w:val="222222"/>
          <w:sz w:val="24"/>
          <w:szCs w:val="24"/>
          <w:highlight w:val="white"/>
        </w:rPr>
        <w:t>Apriliasari</w:t>
      </w:r>
      <w:proofErr w:type="spellEnd"/>
      <w:r w:rsidRPr="001B7747">
        <w:rPr>
          <w:rFonts w:ascii="Arial" w:eastAsia="Arial" w:hAnsi="Arial" w:cs="Arial"/>
          <w:color w:val="222222"/>
          <w:sz w:val="24"/>
          <w:szCs w:val="24"/>
          <w:highlight w:val="white"/>
        </w:rPr>
        <w:t xml:space="preserve">, D. and </w:t>
      </w:r>
      <w:proofErr w:type="spellStart"/>
      <w:r w:rsidRPr="001B7747">
        <w:rPr>
          <w:rFonts w:ascii="Arial" w:eastAsia="Arial" w:hAnsi="Arial" w:cs="Arial"/>
          <w:color w:val="222222"/>
          <w:sz w:val="24"/>
          <w:szCs w:val="24"/>
          <w:highlight w:val="white"/>
        </w:rPr>
        <w:t>Hardini</w:t>
      </w:r>
      <w:proofErr w:type="spellEnd"/>
      <w:r w:rsidRPr="001B7747">
        <w:rPr>
          <w:rFonts w:ascii="Arial" w:eastAsia="Arial" w:hAnsi="Arial" w:cs="Arial"/>
          <w:color w:val="222222"/>
          <w:sz w:val="24"/>
          <w:szCs w:val="24"/>
          <w:highlight w:val="white"/>
        </w:rPr>
        <w:t>, M., 2025. Digital onboarding in agricultural platforms and its impact on agricultural productivity. </w:t>
      </w:r>
      <w:r w:rsidRPr="001B7747">
        <w:rPr>
          <w:rFonts w:ascii="Arial" w:eastAsia="Arial" w:hAnsi="Arial" w:cs="Arial"/>
          <w:i/>
          <w:iCs/>
          <w:color w:val="222222"/>
          <w:sz w:val="24"/>
          <w:szCs w:val="24"/>
          <w:highlight w:val="white"/>
        </w:rPr>
        <w:t>IAIC Transactions on Sustainable Digital Innovation (ITSDI)</w:t>
      </w:r>
      <w:r w:rsidRPr="001B7747">
        <w:rPr>
          <w:rFonts w:ascii="Arial" w:eastAsia="Arial" w:hAnsi="Arial" w:cs="Arial"/>
          <w:color w:val="222222"/>
          <w:sz w:val="24"/>
          <w:szCs w:val="24"/>
          <w:highlight w:val="white"/>
        </w:rPr>
        <w:t>, </w:t>
      </w:r>
      <w:r w:rsidRPr="001B7747">
        <w:rPr>
          <w:rFonts w:ascii="Arial" w:eastAsia="Arial" w:hAnsi="Arial" w:cs="Arial"/>
          <w:i/>
          <w:iCs/>
          <w:color w:val="222222"/>
          <w:sz w:val="24"/>
          <w:szCs w:val="24"/>
          <w:highlight w:val="white"/>
        </w:rPr>
        <w:t>6</w:t>
      </w:r>
      <w:r w:rsidRPr="001B7747">
        <w:rPr>
          <w:rFonts w:ascii="Arial" w:eastAsia="Arial" w:hAnsi="Arial" w:cs="Arial"/>
          <w:color w:val="222222"/>
          <w:sz w:val="24"/>
          <w:szCs w:val="24"/>
          <w:highlight w:val="white"/>
        </w:rPr>
        <w:t>(2), pp.205-214.</w:t>
      </w:r>
      <w:r w:rsidRPr="001B7747">
        <w:rPr>
          <w:rFonts w:ascii="Arial" w:eastAsia="Arial" w:hAnsi="Arial" w:cs="Arial"/>
          <w:sz w:val="24"/>
          <w:szCs w:val="24"/>
        </w:rPr>
        <w:t xml:space="preserve"> </w:t>
      </w:r>
      <w:hyperlink r:id="rId37">
        <w:r w:rsidRPr="001B7747">
          <w:rPr>
            <w:rFonts w:ascii="Arial" w:eastAsia="Arial" w:hAnsi="Arial" w:cs="Arial"/>
            <w:color w:val="0000FF"/>
            <w:sz w:val="24"/>
            <w:szCs w:val="24"/>
            <w:highlight w:val="white"/>
            <w:u w:val="single"/>
          </w:rPr>
          <w:t>https://www.aptikom-journal.id/itsdi/article/download/688/327</w:t>
        </w:r>
      </w:hyperlink>
    </w:p>
    <w:p w14:paraId="3DCCF564" w14:textId="77777777" w:rsidR="001B7747" w:rsidRPr="001B7747" w:rsidRDefault="001B7747" w:rsidP="001B7747">
      <w:pPr>
        <w:spacing w:line="360" w:lineRule="auto"/>
        <w:jc w:val="both"/>
        <w:rPr>
          <w:rFonts w:ascii="Arial" w:eastAsia="Arial" w:hAnsi="Arial" w:cs="Arial"/>
          <w:color w:val="222222"/>
          <w:sz w:val="24"/>
          <w:szCs w:val="24"/>
          <w:highlight w:val="white"/>
        </w:rPr>
      </w:pPr>
      <w:proofErr w:type="spellStart"/>
      <w:r w:rsidRPr="001B7747">
        <w:rPr>
          <w:rFonts w:ascii="Arial" w:eastAsia="Arial" w:hAnsi="Arial" w:cs="Arial"/>
          <w:sz w:val="24"/>
          <w:szCs w:val="24"/>
        </w:rPr>
        <w:t>Tarika</w:t>
      </w:r>
      <w:proofErr w:type="spellEnd"/>
      <w:r w:rsidRPr="001B7747">
        <w:rPr>
          <w:rFonts w:ascii="Arial" w:eastAsia="Arial" w:hAnsi="Arial" w:cs="Arial"/>
          <w:sz w:val="24"/>
          <w:szCs w:val="24"/>
        </w:rPr>
        <w:t xml:space="preserve">, 2025. </w:t>
      </w:r>
      <w:r w:rsidRPr="001B7747">
        <w:rPr>
          <w:rFonts w:ascii="Arial" w:eastAsia="Arial" w:hAnsi="Arial" w:cs="Arial"/>
          <w:i/>
          <w:iCs/>
          <w:sz w:val="24"/>
          <w:szCs w:val="24"/>
        </w:rPr>
        <w:t xml:space="preserve">What are the 4 phases of </w:t>
      </w:r>
      <w:proofErr w:type="gramStart"/>
      <w:r w:rsidRPr="001B7747">
        <w:rPr>
          <w:rFonts w:ascii="Arial" w:eastAsia="Arial" w:hAnsi="Arial" w:cs="Arial"/>
          <w:i/>
          <w:iCs/>
          <w:sz w:val="24"/>
          <w:szCs w:val="24"/>
        </w:rPr>
        <w:t>onboarding?.</w:t>
      </w:r>
      <w:proofErr w:type="gramEnd"/>
      <w:r w:rsidRPr="001B7747">
        <w:rPr>
          <w:rFonts w:ascii="Arial" w:eastAsia="Arial" w:hAnsi="Arial" w:cs="Arial"/>
          <w:sz w:val="24"/>
          <w:szCs w:val="24"/>
        </w:rPr>
        <w:t xml:space="preserve"> Available at: </w:t>
      </w:r>
      <w:hyperlink r:id="rId38">
        <w:r w:rsidRPr="001B7747">
          <w:rPr>
            <w:rFonts w:ascii="Arial" w:eastAsia="Arial" w:hAnsi="Arial" w:cs="Arial"/>
            <w:color w:val="0000FF"/>
            <w:sz w:val="24"/>
            <w:szCs w:val="24"/>
            <w:u w:val="single"/>
          </w:rPr>
          <w:t>https://www.zoho.com/people/hrknowledgehive/What-are-the-four-phases-of-onboarding.html</w:t>
        </w:r>
      </w:hyperlink>
      <w:r w:rsidRPr="001B7747">
        <w:rPr>
          <w:rFonts w:ascii="Arial" w:eastAsia="Arial" w:hAnsi="Arial" w:cs="Arial"/>
          <w:sz w:val="24"/>
          <w:szCs w:val="24"/>
        </w:rPr>
        <w:t xml:space="preserve">  </w:t>
      </w:r>
      <w:r w:rsidRPr="001B7747">
        <w:rPr>
          <w:rFonts w:ascii="Arial" w:eastAsia="Arial" w:hAnsi="Arial" w:cs="Arial"/>
          <w:color w:val="222222"/>
          <w:sz w:val="24"/>
          <w:szCs w:val="24"/>
          <w:highlight w:val="white"/>
        </w:rPr>
        <w:t>[Accessed at: 08/07/2026]</w:t>
      </w:r>
    </w:p>
    <w:sectPr w:rsidR="001B7747" w:rsidRPr="001B7747">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DC11270C-45C4-4CE1-A441-A4E576758553}"/>
    <w:embedBold r:id="rId2" w:fontKey="{B880BEAC-708D-4CDC-A3A4-2D95C751951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A31FEB35-6F56-4422-8AB8-EE95D7C01CD9}"/>
    <w:embedBold r:id="rId4" w:fontKey="{1098D071-3202-4FAC-ADE6-9F77D8EA4EC3}"/>
    <w:embedBoldItalic r:id="rId5" w:fontKey="{A5A50858-D3D4-445E-82D7-AB9E20C0D47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C2099D34-DF06-4EA5-8793-E10498EB50CD}"/>
  </w:font>
  <w:font w:name="Cambria Math">
    <w:panose1 w:val="02040503050406030204"/>
    <w:charset w:val="00"/>
    <w:family w:val="roman"/>
    <w:pitch w:val="variable"/>
    <w:sig w:usb0="E00006FF" w:usb1="420024FF" w:usb2="02000000" w:usb3="00000000" w:csb0="0000019F" w:csb1="00000000"/>
    <w:embedRegular r:id="rId7" w:fontKey="{5B22E221-462F-47B0-9C94-EA3F99AB9722}"/>
    <w:embedItalic r:id="rId8" w:fontKey="{53E2BF86-14E7-421C-A901-3E6727AAC99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3C4"/>
    <w:rsid w:val="001B7747"/>
    <w:rsid w:val="00C953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2C76B"/>
  <w15:docId w15:val="{B7D7549D-2180-4FC9-9C8B-1EEF05953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line="360" w:lineRule="auto"/>
      <w:jc w:val="both"/>
      <w:outlineLvl w:val="0"/>
    </w:pPr>
    <w:rPr>
      <w:rFonts w:ascii="Arial" w:eastAsia="Arial" w:hAnsi="Arial" w:cs="Arial"/>
      <w:b/>
      <w:bCs/>
      <w:color w:val="000000"/>
      <w:sz w:val="28"/>
      <w:szCs w:val="28"/>
    </w:rPr>
  </w:style>
  <w:style w:type="paragraph" w:styleId="Heading2">
    <w:name w:val="heading 2"/>
    <w:basedOn w:val="Normal"/>
    <w:next w:val="Normal"/>
    <w:uiPriority w:val="9"/>
    <w:unhideWhenUsed/>
    <w:qFormat/>
    <w:pPr>
      <w:keepNext/>
      <w:keepLines/>
      <w:spacing w:before="200" w:after="0" w:line="360" w:lineRule="auto"/>
      <w:jc w:val="both"/>
      <w:outlineLvl w:val="1"/>
    </w:pPr>
    <w:rPr>
      <w:rFonts w:ascii="Arial" w:eastAsia="Arial" w:hAnsi="Arial" w:cs="Arial"/>
      <w:b/>
      <w:bCs/>
      <w:color w:val="000000"/>
      <w:sz w:val="24"/>
      <w:szCs w:val="24"/>
    </w:rPr>
  </w:style>
  <w:style w:type="paragraph" w:styleId="Heading3">
    <w:name w:val="heading 3"/>
    <w:basedOn w:val="Normal"/>
    <w:next w:val="Normal"/>
    <w:uiPriority w:val="9"/>
    <w:unhideWhenUsed/>
    <w:qFormat/>
    <w:pPr>
      <w:keepNext/>
      <w:keepLines/>
      <w:spacing w:before="200" w:after="0"/>
      <w:outlineLvl w:val="2"/>
    </w:pPr>
    <w:rPr>
      <w:rFonts w:ascii="Cambria" w:eastAsia="Cambria" w:hAnsi="Cambria" w:cs="Cambria"/>
      <w:b/>
      <w:bCs/>
      <w:color w:val="4F81BD"/>
    </w:rPr>
  </w:style>
  <w:style w:type="paragraph" w:styleId="Heading4">
    <w:name w:val="heading 4"/>
    <w:basedOn w:val="Normal"/>
    <w:next w:val="Normal"/>
    <w:uiPriority w:val="9"/>
    <w:unhideWhenUsed/>
    <w:qFormat/>
    <w:pPr>
      <w:keepNext/>
      <w:keepLines/>
      <w:spacing w:before="200" w:after="0"/>
      <w:outlineLvl w:val="3"/>
    </w:pPr>
    <w:rPr>
      <w:rFonts w:ascii="Cambria" w:eastAsia="Cambria" w:hAnsi="Cambria" w:cs="Cambria"/>
      <w:b/>
      <w:bCs/>
      <w:i/>
      <w:iCs/>
      <w:color w:val="4F81BD"/>
    </w:rPr>
  </w:style>
  <w:style w:type="paragraph" w:styleId="Heading5">
    <w:name w:val="heading 5"/>
    <w:basedOn w:val="Normal"/>
    <w:next w:val="Normal"/>
    <w:uiPriority w:val="9"/>
    <w:unhideWhenUsed/>
    <w:qFormat/>
    <w:pPr>
      <w:keepNext/>
      <w:keepLines/>
      <w:spacing w:before="200" w:after="0" w:line="360" w:lineRule="auto"/>
      <w:jc w:val="center"/>
      <w:outlineLvl w:val="4"/>
    </w:pPr>
    <w:rPr>
      <w:rFonts w:ascii="Arial" w:eastAsia="Arial" w:hAnsi="Arial" w:cs="Arial"/>
      <w:b/>
      <w:bCs/>
      <w:color w:val="000000"/>
      <w:sz w:val="24"/>
      <w:szCs w:val="24"/>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1B7747"/>
    <w:pPr>
      <w:spacing w:after="100"/>
    </w:pPr>
  </w:style>
  <w:style w:type="paragraph" w:styleId="TOC2">
    <w:name w:val="toc 2"/>
    <w:basedOn w:val="Normal"/>
    <w:next w:val="Normal"/>
    <w:autoRedefine/>
    <w:uiPriority w:val="39"/>
    <w:unhideWhenUsed/>
    <w:rsid w:val="001B7747"/>
    <w:pPr>
      <w:spacing w:after="100"/>
      <w:ind w:left="220"/>
    </w:pPr>
  </w:style>
  <w:style w:type="character" w:styleId="Hyperlink">
    <w:name w:val="Hyperlink"/>
    <w:basedOn w:val="DefaultParagraphFont"/>
    <w:uiPriority w:val="99"/>
    <w:unhideWhenUsed/>
    <w:rsid w:val="001B77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Jessica-Borg-5/publication/348017105_The_work_readiness-career_resilience_linkage_implications_for_project_talent_management/links/6004b440a6fdccdcb860837a/The-work-readiness-career-resilience-linkage-implications-for-project-talent-management.pdf" TargetMode="External"/><Relationship Id="rId18" Type="http://schemas.openxmlformats.org/officeDocument/2006/relationships/hyperlink" Target="https://ora.ox.ac.uk/objects/uuid:5f7d065c-cecc-4aa8-8efd-c889379f473c/files/d9c67wn60t" TargetMode="External"/><Relationship Id="rId26" Type="http://schemas.openxmlformats.org/officeDocument/2006/relationships/hyperlink" Target="https://repository.up.ac.za/bitstream/handle/2263/79617/Mohatla_Exploring_2020.pdf?sequence=1" TargetMode="External"/><Relationship Id="rId39" Type="http://schemas.openxmlformats.org/officeDocument/2006/relationships/fontTable" Target="fontTable.xml"/><Relationship Id="rId21" Type="http://schemas.openxmlformats.org/officeDocument/2006/relationships/hyperlink" Target="https://dx.doi.org/10.2139/ssrn.3600844" TargetMode="External"/><Relationship Id="rId34" Type="http://schemas.openxmlformats.org/officeDocument/2006/relationships/hyperlink" Target="https://onlinelibrary.wiley.com/doi/pdfdirect/10.1002/joom.1218?utm_source=consensus" TargetMode="External"/><Relationship Id="rId7" Type="http://schemas.openxmlformats.org/officeDocument/2006/relationships/image" Target="media/image3.png"/><Relationship Id="rId12" Type="http://schemas.openxmlformats.org/officeDocument/2006/relationships/hyperlink" Target="https://www.researchgate.net/profile/Louis-Owusu-Berko-2/publication/389397603_Algorithmic_bias_data_ethics_and_governance_Ensuring_fairness_transparency_and_compliance_in_AI-powered_business_analytics_applications/links/67c1200e207c0c20fa9ab59e/Algorithmic-bias-data-ethics-and-governance-Ensuring-fairness-transparency-and-compliance-in-AI-powered-business-analytics-applications.pdf" TargetMode="External"/><Relationship Id="rId17" Type="http://schemas.openxmlformats.org/officeDocument/2006/relationships/hyperlink" Target="https://www.researchgate.net/publication/371483979_Job_Characteristics_Theory" TargetMode="External"/><Relationship Id="rId25" Type="http://schemas.openxmlformats.org/officeDocument/2006/relationships/hyperlink" Target="https://www.frontiersin.org/journals/psychology/articles/10.3389/fpsyg.2021.633530/pdf" TargetMode="External"/><Relationship Id="rId33" Type="http://schemas.openxmlformats.org/officeDocument/2006/relationships/hyperlink" Target="https://ijip.in/wp-content/uploads/2025/04/18.01.288.20251301.pdf" TargetMode="External"/><Relationship Id="rId38" Type="http://schemas.openxmlformats.org/officeDocument/2006/relationships/hyperlink" Target="https://www.zoho.com/people/hrknowledgehive/What-are-the-four-phases-of-onboarding.html" TargetMode="External"/><Relationship Id="rId2" Type="http://schemas.openxmlformats.org/officeDocument/2006/relationships/styles" Target="styles.xml"/><Relationship Id="rId16" Type="http://schemas.openxmlformats.org/officeDocument/2006/relationships/hyperlink" Target="https://zoetalentsolutions.com/cross-functional-collaboration-in-innovation-projects/" TargetMode="External"/><Relationship Id="rId20" Type="http://schemas.openxmlformats.org/officeDocument/2006/relationships/hyperlink" Target="https://www.academia.edu/download/46406951/Organizational_behavior.pdf" TargetMode="External"/><Relationship Id="rId29" Type="http://schemas.openxmlformats.org/officeDocument/2006/relationships/hyperlink" Target="https://www.degruyterbrill.com/document/doi/10.1515/joso-2025-0014/html"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researchportal.northumbria.ac.uk/ws/files/27028624/JOM_RR3_manuscript_Final_03_01_2020.pdf" TargetMode="External"/><Relationship Id="rId24" Type="http://schemas.openxmlformats.org/officeDocument/2006/relationships/hyperlink" Target="https://educationlibrary.org/self-determination-theory-understanding-motivation-across-contexts/" TargetMode="External"/><Relationship Id="rId32" Type="http://schemas.openxmlformats.org/officeDocument/2006/relationships/hyperlink" Target="https://www.researchgate.net/profile/Tarik-Raihan/publication/348742451_Role_of_Job_Characteristics_Model_on_Employee_Job_Satisfaction-_An_Empirical_Study/links/602ca217a6fdcc37a8300c4c/Role-of-Job-Characteristics-Model-on-Employee-Job-Satisfaction-An-Empirical-Study.pdf" TargetMode="External"/><Relationship Id="rId37" Type="http://schemas.openxmlformats.org/officeDocument/2006/relationships/hyperlink" Target="https://www.aptikom-journal.id/itsdi/article/download/688/327"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researchgate.net/publication/353003585_The_Effect_of_Career_Development_on_Turnover_Intention_with_Job_Satisfaction_and_Organizational_Commitment_as_Mediators_Study_at_PT_Control_Systems_Arena_Para_Nusa" TargetMode="External"/><Relationship Id="rId23" Type="http://schemas.openxmlformats.org/officeDocument/2006/relationships/hyperlink" Target="https://www.tandfonline.com/doi/pdf/10.1080/1359432X.2021.1899161" TargetMode="External"/><Relationship Id="rId28" Type="http://schemas.openxmlformats.org/officeDocument/2006/relationships/hyperlink" Target="https://www.iosrjournals.org/iosr-jrme/papers/Vol-12%20Issue-1/Ser-4/B1201042027.pdf" TargetMode="External"/><Relationship Id="rId36" Type="http://schemas.openxmlformats.org/officeDocument/2006/relationships/hyperlink" Target="https://www.frontiersin.org/journals/organizational-psychology/articles/10.3389/forgp.2025.1576289/pdf" TargetMode="External"/><Relationship Id="rId10" Type="http://schemas.openxmlformats.org/officeDocument/2006/relationships/hyperlink" Target="https://journals.plos.org/plosone/article/file?id=10.1371/journal.pone.0279098&amp;type=printable" TargetMode="External"/><Relationship Id="rId19" Type="http://schemas.openxmlformats.org/officeDocument/2006/relationships/hyperlink" Target="https://www.emerald.com/jwam/article-pdf/14/1/63/1708061/jwam-04-2021-0036.pdf" TargetMode="External"/><Relationship Id="rId31" Type="http://schemas.openxmlformats.org/officeDocument/2006/relationships/hyperlink" Target="https://www.ew360.mx/clientes/Ado/especiales/271023/HBR1.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alaskasafetyalliance.org/wp-content/uploads/2024/09/skills-based_approach_to_talent_development.pdf" TargetMode="External"/><Relationship Id="rId22" Type="http://schemas.openxmlformats.org/officeDocument/2006/relationships/hyperlink" Target="https://www.emerald.com/jkm/article-pdf/doi/10.1108/JKM-05-2025-0751/11166545/jkm-05-2025-0751en.pdf" TargetMode="External"/><Relationship Id="rId27" Type="http://schemas.openxmlformats.org/officeDocument/2006/relationships/hyperlink" Target="https://cris.unibo.it/bitstream/11585/788770/5/Employee%20recognition.pdf" TargetMode="External"/><Relationship Id="rId30" Type="http://schemas.openxmlformats.org/officeDocument/2006/relationships/hyperlink" Target="https://iaap-journals.onlinelibrary.wiley.com/doi/pdf/10.1111/apps.12570" TargetMode="External"/><Relationship Id="rId35" Type="http://schemas.openxmlformats.org/officeDocument/2006/relationships/hyperlink" Target="https://www.academia.edu/download/121443806/09585192.2019.166069820250219-1-igbffj.pdf" TargetMode="External"/><Relationship Id="rId8" Type="http://schemas.openxmlformats.org/officeDocument/2006/relationships/image" Target="media/image4.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1IHvFphHirx2jQAuMEhN7izyaQ==">CgMxLjAyDmgubmU0ODlnOHY3a2ljMg5oLndta2dpaXN4cXV5ajIOaC5jbGRmeGx5bnd4MWIyDmgueGEwdzdnb2hsYmc2Mg5oLnhrZGNpcmZmaTB1YTIOaC42bmMxYW43ZGd3MmEyDmgucWtlMWl5dDE3aWZjMg5oLjlkOWRrbTJwNm13MjIOaC5ieGJ0aGFnaTdsaHMyDmguNWw5NGxrZjNrN3RzMg5oLjhjZXNrbGliamFmZTIOaC5kcjFmeWVoYjNlcDYyDmguZGFqbHE1N29ndzA3Mg5oLnRwb2pxamtvenlodDIOaC44ZGd3ZGNoNWkxbHkyDmguY2VndDFwdWM3cGd6Mg5oLmlucnk5d2p4Z254MTIOaC5oenZ5bnRxZHZ1Ym44AHIhMVpKMDRjSDRvQ2U5TVBHS3pUanByMno5NWdxeXp5Si1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5159</Words>
  <Characters>29408</Characters>
  <Application>Microsoft Office Word</Application>
  <DocSecurity>0</DocSecurity>
  <Lines>245</Lines>
  <Paragraphs>68</Paragraphs>
  <ScaleCrop>false</ScaleCrop>
  <Company/>
  <LinksUpToDate>false</LinksUpToDate>
  <CharactersWithSpaces>34499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Prince</dc:creator>
  <cp:lastModifiedBy>Home Computer</cp:lastModifiedBy>
  <cp:revision>2</cp:revision>
  <dcterms:created xsi:type="dcterms:W3CDTF">2026-07-16T04:54:00Z</dcterms:created>
  <dcterms:modified xsi:type="dcterms:W3CDTF">2026-07-16T04:56:00Z</dcterms:modified>
</cp:coreProperties>
</file>