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77ADF" w14:textId="5282AA7B" w:rsidR="003B3537" w:rsidRDefault="00700094" w:rsidP="001E1DBF">
      <w:pPr>
        <w:spacing w:line="360" w:lineRule="auto"/>
        <w:jc w:val="both"/>
        <w:rPr>
          <w:rFonts w:ascii="Arial" w:hAnsi="Arial" w:cs="Arial"/>
          <w:b/>
          <w:bCs/>
        </w:rPr>
      </w:pPr>
      <w:r w:rsidRPr="00A406E5">
        <w:rPr>
          <w:rFonts w:ascii="Arial" w:hAnsi="Arial" w:cs="Arial"/>
          <w:noProof/>
        </w:rPr>
        <w:drawing>
          <wp:anchor distT="0" distB="0" distL="114300" distR="114300" simplePos="0" relativeHeight="251659264" behindDoc="0" locked="0" layoutInCell="1" allowOverlap="1" wp14:anchorId="79D304E7" wp14:editId="070485DE">
            <wp:simplePos x="0" y="0"/>
            <wp:positionH relativeFrom="column">
              <wp:posOffset>-645042</wp:posOffset>
            </wp:positionH>
            <wp:positionV relativeFrom="paragraph">
              <wp:posOffset>177</wp:posOffset>
            </wp:positionV>
            <wp:extent cx="2860675" cy="141859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860675" cy="1418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F2BF86" w14:textId="77777777" w:rsidR="00A43055" w:rsidRDefault="00A43055" w:rsidP="00A43055">
      <w:pPr>
        <w:jc w:val="center"/>
        <w:rPr>
          <w:rFonts w:ascii="Arial" w:hAnsi="Arial" w:cs="Arial"/>
          <w:sz w:val="48"/>
          <w:szCs w:val="48"/>
        </w:rPr>
      </w:pPr>
    </w:p>
    <w:p w14:paraId="624C8EB5" w14:textId="77777777" w:rsidR="00224B8E" w:rsidRDefault="00224B8E" w:rsidP="00A43055">
      <w:pPr>
        <w:jc w:val="center"/>
        <w:rPr>
          <w:rFonts w:ascii="Arial" w:hAnsi="Arial" w:cs="Arial"/>
          <w:sz w:val="48"/>
          <w:szCs w:val="48"/>
        </w:rPr>
      </w:pPr>
    </w:p>
    <w:p w14:paraId="0EF1F07A" w14:textId="77777777" w:rsidR="00224B8E" w:rsidRDefault="00224B8E" w:rsidP="00A43055">
      <w:pPr>
        <w:jc w:val="center"/>
        <w:rPr>
          <w:rFonts w:ascii="Arial" w:hAnsi="Arial" w:cs="Arial"/>
          <w:sz w:val="48"/>
          <w:szCs w:val="48"/>
        </w:rPr>
      </w:pPr>
    </w:p>
    <w:p w14:paraId="7A10348D" w14:textId="77777777" w:rsidR="00224B8E" w:rsidRDefault="00224B8E" w:rsidP="00A43055">
      <w:pPr>
        <w:jc w:val="center"/>
        <w:rPr>
          <w:rFonts w:ascii="Arial" w:hAnsi="Arial" w:cs="Arial"/>
          <w:sz w:val="48"/>
          <w:szCs w:val="48"/>
        </w:rPr>
      </w:pPr>
    </w:p>
    <w:p w14:paraId="53AA37F8" w14:textId="77777777" w:rsidR="00A43055" w:rsidRDefault="00A43055" w:rsidP="00A43055">
      <w:pPr>
        <w:jc w:val="center"/>
        <w:rPr>
          <w:rFonts w:ascii="Arial" w:hAnsi="Arial" w:cs="Arial"/>
          <w:sz w:val="48"/>
          <w:szCs w:val="48"/>
        </w:rPr>
      </w:pPr>
      <w:r w:rsidRPr="00F308DA">
        <w:rPr>
          <w:rFonts w:ascii="Arial" w:hAnsi="Arial" w:cs="Arial"/>
          <w:sz w:val="48"/>
          <w:szCs w:val="48"/>
        </w:rPr>
        <w:t>BSc (Hons) Health and Social Care Module: Independent Project (BMHP6020)</w:t>
      </w:r>
    </w:p>
    <w:p w14:paraId="7FE417F3" w14:textId="33CD569B" w:rsidR="00A43055" w:rsidRPr="00F308DA" w:rsidRDefault="00A43055" w:rsidP="00A43055">
      <w:pPr>
        <w:jc w:val="center"/>
        <w:rPr>
          <w:rFonts w:ascii="Arial" w:hAnsi="Arial" w:cs="Arial"/>
          <w:sz w:val="48"/>
          <w:szCs w:val="48"/>
        </w:rPr>
      </w:pPr>
      <w:r>
        <w:rPr>
          <w:rFonts w:ascii="Arial" w:hAnsi="Arial" w:cs="Arial"/>
          <w:sz w:val="48"/>
          <w:szCs w:val="48"/>
        </w:rPr>
        <w:t xml:space="preserve">Chapter 1 and </w:t>
      </w:r>
      <w:r w:rsidR="00224B8E">
        <w:rPr>
          <w:rFonts w:ascii="Arial" w:hAnsi="Arial" w:cs="Arial"/>
          <w:sz w:val="48"/>
          <w:szCs w:val="48"/>
        </w:rPr>
        <w:t>Chapter 2</w:t>
      </w:r>
    </w:p>
    <w:p w14:paraId="4C2DB295" w14:textId="77777777" w:rsidR="00A43055" w:rsidRPr="00F308DA" w:rsidRDefault="00A43055" w:rsidP="00A43055">
      <w:pPr>
        <w:jc w:val="center"/>
        <w:rPr>
          <w:rFonts w:ascii="Arial" w:hAnsi="Arial" w:cs="Arial"/>
          <w:sz w:val="48"/>
          <w:szCs w:val="48"/>
        </w:rPr>
      </w:pPr>
    </w:p>
    <w:p w14:paraId="1028E60F" w14:textId="2145E39E" w:rsidR="00A43055" w:rsidRPr="00F308DA" w:rsidRDefault="00A43055" w:rsidP="00A43055">
      <w:pPr>
        <w:jc w:val="center"/>
        <w:rPr>
          <w:rFonts w:ascii="Arial" w:hAnsi="Arial" w:cs="Arial"/>
          <w:sz w:val="48"/>
          <w:szCs w:val="48"/>
        </w:rPr>
      </w:pPr>
      <w:r w:rsidRPr="00F308DA">
        <w:rPr>
          <w:rFonts w:ascii="Arial" w:hAnsi="Arial" w:cs="Arial"/>
          <w:sz w:val="48"/>
          <w:szCs w:val="48"/>
        </w:rPr>
        <w:t>Student ID</w:t>
      </w:r>
      <w:r w:rsidR="00B203FB">
        <w:rPr>
          <w:rFonts w:ascii="Arial" w:hAnsi="Arial" w:cs="Arial"/>
          <w:sz w:val="48"/>
          <w:szCs w:val="48"/>
        </w:rPr>
        <w:t>:</w:t>
      </w:r>
      <w:r w:rsidRPr="00F308DA">
        <w:rPr>
          <w:rFonts w:ascii="Arial" w:hAnsi="Arial" w:cs="Arial"/>
          <w:sz w:val="48"/>
          <w:szCs w:val="48"/>
        </w:rPr>
        <w:t xml:space="preserve"> Student Name</w:t>
      </w:r>
      <w:r w:rsidR="00B203FB">
        <w:rPr>
          <w:rFonts w:ascii="Arial" w:hAnsi="Arial" w:cs="Arial"/>
          <w:sz w:val="48"/>
          <w:szCs w:val="48"/>
        </w:rPr>
        <w:t>:</w:t>
      </w:r>
      <w:r w:rsidRPr="00F308DA">
        <w:rPr>
          <w:rFonts w:ascii="Arial" w:hAnsi="Arial" w:cs="Arial"/>
          <w:sz w:val="48"/>
          <w:szCs w:val="48"/>
        </w:rPr>
        <w:t xml:space="preserve"> BAIDAR BEGUM</w:t>
      </w:r>
    </w:p>
    <w:p w14:paraId="0C0E7E75" w14:textId="77777777" w:rsidR="00A43055" w:rsidRDefault="00A43055" w:rsidP="00A43055">
      <w:pPr>
        <w:jc w:val="center"/>
        <w:rPr>
          <w:rFonts w:ascii="Arial" w:hAnsi="Arial" w:cs="Arial"/>
          <w:sz w:val="48"/>
          <w:szCs w:val="48"/>
        </w:rPr>
      </w:pPr>
      <w:r w:rsidRPr="00F308DA">
        <w:rPr>
          <w:rFonts w:ascii="Arial" w:hAnsi="Arial" w:cs="Arial"/>
          <w:sz w:val="48"/>
          <w:szCs w:val="48"/>
        </w:rPr>
        <w:t xml:space="preserve">Lecturer name </w:t>
      </w:r>
    </w:p>
    <w:p w14:paraId="2315FA0A" w14:textId="77777777" w:rsidR="00A43055" w:rsidRPr="00E15574" w:rsidRDefault="00A43055" w:rsidP="00A43055">
      <w:pPr>
        <w:jc w:val="center"/>
        <w:rPr>
          <w:rFonts w:ascii="Arial" w:hAnsi="Arial" w:cs="Arial"/>
          <w:sz w:val="48"/>
          <w:szCs w:val="48"/>
        </w:rPr>
      </w:pPr>
      <w:r w:rsidRPr="00E15574">
        <w:rPr>
          <w:rFonts w:ascii="Arial" w:hAnsi="Arial" w:cs="Arial"/>
          <w:sz w:val="56"/>
          <w:szCs w:val="56"/>
          <w:lang w:val="en-US"/>
        </w:rPr>
        <w:t>Joanne Davies</w:t>
      </w:r>
    </w:p>
    <w:p w14:paraId="5A7E86EF" w14:textId="77777777" w:rsidR="003B3537" w:rsidRDefault="003B3537" w:rsidP="001E1DBF">
      <w:pPr>
        <w:spacing w:line="360" w:lineRule="auto"/>
        <w:jc w:val="both"/>
        <w:rPr>
          <w:rFonts w:ascii="Arial" w:hAnsi="Arial" w:cs="Arial"/>
          <w:b/>
          <w:bCs/>
        </w:rPr>
      </w:pPr>
    </w:p>
    <w:p w14:paraId="26E4D175" w14:textId="77777777" w:rsidR="003B3537" w:rsidRDefault="003B3537" w:rsidP="001E1DBF">
      <w:pPr>
        <w:spacing w:line="360" w:lineRule="auto"/>
        <w:jc w:val="both"/>
        <w:rPr>
          <w:rFonts w:ascii="Arial" w:hAnsi="Arial" w:cs="Arial"/>
          <w:b/>
          <w:bCs/>
        </w:rPr>
      </w:pPr>
    </w:p>
    <w:p w14:paraId="5938531B" w14:textId="77777777" w:rsidR="003B3537" w:rsidRDefault="003B3537" w:rsidP="001E1DBF">
      <w:pPr>
        <w:spacing w:line="360" w:lineRule="auto"/>
        <w:jc w:val="both"/>
        <w:rPr>
          <w:rFonts w:ascii="Arial" w:hAnsi="Arial" w:cs="Arial"/>
          <w:b/>
          <w:bCs/>
        </w:rPr>
      </w:pPr>
    </w:p>
    <w:p w14:paraId="010C3663" w14:textId="77777777" w:rsidR="003B3537" w:rsidRDefault="003B3537" w:rsidP="001E1DBF">
      <w:pPr>
        <w:spacing w:line="360" w:lineRule="auto"/>
        <w:jc w:val="both"/>
        <w:rPr>
          <w:rFonts w:ascii="Arial" w:hAnsi="Arial" w:cs="Arial"/>
          <w:b/>
          <w:bCs/>
        </w:rPr>
      </w:pPr>
    </w:p>
    <w:p w14:paraId="2ABDCDAA" w14:textId="77777777" w:rsidR="003B3537" w:rsidRDefault="003B3537" w:rsidP="001E1DBF">
      <w:pPr>
        <w:spacing w:line="360" w:lineRule="auto"/>
        <w:jc w:val="both"/>
        <w:rPr>
          <w:rFonts w:ascii="Arial" w:hAnsi="Arial" w:cs="Arial"/>
          <w:b/>
          <w:bCs/>
        </w:rPr>
      </w:pPr>
    </w:p>
    <w:p w14:paraId="4A2B61FB" w14:textId="77777777" w:rsidR="003B3537" w:rsidRDefault="003B3537" w:rsidP="001E1DBF">
      <w:pPr>
        <w:spacing w:line="360" w:lineRule="auto"/>
        <w:jc w:val="both"/>
        <w:rPr>
          <w:rFonts w:ascii="Arial" w:hAnsi="Arial" w:cs="Arial"/>
          <w:b/>
          <w:bCs/>
        </w:rPr>
      </w:pPr>
    </w:p>
    <w:p w14:paraId="32D166CC" w14:textId="77777777" w:rsidR="00224B8E" w:rsidRDefault="00224B8E" w:rsidP="001E1DBF">
      <w:pPr>
        <w:spacing w:line="360" w:lineRule="auto"/>
        <w:jc w:val="both"/>
        <w:rPr>
          <w:rFonts w:ascii="Arial" w:hAnsi="Arial" w:cs="Arial"/>
          <w:b/>
          <w:bCs/>
        </w:rPr>
      </w:pPr>
    </w:p>
    <w:p w14:paraId="229B6B37" w14:textId="60BFA2B2" w:rsidR="00E70249" w:rsidRDefault="00E70249" w:rsidP="001E1DBF">
      <w:pPr>
        <w:spacing w:line="360" w:lineRule="auto"/>
        <w:jc w:val="both"/>
        <w:rPr>
          <w:rFonts w:ascii="Arial" w:hAnsi="Arial" w:cs="Arial"/>
          <w:b/>
          <w:bCs/>
        </w:rPr>
      </w:pPr>
      <w:r w:rsidRPr="00E70249">
        <w:rPr>
          <w:rFonts w:ascii="Arial" w:hAnsi="Arial" w:cs="Arial"/>
          <w:b/>
          <w:bCs/>
        </w:rPr>
        <w:lastRenderedPageBreak/>
        <w:t>Chapter 1</w:t>
      </w:r>
    </w:p>
    <w:p w14:paraId="3304CD39" w14:textId="76D9F510" w:rsidR="00774147" w:rsidRPr="001E1DBF" w:rsidRDefault="00774147" w:rsidP="001E1DBF">
      <w:pPr>
        <w:spacing w:line="360" w:lineRule="auto"/>
        <w:jc w:val="both"/>
        <w:rPr>
          <w:rFonts w:ascii="Arial" w:hAnsi="Arial" w:cs="Arial"/>
          <w:b/>
          <w:bCs/>
        </w:rPr>
      </w:pPr>
      <w:r w:rsidRPr="001E1DBF">
        <w:rPr>
          <w:rFonts w:ascii="Arial" w:hAnsi="Arial" w:cs="Arial"/>
          <w:b/>
          <w:bCs/>
        </w:rPr>
        <w:t>1.1 Introduction</w:t>
      </w:r>
    </w:p>
    <w:p w14:paraId="5A41D35B" w14:textId="77777777" w:rsidR="00774147" w:rsidRPr="001E1DBF" w:rsidRDefault="00774147" w:rsidP="001E1DBF">
      <w:pPr>
        <w:spacing w:line="360" w:lineRule="auto"/>
        <w:jc w:val="both"/>
        <w:rPr>
          <w:rFonts w:ascii="Arial" w:hAnsi="Arial" w:cs="Arial"/>
        </w:rPr>
      </w:pPr>
      <w:r w:rsidRPr="001E1DBF">
        <w:rPr>
          <w:rFonts w:ascii="Arial" w:hAnsi="Arial" w:cs="Arial"/>
        </w:rPr>
        <w:t>With the UK's population ageing rapidly, residential care homes have become the primary place of death for many older adults (Seymour et al., 2021). Ensuring that these final days are met with dignity, comfort, and person-centred support is a fundamental goal of health and social care practice (NICE, 2015). However, the reality of delivering high-quality end-of-life (EoL) care in these settings is often undermined by persistent systemic barriers. Foundational systematic reviews, such as Spacey et al. (2018), have already mapped out the broad challenges facing UK care homes, including staff shortages, insufficient palliative training, and poor inter-professional communication. More recent research has further explored specific hurdles, such as the complexities of end-of-life decision-making among healthcare assistants (Andersson et al., 2018), avoidable emergency department admissions (Bone et al., 2019), and the impacts of the COVID-19 pandemic (Bradshaw et al., 2023).</w:t>
      </w:r>
    </w:p>
    <w:p w14:paraId="2A56271F" w14:textId="77777777" w:rsidR="00774147" w:rsidRPr="001E1DBF" w:rsidRDefault="00774147" w:rsidP="001E1DBF">
      <w:pPr>
        <w:spacing w:line="360" w:lineRule="auto"/>
        <w:jc w:val="both"/>
        <w:rPr>
          <w:rFonts w:ascii="Arial" w:hAnsi="Arial" w:cs="Arial"/>
        </w:rPr>
      </w:pPr>
      <w:r w:rsidRPr="001E1DBF">
        <w:rPr>
          <w:rFonts w:ascii="Arial" w:hAnsi="Arial" w:cs="Arial"/>
        </w:rPr>
        <w:t>This dissertation will critically explore the barriers affecting the delivery of dignified EoL care within UK residential care homes. By synthesising current UK-based literature, this study aims to identify gaps in practice and offer evidence-based recommendations to improve resident wellbeing. This chapter establishes the foundation for the research by defining key terms, exploring the background and current context, stating the rationale, and outlining the study's specific aim and objectives. Chapter 2 will provide the background information and analysis of the topic, exploring relevant theory and policy. Chapter 3 will outline the methods and search strategy used to identify the literature. Chapter 4 will present the findings and discussion, and Chapter 5 will conclude with evidence-based recommendations.</w:t>
      </w:r>
    </w:p>
    <w:p w14:paraId="46279AAA" w14:textId="77777777" w:rsidR="00774147" w:rsidRPr="001E1DBF" w:rsidRDefault="00774147" w:rsidP="001E1DBF">
      <w:pPr>
        <w:spacing w:line="360" w:lineRule="auto"/>
        <w:jc w:val="both"/>
        <w:rPr>
          <w:rFonts w:ascii="Arial" w:hAnsi="Arial" w:cs="Arial"/>
          <w:b/>
          <w:bCs/>
        </w:rPr>
      </w:pPr>
      <w:r w:rsidRPr="001E1DBF">
        <w:rPr>
          <w:rFonts w:ascii="Arial" w:hAnsi="Arial" w:cs="Arial"/>
          <w:b/>
          <w:bCs/>
        </w:rPr>
        <w:t>1.2 Definitions and Terminology</w:t>
      </w:r>
    </w:p>
    <w:p w14:paraId="786553C1" w14:textId="77777777" w:rsidR="00774147" w:rsidRPr="001E1DBF" w:rsidRDefault="00774147" w:rsidP="001E1DBF">
      <w:pPr>
        <w:spacing w:line="360" w:lineRule="auto"/>
        <w:jc w:val="both"/>
        <w:rPr>
          <w:rFonts w:ascii="Arial" w:hAnsi="Arial" w:cs="Arial"/>
        </w:rPr>
      </w:pPr>
      <w:r w:rsidRPr="001E1DBF">
        <w:rPr>
          <w:rFonts w:ascii="Arial" w:hAnsi="Arial" w:cs="Arial"/>
        </w:rPr>
        <w:t>To establish a shared understanding between the researcher and the reader, it is necessary to define the central concepts of this dissertation: end-of-life care, dignity, and residential care homes.</w:t>
      </w:r>
    </w:p>
    <w:p w14:paraId="624B17CF" w14:textId="77777777" w:rsidR="00774147" w:rsidRPr="001E1DBF" w:rsidRDefault="00774147" w:rsidP="001E1DBF">
      <w:pPr>
        <w:spacing w:line="360" w:lineRule="auto"/>
        <w:jc w:val="both"/>
        <w:rPr>
          <w:rFonts w:ascii="Arial" w:hAnsi="Arial" w:cs="Arial"/>
        </w:rPr>
      </w:pPr>
      <w:r w:rsidRPr="001E1DBF">
        <w:rPr>
          <w:rFonts w:ascii="Arial" w:hAnsi="Arial" w:cs="Arial"/>
        </w:rPr>
        <w:t>End-of-life care (EoL): The National Institute for Health and Care Excellence (NICE, 2015) defines end-of-life care as support for people who are likely to die within the next 12 months. This includes individuals with advanced, progressive, incurable conditions and those with general frailty and co-existing conditions. It prioritises symptom management, psychological support, and respecting patient preferences.</w:t>
      </w:r>
    </w:p>
    <w:p w14:paraId="75DD5469" w14:textId="6FA87D80" w:rsidR="00774147" w:rsidRPr="001E1DBF" w:rsidRDefault="00774147" w:rsidP="001E1DBF">
      <w:pPr>
        <w:spacing w:line="360" w:lineRule="auto"/>
        <w:jc w:val="both"/>
        <w:rPr>
          <w:rFonts w:ascii="Arial" w:hAnsi="Arial" w:cs="Arial"/>
        </w:rPr>
      </w:pPr>
      <w:r w:rsidRPr="001E1DBF">
        <w:rPr>
          <w:rFonts w:ascii="Arial" w:hAnsi="Arial" w:cs="Arial"/>
        </w:rPr>
        <w:t xml:space="preserve">Dignity: In health and social care, dignity refers to the intrinsic worth of every individual. It involves treating a person with respect, honouring their autonomy, maintaining their privacy, and supporting their sense of self-worth, even at the very end of life (CQC, 2022). For the </w:t>
      </w:r>
      <w:r w:rsidRPr="001E1DBF">
        <w:rPr>
          <w:rFonts w:ascii="Arial" w:hAnsi="Arial" w:cs="Arial"/>
        </w:rPr>
        <w:lastRenderedPageBreak/>
        <w:t>purposes of this study, dignified care refers to compassionate, person-centred practice that upholds the resident's choices and preserves their identity until death.</w:t>
      </w:r>
    </w:p>
    <w:p w14:paraId="46FC35C8" w14:textId="77777777" w:rsidR="00774147" w:rsidRPr="001E1DBF" w:rsidRDefault="00774147" w:rsidP="001E1DBF">
      <w:pPr>
        <w:spacing w:line="360" w:lineRule="auto"/>
        <w:jc w:val="both"/>
        <w:rPr>
          <w:rFonts w:ascii="Arial" w:hAnsi="Arial" w:cs="Arial"/>
        </w:rPr>
      </w:pPr>
      <w:r w:rsidRPr="001E1DBF">
        <w:rPr>
          <w:rFonts w:ascii="Arial" w:hAnsi="Arial" w:cs="Arial"/>
        </w:rPr>
        <w:t>Residential care homes: In the UK, residential care homes provide accommodation, personal care, and 24-hour support for older adults who can no longer live independently. This dissertation uses "residential care homes" to broadly cover both types of long-term care facilities, focusing on the barriers to delivering EoL care within them.</w:t>
      </w:r>
    </w:p>
    <w:p w14:paraId="55EC2E23" w14:textId="77777777" w:rsidR="000810C2" w:rsidRPr="001E1DBF" w:rsidRDefault="000810C2" w:rsidP="001E1DBF">
      <w:pPr>
        <w:spacing w:line="360" w:lineRule="auto"/>
        <w:jc w:val="both"/>
        <w:rPr>
          <w:rFonts w:ascii="Arial" w:hAnsi="Arial" w:cs="Arial"/>
          <w:b/>
          <w:bCs/>
        </w:rPr>
      </w:pPr>
      <w:r w:rsidRPr="001E1DBF">
        <w:rPr>
          <w:rFonts w:ascii="Arial" w:hAnsi="Arial" w:cs="Arial"/>
          <w:b/>
          <w:bCs/>
        </w:rPr>
        <w:t>Acronyms and Abbreviations:</w:t>
      </w:r>
    </w:p>
    <w:p w14:paraId="60B2CB08" w14:textId="77777777" w:rsidR="000810C2" w:rsidRPr="001E1DBF" w:rsidRDefault="000810C2" w:rsidP="001E1DBF">
      <w:pPr>
        <w:numPr>
          <w:ilvl w:val="0"/>
          <w:numId w:val="2"/>
        </w:numPr>
        <w:spacing w:line="360" w:lineRule="auto"/>
        <w:jc w:val="both"/>
        <w:rPr>
          <w:rFonts w:ascii="Arial" w:hAnsi="Arial" w:cs="Arial"/>
        </w:rPr>
      </w:pPr>
      <w:r w:rsidRPr="001E1DBF">
        <w:rPr>
          <w:rFonts w:ascii="Arial" w:hAnsi="Arial" w:cs="Arial"/>
          <w:b/>
          <w:bCs/>
        </w:rPr>
        <w:t>CQC:</w:t>
      </w:r>
      <w:r w:rsidRPr="001E1DBF">
        <w:rPr>
          <w:rFonts w:ascii="Arial" w:hAnsi="Arial" w:cs="Arial"/>
        </w:rPr>
        <w:t> Care Quality Commission (the independent regulator of health and social</w:t>
      </w:r>
      <w:r w:rsidRPr="001E1DBF">
        <w:rPr>
          <w:rFonts w:ascii="Arial" w:hAnsi="Arial" w:cs="Arial"/>
          <w:b/>
          <w:bCs/>
        </w:rPr>
        <w:t xml:space="preserve"> </w:t>
      </w:r>
      <w:r w:rsidRPr="001E1DBF">
        <w:rPr>
          <w:rFonts w:ascii="Arial" w:hAnsi="Arial" w:cs="Arial"/>
        </w:rPr>
        <w:t>care</w:t>
      </w:r>
      <w:r w:rsidRPr="001E1DBF">
        <w:rPr>
          <w:rFonts w:ascii="Arial" w:hAnsi="Arial" w:cs="Arial"/>
          <w:b/>
          <w:bCs/>
        </w:rPr>
        <w:t xml:space="preserve"> </w:t>
      </w:r>
      <w:r w:rsidRPr="001E1DBF">
        <w:rPr>
          <w:rFonts w:ascii="Arial" w:hAnsi="Arial" w:cs="Arial"/>
        </w:rPr>
        <w:t>in England).</w:t>
      </w:r>
    </w:p>
    <w:p w14:paraId="4623D556" w14:textId="77777777" w:rsidR="000810C2" w:rsidRPr="001E1DBF" w:rsidRDefault="000810C2" w:rsidP="001E1DBF">
      <w:pPr>
        <w:numPr>
          <w:ilvl w:val="0"/>
          <w:numId w:val="2"/>
        </w:numPr>
        <w:spacing w:line="360" w:lineRule="auto"/>
        <w:jc w:val="both"/>
        <w:rPr>
          <w:rFonts w:ascii="Arial" w:hAnsi="Arial" w:cs="Arial"/>
        </w:rPr>
      </w:pPr>
      <w:r w:rsidRPr="001E1DBF">
        <w:rPr>
          <w:rFonts w:ascii="Arial" w:hAnsi="Arial" w:cs="Arial"/>
          <w:b/>
          <w:bCs/>
        </w:rPr>
        <w:t>EoL</w:t>
      </w:r>
      <w:r w:rsidRPr="001E1DBF">
        <w:rPr>
          <w:rFonts w:ascii="Arial" w:hAnsi="Arial" w:cs="Arial"/>
        </w:rPr>
        <w:t>: End-of-life.</w:t>
      </w:r>
    </w:p>
    <w:p w14:paraId="67BC1F81" w14:textId="77777777" w:rsidR="000810C2" w:rsidRPr="001E1DBF" w:rsidRDefault="000810C2" w:rsidP="001E1DBF">
      <w:pPr>
        <w:numPr>
          <w:ilvl w:val="0"/>
          <w:numId w:val="2"/>
        </w:numPr>
        <w:spacing w:line="360" w:lineRule="auto"/>
        <w:jc w:val="both"/>
        <w:rPr>
          <w:rFonts w:ascii="Arial" w:hAnsi="Arial" w:cs="Arial"/>
        </w:rPr>
      </w:pPr>
      <w:r w:rsidRPr="001E1DBF">
        <w:rPr>
          <w:rFonts w:ascii="Arial" w:hAnsi="Arial" w:cs="Arial"/>
          <w:b/>
          <w:bCs/>
        </w:rPr>
        <w:t>NHS: </w:t>
      </w:r>
      <w:r w:rsidRPr="001E1DBF">
        <w:rPr>
          <w:rFonts w:ascii="Arial" w:hAnsi="Arial" w:cs="Arial"/>
        </w:rPr>
        <w:t>National Health Service.</w:t>
      </w:r>
    </w:p>
    <w:p w14:paraId="37117AD8" w14:textId="77777777" w:rsidR="000810C2" w:rsidRPr="001E1DBF" w:rsidRDefault="000810C2" w:rsidP="001E1DBF">
      <w:pPr>
        <w:numPr>
          <w:ilvl w:val="0"/>
          <w:numId w:val="2"/>
        </w:numPr>
        <w:spacing w:line="360" w:lineRule="auto"/>
        <w:jc w:val="both"/>
        <w:rPr>
          <w:rFonts w:ascii="Arial" w:hAnsi="Arial" w:cs="Arial"/>
          <w:b/>
          <w:bCs/>
        </w:rPr>
      </w:pPr>
      <w:r w:rsidRPr="001E1DBF">
        <w:rPr>
          <w:rFonts w:ascii="Arial" w:hAnsi="Arial" w:cs="Arial"/>
          <w:b/>
          <w:bCs/>
        </w:rPr>
        <w:t>NICE: </w:t>
      </w:r>
      <w:r w:rsidRPr="001E1DBF">
        <w:rPr>
          <w:rFonts w:ascii="Arial" w:hAnsi="Arial" w:cs="Arial"/>
        </w:rPr>
        <w:t>National Institute for Health and Care Excellence (provides national guidance and advice).</w:t>
      </w:r>
    </w:p>
    <w:p w14:paraId="34A28849" w14:textId="77777777" w:rsidR="000810C2" w:rsidRPr="001E1DBF" w:rsidRDefault="000810C2" w:rsidP="001E1DBF">
      <w:pPr>
        <w:numPr>
          <w:ilvl w:val="0"/>
          <w:numId w:val="2"/>
        </w:numPr>
        <w:spacing w:line="360" w:lineRule="auto"/>
        <w:jc w:val="both"/>
        <w:rPr>
          <w:rFonts w:ascii="Arial" w:hAnsi="Arial" w:cs="Arial"/>
        </w:rPr>
      </w:pPr>
      <w:r w:rsidRPr="001E1DBF">
        <w:rPr>
          <w:rFonts w:ascii="Arial" w:hAnsi="Arial" w:cs="Arial"/>
          <w:b/>
          <w:bCs/>
        </w:rPr>
        <w:t>ONS</w:t>
      </w:r>
      <w:r w:rsidRPr="001E1DBF">
        <w:rPr>
          <w:rFonts w:ascii="Arial" w:hAnsi="Arial" w:cs="Arial"/>
        </w:rPr>
        <w:t>: Office for National Statistics.</w:t>
      </w:r>
    </w:p>
    <w:p w14:paraId="1F558444" w14:textId="77777777" w:rsidR="000E1D31" w:rsidRPr="001E1DBF" w:rsidRDefault="000E1D31" w:rsidP="001E1DBF">
      <w:pPr>
        <w:spacing w:line="360" w:lineRule="auto"/>
        <w:jc w:val="both"/>
        <w:rPr>
          <w:rFonts w:ascii="Arial" w:hAnsi="Arial" w:cs="Arial"/>
          <w:b/>
          <w:bCs/>
        </w:rPr>
      </w:pPr>
      <w:r w:rsidRPr="001E1DBF">
        <w:rPr>
          <w:rFonts w:ascii="Arial" w:hAnsi="Arial" w:cs="Arial"/>
          <w:b/>
          <w:bCs/>
        </w:rPr>
        <w:t>Background and Current Context</w:t>
      </w:r>
    </w:p>
    <w:p w14:paraId="7CFC9393" w14:textId="00B6682A" w:rsidR="000E1D31" w:rsidRPr="001E1DBF" w:rsidRDefault="000E1D31" w:rsidP="001E1DBF">
      <w:pPr>
        <w:spacing w:line="360" w:lineRule="auto"/>
        <w:jc w:val="both"/>
        <w:rPr>
          <w:rFonts w:ascii="Arial" w:hAnsi="Arial" w:cs="Arial"/>
          <w:b/>
          <w:bCs/>
        </w:rPr>
      </w:pPr>
      <w:r w:rsidRPr="001E1DBF">
        <w:rPr>
          <w:rFonts w:ascii="Arial" w:hAnsi="Arial" w:cs="Arial"/>
          <w:b/>
          <w:bCs/>
        </w:rPr>
        <w:t>Background</w:t>
      </w:r>
    </w:p>
    <w:p w14:paraId="242CC122" w14:textId="2C56F72F" w:rsidR="00774147" w:rsidRPr="001E1DBF" w:rsidRDefault="00774147" w:rsidP="001E1DBF">
      <w:pPr>
        <w:spacing w:line="360" w:lineRule="auto"/>
        <w:jc w:val="both"/>
        <w:rPr>
          <w:rFonts w:ascii="Arial" w:hAnsi="Arial" w:cs="Arial"/>
        </w:rPr>
      </w:pPr>
      <w:r w:rsidRPr="001E1DBF">
        <w:rPr>
          <w:rFonts w:ascii="Arial" w:hAnsi="Arial" w:cs="Arial"/>
        </w:rPr>
        <w:t>Historically, death in the UK was managed within hospitals or the individual's own home. Over recent decades, a policy shift towards community-based care has resulted in an increasing number of older adults spending their final months in residential care settings. However, research has consistently highlighted that integrating palliative care into long-term facilities is fraught with difficulty. Spacey et al. (2018) conducted a comprehensive systematic review of UK care home EoL care, identifying that while high-level policy exists, the translation into frontline practice is frequently hindered by a lack of specialist staff and a task-focused culture rather than a holistic, person-centred model. Foundational research by Goodman et al. (2017) also highlighted the unique hurdles faced by residents with dementia, particularly regarding communication and prognosis uncertainty, which remain key obstacles to dignified deaths.</w:t>
      </w:r>
    </w:p>
    <w:p w14:paraId="63F9EBAC" w14:textId="77777777" w:rsidR="00774147" w:rsidRPr="001E1DBF" w:rsidRDefault="00774147" w:rsidP="001E1DBF">
      <w:pPr>
        <w:spacing w:line="360" w:lineRule="auto"/>
        <w:jc w:val="both"/>
        <w:rPr>
          <w:rFonts w:ascii="Arial" w:hAnsi="Arial" w:cs="Arial"/>
          <w:b/>
          <w:bCs/>
        </w:rPr>
      </w:pPr>
      <w:r w:rsidRPr="001E1DBF">
        <w:rPr>
          <w:rFonts w:ascii="Arial" w:hAnsi="Arial" w:cs="Arial"/>
          <w:b/>
          <w:bCs/>
        </w:rPr>
        <w:t>Current Context</w:t>
      </w:r>
    </w:p>
    <w:p w14:paraId="05D319C7" w14:textId="3BE6A902" w:rsidR="00774147" w:rsidRPr="001E1DBF" w:rsidRDefault="00C71CFA" w:rsidP="001E1DBF">
      <w:pPr>
        <w:spacing w:line="360" w:lineRule="auto"/>
        <w:jc w:val="both"/>
        <w:rPr>
          <w:rFonts w:ascii="Arial" w:hAnsi="Arial" w:cs="Arial"/>
        </w:rPr>
      </w:pPr>
      <w:r w:rsidRPr="001E1DBF">
        <w:rPr>
          <w:rFonts w:ascii="Arial" w:hAnsi="Arial" w:cs="Arial"/>
        </w:rPr>
        <w:t xml:space="preserve">Today, the urgency of addressing barriers to EoL care </w:t>
      </w:r>
      <w:r w:rsidR="00774147" w:rsidRPr="001E1DBF">
        <w:rPr>
          <w:rFonts w:ascii="Arial" w:hAnsi="Arial" w:cs="Arial"/>
        </w:rPr>
        <w:t xml:space="preserve">has intensified. The Office for National Statistics (ONS, 2023) highlights a continually ageing UK population, which places immense pressure on the care home sector. The recent landscape has been heavily shaped by the COVID-19 pandemic, which Bradshaw et al. (2023) found critically disrupted provisions, isolated residents from families, and exacerbated pre-existing staffing crises. Furthermore, </w:t>
      </w:r>
      <w:r w:rsidR="00774147" w:rsidRPr="001E1DBF">
        <w:rPr>
          <w:rFonts w:ascii="Arial" w:hAnsi="Arial" w:cs="Arial"/>
        </w:rPr>
        <w:lastRenderedPageBreak/>
        <w:t xml:space="preserve">specific barriers have been scrutinised in recent qualitative literature. Harasym et al. (2020) examined the perspectives of specialist palliative care physicians, revealing that profound communication gaps and a lack of clear palliative protocols in long-term care facilities often result in poor symptom control. Bone et al. (2019) found that a significant barrier to a dignified death is the high rate of avoidable emergency department attendances towards the end of life, driven by care home staff feeling unequipped to manage acute deteriorations. Crucially, recent literature has drawn attention to the needs of specific groups; Hollowood et al. (2026) and Pardi et al. (2026) have conducted systematic reviews exploring the distinct experiences and barriers faced by ethnic minority groups within UK care homes and palliative settings, highlighting that cultural competency is a currently </w:t>
      </w:r>
      <w:r w:rsidRPr="001E1DBF">
        <w:rPr>
          <w:rFonts w:ascii="Arial" w:hAnsi="Arial" w:cs="Arial"/>
        </w:rPr>
        <w:t>underdressed</w:t>
      </w:r>
      <w:r w:rsidR="00774147" w:rsidRPr="001E1DBF">
        <w:rPr>
          <w:rFonts w:ascii="Arial" w:hAnsi="Arial" w:cs="Arial"/>
        </w:rPr>
        <w:t xml:space="preserve"> aspect of dignified care.</w:t>
      </w:r>
    </w:p>
    <w:p w14:paraId="0E90972D" w14:textId="77777777" w:rsidR="00774147" w:rsidRPr="001E1DBF" w:rsidRDefault="00774147" w:rsidP="001E1DBF">
      <w:pPr>
        <w:spacing w:line="360" w:lineRule="auto"/>
        <w:jc w:val="both"/>
        <w:rPr>
          <w:rFonts w:ascii="Arial" w:hAnsi="Arial" w:cs="Arial"/>
          <w:b/>
          <w:bCs/>
        </w:rPr>
      </w:pPr>
      <w:r w:rsidRPr="001E1DBF">
        <w:rPr>
          <w:rFonts w:ascii="Arial" w:hAnsi="Arial" w:cs="Arial"/>
          <w:b/>
          <w:bCs/>
        </w:rPr>
        <w:t>1.4 Rationale for Research / Problem Statement</w:t>
      </w:r>
    </w:p>
    <w:p w14:paraId="5C044F72" w14:textId="77777777" w:rsidR="00774147" w:rsidRPr="001E1DBF" w:rsidRDefault="00774147" w:rsidP="001E1DBF">
      <w:pPr>
        <w:spacing w:line="360" w:lineRule="auto"/>
        <w:jc w:val="both"/>
        <w:rPr>
          <w:rFonts w:ascii="Arial" w:hAnsi="Arial" w:cs="Arial"/>
        </w:rPr>
      </w:pPr>
      <w:r w:rsidRPr="001E1DBF">
        <w:rPr>
          <w:rFonts w:ascii="Arial" w:hAnsi="Arial" w:cs="Arial"/>
        </w:rPr>
        <w:t>Despite growing awareness of these issues, there remains a significant gap in the literature regarding the synthesis of current, UK-specific evidence on the specific barriers to dignified EoL care. Many existing studies focus on international settings, examine hospice or community-at-home care, or are pre-pandemic in date. Additionally, residents with dementia face unique communication and prognosis challenges that are often overlooked in general EoL research (Goodman et al., 2017).</w:t>
      </w:r>
    </w:p>
    <w:p w14:paraId="2C68A7CD" w14:textId="77777777" w:rsidR="00774147" w:rsidRPr="001E1DBF" w:rsidRDefault="00774147" w:rsidP="001E1DBF">
      <w:pPr>
        <w:spacing w:line="360" w:lineRule="auto"/>
        <w:jc w:val="both"/>
        <w:rPr>
          <w:rFonts w:ascii="Arial" w:hAnsi="Arial" w:cs="Arial"/>
        </w:rPr>
      </w:pPr>
      <w:r w:rsidRPr="001E1DBF">
        <w:rPr>
          <w:rFonts w:ascii="Arial" w:hAnsi="Arial" w:cs="Arial"/>
        </w:rPr>
        <w:t>Understanding these barriers is not merely an academic exercise; it has profound practical relevance. UK residential care homes are under immense pressure, and without synthesised, evidence-based recommendations, gaps in training, staffing, and communication will persist, leading to avoidable hospitalisations and undignified deaths. This research is necessary to produce meaningful, actionable guidance for care providers and professionals. It will help bridge the gap between high-level policy (such as NICE guidelines) and the day-to-day realities on the residential care floor.</w:t>
      </w:r>
    </w:p>
    <w:p w14:paraId="45FA1FB7" w14:textId="77777777" w:rsidR="00774147" w:rsidRPr="001E1DBF" w:rsidRDefault="00774147" w:rsidP="001E1DBF">
      <w:pPr>
        <w:spacing w:line="360" w:lineRule="auto"/>
        <w:jc w:val="both"/>
        <w:rPr>
          <w:rFonts w:ascii="Arial" w:hAnsi="Arial" w:cs="Arial"/>
          <w:b/>
          <w:bCs/>
        </w:rPr>
      </w:pPr>
      <w:r w:rsidRPr="001E1DBF">
        <w:rPr>
          <w:rFonts w:ascii="Arial" w:hAnsi="Arial" w:cs="Arial"/>
          <w:b/>
          <w:bCs/>
        </w:rPr>
        <w:t>1.5 Aim and Objectives</w:t>
      </w:r>
    </w:p>
    <w:p w14:paraId="279F8AD2" w14:textId="77777777" w:rsidR="00774147" w:rsidRPr="001E1DBF" w:rsidRDefault="00774147" w:rsidP="001E1DBF">
      <w:pPr>
        <w:spacing w:line="360" w:lineRule="auto"/>
        <w:jc w:val="both"/>
        <w:rPr>
          <w:rFonts w:ascii="Arial" w:hAnsi="Arial" w:cs="Arial"/>
        </w:rPr>
      </w:pPr>
      <w:r w:rsidRPr="001E1DBF">
        <w:rPr>
          <w:rFonts w:ascii="Arial" w:hAnsi="Arial" w:cs="Arial"/>
          <w:b/>
          <w:bCs/>
        </w:rPr>
        <w:t>Aim</w:t>
      </w:r>
      <w:r w:rsidRPr="001E1DBF">
        <w:rPr>
          <w:rFonts w:ascii="Arial" w:hAnsi="Arial" w:cs="Arial"/>
        </w:rPr>
        <w:t>:</w:t>
      </w:r>
    </w:p>
    <w:p w14:paraId="2E9D5DE0" w14:textId="77777777" w:rsidR="00774147" w:rsidRPr="001E1DBF" w:rsidRDefault="00774147" w:rsidP="001E1DBF">
      <w:pPr>
        <w:spacing w:line="360" w:lineRule="auto"/>
        <w:jc w:val="both"/>
        <w:rPr>
          <w:rFonts w:ascii="Arial" w:hAnsi="Arial" w:cs="Arial"/>
        </w:rPr>
      </w:pPr>
      <w:r w:rsidRPr="001E1DBF">
        <w:rPr>
          <w:rFonts w:ascii="Arial" w:hAnsi="Arial" w:cs="Arial"/>
        </w:rPr>
        <w:t>To explore the barriers affecting the delivery of dignified end-of-life care within UK residential care homes and to synthesise evidence-based recommendations for improving care practices to enhance resident wellbeing and quality of care.</w:t>
      </w:r>
    </w:p>
    <w:p w14:paraId="66272E11" w14:textId="77777777" w:rsidR="00774147" w:rsidRPr="001E1DBF" w:rsidRDefault="00774147" w:rsidP="001E1DBF">
      <w:pPr>
        <w:spacing w:line="360" w:lineRule="auto"/>
        <w:jc w:val="both"/>
        <w:rPr>
          <w:rFonts w:ascii="Arial" w:hAnsi="Arial" w:cs="Arial"/>
        </w:rPr>
      </w:pPr>
      <w:r w:rsidRPr="001E1DBF">
        <w:rPr>
          <w:rFonts w:ascii="Arial" w:hAnsi="Arial" w:cs="Arial"/>
          <w:b/>
          <w:bCs/>
        </w:rPr>
        <w:t>Objectives</w:t>
      </w:r>
      <w:r w:rsidRPr="001E1DBF">
        <w:rPr>
          <w:rFonts w:ascii="Arial" w:hAnsi="Arial" w:cs="Arial"/>
        </w:rPr>
        <w:t>:</w:t>
      </w:r>
    </w:p>
    <w:p w14:paraId="081F3E43" w14:textId="77777777" w:rsidR="00774147" w:rsidRPr="001E1DBF" w:rsidRDefault="00774147" w:rsidP="001E1DBF">
      <w:pPr>
        <w:spacing w:line="360" w:lineRule="auto"/>
        <w:jc w:val="both"/>
        <w:rPr>
          <w:rFonts w:ascii="Arial" w:hAnsi="Arial" w:cs="Arial"/>
        </w:rPr>
      </w:pPr>
      <w:r w:rsidRPr="001E1DBF">
        <w:rPr>
          <w:rFonts w:ascii="Arial" w:hAnsi="Arial" w:cs="Arial"/>
        </w:rPr>
        <w:t>To define the meaning and principles of end-of-life care within residential care settings.</w:t>
      </w:r>
    </w:p>
    <w:p w14:paraId="31A43C06" w14:textId="77777777" w:rsidR="00774147" w:rsidRPr="001E1DBF" w:rsidRDefault="00774147" w:rsidP="001E1DBF">
      <w:pPr>
        <w:spacing w:line="360" w:lineRule="auto"/>
        <w:jc w:val="both"/>
        <w:rPr>
          <w:rFonts w:ascii="Arial" w:hAnsi="Arial" w:cs="Arial"/>
        </w:rPr>
      </w:pPr>
      <w:r w:rsidRPr="001E1DBF">
        <w:rPr>
          <w:rFonts w:ascii="Arial" w:hAnsi="Arial" w:cs="Arial"/>
        </w:rPr>
        <w:t>To analyse current literature regarding barriers affecting end-of-life care in UK residential care homes.</w:t>
      </w:r>
    </w:p>
    <w:p w14:paraId="049F880D" w14:textId="77777777" w:rsidR="00774147" w:rsidRPr="001E1DBF" w:rsidRDefault="00774147" w:rsidP="001E1DBF">
      <w:pPr>
        <w:spacing w:line="360" w:lineRule="auto"/>
        <w:jc w:val="both"/>
        <w:rPr>
          <w:rFonts w:ascii="Arial" w:hAnsi="Arial" w:cs="Arial"/>
        </w:rPr>
      </w:pPr>
      <w:r w:rsidRPr="001E1DBF">
        <w:rPr>
          <w:rFonts w:ascii="Arial" w:hAnsi="Arial" w:cs="Arial"/>
        </w:rPr>
        <w:lastRenderedPageBreak/>
        <w:t>To evaluate themes identified within existing research relating to communication, staffing, training, emotional support, and person-centred care.</w:t>
      </w:r>
    </w:p>
    <w:p w14:paraId="77331457" w14:textId="77777777" w:rsidR="00774147" w:rsidRPr="001E1DBF" w:rsidRDefault="00774147" w:rsidP="001E1DBF">
      <w:pPr>
        <w:spacing w:line="360" w:lineRule="auto"/>
        <w:jc w:val="both"/>
        <w:rPr>
          <w:rFonts w:ascii="Arial" w:hAnsi="Arial" w:cs="Arial"/>
        </w:rPr>
      </w:pPr>
      <w:r w:rsidRPr="001E1DBF">
        <w:rPr>
          <w:rFonts w:ascii="Arial" w:hAnsi="Arial" w:cs="Arial"/>
        </w:rPr>
        <w:t>To recommend improvements for end-of-life care practices for residents, families, and healthcare professionals.</w:t>
      </w:r>
    </w:p>
    <w:p w14:paraId="7DA04197" w14:textId="77777777" w:rsidR="00774147" w:rsidRPr="001E1DBF" w:rsidRDefault="00774147" w:rsidP="001E1DBF">
      <w:pPr>
        <w:spacing w:line="360" w:lineRule="auto"/>
        <w:jc w:val="both"/>
        <w:rPr>
          <w:rFonts w:ascii="Arial" w:hAnsi="Arial" w:cs="Arial"/>
          <w:b/>
          <w:bCs/>
        </w:rPr>
      </w:pPr>
      <w:r w:rsidRPr="001E1DBF">
        <w:rPr>
          <w:rFonts w:ascii="Arial" w:hAnsi="Arial" w:cs="Arial"/>
          <w:b/>
          <w:bCs/>
        </w:rPr>
        <w:t>1.6 Conclusion</w:t>
      </w:r>
    </w:p>
    <w:p w14:paraId="080144F4" w14:textId="21C5E10A" w:rsidR="00774147" w:rsidRPr="001E1DBF" w:rsidRDefault="00774147" w:rsidP="001E1DBF">
      <w:pPr>
        <w:spacing w:line="360" w:lineRule="auto"/>
        <w:jc w:val="both"/>
        <w:rPr>
          <w:rFonts w:ascii="Arial" w:hAnsi="Arial" w:cs="Arial"/>
        </w:rPr>
      </w:pPr>
      <w:r w:rsidRPr="001E1DBF">
        <w:rPr>
          <w:rFonts w:ascii="Arial" w:hAnsi="Arial" w:cs="Arial"/>
        </w:rPr>
        <w:t xml:space="preserve">This introductory chapter has provided an overview of the research topic, highlighting the critical importance of dignified end-of-life care for older adults in UK residential care homes. Key terms have been defined, and the background and current context have been explored using a robust selection of recent evidence, ranging from foundational UK systematic reviews (Spacey et al., 2018) to very recent studies on ethnic minority experiences (Hollowood et al., 2026) and qualitative barriers identified by care professionals (Harasym et al., 2020). A clear rationale has been established, identifying a gap in the synthesis of these increasingly fragmented strands of UK-specific research. The research aim and four specific objectives have been presented to guide this dissertation. The following chapter will provide </w:t>
      </w:r>
      <w:r w:rsidR="000D1994" w:rsidRPr="001E1DBF">
        <w:rPr>
          <w:rFonts w:ascii="Arial" w:hAnsi="Arial" w:cs="Arial"/>
        </w:rPr>
        <w:t>comprehensive Background Information and Analysis, delving deeper into relevant theory, policy (such as NICE and CQC), legislation, and thematic evidence on</w:t>
      </w:r>
      <w:r w:rsidRPr="001E1DBF">
        <w:rPr>
          <w:rFonts w:ascii="Arial" w:hAnsi="Arial" w:cs="Arial"/>
        </w:rPr>
        <w:t xml:space="preserve"> staffing, training, and communication in UK residential care homes.</w:t>
      </w:r>
    </w:p>
    <w:p w14:paraId="13A45657" w14:textId="77777777" w:rsidR="009C7FF7" w:rsidRPr="001E1DBF" w:rsidRDefault="009C7FF7" w:rsidP="001E1DBF">
      <w:pPr>
        <w:spacing w:line="360" w:lineRule="auto"/>
        <w:jc w:val="both"/>
        <w:rPr>
          <w:rFonts w:ascii="Arial" w:hAnsi="Arial" w:cs="Arial"/>
        </w:rPr>
      </w:pPr>
    </w:p>
    <w:p w14:paraId="324A4048" w14:textId="77777777" w:rsidR="009C7FF7" w:rsidRPr="001E1DBF" w:rsidRDefault="009C7FF7" w:rsidP="001E1DBF">
      <w:pPr>
        <w:spacing w:line="360" w:lineRule="auto"/>
        <w:jc w:val="both"/>
        <w:rPr>
          <w:rFonts w:ascii="Arial" w:hAnsi="Arial" w:cs="Arial"/>
        </w:rPr>
      </w:pPr>
    </w:p>
    <w:p w14:paraId="7F1DA69F" w14:textId="77777777" w:rsidR="009C7FF7" w:rsidRPr="001E1DBF" w:rsidRDefault="009C7FF7" w:rsidP="001E1DBF">
      <w:pPr>
        <w:spacing w:line="360" w:lineRule="auto"/>
        <w:jc w:val="both"/>
        <w:rPr>
          <w:rFonts w:ascii="Arial" w:hAnsi="Arial" w:cs="Arial"/>
        </w:rPr>
      </w:pPr>
    </w:p>
    <w:p w14:paraId="78AEAA03" w14:textId="77777777" w:rsidR="009C7FF7" w:rsidRPr="001E1DBF" w:rsidRDefault="009C7FF7" w:rsidP="001E1DBF">
      <w:pPr>
        <w:spacing w:line="360" w:lineRule="auto"/>
        <w:jc w:val="both"/>
        <w:rPr>
          <w:rFonts w:ascii="Arial" w:hAnsi="Arial" w:cs="Arial"/>
        </w:rPr>
      </w:pPr>
    </w:p>
    <w:p w14:paraId="77174269" w14:textId="77777777" w:rsidR="009C7FF7" w:rsidRPr="001E1DBF" w:rsidRDefault="009C7FF7" w:rsidP="001E1DBF">
      <w:pPr>
        <w:spacing w:line="360" w:lineRule="auto"/>
        <w:jc w:val="both"/>
        <w:rPr>
          <w:rFonts w:ascii="Arial" w:hAnsi="Arial" w:cs="Arial"/>
        </w:rPr>
      </w:pPr>
    </w:p>
    <w:p w14:paraId="1FB21139" w14:textId="77777777" w:rsidR="009C7FF7" w:rsidRPr="001E1DBF" w:rsidRDefault="009C7FF7" w:rsidP="001E1DBF">
      <w:pPr>
        <w:spacing w:line="360" w:lineRule="auto"/>
        <w:jc w:val="both"/>
        <w:rPr>
          <w:rFonts w:ascii="Arial" w:hAnsi="Arial" w:cs="Arial"/>
        </w:rPr>
      </w:pPr>
    </w:p>
    <w:p w14:paraId="2210D39A" w14:textId="77777777" w:rsidR="009C7FF7" w:rsidRPr="001E1DBF" w:rsidRDefault="009C7FF7" w:rsidP="001E1DBF">
      <w:pPr>
        <w:spacing w:line="360" w:lineRule="auto"/>
        <w:jc w:val="both"/>
        <w:rPr>
          <w:rFonts w:ascii="Arial" w:hAnsi="Arial" w:cs="Arial"/>
        </w:rPr>
      </w:pPr>
    </w:p>
    <w:p w14:paraId="5FE7C84A" w14:textId="77777777" w:rsidR="009C7FF7" w:rsidRPr="001E1DBF" w:rsidRDefault="009C7FF7" w:rsidP="001E1DBF">
      <w:pPr>
        <w:spacing w:line="360" w:lineRule="auto"/>
        <w:jc w:val="both"/>
        <w:rPr>
          <w:rFonts w:ascii="Arial" w:hAnsi="Arial" w:cs="Arial"/>
        </w:rPr>
      </w:pPr>
    </w:p>
    <w:p w14:paraId="29040A7F" w14:textId="77777777" w:rsidR="009C7FF7" w:rsidRPr="001E1DBF" w:rsidRDefault="009C7FF7" w:rsidP="001E1DBF">
      <w:pPr>
        <w:spacing w:line="360" w:lineRule="auto"/>
        <w:jc w:val="both"/>
        <w:rPr>
          <w:rFonts w:ascii="Arial" w:hAnsi="Arial" w:cs="Arial"/>
        </w:rPr>
      </w:pPr>
    </w:p>
    <w:p w14:paraId="51DB579E" w14:textId="77777777" w:rsidR="009C7FF7" w:rsidRPr="001E1DBF" w:rsidRDefault="009C7FF7" w:rsidP="001E1DBF">
      <w:pPr>
        <w:spacing w:line="360" w:lineRule="auto"/>
        <w:jc w:val="both"/>
        <w:rPr>
          <w:rFonts w:ascii="Arial" w:hAnsi="Arial" w:cs="Arial"/>
        </w:rPr>
      </w:pPr>
    </w:p>
    <w:p w14:paraId="0458277C" w14:textId="77777777" w:rsidR="009C7FF7" w:rsidRPr="001E1DBF" w:rsidRDefault="009C7FF7" w:rsidP="001E1DBF">
      <w:pPr>
        <w:spacing w:line="360" w:lineRule="auto"/>
        <w:jc w:val="both"/>
        <w:rPr>
          <w:rFonts w:ascii="Arial" w:hAnsi="Arial" w:cs="Arial"/>
        </w:rPr>
      </w:pPr>
    </w:p>
    <w:p w14:paraId="33E74E0E" w14:textId="77777777" w:rsidR="009C7FF7" w:rsidRPr="001E1DBF" w:rsidRDefault="009C7FF7" w:rsidP="001E1DBF">
      <w:pPr>
        <w:spacing w:line="360" w:lineRule="auto"/>
        <w:jc w:val="both"/>
        <w:rPr>
          <w:rFonts w:ascii="Arial" w:hAnsi="Arial" w:cs="Arial"/>
        </w:rPr>
      </w:pPr>
    </w:p>
    <w:p w14:paraId="4D5EC356" w14:textId="77777777" w:rsidR="002E67A3" w:rsidRPr="001E1DBF" w:rsidRDefault="002E67A3" w:rsidP="001E1DBF">
      <w:pPr>
        <w:spacing w:line="360" w:lineRule="auto"/>
        <w:jc w:val="both"/>
        <w:rPr>
          <w:rFonts w:ascii="Arial" w:hAnsi="Arial" w:cs="Arial"/>
        </w:rPr>
      </w:pPr>
    </w:p>
    <w:p w14:paraId="53FD9F5C" w14:textId="3509A07E" w:rsidR="005505EB" w:rsidRPr="001E1DBF" w:rsidRDefault="005505EB" w:rsidP="001E1DBF">
      <w:pPr>
        <w:spacing w:line="360" w:lineRule="auto"/>
        <w:jc w:val="both"/>
        <w:rPr>
          <w:rFonts w:ascii="Arial" w:hAnsi="Arial" w:cs="Arial"/>
          <w:b/>
          <w:bCs/>
        </w:rPr>
      </w:pPr>
      <w:r w:rsidRPr="001E1DBF">
        <w:rPr>
          <w:rFonts w:ascii="Arial" w:hAnsi="Arial" w:cs="Arial"/>
          <w:b/>
          <w:bCs/>
        </w:rPr>
        <w:lastRenderedPageBreak/>
        <w:t>Chapter 2: Background Information and Analysis</w:t>
      </w:r>
    </w:p>
    <w:p w14:paraId="43D76EBA" w14:textId="77777777" w:rsidR="005505EB" w:rsidRPr="001E1DBF" w:rsidRDefault="005505EB" w:rsidP="001E1DBF">
      <w:pPr>
        <w:spacing w:line="360" w:lineRule="auto"/>
        <w:jc w:val="both"/>
        <w:rPr>
          <w:rFonts w:ascii="Arial" w:hAnsi="Arial" w:cs="Arial"/>
          <w:b/>
          <w:bCs/>
        </w:rPr>
      </w:pPr>
      <w:r w:rsidRPr="001E1DBF">
        <w:rPr>
          <w:rFonts w:ascii="Arial" w:hAnsi="Arial" w:cs="Arial"/>
          <w:b/>
          <w:bCs/>
        </w:rPr>
        <w:t>2.1 Introduction</w:t>
      </w:r>
    </w:p>
    <w:p w14:paraId="3ABFBB66" w14:textId="5855A96A" w:rsidR="005505EB" w:rsidRPr="001E1DBF" w:rsidRDefault="005505EB" w:rsidP="001E1DBF">
      <w:pPr>
        <w:spacing w:line="360" w:lineRule="auto"/>
        <w:jc w:val="both"/>
        <w:rPr>
          <w:rFonts w:ascii="Arial" w:hAnsi="Arial" w:cs="Arial"/>
        </w:rPr>
      </w:pPr>
      <w:r w:rsidRPr="001E1DBF">
        <w:rPr>
          <w:rFonts w:ascii="Arial" w:hAnsi="Arial" w:cs="Arial"/>
        </w:rPr>
        <w:t xml:space="preserve">Before we can properly examine the barriers to dignified end-of-life care in UK residential homes, it helps to look at the wider picture. This chapter sets the scene by exploring where the concept of palliative care in care homes </w:t>
      </w:r>
      <w:r w:rsidR="00D44B28" w:rsidRPr="001E1DBF">
        <w:rPr>
          <w:rFonts w:ascii="Arial" w:hAnsi="Arial" w:cs="Arial"/>
        </w:rPr>
        <w:t>came</w:t>
      </w:r>
      <w:r w:rsidRPr="001E1DBF">
        <w:rPr>
          <w:rFonts w:ascii="Arial" w:hAnsi="Arial" w:cs="Arial"/>
        </w:rPr>
        <w:t xml:space="preserve"> from, how it has developed over time, and the theories that guide current practice. By looking at how the UK compares internationally</w:t>
      </w:r>
      <w:r w:rsidR="008F6371" w:rsidRPr="001E1DBF">
        <w:rPr>
          <w:rFonts w:ascii="Arial" w:hAnsi="Arial" w:cs="Arial"/>
        </w:rPr>
        <w:t xml:space="preserve"> </w:t>
      </w:r>
      <w:r w:rsidRPr="001E1DBF">
        <w:rPr>
          <w:rFonts w:ascii="Arial" w:hAnsi="Arial" w:cs="Arial"/>
        </w:rPr>
        <w:t>and how national policies filter down into local care home floors</w:t>
      </w:r>
      <w:r w:rsidR="008F6371" w:rsidRPr="001E1DBF">
        <w:rPr>
          <w:rFonts w:ascii="Arial" w:hAnsi="Arial" w:cs="Arial"/>
        </w:rPr>
        <w:t xml:space="preserve">, </w:t>
      </w:r>
      <w:r w:rsidRPr="001E1DBF">
        <w:rPr>
          <w:rFonts w:ascii="Arial" w:hAnsi="Arial" w:cs="Arial"/>
        </w:rPr>
        <w:t>we can start to understand why the barriers discussed in Chapter 4 are so persistent. This background is crucial because it shows that these problems are not new; they are deeply rooted in how care homes are structured and funded.</w:t>
      </w:r>
    </w:p>
    <w:p w14:paraId="68850C1F" w14:textId="77777777" w:rsidR="005505EB" w:rsidRPr="001E1DBF" w:rsidRDefault="005505EB" w:rsidP="001E1DBF">
      <w:pPr>
        <w:spacing w:line="360" w:lineRule="auto"/>
        <w:jc w:val="both"/>
        <w:rPr>
          <w:rFonts w:ascii="Arial" w:hAnsi="Arial" w:cs="Arial"/>
          <w:b/>
          <w:bCs/>
        </w:rPr>
      </w:pPr>
      <w:r w:rsidRPr="001E1DBF">
        <w:rPr>
          <w:rFonts w:ascii="Arial" w:hAnsi="Arial" w:cs="Arial"/>
          <w:b/>
          <w:bCs/>
        </w:rPr>
        <w:t>2.2 Historical Background</w:t>
      </w:r>
    </w:p>
    <w:p w14:paraId="532EF9D2" w14:textId="4AE78C02" w:rsidR="005505EB" w:rsidRPr="001E1DBF" w:rsidRDefault="005505EB" w:rsidP="001E1DBF">
      <w:pPr>
        <w:spacing w:line="360" w:lineRule="auto"/>
        <w:jc w:val="both"/>
        <w:rPr>
          <w:rFonts w:ascii="Arial" w:hAnsi="Arial" w:cs="Arial"/>
        </w:rPr>
      </w:pPr>
      <w:r w:rsidRPr="001E1DBF">
        <w:rPr>
          <w:rFonts w:ascii="Arial" w:hAnsi="Arial" w:cs="Arial"/>
        </w:rPr>
        <w:t xml:space="preserve">Historically, if you reached the end of your life in the UK, you were </w:t>
      </w:r>
      <w:r w:rsidR="00D44B28" w:rsidRPr="001E1DBF">
        <w:rPr>
          <w:rFonts w:ascii="Arial" w:hAnsi="Arial" w:cs="Arial"/>
        </w:rPr>
        <w:t>cared</w:t>
      </w:r>
      <w:r w:rsidRPr="001E1DBF">
        <w:rPr>
          <w:rFonts w:ascii="Arial" w:hAnsi="Arial" w:cs="Arial"/>
        </w:rPr>
        <w:t xml:space="preserve"> for in an acute hospital or, occasionally, at home surrounded by family and district nurses. However, from the mid-to-late 20th century onwards, there was a big policy push away from hospitals towards community-based care. The idea was to provide a more humane, less clinical setting for older people. The consequence was</w:t>
      </w:r>
      <w:r w:rsidR="002B48B4" w:rsidRPr="001E1DBF">
        <w:rPr>
          <w:rFonts w:ascii="Arial" w:hAnsi="Arial" w:cs="Arial"/>
        </w:rPr>
        <w:t xml:space="preserve"> that </w:t>
      </w:r>
      <w:r w:rsidR="00D44B28" w:rsidRPr="001E1DBF">
        <w:rPr>
          <w:rFonts w:ascii="Arial" w:hAnsi="Arial" w:cs="Arial"/>
        </w:rPr>
        <w:t>more</w:t>
      </w:r>
      <w:r w:rsidRPr="001E1DBF">
        <w:rPr>
          <w:rFonts w:ascii="Arial" w:hAnsi="Arial" w:cs="Arial"/>
        </w:rPr>
        <w:t xml:space="preserve"> people began living out their final months and years in residential and nursing care homes (Seymour et al., 2021).</w:t>
      </w:r>
    </w:p>
    <w:p w14:paraId="4C32D118" w14:textId="4E2AEAF3" w:rsidR="005505EB" w:rsidRPr="001E1DBF" w:rsidRDefault="005505EB" w:rsidP="001E1DBF">
      <w:pPr>
        <w:spacing w:line="360" w:lineRule="auto"/>
        <w:jc w:val="both"/>
        <w:rPr>
          <w:rFonts w:ascii="Arial" w:hAnsi="Arial" w:cs="Arial"/>
        </w:rPr>
      </w:pPr>
      <w:r w:rsidRPr="001E1DBF">
        <w:rPr>
          <w:rFonts w:ascii="Arial" w:hAnsi="Arial" w:cs="Arial"/>
        </w:rPr>
        <w:t>A significant turning point came in 2008 with the introduction of the </w:t>
      </w:r>
      <w:r w:rsidR="00B23C4D" w:rsidRPr="001E1DBF">
        <w:rPr>
          <w:rFonts w:ascii="Arial" w:hAnsi="Arial" w:cs="Arial"/>
        </w:rPr>
        <w:t>End-of-Life</w:t>
      </w:r>
      <w:r w:rsidRPr="001E1DBF">
        <w:rPr>
          <w:rFonts w:ascii="Arial" w:hAnsi="Arial" w:cs="Arial"/>
          <w:i/>
          <w:iCs/>
        </w:rPr>
        <w:t xml:space="preserve"> Care Strategy</w:t>
      </w:r>
      <w:r w:rsidRPr="001E1DBF">
        <w:rPr>
          <w:rFonts w:ascii="Arial" w:hAnsi="Arial" w:cs="Arial"/>
        </w:rPr>
        <w:t>, which aimed to bring high-quality palliative care into every care setting, including care homes. Alongside this, the Liverpool Care Pathway (LCP) was widely adopted. The LCP was originally designed to replicate the excellent care of hospices in hospitals and the community. However, as Andersson et al. (2018) found, putting pathways like the LCP into practice in care homes was incredibly difficult. The workforce simply was not trained in palliative principles, and there was a severe lack of specialist staff to guide them. Eventually, the LCP was withdrawn following concerns about misdiagnosis and poor communication with families. It was a prime example of a good national policy failing to translate into real-world practice.</w:t>
      </w:r>
    </w:p>
    <w:p w14:paraId="548C5D75" w14:textId="680AA788" w:rsidR="005505EB" w:rsidRPr="001E1DBF" w:rsidRDefault="005505EB" w:rsidP="001E1DBF">
      <w:pPr>
        <w:spacing w:line="360" w:lineRule="auto"/>
        <w:jc w:val="both"/>
        <w:rPr>
          <w:rFonts w:ascii="Arial" w:hAnsi="Arial" w:cs="Arial"/>
        </w:rPr>
      </w:pPr>
      <w:r w:rsidRPr="001E1DBF">
        <w:rPr>
          <w:rFonts w:ascii="Arial" w:hAnsi="Arial" w:cs="Arial"/>
        </w:rPr>
        <w:t>The 2010s saw researchers paying much closer attention to these systemic failures. Goodman et al. (2017) did some foundational work highlighting how residents with dementia were being left behind, struggling with communication barriers</w:t>
      </w:r>
      <w:r w:rsidR="008F6371" w:rsidRPr="001E1DBF">
        <w:rPr>
          <w:rFonts w:ascii="Arial" w:hAnsi="Arial" w:cs="Arial"/>
        </w:rPr>
        <w:t>,</w:t>
      </w:r>
      <w:r w:rsidRPr="001E1DBF">
        <w:rPr>
          <w:rFonts w:ascii="Arial" w:hAnsi="Arial" w:cs="Arial"/>
        </w:rPr>
        <w:t xml:space="preserve"> and doctors being uncertain about their prognosis. Then, Spacey et al. (2018) conducted a comprehensive systematic review</w:t>
      </w:r>
      <w:r w:rsidR="008F6371" w:rsidRPr="001E1DBF">
        <w:rPr>
          <w:rFonts w:ascii="Arial" w:hAnsi="Arial" w:cs="Arial"/>
        </w:rPr>
        <w:t>,</w:t>
      </w:r>
      <w:r w:rsidRPr="001E1DBF">
        <w:rPr>
          <w:rFonts w:ascii="Arial" w:hAnsi="Arial" w:cs="Arial"/>
        </w:rPr>
        <w:t xml:space="preserve"> which really laid the groundwork for my study. They identified that UK care homes were not just under-</w:t>
      </w:r>
      <w:r w:rsidR="00B23C4D" w:rsidRPr="001E1DBF">
        <w:rPr>
          <w:rFonts w:ascii="Arial" w:hAnsi="Arial" w:cs="Arial"/>
        </w:rPr>
        <w:t>resourced but</w:t>
      </w:r>
      <w:r w:rsidRPr="001E1DBF">
        <w:rPr>
          <w:rFonts w:ascii="Arial" w:hAnsi="Arial" w:cs="Arial"/>
        </w:rPr>
        <w:t xml:space="preserve"> often operated with a task-focused culture rather than a person-centred one. Looking back, </w:t>
      </w:r>
      <w:r w:rsidR="00D44B28" w:rsidRPr="001E1DBF">
        <w:rPr>
          <w:rFonts w:ascii="Arial" w:hAnsi="Arial" w:cs="Arial"/>
        </w:rPr>
        <w:t>the</w:t>
      </w:r>
      <w:r w:rsidRPr="001E1DBF">
        <w:rPr>
          <w:rFonts w:ascii="Arial" w:hAnsi="Arial" w:cs="Arial"/>
        </w:rPr>
        <w:t xml:space="preserve"> barriers we see today are not accidental</w:t>
      </w:r>
      <w:r w:rsidR="002B48B4" w:rsidRPr="001E1DBF">
        <w:rPr>
          <w:rFonts w:ascii="Arial" w:hAnsi="Arial" w:cs="Arial"/>
        </w:rPr>
        <w:t>;</w:t>
      </w:r>
      <w:r w:rsidR="008F6371" w:rsidRPr="001E1DBF">
        <w:rPr>
          <w:rFonts w:ascii="Arial" w:hAnsi="Arial" w:cs="Arial"/>
        </w:rPr>
        <w:t xml:space="preserve"> </w:t>
      </w:r>
      <w:r w:rsidRPr="001E1DBF">
        <w:rPr>
          <w:rFonts w:ascii="Arial" w:hAnsi="Arial" w:cs="Arial"/>
        </w:rPr>
        <w:t>they are the result of decades of evolving policy crashing into a severely underfunded infrastructure.</w:t>
      </w:r>
    </w:p>
    <w:p w14:paraId="27EA463E" w14:textId="77777777" w:rsidR="005505EB" w:rsidRPr="001E1DBF" w:rsidRDefault="005505EB" w:rsidP="001E1DBF">
      <w:pPr>
        <w:spacing w:line="360" w:lineRule="auto"/>
        <w:jc w:val="both"/>
        <w:rPr>
          <w:rFonts w:ascii="Arial" w:hAnsi="Arial" w:cs="Arial"/>
          <w:b/>
          <w:bCs/>
        </w:rPr>
      </w:pPr>
      <w:r w:rsidRPr="001E1DBF">
        <w:rPr>
          <w:rFonts w:ascii="Arial" w:hAnsi="Arial" w:cs="Arial"/>
          <w:b/>
          <w:bCs/>
        </w:rPr>
        <w:lastRenderedPageBreak/>
        <w:t>2.3 Theoretical Background</w:t>
      </w:r>
    </w:p>
    <w:p w14:paraId="61959236" w14:textId="15B49D36" w:rsidR="005505EB" w:rsidRPr="001E1DBF" w:rsidRDefault="005505EB" w:rsidP="001E1DBF">
      <w:pPr>
        <w:spacing w:line="360" w:lineRule="auto"/>
        <w:jc w:val="both"/>
        <w:rPr>
          <w:rFonts w:ascii="Arial" w:hAnsi="Arial" w:cs="Arial"/>
        </w:rPr>
      </w:pPr>
      <w:r w:rsidRPr="001E1DBF">
        <w:rPr>
          <w:rFonts w:ascii="Arial" w:hAnsi="Arial" w:cs="Arial"/>
        </w:rPr>
        <w:t>To understand what a dignified death looks like and why it is so hard to achieve, we need to look at the theories that underpin modern health and social care. The most central of these is </w:t>
      </w:r>
      <w:r w:rsidRPr="001E1DBF">
        <w:rPr>
          <w:rFonts w:ascii="Arial" w:hAnsi="Arial" w:cs="Arial"/>
          <w:b/>
          <w:bCs/>
        </w:rPr>
        <w:t>Person-Centred Care (PCC)</w:t>
      </w:r>
      <w:r w:rsidRPr="001E1DBF">
        <w:rPr>
          <w:rFonts w:ascii="Arial" w:hAnsi="Arial" w:cs="Arial"/>
        </w:rPr>
        <w:t>. Tom Kitwood's work on dementia care was a real game changer here. He argued that a person's identity, preferences, and emotional well-being must be the absolute focus of care, regardless of how confused or unwell they are. As Downs et al. (2016) explain in their textbook, applying PCC to end-of-life care means rejecting those rigid, task-focused routines that Spacey et al. (2018) warned about, and instead tailoring support to the individual resident.</w:t>
      </w:r>
    </w:p>
    <w:p w14:paraId="42170BB7" w14:textId="36638266" w:rsidR="005505EB" w:rsidRPr="001E1DBF" w:rsidRDefault="005505EB" w:rsidP="001E1DBF">
      <w:pPr>
        <w:spacing w:line="360" w:lineRule="auto"/>
        <w:jc w:val="both"/>
        <w:rPr>
          <w:rFonts w:ascii="Arial" w:hAnsi="Arial" w:cs="Arial"/>
        </w:rPr>
      </w:pPr>
      <w:r w:rsidRPr="001E1DBF">
        <w:rPr>
          <w:rFonts w:ascii="Arial" w:hAnsi="Arial" w:cs="Arial"/>
        </w:rPr>
        <w:t>Alongside PCC is the concept of </w:t>
      </w:r>
      <w:r w:rsidRPr="001E1DBF">
        <w:rPr>
          <w:rFonts w:ascii="Arial" w:hAnsi="Arial" w:cs="Arial"/>
          <w:b/>
          <w:bCs/>
        </w:rPr>
        <w:t>Dignity</w:t>
      </w:r>
      <w:r w:rsidRPr="001E1DBF">
        <w:rPr>
          <w:rFonts w:ascii="Arial" w:hAnsi="Arial" w:cs="Arial"/>
        </w:rPr>
        <w:t xml:space="preserve">. The CQC (2022) defines this as respecting a person's intrinsic worth, maintaining their privacy, and supporting their autonomy. It sounds straightforward, </w:t>
      </w:r>
      <w:r w:rsidR="00D44B28" w:rsidRPr="001E1DBF">
        <w:rPr>
          <w:rFonts w:ascii="Arial" w:hAnsi="Arial" w:cs="Arial"/>
        </w:rPr>
        <w:t>but you</w:t>
      </w:r>
      <w:r w:rsidRPr="001E1DBF">
        <w:rPr>
          <w:rFonts w:ascii="Arial" w:hAnsi="Arial" w:cs="Arial"/>
        </w:rPr>
        <w:t xml:space="preserve"> cannot maintain a person's dignity if they are lying in pain, isolated from their family, or unable to make their own choices. This is where the theory of </w:t>
      </w:r>
      <w:r w:rsidRPr="001E1DBF">
        <w:rPr>
          <w:rFonts w:ascii="Arial" w:hAnsi="Arial" w:cs="Arial"/>
          <w:b/>
          <w:bCs/>
        </w:rPr>
        <w:t>Integrated Palliative Care</w:t>
      </w:r>
      <w:r w:rsidRPr="001E1DBF">
        <w:rPr>
          <w:rFonts w:ascii="Arial" w:hAnsi="Arial" w:cs="Arial"/>
        </w:rPr>
        <w:t> comes in</w:t>
      </w:r>
      <w:r w:rsidR="004C3061" w:rsidRPr="001E1DBF">
        <w:rPr>
          <w:rFonts w:ascii="Arial" w:hAnsi="Arial" w:cs="Arial"/>
        </w:rPr>
        <w:t>;</w:t>
      </w:r>
      <w:r w:rsidR="0048308F" w:rsidRPr="001E1DBF">
        <w:rPr>
          <w:rFonts w:ascii="Arial" w:hAnsi="Arial" w:cs="Arial"/>
        </w:rPr>
        <w:t xml:space="preserve"> </w:t>
      </w:r>
      <w:r w:rsidRPr="001E1DBF">
        <w:rPr>
          <w:rFonts w:ascii="Arial" w:hAnsi="Arial" w:cs="Arial"/>
        </w:rPr>
        <w:t>it advocates for a multidisciplinary approach where GPs, nurses, and social workers all collaborate. Seymour et al. (2021) argue that integrated models are brilliant in theory, but on the ground, they are frequently fractured by poor inter-professional communication.</w:t>
      </w:r>
    </w:p>
    <w:p w14:paraId="09294D1E" w14:textId="77777777" w:rsidR="005505EB" w:rsidRPr="001E1DBF" w:rsidRDefault="005505EB" w:rsidP="001E1DBF">
      <w:pPr>
        <w:spacing w:line="360" w:lineRule="auto"/>
        <w:jc w:val="both"/>
        <w:rPr>
          <w:rFonts w:ascii="Arial" w:hAnsi="Arial" w:cs="Arial"/>
        </w:rPr>
      </w:pPr>
      <w:r w:rsidRPr="001E1DBF">
        <w:rPr>
          <w:rFonts w:ascii="Arial" w:hAnsi="Arial" w:cs="Arial"/>
        </w:rPr>
        <w:t>This brings us to </w:t>
      </w:r>
      <w:r w:rsidRPr="001E1DBF">
        <w:rPr>
          <w:rFonts w:ascii="Arial" w:hAnsi="Arial" w:cs="Arial"/>
          <w:b/>
          <w:bCs/>
        </w:rPr>
        <w:t>communication theory</w:t>
      </w:r>
      <w:r w:rsidRPr="001E1DBF">
        <w:rPr>
          <w:rFonts w:ascii="Arial" w:hAnsi="Arial" w:cs="Arial"/>
        </w:rPr>
        <w:t>, specifically </w:t>
      </w:r>
      <w:r w:rsidRPr="001E1DBF">
        <w:rPr>
          <w:rFonts w:ascii="Arial" w:hAnsi="Arial" w:cs="Arial"/>
          <w:b/>
          <w:bCs/>
        </w:rPr>
        <w:t>Advance Care Planning (ACP)</w:t>
      </w:r>
      <w:r w:rsidRPr="001E1DBF">
        <w:rPr>
          <w:rFonts w:ascii="Arial" w:hAnsi="Arial" w:cs="Arial"/>
        </w:rPr>
        <w:t>. The theoretical benefit of ACP is that it ensures a resident's end-of-life wishes are known and respected. However, Bone et al. (2019) found that when ACP is absent, care staff lack the confidence to manage sudden deteriorations, leading to unnecessary emergency hospital admissions. On a practical level, it is not that staff do not want to have these conversations; it is that they are overwhelmed by the pressures of the day (Harasym et al., 2020). The gap between ideal theory and daily reality is exactly what this dissertation aims to explore.</w:t>
      </w:r>
    </w:p>
    <w:p w14:paraId="10801F04" w14:textId="77777777" w:rsidR="005505EB" w:rsidRPr="001E1DBF" w:rsidRDefault="005505EB" w:rsidP="001E1DBF">
      <w:pPr>
        <w:spacing w:line="360" w:lineRule="auto"/>
        <w:jc w:val="both"/>
        <w:rPr>
          <w:rFonts w:ascii="Arial" w:hAnsi="Arial" w:cs="Arial"/>
          <w:b/>
          <w:bCs/>
        </w:rPr>
      </w:pPr>
      <w:r w:rsidRPr="001E1DBF">
        <w:rPr>
          <w:rFonts w:ascii="Arial" w:hAnsi="Arial" w:cs="Arial"/>
          <w:b/>
          <w:bCs/>
        </w:rPr>
        <w:t>2.4 International Perspectives</w:t>
      </w:r>
    </w:p>
    <w:p w14:paraId="1E3288E3" w14:textId="646CDB7B" w:rsidR="005505EB" w:rsidRPr="001E1DBF" w:rsidRDefault="005505EB" w:rsidP="001E1DBF">
      <w:pPr>
        <w:spacing w:line="360" w:lineRule="auto"/>
        <w:jc w:val="both"/>
        <w:rPr>
          <w:rFonts w:ascii="Arial" w:hAnsi="Arial" w:cs="Arial"/>
        </w:rPr>
      </w:pPr>
      <w:r w:rsidRPr="001E1DBF">
        <w:rPr>
          <w:rFonts w:ascii="Arial" w:hAnsi="Arial" w:cs="Arial"/>
        </w:rPr>
        <w:t xml:space="preserve">Before I looked at this topic, I assumed the UK was unique in struggling with care home palliative care. However, looking internationally shows that </w:t>
      </w:r>
      <w:r w:rsidR="00815FD9" w:rsidRPr="001E1DBF">
        <w:rPr>
          <w:rFonts w:ascii="Arial" w:hAnsi="Arial" w:cs="Arial"/>
        </w:rPr>
        <w:t>every</w:t>
      </w:r>
      <w:r w:rsidRPr="001E1DBF">
        <w:rPr>
          <w:rFonts w:ascii="Arial" w:hAnsi="Arial" w:cs="Arial"/>
        </w:rPr>
        <w:t xml:space="preserve"> developed country is dealing with the same issues. Across Europe, populations are ageing, and deaths are increasingly happening in long-term care facilities (LTCFs), which are struggling to adapt.</w:t>
      </w:r>
    </w:p>
    <w:p w14:paraId="13BA3B4B" w14:textId="77777777" w:rsidR="005505EB" w:rsidRPr="001E1DBF" w:rsidRDefault="005505EB" w:rsidP="001E1DBF">
      <w:pPr>
        <w:spacing w:line="360" w:lineRule="auto"/>
        <w:jc w:val="both"/>
        <w:rPr>
          <w:rFonts w:ascii="Arial" w:hAnsi="Arial" w:cs="Arial"/>
        </w:rPr>
      </w:pPr>
      <w:r w:rsidRPr="001E1DBF">
        <w:rPr>
          <w:rFonts w:ascii="Arial" w:hAnsi="Arial" w:cs="Arial"/>
        </w:rPr>
        <w:t>The strongest comparative evidence comes from a massive multi-country initiative called the </w:t>
      </w:r>
      <w:r w:rsidRPr="001E1DBF">
        <w:rPr>
          <w:rFonts w:ascii="Arial" w:hAnsi="Arial" w:cs="Arial"/>
          <w:i/>
          <w:iCs/>
        </w:rPr>
        <w:t>PACE</w:t>
      </w:r>
      <w:r w:rsidRPr="001E1DBF">
        <w:rPr>
          <w:rFonts w:ascii="Arial" w:hAnsi="Arial" w:cs="Arial"/>
        </w:rPr>
        <w:t xml:space="preserve"> study. Researchers there evaluated a "Steps to Success" programme across seven European nations. The results published by Oosterveld-Vlug et al. (2019) and Van den Block et al. (2020) were striking: every country faced the same barriers. Lack of time, high staff </w:t>
      </w:r>
      <w:r w:rsidRPr="001E1DBF">
        <w:rPr>
          <w:rFonts w:ascii="Arial" w:hAnsi="Arial" w:cs="Arial"/>
        </w:rPr>
        <w:lastRenderedPageBreak/>
        <w:t>turnover, and inadequate palliative education were universal problems. The UK was not an outlier.</w:t>
      </w:r>
    </w:p>
    <w:p w14:paraId="6A816304" w14:textId="1A92D794" w:rsidR="005505EB" w:rsidRPr="001E1DBF" w:rsidRDefault="005505EB" w:rsidP="001E1DBF">
      <w:pPr>
        <w:spacing w:line="360" w:lineRule="auto"/>
        <w:jc w:val="both"/>
        <w:rPr>
          <w:rFonts w:ascii="Arial" w:hAnsi="Arial" w:cs="Arial"/>
        </w:rPr>
      </w:pPr>
      <w:r w:rsidRPr="001E1DBF">
        <w:rPr>
          <w:rFonts w:ascii="Arial" w:hAnsi="Arial" w:cs="Arial"/>
        </w:rPr>
        <w:t xml:space="preserve">Interestingly, looking at Sweden provides some practical lessons. Andersson et al. (2021) used Swedish national records to show that simply having </w:t>
      </w:r>
      <w:r w:rsidR="00B23C4D" w:rsidRPr="001E1DBF">
        <w:rPr>
          <w:rFonts w:ascii="Arial" w:hAnsi="Arial" w:cs="Arial"/>
        </w:rPr>
        <w:t>initiative-taking</w:t>
      </w:r>
      <w:r w:rsidRPr="001E1DBF">
        <w:rPr>
          <w:rFonts w:ascii="Arial" w:hAnsi="Arial" w:cs="Arial"/>
        </w:rPr>
        <w:t xml:space="preserve"> conversations about end-of-life preferences drastically improved symptom control and reduced distress for residents. Another Swedish study by Andersson et al. (2018) highlighted the emotional toll on care professionals, noting that they often felt unsupported. While the funding models may differ across borders, the core truth remains the same: implementing dignified end-of-life care is a global struggle that requires better training and protected time, not </w:t>
      </w:r>
      <w:r w:rsidR="00815FD9" w:rsidRPr="001E1DBF">
        <w:rPr>
          <w:rFonts w:ascii="Arial" w:hAnsi="Arial" w:cs="Arial"/>
        </w:rPr>
        <w:t>better</w:t>
      </w:r>
      <w:r w:rsidRPr="001E1DBF">
        <w:rPr>
          <w:rFonts w:ascii="Arial" w:hAnsi="Arial" w:cs="Arial"/>
        </w:rPr>
        <w:t xml:space="preserve"> policy.</w:t>
      </w:r>
    </w:p>
    <w:p w14:paraId="00C08831" w14:textId="77777777" w:rsidR="005505EB" w:rsidRPr="001E1DBF" w:rsidRDefault="005505EB" w:rsidP="001E1DBF">
      <w:pPr>
        <w:spacing w:line="360" w:lineRule="auto"/>
        <w:jc w:val="both"/>
        <w:rPr>
          <w:rFonts w:ascii="Arial" w:hAnsi="Arial" w:cs="Arial"/>
          <w:b/>
          <w:bCs/>
        </w:rPr>
      </w:pPr>
      <w:r w:rsidRPr="001E1DBF">
        <w:rPr>
          <w:rFonts w:ascii="Arial" w:hAnsi="Arial" w:cs="Arial"/>
          <w:b/>
          <w:bCs/>
        </w:rPr>
        <w:t>2.5 National and Local Context</w:t>
      </w:r>
    </w:p>
    <w:p w14:paraId="75357D50" w14:textId="350547EA" w:rsidR="005505EB" w:rsidRPr="001E1DBF" w:rsidRDefault="005505EB" w:rsidP="001E1DBF">
      <w:pPr>
        <w:spacing w:line="360" w:lineRule="auto"/>
        <w:jc w:val="both"/>
        <w:rPr>
          <w:rFonts w:ascii="Arial" w:hAnsi="Arial" w:cs="Arial"/>
        </w:rPr>
      </w:pPr>
      <w:r w:rsidRPr="001E1DBF">
        <w:rPr>
          <w:rFonts w:ascii="Arial" w:hAnsi="Arial" w:cs="Arial"/>
        </w:rPr>
        <w:t xml:space="preserve">National policy in the UK looks very thorough on paper. The National Institute for Health and Care Excellence (NICE) published </w:t>
      </w:r>
      <w:r w:rsidR="001832A5" w:rsidRPr="001E1DBF">
        <w:rPr>
          <w:rFonts w:ascii="Arial" w:hAnsi="Arial" w:cs="Arial"/>
        </w:rPr>
        <w:t>its</w:t>
      </w:r>
      <w:r w:rsidRPr="001E1DBF">
        <w:rPr>
          <w:rFonts w:ascii="Arial" w:hAnsi="Arial" w:cs="Arial"/>
        </w:rPr>
        <w:t xml:space="preserve"> guideline Care of Dying Adults in the Last Days of Life (NG31) back in 2015. It provides clear clinical standards for managing symptoms, nutrition, and psychological support, and explicitly states that care must be tailored to the individual's wishes.</w:t>
      </w:r>
    </w:p>
    <w:p w14:paraId="20156B23" w14:textId="5F3E0250" w:rsidR="005505EB" w:rsidRPr="001E1DBF" w:rsidRDefault="005505EB" w:rsidP="001E1DBF">
      <w:pPr>
        <w:spacing w:line="360" w:lineRule="auto"/>
        <w:jc w:val="both"/>
        <w:rPr>
          <w:rFonts w:ascii="Arial" w:hAnsi="Arial" w:cs="Arial"/>
        </w:rPr>
      </w:pPr>
      <w:r w:rsidRPr="001E1DBF">
        <w:rPr>
          <w:rFonts w:ascii="Arial" w:hAnsi="Arial" w:cs="Arial"/>
        </w:rPr>
        <w:t xml:space="preserve">However, putting these guidelines into action is completely different. There have been </w:t>
      </w:r>
      <w:r w:rsidR="00B34097" w:rsidRPr="001E1DBF">
        <w:rPr>
          <w:rFonts w:ascii="Arial" w:hAnsi="Arial" w:cs="Arial"/>
        </w:rPr>
        <w:t>localised</w:t>
      </w:r>
      <w:r w:rsidRPr="001E1DBF">
        <w:rPr>
          <w:rFonts w:ascii="Arial" w:hAnsi="Arial" w:cs="Arial"/>
        </w:rPr>
        <w:t xml:space="preserve"> attempts to bridge the gap, such as the </w:t>
      </w:r>
      <w:r w:rsidRPr="001E1DBF">
        <w:rPr>
          <w:rFonts w:ascii="Arial" w:hAnsi="Arial" w:cs="Arial"/>
          <w:i/>
          <w:iCs/>
        </w:rPr>
        <w:t>Six Steps to Success</w:t>
      </w:r>
      <w:r w:rsidRPr="001E1DBF">
        <w:rPr>
          <w:rFonts w:ascii="Arial" w:hAnsi="Arial" w:cs="Arial"/>
        </w:rPr>
        <w:t xml:space="preserve"> programme trialled in the </w:t>
      </w:r>
      <w:r w:rsidR="00B23C4D" w:rsidRPr="001E1DBF">
        <w:rPr>
          <w:rFonts w:ascii="Arial" w:hAnsi="Arial" w:cs="Arial"/>
        </w:rPr>
        <w:t>Northwest</w:t>
      </w:r>
      <w:r w:rsidRPr="001E1DBF">
        <w:rPr>
          <w:rFonts w:ascii="Arial" w:hAnsi="Arial" w:cs="Arial"/>
        </w:rPr>
        <w:t xml:space="preserve"> of England (O'Brien et al., 2016). Springett (2017) evaluated a similar programme in the South of England and found that </w:t>
      </w:r>
      <w:r w:rsidR="007A71D8" w:rsidRPr="001E1DBF">
        <w:rPr>
          <w:rFonts w:ascii="Arial" w:hAnsi="Arial" w:cs="Arial"/>
        </w:rPr>
        <w:t>it</w:t>
      </w:r>
      <w:r w:rsidRPr="001E1DBF">
        <w:rPr>
          <w:rFonts w:ascii="Arial" w:hAnsi="Arial" w:cs="Arial"/>
        </w:rPr>
        <w:t xml:space="preserve"> only led to real improvement when the management team was fully committed</w:t>
      </w:r>
      <w:r w:rsidR="0009571B" w:rsidRPr="001E1DBF">
        <w:rPr>
          <w:rFonts w:ascii="Arial" w:hAnsi="Arial" w:cs="Arial"/>
        </w:rPr>
        <w:t>,</w:t>
      </w:r>
      <w:r w:rsidRPr="001E1DBF">
        <w:rPr>
          <w:rFonts w:ascii="Arial" w:hAnsi="Arial" w:cs="Arial"/>
        </w:rPr>
        <w:t xml:space="preserve"> and there was access to specialist palliative nurses. If that local support was missing, the programmes fell apart.</w:t>
      </w:r>
    </w:p>
    <w:p w14:paraId="70BBF381" w14:textId="57FE6429" w:rsidR="005505EB" w:rsidRPr="001E1DBF" w:rsidRDefault="005505EB" w:rsidP="001E1DBF">
      <w:pPr>
        <w:spacing w:line="360" w:lineRule="auto"/>
        <w:jc w:val="both"/>
        <w:rPr>
          <w:rFonts w:ascii="Arial" w:hAnsi="Arial" w:cs="Arial"/>
        </w:rPr>
      </w:pPr>
      <w:r w:rsidRPr="001E1DBF">
        <w:rPr>
          <w:rFonts w:ascii="Arial" w:hAnsi="Arial" w:cs="Arial"/>
        </w:rPr>
        <w:t>A major issue is the lack of consistency across the country. The Care Quality Commission (CQC, 2022) has highlighted that staffing and training levels vary massively from one region to the next, creating a postcode lottery of care quality. This was brutally exposed during the COVID-19 pandemic. Bradshaw et al. (2023) found that national guidance was simply useless without local infrastructure. Residents were isolated from their families, staff were burnt out, and palliative provisions collapsed. It is a harsh reminder that a national policy is only as good as the local resources available to support it.</w:t>
      </w:r>
    </w:p>
    <w:p w14:paraId="23F6F90B" w14:textId="77777777" w:rsidR="005505EB" w:rsidRPr="001E1DBF" w:rsidRDefault="005505EB" w:rsidP="001E1DBF">
      <w:pPr>
        <w:spacing w:line="360" w:lineRule="auto"/>
        <w:jc w:val="both"/>
        <w:rPr>
          <w:rFonts w:ascii="Arial" w:hAnsi="Arial" w:cs="Arial"/>
          <w:b/>
          <w:bCs/>
        </w:rPr>
      </w:pPr>
    </w:p>
    <w:p w14:paraId="6DB3A250" w14:textId="77777777" w:rsidR="005505EB" w:rsidRPr="001E1DBF" w:rsidRDefault="005505EB" w:rsidP="001E1DBF">
      <w:pPr>
        <w:spacing w:line="360" w:lineRule="auto"/>
        <w:jc w:val="both"/>
        <w:rPr>
          <w:rFonts w:ascii="Arial" w:hAnsi="Arial" w:cs="Arial"/>
          <w:b/>
          <w:bCs/>
        </w:rPr>
      </w:pPr>
    </w:p>
    <w:p w14:paraId="438609AE" w14:textId="77777777" w:rsidR="005505EB" w:rsidRPr="001E1DBF" w:rsidRDefault="005505EB" w:rsidP="001E1DBF">
      <w:pPr>
        <w:spacing w:line="360" w:lineRule="auto"/>
        <w:jc w:val="both"/>
        <w:rPr>
          <w:rFonts w:ascii="Arial" w:hAnsi="Arial" w:cs="Arial"/>
          <w:b/>
          <w:bCs/>
        </w:rPr>
      </w:pPr>
    </w:p>
    <w:p w14:paraId="56D9D3A4" w14:textId="77777777" w:rsidR="00E91669" w:rsidRPr="001E1DBF" w:rsidRDefault="00E91669" w:rsidP="001E1DBF">
      <w:pPr>
        <w:spacing w:line="360" w:lineRule="auto"/>
        <w:jc w:val="both"/>
        <w:rPr>
          <w:rFonts w:ascii="Arial" w:hAnsi="Arial" w:cs="Arial"/>
          <w:b/>
          <w:bCs/>
        </w:rPr>
      </w:pPr>
    </w:p>
    <w:p w14:paraId="75799B3D" w14:textId="766D36BC" w:rsidR="005505EB" w:rsidRPr="001E1DBF" w:rsidRDefault="005505EB" w:rsidP="001E1DBF">
      <w:pPr>
        <w:spacing w:line="360" w:lineRule="auto"/>
        <w:jc w:val="both"/>
        <w:rPr>
          <w:rFonts w:ascii="Arial" w:hAnsi="Arial" w:cs="Arial"/>
          <w:b/>
          <w:bCs/>
        </w:rPr>
      </w:pPr>
      <w:r w:rsidRPr="001E1DBF">
        <w:rPr>
          <w:rFonts w:ascii="Arial" w:hAnsi="Arial" w:cs="Arial"/>
          <w:b/>
          <w:bCs/>
        </w:rPr>
        <w:lastRenderedPageBreak/>
        <w:t>2.6 Conclusion</w:t>
      </w:r>
    </w:p>
    <w:p w14:paraId="55456B45" w14:textId="77777777" w:rsidR="005505EB" w:rsidRPr="001E1DBF" w:rsidRDefault="005505EB" w:rsidP="001E1DBF">
      <w:pPr>
        <w:spacing w:line="360" w:lineRule="auto"/>
        <w:jc w:val="both"/>
        <w:rPr>
          <w:rFonts w:ascii="Arial" w:hAnsi="Arial" w:cs="Arial"/>
        </w:rPr>
      </w:pPr>
      <w:r w:rsidRPr="001E1DBF">
        <w:rPr>
          <w:rFonts w:ascii="Arial" w:hAnsi="Arial" w:cs="Arial"/>
        </w:rPr>
        <w:t>This chapter has explored the deep historical roots of the current barriers facing UK care homes, the theories that tell us how care </w:t>
      </w:r>
      <w:r w:rsidRPr="001E1DBF">
        <w:rPr>
          <w:rFonts w:ascii="Arial" w:hAnsi="Arial" w:cs="Arial"/>
          <w:i/>
          <w:iCs/>
        </w:rPr>
        <w:t>should</w:t>
      </w:r>
      <w:r w:rsidRPr="001E1DBF">
        <w:rPr>
          <w:rFonts w:ascii="Arial" w:hAnsi="Arial" w:cs="Arial"/>
        </w:rPr>
        <w:t> be delivered, and the international/national frameworks that shape practice. What is clear is that the desire to provide dignified, person-centred care is not new, and the theoretical backing for it is strong. However, the historical evidence shows that translating these ideals into reality has been an ongoing struggle, hampered by a lack of resources, rigid workplace cultures, and broken communication channels.</w:t>
      </w:r>
    </w:p>
    <w:p w14:paraId="6331167F" w14:textId="77777777" w:rsidR="005505EB" w:rsidRPr="001E1DBF" w:rsidRDefault="005505EB" w:rsidP="001E1DBF">
      <w:pPr>
        <w:spacing w:line="360" w:lineRule="auto"/>
        <w:jc w:val="both"/>
        <w:rPr>
          <w:rFonts w:ascii="Arial" w:hAnsi="Arial" w:cs="Arial"/>
        </w:rPr>
      </w:pPr>
      <w:r w:rsidRPr="001E1DBF">
        <w:rPr>
          <w:rFonts w:ascii="Arial" w:hAnsi="Arial" w:cs="Arial"/>
        </w:rPr>
        <w:t>The international evidence from the PACE study and Swedish research confirms that the UK is not unique in facing these problems. Furthermore, the gap between NICE guidelines and the day-to-day reality highlighted by the CQC shows just how fractured the current system is. This comprehensive background now provides a solid foundation. In the following chapter, I will outline the exact methods and search strategy I used to identify and analyse the current literature focusing on these specific barriers.</w:t>
      </w:r>
    </w:p>
    <w:p w14:paraId="67F16AAF" w14:textId="77777777" w:rsidR="00281A7B" w:rsidRDefault="00281A7B" w:rsidP="005505EB">
      <w:pPr>
        <w:spacing w:line="360" w:lineRule="auto"/>
        <w:jc w:val="both"/>
        <w:rPr>
          <w:rFonts w:ascii="Arial" w:hAnsi="Arial" w:cs="Arial"/>
        </w:rPr>
      </w:pPr>
    </w:p>
    <w:p w14:paraId="347E6334" w14:textId="77777777" w:rsidR="00281A7B" w:rsidRDefault="00281A7B" w:rsidP="005505EB">
      <w:pPr>
        <w:spacing w:line="360" w:lineRule="auto"/>
        <w:jc w:val="both"/>
        <w:rPr>
          <w:rFonts w:ascii="Arial" w:hAnsi="Arial" w:cs="Arial"/>
        </w:rPr>
      </w:pPr>
    </w:p>
    <w:p w14:paraId="65A682DA" w14:textId="77777777" w:rsidR="00281A7B" w:rsidRDefault="00281A7B" w:rsidP="005505EB">
      <w:pPr>
        <w:spacing w:line="360" w:lineRule="auto"/>
        <w:jc w:val="both"/>
        <w:rPr>
          <w:rFonts w:ascii="Arial" w:hAnsi="Arial" w:cs="Arial"/>
        </w:rPr>
      </w:pPr>
    </w:p>
    <w:p w14:paraId="7D135400" w14:textId="77777777" w:rsidR="00281A7B" w:rsidRDefault="00281A7B" w:rsidP="005505EB">
      <w:pPr>
        <w:spacing w:line="360" w:lineRule="auto"/>
        <w:jc w:val="both"/>
        <w:rPr>
          <w:rFonts w:ascii="Arial" w:hAnsi="Arial" w:cs="Arial"/>
        </w:rPr>
      </w:pPr>
    </w:p>
    <w:p w14:paraId="013559B2" w14:textId="77777777" w:rsidR="00281A7B" w:rsidRDefault="00281A7B" w:rsidP="005505EB">
      <w:pPr>
        <w:spacing w:line="360" w:lineRule="auto"/>
        <w:jc w:val="both"/>
        <w:rPr>
          <w:rFonts w:ascii="Arial" w:hAnsi="Arial" w:cs="Arial"/>
        </w:rPr>
      </w:pPr>
    </w:p>
    <w:p w14:paraId="0B6EEC51" w14:textId="77777777" w:rsidR="00281A7B" w:rsidRDefault="00281A7B" w:rsidP="005505EB">
      <w:pPr>
        <w:spacing w:line="360" w:lineRule="auto"/>
        <w:jc w:val="both"/>
        <w:rPr>
          <w:rFonts w:ascii="Arial" w:hAnsi="Arial" w:cs="Arial"/>
        </w:rPr>
      </w:pPr>
    </w:p>
    <w:p w14:paraId="176EA105" w14:textId="77777777" w:rsidR="00281A7B" w:rsidRDefault="00281A7B" w:rsidP="005505EB">
      <w:pPr>
        <w:spacing w:line="360" w:lineRule="auto"/>
        <w:jc w:val="both"/>
        <w:rPr>
          <w:rFonts w:ascii="Arial" w:hAnsi="Arial" w:cs="Arial"/>
        </w:rPr>
      </w:pPr>
    </w:p>
    <w:p w14:paraId="231918A4" w14:textId="77777777" w:rsidR="00281A7B" w:rsidRDefault="00281A7B" w:rsidP="005505EB">
      <w:pPr>
        <w:spacing w:line="360" w:lineRule="auto"/>
        <w:jc w:val="both"/>
        <w:rPr>
          <w:rFonts w:ascii="Arial" w:hAnsi="Arial" w:cs="Arial"/>
        </w:rPr>
      </w:pPr>
    </w:p>
    <w:p w14:paraId="7EA94115" w14:textId="77777777" w:rsidR="00281A7B" w:rsidRDefault="00281A7B" w:rsidP="005505EB">
      <w:pPr>
        <w:spacing w:line="360" w:lineRule="auto"/>
        <w:jc w:val="both"/>
        <w:rPr>
          <w:rFonts w:ascii="Arial" w:hAnsi="Arial" w:cs="Arial"/>
        </w:rPr>
      </w:pPr>
    </w:p>
    <w:p w14:paraId="394FDAD2" w14:textId="77777777" w:rsidR="00281A7B" w:rsidRDefault="00281A7B" w:rsidP="005505EB">
      <w:pPr>
        <w:spacing w:line="360" w:lineRule="auto"/>
        <w:jc w:val="both"/>
        <w:rPr>
          <w:rFonts w:ascii="Arial" w:hAnsi="Arial" w:cs="Arial"/>
        </w:rPr>
      </w:pPr>
    </w:p>
    <w:p w14:paraId="26F063B0" w14:textId="77777777" w:rsidR="00281A7B" w:rsidRDefault="00281A7B" w:rsidP="005505EB">
      <w:pPr>
        <w:spacing w:line="360" w:lineRule="auto"/>
        <w:jc w:val="both"/>
        <w:rPr>
          <w:rFonts w:ascii="Arial" w:hAnsi="Arial" w:cs="Arial"/>
        </w:rPr>
      </w:pPr>
    </w:p>
    <w:p w14:paraId="33957563" w14:textId="77777777" w:rsidR="00281A7B" w:rsidRDefault="00281A7B" w:rsidP="005505EB">
      <w:pPr>
        <w:spacing w:line="360" w:lineRule="auto"/>
        <w:jc w:val="both"/>
        <w:rPr>
          <w:rFonts w:ascii="Arial" w:hAnsi="Arial" w:cs="Arial"/>
        </w:rPr>
      </w:pPr>
    </w:p>
    <w:p w14:paraId="33EB1521" w14:textId="77777777" w:rsidR="00281A7B" w:rsidRDefault="00281A7B" w:rsidP="005505EB">
      <w:pPr>
        <w:spacing w:line="360" w:lineRule="auto"/>
        <w:jc w:val="both"/>
        <w:rPr>
          <w:rFonts w:ascii="Arial" w:hAnsi="Arial" w:cs="Arial"/>
        </w:rPr>
      </w:pPr>
    </w:p>
    <w:p w14:paraId="0F2DB178" w14:textId="77777777" w:rsidR="00281A7B" w:rsidRDefault="00281A7B" w:rsidP="005505EB">
      <w:pPr>
        <w:spacing w:line="360" w:lineRule="auto"/>
        <w:jc w:val="both"/>
        <w:rPr>
          <w:rFonts w:ascii="Arial" w:hAnsi="Arial" w:cs="Arial"/>
        </w:rPr>
      </w:pPr>
    </w:p>
    <w:p w14:paraId="7349C318" w14:textId="77777777" w:rsidR="00281A7B" w:rsidRDefault="00281A7B" w:rsidP="005505EB">
      <w:pPr>
        <w:spacing w:line="360" w:lineRule="auto"/>
        <w:jc w:val="both"/>
        <w:rPr>
          <w:rFonts w:ascii="Arial" w:hAnsi="Arial" w:cs="Arial"/>
        </w:rPr>
      </w:pPr>
    </w:p>
    <w:p w14:paraId="0C6AB3D5" w14:textId="77777777" w:rsidR="00D34430" w:rsidRPr="00D34430" w:rsidRDefault="00D34430" w:rsidP="00D34430">
      <w:pPr>
        <w:spacing w:line="360" w:lineRule="auto"/>
        <w:jc w:val="both"/>
        <w:rPr>
          <w:rFonts w:ascii="Arial" w:hAnsi="Arial" w:cs="Arial"/>
          <w:b/>
          <w:bCs/>
        </w:rPr>
      </w:pPr>
      <w:r w:rsidRPr="00D34430">
        <w:rPr>
          <w:rFonts w:ascii="Arial" w:hAnsi="Arial" w:cs="Arial"/>
          <w:b/>
          <w:bCs/>
        </w:rPr>
        <w:lastRenderedPageBreak/>
        <w:t>References</w:t>
      </w:r>
    </w:p>
    <w:p w14:paraId="7481BAD5"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Andersson, S., Lindqvist, O., Fürst, C.J. and Brännström, M. (2018) 'Care professionals' experiences of using the Liverpool Care Pathway in end-of-life care in residential care homes', </w:t>
      </w:r>
      <w:r w:rsidRPr="00D34430">
        <w:rPr>
          <w:rFonts w:ascii="Arial" w:hAnsi="Arial" w:cs="Arial"/>
          <w:i/>
          <w:iCs/>
        </w:rPr>
        <w:t>Scandinavian Journal of Caring Sciences</w:t>
      </w:r>
      <w:r w:rsidRPr="00D34430">
        <w:rPr>
          <w:rFonts w:ascii="Arial" w:hAnsi="Arial" w:cs="Arial"/>
        </w:rPr>
        <w:t>, 32(1), pp. 299–308.</w:t>
      </w:r>
    </w:p>
    <w:p w14:paraId="2FE97005"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Andersson, S., Lindqvist, O., Fürst, C.J. and Brännström, M. (2021) 'End-of-life discussions in residential care homes improve symptom control: a national register study', </w:t>
      </w:r>
      <w:r w:rsidRPr="00D34430">
        <w:rPr>
          <w:rFonts w:ascii="Arial" w:hAnsi="Arial" w:cs="Arial"/>
          <w:i/>
          <w:iCs/>
        </w:rPr>
        <w:t>BMJ Supportive &amp; Palliative Care</w:t>
      </w:r>
      <w:r w:rsidRPr="00D34430">
        <w:rPr>
          <w:rFonts w:ascii="Arial" w:hAnsi="Arial" w:cs="Arial"/>
        </w:rPr>
        <w:t>, 11(4), pp. 456–461.</w:t>
      </w:r>
    </w:p>
    <w:p w14:paraId="297B465C"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Anstey, S., Powell, T., Coles, B., Hale, R. and Gould, D. (2016) 'Education and training to enhance end-of-life care for nursing home staff: a systematic literature review', </w:t>
      </w:r>
      <w:r w:rsidRPr="00D34430">
        <w:rPr>
          <w:rFonts w:ascii="Arial" w:hAnsi="Arial" w:cs="Arial"/>
          <w:i/>
          <w:iCs/>
        </w:rPr>
        <w:t>BMJ Supportive &amp; Palliative Care</w:t>
      </w:r>
      <w:r w:rsidRPr="00D34430">
        <w:rPr>
          <w:rFonts w:ascii="Arial" w:hAnsi="Arial" w:cs="Arial"/>
        </w:rPr>
        <w:t>, 6(3), pp. 353–361.</w:t>
      </w:r>
    </w:p>
    <w:p w14:paraId="79470964"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Bone, A.E., Evans, C.J., Etkind, S.N., Sleeman, K.E., Gomes, B., Aldridge, M., Keep, J., Verne, J. and Higginson, I.J. (2019) 'Factors associated with older people's emergency department attendance towards the end of life: a systematic review', </w:t>
      </w:r>
      <w:r w:rsidRPr="00D34430">
        <w:rPr>
          <w:rFonts w:ascii="Arial" w:hAnsi="Arial" w:cs="Arial"/>
          <w:i/>
          <w:iCs/>
        </w:rPr>
        <w:t>European Journal of Public Health</w:t>
      </w:r>
      <w:r w:rsidRPr="00D34430">
        <w:rPr>
          <w:rFonts w:ascii="Arial" w:hAnsi="Arial" w:cs="Arial"/>
        </w:rPr>
        <w:t>, 29(1), pp. 67–74.</w:t>
      </w:r>
    </w:p>
    <w:p w14:paraId="35403698"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Boomer, C., Ross, M. and Dillon, D. (2019) 'Improving caregivers' experience: enhancing end-of-life care for residents', </w:t>
      </w:r>
      <w:r w:rsidRPr="00D34430">
        <w:rPr>
          <w:rFonts w:ascii="Arial" w:hAnsi="Arial" w:cs="Arial"/>
          <w:i/>
          <w:iCs/>
        </w:rPr>
        <w:t>International Practice Development Journal</w:t>
      </w:r>
      <w:r w:rsidRPr="00D34430">
        <w:rPr>
          <w:rFonts w:ascii="Arial" w:hAnsi="Arial" w:cs="Arial"/>
        </w:rPr>
        <w:t>, 9(1), p. 2.</w:t>
      </w:r>
    </w:p>
    <w:p w14:paraId="7B7B2308"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Bradshaw, A., Dunleavy, L., Garner, I., Preston, N. and Walshe, C. (2023) 'The impact of COVID-19 on palliative and end-of-life care in care homes: a systematic review', </w:t>
      </w:r>
      <w:r w:rsidRPr="00D34430">
        <w:rPr>
          <w:rFonts w:ascii="Arial" w:hAnsi="Arial" w:cs="Arial"/>
          <w:i/>
          <w:iCs/>
        </w:rPr>
        <w:t>Palliative Medicine</w:t>
      </w:r>
      <w:r w:rsidRPr="00D34430">
        <w:rPr>
          <w:rFonts w:ascii="Arial" w:hAnsi="Arial" w:cs="Arial"/>
        </w:rPr>
        <w:t>, 37(2), pp. 234–250.</w:t>
      </w:r>
    </w:p>
    <w:p w14:paraId="3DFBE47D"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Browne, S., Kelly, M.P., Bowers, B., Duschinsky, R., Kuhn, I., Daniels, C. and Barclay, S. (2026) 'Improving general practitioner involvement in care home end-of-life care: a systematic literature review and narrative synthesis', </w:t>
      </w:r>
      <w:r w:rsidRPr="00D34430">
        <w:rPr>
          <w:rFonts w:ascii="Arial" w:hAnsi="Arial" w:cs="Arial"/>
          <w:i/>
          <w:iCs/>
        </w:rPr>
        <w:t>BJGP Open</w:t>
      </w:r>
      <w:r w:rsidRPr="00D34430">
        <w:rPr>
          <w:rFonts w:ascii="Arial" w:hAnsi="Arial" w:cs="Arial"/>
        </w:rPr>
        <w:t>. Advance online publication.</w:t>
      </w:r>
    </w:p>
    <w:p w14:paraId="03796F8C"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Care Quality Commission (2022) </w:t>
      </w:r>
      <w:r w:rsidRPr="00D34430">
        <w:rPr>
          <w:rFonts w:ascii="Arial" w:hAnsi="Arial" w:cs="Arial"/>
          <w:i/>
          <w:iCs/>
        </w:rPr>
        <w:t>The state of health care and adult social care in England 2021/22</w:t>
      </w:r>
      <w:r w:rsidRPr="00D34430">
        <w:rPr>
          <w:rFonts w:ascii="Arial" w:hAnsi="Arial" w:cs="Arial"/>
        </w:rPr>
        <w:t>. Newcastle upon Tyne: Care Quality Commission.</w:t>
      </w:r>
    </w:p>
    <w:p w14:paraId="64B9030E"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Collingridge Moore, D., Payne, S., Van den Block, L., Ling, J. and Froggatt, K. (2020) 'Strategies for the implementation of palliative care education and organisational interventions in long-term care facilities: a scoping review', </w:t>
      </w:r>
      <w:r w:rsidRPr="00D34430">
        <w:rPr>
          <w:rFonts w:ascii="Arial" w:hAnsi="Arial" w:cs="Arial"/>
          <w:i/>
          <w:iCs/>
        </w:rPr>
        <w:t>Palliative Medicine</w:t>
      </w:r>
      <w:r w:rsidRPr="00D34430">
        <w:rPr>
          <w:rFonts w:ascii="Arial" w:hAnsi="Arial" w:cs="Arial"/>
        </w:rPr>
        <w:t>, 34(5), pp. 558–570.</w:t>
      </w:r>
    </w:p>
    <w:p w14:paraId="28B72EF1"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Damant, J., Hamashima, Y., Toma, M. and Moriarty, J. (2026) 'Investigating person-centred care planning in care homes across England: an exploratory study of practices and contextual factors', </w:t>
      </w:r>
      <w:r w:rsidRPr="00D34430">
        <w:rPr>
          <w:rFonts w:ascii="Arial" w:hAnsi="Arial" w:cs="Arial"/>
          <w:i/>
          <w:iCs/>
        </w:rPr>
        <w:t>Journal of Advanced Nursing</w:t>
      </w:r>
      <w:r w:rsidRPr="00D34430">
        <w:rPr>
          <w:rFonts w:ascii="Arial" w:hAnsi="Arial" w:cs="Arial"/>
        </w:rPr>
        <w:t>. Advance online publication.</w:t>
      </w:r>
    </w:p>
    <w:p w14:paraId="16909AE3"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Dobie, J., Plumb, M. and Shepherd, S. (2016) 'End-of-life care education for care home staff: an evaluation', </w:t>
      </w:r>
      <w:r w:rsidRPr="00D34430">
        <w:rPr>
          <w:rFonts w:ascii="Arial" w:hAnsi="Arial" w:cs="Arial"/>
          <w:i/>
          <w:iCs/>
        </w:rPr>
        <w:t>Nursing and Residential Care</w:t>
      </w:r>
      <w:r w:rsidRPr="00D34430">
        <w:rPr>
          <w:rFonts w:ascii="Arial" w:hAnsi="Arial" w:cs="Arial"/>
        </w:rPr>
        <w:t>, 18(5), pp. 263–267.</w:t>
      </w:r>
    </w:p>
    <w:p w14:paraId="4492A6F2" w14:textId="77777777" w:rsidR="00D34430" w:rsidRPr="00D34430" w:rsidRDefault="00D34430" w:rsidP="00D34430">
      <w:pPr>
        <w:spacing w:line="360" w:lineRule="auto"/>
        <w:jc w:val="both"/>
        <w:rPr>
          <w:rFonts w:ascii="Arial" w:hAnsi="Arial" w:cs="Arial"/>
        </w:rPr>
      </w:pPr>
      <w:r w:rsidRPr="00D34430">
        <w:rPr>
          <w:rFonts w:ascii="Arial" w:hAnsi="Arial" w:cs="Arial"/>
        </w:rPr>
        <w:lastRenderedPageBreak/>
        <w:t xml:space="preserve">Downs, M., Middleton-Green, L., Chatterjee, J. and Russell, S. (2016) </w:t>
      </w:r>
      <w:r w:rsidRPr="00D34430">
        <w:rPr>
          <w:rFonts w:ascii="Arial" w:hAnsi="Arial" w:cs="Arial"/>
          <w:i/>
          <w:iCs/>
        </w:rPr>
        <w:t>End of Life Care for People with Dementia: A Person-Centred Approach</w:t>
      </w:r>
      <w:r w:rsidRPr="00D34430">
        <w:rPr>
          <w:rFonts w:ascii="Arial" w:hAnsi="Arial" w:cs="Arial"/>
        </w:rPr>
        <w:t>. London: Jessica Kingsley Publishers.</w:t>
      </w:r>
    </w:p>
    <w:p w14:paraId="491B5965"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Goodman, C., Baron, N., Machen, I., Stevenson, C., Evans, C. and Davies, S. (2017) 'End-of-life care for people with dementia in care homes', </w:t>
      </w:r>
      <w:r w:rsidRPr="00D34430">
        <w:rPr>
          <w:rFonts w:ascii="Arial" w:hAnsi="Arial" w:cs="Arial"/>
          <w:i/>
          <w:iCs/>
        </w:rPr>
        <w:t>Journal of the American Geriatrics Society</w:t>
      </w:r>
      <w:r w:rsidRPr="00D34430">
        <w:rPr>
          <w:rFonts w:ascii="Arial" w:hAnsi="Arial" w:cs="Arial"/>
        </w:rPr>
        <w:t>, 65(6), pp. 1189–1195.</w:t>
      </w:r>
    </w:p>
    <w:p w14:paraId="39415C78"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Harasym, P., Brisbin, S., Afzaal, M., Sinnarajah, A., Venturato, L., Quail, P., Kaasalainen, S., Straus, S.E., Sussman, T., Virk, N. and Holroyd-Leduc, J. (2020) 'Barriers and facilitators to optimal supportive end-of-life palliative care in long-term care facilities: a qualitative descriptive study', </w:t>
      </w:r>
      <w:r w:rsidRPr="00D34430">
        <w:rPr>
          <w:rFonts w:ascii="Arial" w:hAnsi="Arial" w:cs="Arial"/>
          <w:i/>
          <w:iCs/>
        </w:rPr>
        <w:t>BMJ Open</w:t>
      </w:r>
      <w:r w:rsidRPr="00D34430">
        <w:rPr>
          <w:rFonts w:ascii="Arial" w:hAnsi="Arial" w:cs="Arial"/>
        </w:rPr>
        <w:t>, 10(8), e037466.</w:t>
      </w:r>
    </w:p>
    <w:p w14:paraId="1B854D33"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Hollowood, L., Taylor, J. and Allen, K. (2026) 'The experiences of people from ethnic minority backgrounds living in care homes: a qualitative systematic review', </w:t>
      </w:r>
      <w:r w:rsidRPr="00D34430">
        <w:rPr>
          <w:rFonts w:ascii="Arial" w:hAnsi="Arial" w:cs="Arial"/>
          <w:i/>
          <w:iCs/>
        </w:rPr>
        <w:t>Journal of Advanced Nursing</w:t>
      </w:r>
      <w:r w:rsidRPr="00D34430">
        <w:rPr>
          <w:rFonts w:ascii="Arial" w:hAnsi="Arial" w:cs="Arial"/>
        </w:rPr>
        <w:t>, 82(3), pp. 1928–1946.</w:t>
      </w:r>
    </w:p>
    <w:p w14:paraId="63EF5CB1"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Jones, L., Candy, B., Davis, S., Elliott, M., Gola, A., Harrington, J., Kupeli, N., Lord, K., Moore, K., Scott, S. and Vickerstaff, V. (2016) 'Development of a model for integrated care at the end of life in advanced dementia: a whole systems UK-wide approach', </w:t>
      </w:r>
      <w:r w:rsidRPr="00D34430">
        <w:rPr>
          <w:rFonts w:ascii="Arial" w:hAnsi="Arial" w:cs="Arial"/>
          <w:i/>
          <w:iCs/>
        </w:rPr>
        <w:t>Palliative Medicine</w:t>
      </w:r>
      <w:r w:rsidRPr="00D34430">
        <w:rPr>
          <w:rFonts w:ascii="Arial" w:hAnsi="Arial" w:cs="Arial"/>
        </w:rPr>
        <w:t>, 30(3), pp. 279–290.</w:t>
      </w:r>
    </w:p>
    <w:p w14:paraId="70C3D0DC"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Kinley, J., Stone, L., Butt, A., Kenyon, B. and Lopes, N.S. (2017) 'Developing, implementing and sustaining an end-of-life care programme in residential care homes', </w:t>
      </w:r>
      <w:r w:rsidRPr="00D34430">
        <w:rPr>
          <w:rFonts w:ascii="Arial" w:hAnsi="Arial" w:cs="Arial"/>
          <w:i/>
          <w:iCs/>
        </w:rPr>
        <w:t>International Journal of Palliative Nursing</w:t>
      </w:r>
      <w:r w:rsidRPr="00D34430">
        <w:rPr>
          <w:rFonts w:ascii="Arial" w:hAnsi="Arial" w:cs="Arial"/>
        </w:rPr>
        <w:t>, 23(4), pp. 186–192.</w:t>
      </w:r>
    </w:p>
    <w:p w14:paraId="23306A9B"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Koerner, J., Johnston, N., Samara, J., Liu, W.M. and Chapman, M. (2021) 'Context and mechanisms that enable implementation of specialist palliative care needs rounds in care homes: results from a qualitative interview study', </w:t>
      </w:r>
      <w:r w:rsidRPr="00D34430">
        <w:rPr>
          <w:rFonts w:ascii="Arial" w:hAnsi="Arial" w:cs="Arial"/>
          <w:i/>
          <w:iCs/>
        </w:rPr>
        <w:t>BMC Palliative Care</w:t>
      </w:r>
      <w:r w:rsidRPr="00D34430">
        <w:rPr>
          <w:rFonts w:ascii="Arial" w:hAnsi="Arial" w:cs="Arial"/>
        </w:rPr>
        <w:t>, 20(1), p. 65.</w:t>
      </w:r>
    </w:p>
    <w:p w14:paraId="42F2F4F3" w14:textId="1280FE99" w:rsidR="00D34430" w:rsidRPr="00D34430" w:rsidRDefault="001E1DBF" w:rsidP="00D34430">
      <w:pPr>
        <w:spacing w:line="360" w:lineRule="auto"/>
        <w:jc w:val="both"/>
        <w:rPr>
          <w:rFonts w:ascii="Arial" w:hAnsi="Arial" w:cs="Arial"/>
        </w:rPr>
      </w:pPr>
      <w:r w:rsidRPr="001E1DBF">
        <w:rPr>
          <w:rFonts w:ascii="Arial" w:hAnsi="Arial" w:cs="Arial"/>
        </w:rPr>
        <w:t>Livingston, G., Huntley, J., Sommerlad, A., et al. (2020) 'The impact of COVID-19 on mortality in care homes and community settings', </w:t>
      </w:r>
      <w:r w:rsidRPr="001E1DBF">
        <w:rPr>
          <w:rFonts w:ascii="Arial" w:hAnsi="Arial" w:cs="Arial"/>
          <w:i/>
          <w:iCs/>
        </w:rPr>
        <w:t>The Lancet Public Health</w:t>
      </w:r>
      <w:r w:rsidRPr="001E1DBF">
        <w:rPr>
          <w:rFonts w:ascii="Arial" w:hAnsi="Arial" w:cs="Arial"/>
        </w:rPr>
        <w:t>, 5(8), pp. e416-e422.</w:t>
      </w:r>
      <w:r w:rsidR="00D34430" w:rsidRPr="00D34430">
        <w:rPr>
          <w:rFonts w:ascii="Arial" w:hAnsi="Arial" w:cs="Arial"/>
        </w:rPr>
        <w:t xml:space="preserve">National Institute for Health and Care Excellence (2015) </w:t>
      </w:r>
      <w:r w:rsidR="00D34430" w:rsidRPr="00D34430">
        <w:rPr>
          <w:rFonts w:ascii="Arial" w:hAnsi="Arial" w:cs="Arial"/>
          <w:i/>
          <w:iCs/>
        </w:rPr>
        <w:t>Care of dying adults in the last days of life (NG31).</w:t>
      </w:r>
      <w:r w:rsidR="00D34430" w:rsidRPr="00D34430">
        <w:rPr>
          <w:rFonts w:ascii="Arial" w:hAnsi="Arial" w:cs="Arial"/>
        </w:rPr>
        <w:t xml:space="preserve"> Available at: </w:t>
      </w:r>
      <w:hyperlink r:id="rId7" w:tgtFrame="_new" w:history="1">
        <w:r w:rsidR="00D34430" w:rsidRPr="00D34430">
          <w:rPr>
            <w:rStyle w:val="Hyperlink"/>
            <w:rFonts w:ascii="Arial" w:hAnsi="Arial" w:cs="Arial"/>
          </w:rPr>
          <w:t>https://www.nice.org.uk/guidance/ng31</w:t>
        </w:r>
      </w:hyperlink>
      <w:r w:rsidR="00D34430" w:rsidRPr="00D34430">
        <w:rPr>
          <w:rFonts w:ascii="Arial" w:hAnsi="Arial" w:cs="Arial"/>
        </w:rPr>
        <w:t xml:space="preserve"> (Accessed: 1 June 2026).</w:t>
      </w:r>
    </w:p>
    <w:p w14:paraId="7DABDE39"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O'Brien, M., Kirton, J., Knighting, K., Roe, B. and Barbra, J. (2016) 'Improving end-of-life care in care homes: an evaluation of the Six Steps to Success programme', </w:t>
      </w:r>
      <w:r w:rsidRPr="00D34430">
        <w:rPr>
          <w:rFonts w:ascii="Arial" w:hAnsi="Arial" w:cs="Arial"/>
          <w:i/>
          <w:iCs/>
        </w:rPr>
        <w:t>BMC Palliative Care</w:t>
      </w:r>
      <w:r w:rsidRPr="00D34430">
        <w:rPr>
          <w:rFonts w:ascii="Arial" w:hAnsi="Arial" w:cs="Arial"/>
        </w:rPr>
        <w:t>, 15, p. 53.</w:t>
      </w:r>
    </w:p>
    <w:p w14:paraId="457929A4"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Oosterveld-Vlug, M.G., Onwuteaka-Philipsen, B.D., Ten Koppel, M., van Hout, H.P.J. and Koopmans, R.T.C.M. (2019) 'Evaluating the implementation of the PACE Steps to Success </w:t>
      </w:r>
      <w:r w:rsidRPr="00D34430">
        <w:rPr>
          <w:rFonts w:ascii="Arial" w:hAnsi="Arial" w:cs="Arial"/>
        </w:rPr>
        <w:lastRenderedPageBreak/>
        <w:t xml:space="preserve">Programme in long-term care facilities in seven countries according to the RE-AIM framework', </w:t>
      </w:r>
      <w:r w:rsidRPr="00D34430">
        <w:rPr>
          <w:rFonts w:ascii="Arial" w:hAnsi="Arial" w:cs="Arial"/>
          <w:i/>
          <w:iCs/>
        </w:rPr>
        <w:t>Implementation Science</w:t>
      </w:r>
      <w:r w:rsidRPr="00D34430">
        <w:rPr>
          <w:rFonts w:ascii="Arial" w:hAnsi="Arial" w:cs="Arial"/>
        </w:rPr>
        <w:t>, 14(1), p. 88.</w:t>
      </w:r>
    </w:p>
    <w:p w14:paraId="543F5903"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Office for National Statistics (2023) </w:t>
      </w:r>
      <w:r w:rsidRPr="00D34430">
        <w:rPr>
          <w:rFonts w:ascii="Arial" w:hAnsi="Arial" w:cs="Arial"/>
          <w:i/>
          <w:iCs/>
        </w:rPr>
        <w:t>Living longer: implications of an ageing population in the UK</w:t>
      </w:r>
      <w:r w:rsidRPr="00D34430">
        <w:rPr>
          <w:rFonts w:ascii="Arial" w:hAnsi="Arial" w:cs="Arial"/>
        </w:rPr>
        <w:t>. Newport: Office for National Statistics.</w:t>
      </w:r>
    </w:p>
    <w:p w14:paraId="1D46992A"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Pardi, J., Nuzum, E., Judickaite, U., Stott, J., Charlesworth, G. and Desai, R. (2026) 'South Asian experiences of palliative and end-of-life care provision in the UK: a systematic literature review and thematic synthesis', </w:t>
      </w:r>
      <w:r w:rsidRPr="00D34430">
        <w:rPr>
          <w:rFonts w:ascii="Arial" w:hAnsi="Arial" w:cs="Arial"/>
          <w:i/>
          <w:iCs/>
        </w:rPr>
        <w:t>Journal of Palliative Care</w:t>
      </w:r>
      <w:r w:rsidRPr="00D34430">
        <w:rPr>
          <w:rFonts w:ascii="Arial" w:hAnsi="Arial" w:cs="Arial"/>
        </w:rPr>
        <w:t>, 41(1), pp. 105–120.</w:t>
      </w:r>
    </w:p>
    <w:p w14:paraId="386EA844"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Seymour, J., Cassel, J. and Hockley, J. (2021) 'End-of-life care in care homes: a scoping review of the evidence', </w:t>
      </w:r>
      <w:r w:rsidRPr="00D34430">
        <w:rPr>
          <w:rFonts w:ascii="Arial" w:hAnsi="Arial" w:cs="Arial"/>
          <w:i/>
          <w:iCs/>
        </w:rPr>
        <w:t>Palliative Medicine</w:t>
      </w:r>
      <w:r w:rsidRPr="00D34430">
        <w:rPr>
          <w:rFonts w:ascii="Arial" w:hAnsi="Arial" w:cs="Arial"/>
        </w:rPr>
        <w:t>, 35(4), pp. 456–470.</w:t>
      </w:r>
    </w:p>
    <w:p w14:paraId="083A018A"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Spacey, A., Scammell, J., Board, M. and Porter, S. (2018) 'End-of-life care in UK care homes: a systematic review of the literature', </w:t>
      </w:r>
      <w:r w:rsidRPr="00D34430">
        <w:rPr>
          <w:rFonts w:ascii="Arial" w:hAnsi="Arial" w:cs="Arial"/>
          <w:i/>
          <w:iCs/>
        </w:rPr>
        <w:t>Journal of Research in Nursing</w:t>
      </w:r>
      <w:r w:rsidRPr="00D34430">
        <w:rPr>
          <w:rFonts w:ascii="Arial" w:hAnsi="Arial" w:cs="Arial"/>
        </w:rPr>
        <w:t>, 23(2–3), pp. 180–200.</w:t>
      </w:r>
    </w:p>
    <w:p w14:paraId="3459AD87"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Springett, A. (2017) 'Practice improvement as a result of an end-of-life care programme for care homes', </w:t>
      </w:r>
      <w:r w:rsidRPr="00D34430">
        <w:rPr>
          <w:rFonts w:ascii="Arial" w:hAnsi="Arial" w:cs="Arial"/>
          <w:i/>
          <w:iCs/>
        </w:rPr>
        <w:t>Nursing Older People</w:t>
      </w:r>
      <w:r w:rsidRPr="00D34430">
        <w:rPr>
          <w:rFonts w:ascii="Arial" w:hAnsi="Arial" w:cs="Arial"/>
        </w:rPr>
        <w:t>, 29(4), pp. 25–30.</w:t>
      </w:r>
    </w:p>
    <w:p w14:paraId="6F62D5D4"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Thomas, K. and Russell, S. (2023) 'Advance care planning in the United Kingdom: a snapshot from the four UK nations', </w:t>
      </w:r>
      <w:r w:rsidRPr="00D34430">
        <w:rPr>
          <w:rFonts w:ascii="Arial" w:hAnsi="Arial" w:cs="Arial"/>
          <w:i/>
          <w:iCs/>
        </w:rPr>
        <w:t>Zeitschrift für Evidenz, Fortbildung und Qualität im Gesundheitswesen</w:t>
      </w:r>
      <w:r w:rsidRPr="00D34430">
        <w:rPr>
          <w:rFonts w:ascii="Arial" w:hAnsi="Arial" w:cs="Arial"/>
        </w:rPr>
        <w:t>, 180, pp. 46–52.</w:t>
      </w:r>
    </w:p>
    <w:p w14:paraId="3DB2124A" w14:textId="77777777" w:rsidR="00D34430" w:rsidRPr="00D34430" w:rsidRDefault="00D34430" w:rsidP="00D34430">
      <w:pPr>
        <w:spacing w:line="360" w:lineRule="auto"/>
        <w:jc w:val="both"/>
        <w:rPr>
          <w:rFonts w:ascii="Arial" w:hAnsi="Arial" w:cs="Arial"/>
        </w:rPr>
      </w:pPr>
      <w:r w:rsidRPr="00D34430">
        <w:rPr>
          <w:rFonts w:ascii="Arial" w:hAnsi="Arial" w:cs="Arial"/>
        </w:rPr>
        <w:t xml:space="preserve">Van den Block, L., Honinx, E., Pivodic, L., Miranda, R., Onwuteaka-Philipsen, B.D., van Hout, H.P.J. </w:t>
      </w:r>
      <w:r w:rsidRPr="00D34430">
        <w:rPr>
          <w:rFonts w:ascii="Arial" w:hAnsi="Arial" w:cs="Arial"/>
          <w:i/>
          <w:iCs/>
        </w:rPr>
        <w:t>et al.</w:t>
      </w:r>
      <w:r w:rsidRPr="00D34430">
        <w:rPr>
          <w:rFonts w:ascii="Arial" w:hAnsi="Arial" w:cs="Arial"/>
        </w:rPr>
        <w:t xml:space="preserve"> (2020) 'Evaluation of a palliative care program for nursing homes in seven countries: the PACE cluster-randomized clinical trial', </w:t>
      </w:r>
      <w:r w:rsidRPr="00D34430">
        <w:rPr>
          <w:rFonts w:ascii="Arial" w:hAnsi="Arial" w:cs="Arial"/>
          <w:i/>
          <w:iCs/>
        </w:rPr>
        <w:t>JAMA Internal Medicine</w:t>
      </w:r>
      <w:r w:rsidRPr="00D34430">
        <w:rPr>
          <w:rFonts w:ascii="Arial" w:hAnsi="Arial" w:cs="Arial"/>
        </w:rPr>
        <w:t>, 180(2), pp. 233–242.</w:t>
      </w:r>
    </w:p>
    <w:p w14:paraId="5F772337" w14:textId="77777777" w:rsidR="00D34430" w:rsidRPr="005505EB" w:rsidRDefault="00D34430" w:rsidP="005505EB">
      <w:pPr>
        <w:spacing w:line="360" w:lineRule="auto"/>
        <w:jc w:val="both"/>
        <w:rPr>
          <w:rFonts w:ascii="Arial" w:hAnsi="Arial" w:cs="Arial"/>
        </w:rPr>
      </w:pPr>
    </w:p>
    <w:p w14:paraId="4ED06CEA" w14:textId="77777777" w:rsidR="0083176C" w:rsidRPr="00C70A31" w:rsidRDefault="0083176C" w:rsidP="00C70A31">
      <w:pPr>
        <w:spacing w:line="360" w:lineRule="auto"/>
        <w:jc w:val="both"/>
        <w:rPr>
          <w:rFonts w:ascii="Arial" w:hAnsi="Arial" w:cs="Arial"/>
        </w:rPr>
      </w:pPr>
    </w:p>
    <w:p w14:paraId="1D45DF57" w14:textId="77777777" w:rsidR="009C7FF7" w:rsidRPr="004640B6" w:rsidRDefault="009C7FF7" w:rsidP="004640B6">
      <w:pPr>
        <w:spacing w:line="360" w:lineRule="auto"/>
        <w:jc w:val="both"/>
        <w:rPr>
          <w:rFonts w:ascii="Arial" w:hAnsi="Arial" w:cs="Arial"/>
        </w:rPr>
      </w:pPr>
    </w:p>
    <w:sectPr w:rsidR="009C7FF7" w:rsidRPr="004640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C5C58"/>
    <w:multiLevelType w:val="multilevel"/>
    <w:tmpl w:val="E11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8F450B"/>
    <w:multiLevelType w:val="multilevel"/>
    <w:tmpl w:val="DBEC8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8245886">
    <w:abstractNumId w:val="1"/>
  </w:num>
  <w:num w:numId="2" w16cid:durableId="318076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62"/>
    <w:rsid w:val="000810C2"/>
    <w:rsid w:val="0009571B"/>
    <w:rsid w:val="000A7596"/>
    <w:rsid w:val="000D1994"/>
    <w:rsid w:val="000D6E62"/>
    <w:rsid w:val="000E1D31"/>
    <w:rsid w:val="0012038D"/>
    <w:rsid w:val="001832A5"/>
    <w:rsid w:val="001B2C7C"/>
    <w:rsid w:val="001C3134"/>
    <w:rsid w:val="001E1DBF"/>
    <w:rsid w:val="001F4027"/>
    <w:rsid w:val="00224B8E"/>
    <w:rsid w:val="00281A7B"/>
    <w:rsid w:val="002916A2"/>
    <w:rsid w:val="002B48B4"/>
    <w:rsid w:val="002C2FCB"/>
    <w:rsid w:val="002E67A3"/>
    <w:rsid w:val="0035182B"/>
    <w:rsid w:val="003B3537"/>
    <w:rsid w:val="003E1625"/>
    <w:rsid w:val="004640B6"/>
    <w:rsid w:val="0048308F"/>
    <w:rsid w:val="004C3061"/>
    <w:rsid w:val="004E5E5C"/>
    <w:rsid w:val="005505EB"/>
    <w:rsid w:val="00590AAE"/>
    <w:rsid w:val="006245FD"/>
    <w:rsid w:val="00634E33"/>
    <w:rsid w:val="00700094"/>
    <w:rsid w:val="00703805"/>
    <w:rsid w:val="00770CAB"/>
    <w:rsid w:val="00774147"/>
    <w:rsid w:val="007A71D8"/>
    <w:rsid w:val="007B0FF0"/>
    <w:rsid w:val="007F19AB"/>
    <w:rsid w:val="00815FD9"/>
    <w:rsid w:val="0083176C"/>
    <w:rsid w:val="008941B5"/>
    <w:rsid w:val="008A21A8"/>
    <w:rsid w:val="008E4CBD"/>
    <w:rsid w:val="008F6371"/>
    <w:rsid w:val="00913346"/>
    <w:rsid w:val="00917BE8"/>
    <w:rsid w:val="009C7FF7"/>
    <w:rsid w:val="00A43055"/>
    <w:rsid w:val="00A933F3"/>
    <w:rsid w:val="00AF7514"/>
    <w:rsid w:val="00B167B3"/>
    <w:rsid w:val="00B203FB"/>
    <w:rsid w:val="00B23C4D"/>
    <w:rsid w:val="00B34097"/>
    <w:rsid w:val="00B577CF"/>
    <w:rsid w:val="00B73126"/>
    <w:rsid w:val="00BB20DC"/>
    <w:rsid w:val="00C20188"/>
    <w:rsid w:val="00C70A31"/>
    <w:rsid w:val="00C71CFA"/>
    <w:rsid w:val="00CE3BCE"/>
    <w:rsid w:val="00D34430"/>
    <w:rsid w:val="00D44B28"/>
    <w:rsid w:val="00D74B3A"/>
    <w:rsid w:val="00D858C4"/>
    <w:rsid w:val="00DB1844"/>
    <w:rsid w:val="00DF2799"/>
    <w:rsid w:val="00E70249"/>
    <w:rsid w:val="00E91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17A7"/>
  <w15:chartTrackingRefBased/>
  <w15:docId w15:val="{04DFB02C-FFA8-455C-B364-BDCC68120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E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6E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E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E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6E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6E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E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E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E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E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6E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6E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6E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6E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6E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6E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6E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6E62"/>
    <w:rPr>
      <w:rFonts w:eastAsiaTheme="majorEastAsia" w:cstheme="majorBidi"/>
      <w:color w:val="272727" w:themeColor="text1" w:themeTint="D8"/>
    </w:rPr>
  </w:style>
  <w:style w:type="paragraph" w:styleId="Title">
    <w:name w:val="Title"/>
    <w:basedOn w:val="Normal"/>
    <w:next w:val="Normal"/>
    <w:link w:val="TitleChar"/>
    <w:uiPriority w:val="10"/>
    <w:qFormat/>
    <w:rsid w:val="000D6E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E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E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E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E62"/>
    <w:pPr>
      <w:spacing w:before="160"/>
      <w:jc w:val="center"/>
    </w:pPr>
    <w:rPr>
      <w:i/>
      <w:iCs/>
      <w:color w:val="404040" w:themeColor="text1" w:themeTint="BF"/>
    </w:rPr>
  </w:style>
  <w:style w:type="character" w:customStyle="1" w:styleId="QuoteChar">
    <w:name w:val="Quote Char"/>
    <w:basedOn w:val="DefaultParagraphFont"/>
    <w:link w:val="Quote"/>
    <w:uiPriority w:val="29"/>
    <w:rsid w:val="000D6E62"/>
    <w:rPr>
      <w:i/>
      <w:iCs/>
      <w:color w:val="404040" w:themeColor="text1" w:themeTint="BF"/>
    </w:rPr>
  </w:style>
  <w:style w:type="paragraph" w:styleId="ListParagraph">
    <w:name w:val="List Paragraph"/>
    <w:basedOn w:val="Normal"/>
    <w:uiPriority w:val="34"/>
    <w:qFormat/>
    <w:rsid w:val="000D6E62"/>
    <w:pPr>
      <w:ind w:left="720"/>
      <w:contextualSpacing/>
    </w:pPr>
  </w:style>
  <w:style w:type="character" w:styleId="IntenseEmphasis">
    <w:name w:val="Intense Emphasis"/>
    <w:basedOn w:val="DefaultParagraphFont"/>
    <w:uiPriority w:val="21"/>
    <w:qFormat/>
    <w:rsid w:val="000D6E62"/>
    <w:rPr>
      <w:i/>
      <w:iCs/>
      <w:color w:val="0F4761" w:themeColor="accent1" w:themeShade="BF"/>
    </w:rPr>
  </w:style>
  <w:style w:type="paragraph" w:styleId="IntenseQuote">
    <w:name w:val="Intense Quote"/>
    <w:basedOn w:val="Normal"/>
    <w:next w:val="Normal"/>
    <w:link w:val="IntenseQuoteChar"/>
    <w:uiPriority w:val="30"/>
    <w:qFormat/>
    <w:rsid w:val="000D6E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E62"/>
    <w:rPr>
      <w:i/>
      <w:iCs/>
      <w:color w:val="0F4761" w:themeColor="accent1" w:themeShade="BF"/>
    </w:rPr>
  </w:style>
  <w:style w:type="character" w:styleId="IntenseReference">
    <w:name w:val="Intense Reference"/>
    <w:basedOn w:val="DefaultParagraphFont"/>
    <w:uiPriority w:val="32"/>
    <w:qFormat/>
    <w:rsid w:val="000D6E62"/>
    <w:rPr>
      <w:b/>
      <w:bCs/>
      <w:smallCaps/>
      <w:color w:val="0F4761" w:themeColor="accent1" w:themeShade="BF"/>
      <w:spacing w:val="5"/>
    </w:rPr>
  </w:style>
  <w:style w:type="character" w:styleId="Hyperlink">
    <w:name w:val="Hyperlink"/>
    <w:basedOn w:val="DefaultParagraphFont"/>
    <w:uiPriority w:val="99"/>
    <w:unhideWhenUsed/>
    <w:rsid w:val="00C70A31"/>
    <w:rPr>
      <w:color w:val="467886" w:themeColor="hyperlink"/>
      <w:u w:val="single"/>
    </w:rPr>
  </w:style>
  <w:style w:type="character" w:styleId="UnresolvedMention">
    <w:name w:val="Unresolved Mention"/>
    <w:basedOn w:val="DefaultParagraphFont"/>
    <w:uiPriority w:val="99"/>
    <w:semiHidden/>
    <w:unhideWhenUsed/>
    <w:rsid w:val="00C70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ice.org.uk/guidance/ng3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12</Pages>
  <Words>3661</Words>
  <Characters>20869</Characters>
  <Application>Microsoft Office Word</Application>
  <DocSecurity>0</DocSecurity>
  <Lines>173</Lines>
  <Paragraphs>48</Paragraphs>
  <ScaleCrop>false</ScaleCrop>
  <Company/>
  <LinksUpToDate>false</LinksUpToDate>
  <CharactersWithSpaces>24482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Baidar Begum</dc:creator>
  <cp:keywords/>
  <dc:description/>
  <cp:lastModifiedBy>Baidar Begum</cp:lastModifiedBy>
  <cp:revision>59</cp:revision>
  <dcterms:created xsi:type="dcterms:W3CDTF">2026-06-19T13:48:00Z</dcterms:created>
  <dcterms:modified xsi:type="dcterms:W3CDTF">2026-07-20T15:43:00Z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2f69d0e1-7651-4ac1-b2d9-8aeabda33652</vt:lpwstr>
  </property>
</Properties>
</file>