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1608" w:rsidRDefault="00D01608" w:rsidP="00D01608">
      <w:pPr>
        <w:jc w:val="center"/>
        <w:rPr>
          <w:rFonts w:ascii="Times New Roman" w:hAnsi="Times New Roman" w:cs="Times New Roman"/>
          <w:color w:val="373A3C"/>
          <w:sz w:val="24"/>
          <w:szCs w:val="24"/>
        </w:rPr>
      </w:pPr>
      <w:r>
        <w:rPr>
          <w:rFonts w:ascii="Times New Roman" w:hAnsi="Times New Roman" w:cs="Times New Roman"/>
          <w:color w:val="373A3C"/>
          <w:sz w:val="24"/>
          <w:szCs w:val="24"/>
        </w:rPr>
        <w:t>Joseph Ogden</w:t>
      </w:r>
    </w:p>
    <w:p w:rsidR="00D01608" w:rsidRDefault="00D01608" w:rsidP="00D01608">
      <w:pPr>
        <w:jc w:val="center"/>
        <w:rPr>
          <w:rFonts w:ascii="Times New Roman" w:hAnsi="Times New Roman" w:cs="Times New Roman"/>
          <w:color w:val="373A3C"/>
          <w:sz w:val="24"/>
          <w:szCs w:val="24"/>
        </w:rPr>
      </w:pPr>
      <w:r>
        <w:rPr>
          <w:rFonts w:ascii="Times New Roman" w:hAnsi="Times New Roman" w:cs="Times New Roman"/>
          <w:color w:val="373A3C"/>
          <w:sz w:val="24"/>
          <w:szCs w:val="24"/>
        </w:rPr>
        <w:t>1704684</w:t>
      </w:r>
    </w:p>
    <w:p w:rsidR="00D01608" w:rsidRDefault="00D01608" w:rsidP="00D01608">
      <w:pPr>
        <w:jc w:val="center"/>
        <w:rPr>
          <w:rFonts w:ascii="Times New Roman" w:hAnsi="Times New Roman" w:cs="Times New Roman"/>
          <w:color w:val="373A3C"/>
          <w:sz w:val="24"/>
          <w:szCs w:val="24"/>
        </w:rPr>
      </w:pPr>
      <w:r>
        <w:rPr>
          <w:rFonts w:ascii="Times New Roman" w:hAnsi="Times New Roman" w:cs="Times New Roman"/>
          <w:color w:val="373A3C"/>
          <w:sz w:val="24"/>
          <w:szCs w:val="24"/>
        </w:rPr>
        <w:t>Word Count:</w:t>
      </w:r>
      <w:r w:rsidR="000E164F">
        <w:rPr>
          <w:rFonts w:ascii="Times New Roman" w:hAnsi="Times New Roman" w:cs="Times New Roman"/>
          <w:color w:val="373A3C"/>
          <w:sz w:val="24"/>
          <w:szCs w:val="24"/>
        </w:rPr>
        <w:t xml:space="preserve"> 1418</w:t>
      </w:r>
      <w:bookmarkStart w:id="0" w:name="_GoBack"/>
      <w:bookmarkEnd w:id="0"/>
    </w:p>
    <w:p w:rsidR="00F133A9" w:rsidRDefault="00D01608" w:rsidP="00D01608">
      <w:pPr>
        <w:jc w:val="center"/>
        <w:rPr>
          <w:rFonts w:ascii="Times New Roman" w:hAnsi="Times New Roman" w:cs="Times New Roman"/>
          <w:color w:val="373A3C"/>
          <w:sz w:val="24"/>
          <w:szCs w:val="24"/>
        </w:rPr>
      </w:pPr>
      <w:r w:rsidRPr="00D01608">
        <w:rPr>
          <w:rFonts w:ascii="Times New Roman" w:hAnsi="Times New Roman" w:cs="Times New Roman"/>
          <w:color w:val="373A3C"/>
          <w:sz w:val="24"/>
          <w:szCs w:val="24"/>
        </w:rPr>
        <w:t>Based on a critical discussion of selected Latin inscriptions that you consider significant, discuss how Latin epigraphy contributes to our understanding of the Augustan era</w:t>
      </w:r>
    </w:p>
    <w:p w:rsidR="00D01608" w:rsidRDefault="00D01608" w:rsidP="00D01608">
      <w:pPr>
        <w:jc w:val="center"/>
        <w:rPr>
          <w:rFonts w:ascii="Times New Roman" w:hAnsi="Times New Roman" w:cs="Times New Roman"/>
          <w:color w:val="373A3C"/>
          <w:sz w:val="24"/>
          <w:szCs w:val="24"/>
        </w:rPr>
      </w:pPr>
    </w:p>
    <w:p w:rsidR="00D01608" w:rsidRDefault="004936C4" w:rsidP="006B303D">
      <w:pPr>
        <w:rPr>
          <w:rFonts w:ascii="Times New Roman" w:hAnsi="Times New Roman" w:cs="Times New Roman"/>
          <w:color w:val="373A3C"/>
          <w:sz w:val="24"/>
          <w:szCs w:val="24"/>
        </w:rPr>
      </w:pPr>
      <w:r>
        <w:rPr>
          <w:rFonts w:ascii="Times New Roman" w:hAnsi="Times New Roman" w:cs="Times New Roman"/>
          <w:color w:val="373A3C"/>
          <w:sz w:val="24"/>
          <w:szCs w:val="24"/>
        </w:rPr>
        <w:t>Within this essay I will examine a number of inscriptions relating to the Augustan period that I believe illuminate our knowledge of the era. I</w:t>
      </w:r>
      <w:r w:rsidR="00A24C89">
        <w:rPr>
          <w:rFonts w:ascii="Times New Roman" w:hAnsi="Times New Roman" w:cs="Times New Roman"/>
          <w:color w:val="373A3C"/>
          <w:sz w:val="24"/>
          <w:szCs w:val="24"/>
        </w:rPr>
        <w:t>n particular I</w:t>
      </w:r>
      <w:r>
        <w:rPr>
          <w:rFonts w:ascii="Times New Roman" w:hAnsi="Times New Roman" w:cs="Times New Roman"/>
          <w:color w:val="373A3C"/>
          <w:sz w:val="24"/>
          <w:szCs w:val="24"/>
        </w:rPr>
        <w:t xml:space="preserve"> will pay close attention to the </w:t>
      </w:r>
      <w:r>
        <w:rPr>
          <w:rFonts w:ascii="Times New Roman" w:hAnsi="Times New Roman" w:cs="Times New Roman"/>
          <w:i/>
          <w:color w:val="373A3C"/>
          <w:sz w:val="24"/>
          <w:szCs w:val="24"/>
        </w:rPr>
        <w:t>Res Gestae</w:t>
      </w:r>
      <w:r w:rsidR="006D4FC9">
        <w:rPr>
          <w:rFonts w:ascii="Times New Roman" w:hAnsi="Times New Roman" w:cs="Times New Roman"/>
          <w:i/>
          <w:color w:val="373A3C"/>
          <w:sz w:val="24"/>
          <w:szCs w:val="24"/>
        </w:rPr>
        <w:t xml:space="preserve"> </w:t>
      </w:r>
      <w:proofErr w:type="spellStart"/>
      <w:r w:rsidR="006D4FC9">
        <w:rPr>
          <w:rFonts w:ascii="Times New Roman" w:hAnsi="Times New Roman" w:cs="Times New Roman"/>
          <w:i/>
          <w:color w:val="373A3C"/>
          <w:sz w:val="24"/>
          <w:szCs w:val="24"/>
        </w:rPr>
        <w:t>Divi</w:t>
      </w:r>
      <w:proofErr w:type="spellEnd"/>
      <w:r w:rsidR="006D4FC9">
        <w:rPr>
          <w:rFonts w:ascii="Times New Roman" w:hAnsi="Times New Roman" w:cs="Times New Roman"/>
          <w:i/>
          <w:color w:val="373A3C"/>
          <w:sz w:val="24"/>
          <w:szCs w:val="24"/>
        </w:rPr>
        <w:t xml:space="preserve"> </w:t>
      </w:r>
      <w:proofErr w:type="spellStart"/>
      <w:r w:rsidR="006D4FC9">
        <w:rPr>
          <w:rFonts w:ascii="Times New Roman" w:hAnsi="Times New Roman" w:cs="Times New Roman"/>
          <w:i/>
          <w:color w:val="373A3C"/>
          <w:sz w:val="24"/>
          <w:szCs w:val="24"/>
        </w:rPr>
        <w:t>Augusti</w:t>
      </w:r>
      <w:proofErr w:type="spellEnd"/>
      <w:r w:rsidR="002B6D65">
        <w:rPr>
          <w:rFonts w:ascii="Times New Roman" w:hAnsi="Times New Roman" w:cs="Times New Roman"/>
          <w:i/>
          <w:color w:val="373A3C"/>
          <w:sz w:val="24"/>
          <w:szCs w:val="24"/>
        </w:rPr>
        <w:t xml:space="preserve">; </w:t>
      </w:r>
      <w:r>
        <w:rPr>
          <w:rFonts w:ascii="Times New Roman" w:hAnsi="Times New Roman" w:cs="Times New Roman"/>
          <w:color w:val="373A3C"/>
          <w:sz w:val="24"/>
          <w:szCs w:val="24"/>
        </w:rPr>
        <w:t>Augustus’ autobi</w:t>
      </w:r>
      <w:r w:rsidR="002B6D65">
        <w:rPr>
          <w:rFonts w:ascii="Times New Roman" w:hAnsi="Times New Roman" w:cs="Times New Roman"/>
          <w:color w:val="373A3C"/>
          <w:sz w:val="24"/>
          <w:szCs w:val="24"/>
        </w:rPr>
        <w:t>ographical funerary inscription,</w:t>
      </w:r>
      <w:r w:rsidR="00A24C89">
        <w:rPr>
          <w:rFonts w:ascii="Times New Roman" w:hAnsi="Times New Roman" w:cs="Times New Roman"/>
          <w:color w:val="373A3C"/>
          <w:sz w:val="24"/>
          <w:szCs w:val="24"/>
        </w:rPr>
        <w:t xml:space="preserve"> </w:t>
      </w:r>
      <w:r w:rsidR="00FA0266">
        <w:rPr>
          <w:rFonts w:ascii="Times New Roman" w:hAnsi="Times New Roman" w:cs="Times New Roman"/>
          <w:color w:val="373A3C"/>
          <w:sz w:val="24"/>
          <w:szCs w:val="24"/>
        </w:rPr>
        <w:t xml:space="preserve">relevant </w:t>
      </w:r>
      <w:r w:rsidR="008626FA">
        <w:rPr>
          <w:rFonts w:ascii="Times New Roman" w:hAnsi="Times New Roman" w:cs="Times New Roman"/>
          <w:color w:val="373A3C"/>
          <w:sz w:val="24"/>
          <w:szCs w:val="24"/>
        </w:rPr>
        <w:t>dedications</w:t>
      </w:r>
      <w:r w:rsidR="00FA0266">
        <w:rPr>
          <w:rFonts w:ascii="Times New Roman" w:hAnsi="Times New Roman" w:cs="Times New Roman"/>
          <w:color w:val="373A3C"/>
          <w:sz w:val="24"/>
          <w:szCs w:val="24"/>
        </w:rPr>
        <w:t xml:space="preserve"> from </w:t>
      </w:r>
      <w:r w:rsidR="002B6D65">
        <w:rPr>
          <w:rFonts w:ascii="Times New Roman" w:hAnsi="Times New Roman" w:cs="Times New Roman"/>
          <w:color w:val="373A3C"/>
          <w:sz w:val="24"/>
          <w:szCs w:val="24"/>
        </w:rPr>
        <w:t xml:space="preserve">Alison Cooley’s case study of epigraphy in Tripolitania, </w:t>
      </w:r>
      <w:r w:rsidR="00A24C89">
        <w:rPr>
          <w:rFonts w:ascii="Times New Roman" w:hAnsi="Times New Roman" w:cs="Times New Roman"/>
          <w:color w:val="373A3C"/>
          <w:sz w:val="24"/>
          <w:szCs w:val="24"/>
        </w:rPr>
        <w:t xml:space="preserve">and </w:t>
      </w:r>
      <w:r w:rsidR="001051DE">
        <w:rPr>
          <w:rFonts w:ascii="Times New Roman" w:hAnsi="Times New Roman" w:cs="Times New Roman"/>
          <w:color w:val="373A3C"/>
          <w:sz w:val="24"/>
          <w:szCs w:val="24"/>
        </w:rPr>
        <w:t xml:space="preserve">a range of </w:t>
      </w:r>
      <w:r w:rsidR="00112324">
        <w:rPr>
          <w:rFonts w:ascii="Times New Roman" w:hAnsi="Times New Roman" w:cs="Times New Roman"/>
          <w:color w:val="373A3C"/>
          <w:sz w:val="24"/>
          <w:szCs w:val="24"/>
        </w:rPr>
        <w:t>coins</w:t>
      </w:r>
      <w:r w:rsidR="00B05E67">
        <w:rPr>
          <w:rFonts w:ascii="Times New Roman" w:hAnsi="Times New Roman" w:cs="Times New Roman"/>
          <w:color w:val="373A3C"/>
          <w:sz w:val="24"/>
          <w:szCs w:val="24"/>
        </w:rPr>
        <w:t xml:space="preserve"> that bring to light both the usefulness of epigraphy in understanding the period, and </w:t>
      </w:r>
      <w:r w:rsidR="00182EE2">
        <w:rPr>
          <w:rFonts w:ascii="Times New Roman" w:hAnsi="Times New Roman" w:cs="Times New Roman"/>
          <w:color w:val="373A3C"/>
          <w:sz w:val="24"/>
          <w:szCs w:val="24"/>
        </w:rPr>
        <w:t>some of the</w:t>
      </w:r>
      <w:r w:rsidR="00B05E67">
        <w:rPr>
          <w:rFonts w:ascii="Times New Roman" w:hAnsi="Times New Roman" w:cs="Times New Roman"/>
          <w:color w:val="373A3C"/>
          <w:sz w:val="24"/>
          <w:szCs w:val="24"/>
        </w:rPr>
        <w:t xml:space="preserve"> issues that </w:t>
      </w:r>
      <w:r w:rsidR="00FB3930">
        <w:rPr>
          <w:rFonts w:ascii="Times New Roman" w:hAnsi="Times New Roman" w:cs="Times New Roman"/>
          <w:color w:val="373A3C"/>
          <w:sz w:val="24"/>
          <w:szCs w:val="24"/>
        </w:rPr>
        <w:t xml:space="preserve">Latin </w:t>
      </w:r>
      <w:r w:rsidR="00B05E67">
        <w:rPr>
          <w:rFonts w:ascii="Times New Roman" w:hAnsi="Times New Roman" w:cs="Times New Roman"/>
          <w:color w:val="373A3C"/>
          <w:sz w:val="24"/>
          <w:szCs w:val="24"/>
        </w:rPr>
        <w:t>epigraphy can present</w:t>
      </w:r>
      <w:r w:rsidR="00FB3930">
        <w:rPr>
          <w:rFonts w:ascii="Times New Roman" w:hAnsi="Times New Roman" w:cs="Times New Roman"/>
          <w:color w:val="373A3C"/>
          <w:sz w:val="24"/>
          <w:szCs w:val="24"/>
        </w:rPr>
        <w:t xml:space="preserve"> to historians</w:t>
      </w:r>
      <w:r w:rsidR="00A24C89">
        <w:rPr>
          <w:rFonts w:ascii="Times New Roman" w:hAnsi="Times New Roman" w:cs="Times New Roman"/>
          <w:color w:val="373A3C"/>
          <w:sz w:val="24"/>
          <w:szCs w:val="24"/>
        </w:rPr>
        <w:t xml:space="preserve">. In doing so, I </w:t>
      </w:r>
      <w:r w:rsidR="005D0357">
        <w:rPr>
          <w:rFonts w:ascii="Times New Roman" w:hAnsi="Times New Roman" w:cs="Times New Roman"/>
          <w:color w:val="373A3C"/>
          <w:sz w:val="24"/>
          <w:szCs w:val="24"/>
        </w:rPr>
        <w:t xml:space="preserve">ultimately aim to show that whilst </w:t>
      </w:r>
      <w:r w:rsidR="002826AE">
        <w:rPr>
          <w:rFonts w:ascii="Times New Roman" w:hAnsi="Times New Roman" w:cs="Times New Roman"/>
          <w:color w:val="373A3C"/>
          <w:sz w:val="24"/>
          <w:szCs w:val="24"/>
        </w:rPr>
        <w:t xml:space="preserve">extremely </w:t>
      </w:r>
      <w:r w:rsidR="005D0357">
        <w:rPr>
          <w:rFonts w:ascii="Times New Roman" w:hAnsi="Times New Roman" w:cs="Times New Roman"/>
          <w:color w:val="373A3C"/>
          <w:sz w:val="24"/>
          <w:szCs w:val="24"/>
        </w:rPr>
        <w:t xml:space="preserve">useful, epigraphical sources must be carefully considered and contextualised in order to become a satisfactory accompaniment to </w:t>
      </w:r>
      <w:r w:rsidR="00163B37">
        <w:rPr>
          <w:rFonts w:ascii="Times New Roman" w:hAnsi="Times New Roman" w:cs="Times New Roman"/>
          <w:color w:val="373A3C"/>
          <w:sz w:val="24"/>
          <w:szCs w:val="24"/>
        </w:rPr>
        <w:t>other source materials</w:t>
      </w:r>
      <w:r w:rsidR="005D0357">
        <w:rPr>
          <w:rFonts w:ascii="Times New Roman" w:hAnsi="Times New Roman" w:cs="Times New Roman"/>
          <w:color w:val="373A3C"/>
          <w:sz w:val="24"/>
          <w:szCs w:val="24"/>
        </w:rPr>
        <w:t xml:space="preserve"> in the study of the </w:t>
      </w:r>
      <w:r w:rsidR="006723C3">
        <w:rPr>
          <w:rFonts w:ascii="Times New Roman" w:hAnsi="Times New Roman" w:cs="Times New Roman"/>
          <w:color w:val="373A3C"/>
          <w:sz w:val="24"/>
          <w:szCs w:val="24"/>
        </w:rPr>
        <w:t>Augustan era and, more broadly, the ancient world as a whole.</w:t>
      </w:r>
    </w:p>
    <w:p w:rsidR="008464EC" w:rsidRDefault="008464EC" w:rsidP="006B303D">
      <w:pPr>
        <w:rPr>
          <w:rFonts w:ascii="Times New Roman" w:hAnsi="Times New Roman" w:cs="Times New Roman"/>
          <w:color w:val="373A3C"/>
          <w:sz w:val="24"/>
          <w:szCs w:val="24"/>
        </w:rPr>
      </w:pPr>
    </w:p>
    <w:p w:rsidR="00C7783A" w:rsidRPr="00A06CA5" w:rsidRDefault="008464EC" w:rsidP="006B303D">
      <w:r>
        <w:rPr>
          <w:rFonts w:ascii="Times New Roman" w:hAnsi="Times New Roman" w:cs="Times New Roman"/>
          <w:color w:val="373A3C"/>
          <w:sz w:val="24"/>
          <w:szCs w:val="24"/>
        </w:rPr>
        <w:t xml:space="preserve">Augustus’ </w:t>
      </w:r>
      <w:r>
        <w:rPr>
          <w:rFonts w:ascii="Times New Roman" w:hAnsi="Times New Roman" w:cs="Times New Roman"/>
          <w:i/>
          <w:color w:val="373A3C"/>
          <w:sz w:val="24"/>
          <w:szCs w:val="24"/>
        </w:rPr>
        <w:t>Res Gestae</w:t>
      </w:r>
      <w:r>
        <w:rPr>
          <w:rFonts w:ascii="Times New Roman" w:hAnsi="Times New Roman" w:cs="Times New Roman"/>
          <w:color w:val="373A3C"/>
          <w:sz w:val="24"/>
          <w:szCs w:val="24"/>
        </w:rPr>
        <w:t xml:space="preserve"> is an important </w:t>
      </w:r>
      <w:r w:rsidR="00913614">
        <w:rPr>
          <w:rFonts w:ascii="Times New Roman" w:hAnsi="Times New Roman" w:cs="Times New Roman"/>
          <w:color w:val="373A3C"/>
          <w:sz w:val="24"/>
          <w:szCs w:val="24"/>
        </w:rPr>
        <w:t>benchmark in examining the period.</w:t>
      </w:r>
      <w:r w:rsidR="008634D9">
        <w:rPr>
          <w:rFonts w:ascii="Times New Roman" w:hAnsi="Times New Roman" w:cs="Times New Roman"/>
          <w:color w:val="373A3C"/>
          <w:sz w:val="24"/>
          <w:szCs w:val="24"/>
        </w:rPr>
        <w:t xml:space="preserve"> Above all else, Cooley argues that the Res Gestae ‘offers an invaluable insight into the political ideology of the Augustan era’, and that when studied alongside other inscriptions, coins and literary texts reveals key themes (such as that of world conquest and restoring the constitutional government) </w:t>
      </w:r>
      <w:r w:rsidR="00E6476C">
        <w:rPr>
          <w:rFonts w:ascii="Times New Roman" w:hAnsi="Times New Roman" w:cs="Times New Roman"/>
          <w:color w:val="373A3C"/>
          <w:sz w:val="24"/>
          <w:szCs w:val="24"/>
        </w:rPr>
        <w:t>of</w:t>
      </w:r>
      <w:r w:rsidR="008634D9">
        <w:rPr>
          <w:rFonts w:ascii="Times New Roman" w:hAnsi="Times New Roman" w:cs="Times New Roman"/>
          <w:color w:val="373A3C"/>
          <w:sz w:val="24"/>
          <w:szCs w:val="24"/>
        </w:rPr>
        <w:t xml:space="preserve"> the period.</w:t>
      </w:r>
      <w:r w:rsidR="00412BDD">
        <w:rPr>
          <w:rStyle w:val="FootnoteReference"/>
          <w:rFonts w:ascii="Times New Roman" w:hAnsi="Times New Roman" w:cs="Times New Roman"/>
          <w:color w:val="373A3C"/>
          <w:sz w:val="24"/>
          <w:szCs w:val="24"/>
        </w:rPr>
        <w:footnoteReference w:id="1"/>
      </w:r>
      <w:r w:rsidR="008634D9">
        <w:rPr>
          <w:rFonts w:ascii="Times New Roman" w:hAnsi="Times New Roman" w:cs="Times New Roman"/>
          <w:color w:val="373A3C"/>
          <w:sz w:val="24"/>
          <w:szCs w:val="24"/>
        </w:rPr>
        <w:t xml:space="preserve"> </w:t>
      </w:r>
      <w:r w:rsidR="00913614">
        <w:rPr>
          <w:rFonts w:ascii="Times New Roman" w:hAnsi="Times New Roman" w:cs="Times New Roman"/>
          <w:color w:val="373A3C"/>
          <w:sz w:val="24"/>
          <w:szCs w:val="24"/>
        </w:rPr>
        <w:t xml:space="preserve"> </w:t>
      </w:r>
      <w:proofErr w:type="spellStart"/>
      <w:r w:rsidR="000B03E9" w:rsidRPr="000B03E9">
        <w:rPr>
          <w:rFonts w:ascii="Times New Roman" w:hAnsi="Times New Roman" w:cs="Times New Roman"/>
          <w:color w:val="373A3C"/>
          <w:sz w:val="24"/>
          <w:szCs w:val="24"/>
        </w:rPr>
        <w:t>Güven</w:t>
      </w:r>
      <w:proofErr w:type="spellEnd"/>
      <w:r w:rsidR="000B03E9">
        <w:rPr>
          <w:rFonts w:ascii="Times New Roman" w:hAnsi="Times New Roman" w:cs="Times New Roman"/>
          <w:color w:val="373A3C"/>
          <w:sz w:val="24"/>
          <w:szCs w:val="24"/>
        </w:rPr>
        <w:t xml:space="preserve"> argues</w:t>
      </w:r>
      <w:r w:rsidR="00417785">
        <w:rPr>
          <w:rFonts w:ascii="Times New Roman" w:hAnsi="Times New Roman" w:cs="Times New Roman"/>
          <w:color w:val="373A3C"/>
          <w:sz w:val="24"/>
          <w:szCs w:val="24"/>
        </w:rPr>
        <w:t xml:space="preserve"> that the </w:t>
      </w:r>
      <w:r w:rsidR="00417785">
        <w:rPr>
          <w:rFonts w:ascii="Times New Roman" w:hAnsi="Times New Roman" w:cs="Times New Roman"/>
          <w:i/>
          <w:color w:val="373A3C"/>
          <w:sz w:val="24"/>
          <w:szCs w:val="24"/>
        </w:rPr>
        <w:t>Res Gestae</w:t>
      </w:r>
      <w:r w:rsidR="00417785">
        <w:rPr>
          <w:rFonts w:ascii="Times New Roman" w:hAnsi="Times New Roman" w:cs="Times New Roman"/>
          <w:color w:val="373A3C"/>
          <w:sz w:val="24"/>
          <w:szCs w:val="24"/>
        </w:rPr>
        <w:t xml:space="preserve"> is a ‘master narrative’</w:t>
      </w:r>
      <w:r w:rsidR="000B03E9">
        <w:rPr>
          <w:rFonts w:ascii="Times New Roman" w:hAnsi="Times New Roman" w:cs="Times New Roman"/>
          <w:color w:val="373A3C"/>
          <w:sz w:val="24"/>
          <w:szCs w:val="24"/>
        </w:rPr>
        <w:t>,</w:t>
      </w:r>
      <w:r w:rsidR="00417785">
        <w:rPr>
          <w:rFonts w:ascii="Times New Roman" w:hAnsi="Times New Roman" w:cs="Times New Roman"/>
          <w:color w:val="373A3C"/>
          <w:sz w:val="24"/>
          <w:szCs w:val="24"/>
        </w:rPr>
        <w:t xml:space="preserve"> one that unfolds ‘like a historical film’, listing Augustus’ many achievements, his endowments to </w:t>
      </w:r>
      <w:r w:rsidR="00417785">
        <w:rPr>
          <w:rFonts w:ascii="Times New Roman" w:hAnsi="Times New Roman" w:cs="Times New Roman"/>
          <w:color w:val="373A3C"/>
          <w:sz w:val="24"/>
          <w:szCs w:val="24"/>
        </w:rPr>
        <w:lastRenderedPageBreak/>
        <w:t>the Roman people, his successful campaigns and his many reforms.</w:t>
      </w:r>
      <w:r w:rsidR="00281636">
        <w:rPr>
          <w:rFonts w:ascii="Times New Roman" w:hAnsi="Times New Roman" w:cs="Times New Roman"/>
          <w:color w:val="373A3C"/>
          <w:sz w:val="24"/>
          <w:szCs w:val="24"/>
        </w:rPr>
        <w:t xml:space="preserve"> The inscription is useful because, as </w:t>
      </w:r>
      <w:proofErr w:type="spellStart"/>
      <w:r w:rsidR="00281636" w:rsidRPr="00281636">
        <w:rPr>
          <w:rFonts w:ascii="Times New Roman" w:hAnsi="Times New Roman" w:cs="Times New Roman"/>
          <w:color w:val="373A3C"/>
          <w:sz w:val="24"/>
          <w:szCs w:val="24"/>
        </w:rPr>
        <w:t>Güven</w:t>
      </w:r>
      <w:proofErr w:type="spellEnd"/>
      <w:r w:rsidR="00281636">
        <w:rPr>
          <w:rFonts w:ascii="Times New Roman" w:hAnsi="Times New Roman" w:cs="Times New Roman"/>
          <w:color w:val="373A3C"/>
          <w:sz w:val="24"/>
          <w:szCs w:val="24"/>
        </w:rPr>
        <w:t xml:space="preserve"> argues, there is no major falsification of events</w:t>
      </w:r>
      <w:r w:rsidR="007F4AB4">
        <w:rPr>
          <w:rFonts w:ascii="Times New Roman" w:hAnsi="Times New Roman" w:cs="Times New Roman"/>
          <w:color w:val="373A3C"/>
          <w:sz w:val="24"/>
          <w:szCs w:val="24"/>
        </w:rPr>
        <w:t xml:space="preserve">, </w:t>
      </w:r>
      <w:r w:rsidR="00773333">
        <w:rPr>
          <w:rFonts w:ascii="Times New Roman" w:hAnsi="Times New Roman" w:cs="Times New Roman"/>
          <w:color w:val="373A3C"/>
          <w:sz w:val="24"/>
          <w:szCs w:val="24"/>
        </w:rPr>
        <w:t>al</w:t>
      </w:r>
      <w:r w:rsidR="007F4AB4">
        <w:rPr>
          <w:rFonts w:ascii="Times New Roman" w:hAnsi="Times New Roman" w:cs="Times New Roman"/>
          <w:color w:val="373A3C"/>
          <w:sz w:val="24"/>
          <w:szCs w:val="24"/>
        </w:rPr>
        <w:t>though</w:t>
      </w:r>
      <w:r w:rsidR="00B04AE8">
        <w:rPr>
          <w:rFonts w:ascii="Times New Roman" w:hAnsi="Times New Roman" w:cs="Times New Roman"/>
          <w:color w:val="373A3C"/>
          <w:sz w:val="24"/>
          <w:szCs w:val="24"/>
        </w:rPr>
        <w:t xml:space="preserve"> others</w:t>
      </w:r>
      <w:r w:rsidR="007F4AB4">
        <w:rPr>
          <w:rFonts w:ascii="Times New Roman" w:hAnsi="Times New Roman" w:cs="Times New Roman"/>
          <w:color w:val="373A3C"/>
          <w:sz w:val="24"/>
          <w:szCs w:val="24"/>
        </w:rPr>
        <w:t xml:space="preserve"> </w:t>
      </w:r>
      <w:r w:rsidR="00B04AE8">
        <w:rPr>
          <w:rFonts w:ascii="Times New Roman" w:hAnsi="Times New Roman" w:cs="Times New Roman"/>
          <w:color w:val="373A3C"/>
          <w:sz w:val="24"/>
          <w:szCs w:val="24"/>
        </w:rPr>
        <w:t>have noted certain</w:t>
      </w:r>
      <w:r w:rsidR="001F3CB2">
        <w:rPr>
          <w:rFonts w:ascii="Times New Roman" w:hAnsi="Times New Roman" w:cs="Times New Roman"/>
          <w:color w:val="373A3C"/>
          <w:sz w:val="24"/>
          <w:szCs w:val="24"/>
        </w:rPr>
        <w:t xml:space="preserve"> </w:t>
      </w:r>
      <w:r w:rsidR="007F4AB4">
        <w:rPr>
          <w:rFonts w:ascii="Times New Roman" w:hAnsi="Times New Roman" w:cs="Times New Roman"/>
          <w:color w:val="373A3C"/>
          <w:sz w:val="24"/>
          <w:szCs w:val="24"/>
        </w:rPr>
        <w:t>omissions</w:t>
      </w:r>
      <w:r w:rsidR="001F3CB2">
        <w:rPr>
          <w:rFonts w:ascii="Times New Roman" w:hAnsi="Times New Roman" w:cs="Times New Roman"/>
          <w:color w:val="373A3C"/>
          <w:sz w:val="24"/>
          <w:szCs w:val="24"/>
        </w:rPr>
        <w:t xml:space="preserve"> and ‘suppression of facts’, such as not naming Brutus and Mark Antony</w:t>
      </w:r>
      <w:r w:rsidR="00205302">
        <w:rPr>
          <w:rFonts w:ascii="Times New Roman" w:hAnsi="Times New Roman" w:cs="Times New Roman"/>
          <w:color w:val="373A3C"/>
          <w:sz w:val="24"/>
          <w:szCs w:val="24"/>
        </w:rPr>
        <w:t>, his enemies</w:t>
      </w:r>
      <w:r w:rsidR="00A14031">
        <w:rPr>
          <w:rFonts w:ascii="Times New Roman" w:hAnsi="Times New Roman" w:cs="Times New Roman"/>
          <w:color w:val="373A3C"/>
          <w:sz w:val="24"/>
          <w:szCs w:val="24"/>
        </w:rPr>
        <w:t>.</w:t>
      </w:r>
      <w:r w:rsidR="005137FF">
        <w:rPr>
          <w:rStyle w:val="FootnoteReference"/>
          <w:rFonts w:ascii="Times New Roman" w:hAnsi="Times New Roman" w:cs="Times New Roman"/>
          <w:color w:val="373A3C"/>
          <w:sz w:val="24"/>
          <w:szCs w:val="24"/>
        </w:rPr>
        <w:footnoteReference w:id="2"/>
      </w:r>
      <w:r w:rsidR="00BA1AA0">
        <w:rPr>
          <w:rFonts w:ascii="Times New Roman" w:hAnsi="Times New Roman" w:cs="Times New Roman"/>
          <w:color w:val="373A3C"/>
          <w:sz w:val="24"/>
          <w:szCs w:val="24"/>
        </w:rPr>
        <w:t xml:space="preserve"> The </w:t>
      </w:r>
      <w:r w:rsidR="00BA1AA0">
        <w:rPr>
          <w:rFonts w:ascii="Times New Roman" w:hAnsi="Times New Roman" w:cs="Times New Roman"/>
          <w:i/>
          <w:color w:val="373A3C"/>
          <w:sz w:val="24"/>
          <w:szCs w:val="24"/>
        </w:rPr>
        <w:t>Res Gestae</w:t>
      </w:r>
      <w:r w:rsidR="00BA1AA0">
        <w:rPr>
          <w:rFonts w:ascii="Times New Roman" w:hAnsi="Times New Roman" w:cs="Times New Roman"/>
          <w:color w:val="373A3C"/>
          <w:sz w:val="24"/>
          <w:szCs w:val="24"/>
        </w:rPr>
        <w:t xml:space="preserve">, </w:t>
      </w:r>
      <w:r w:rsidR="008D38E5">
        <w:rPr>
          <w:rFonts w:ascii="Times New Roman" w:hAnsi="Times New Roman" w:cs="Times New Roman"/>
          <w:color w:val="373A3C"/>
          <w:sz w:val="24"/>
          <w:szCs w:val="24"/>
        </w:rPr>
        <w:t>then</w:t>
      </w:r>
      <w:r w:rsidR="00BA1AA0">
        <w:rPr>
          <w:rFonts w:ascii="Times New Roman" w:hAnsi="Times New Roman" w:cs="Times New Roman"/>
          <w:color w:val="373A3C"/>
          <w:sz w:val="24"/>
          <w:szCs w:val="24"/>
        </w:rPr>
        <w:t xml:space="preserve">, serves as an important </w:t>
      </w:r>
      <w:r w:rsidR="00F90199">
        <w:rPr>
          <w:rFonts w:ascii="Times New Roman" w:hAnsi="Times New Roman" w:cs="Times New Roman"/>
          <w:color w:val="373A3C"/>
          <w:sz w:val="24"/>
          <w:szCs w:val="24"/>
        </w:rPr>
        <w:t>reference</w:t>
      </w:r>
      <w:r w:rsidR="00BA1AA0">
        <w:rPr>
          <w:rFonts w:ascii="Times New Roman" w:hAnsi="Times New Roman" w:cs="Times New Roman"/>
          <w:color w:val="373A3C"/>
          <w:sz w:val="24"/>
          <w:szCs w:val="24"/>
        </w:rPr>
        <w:t xml:space="preserve"> in the study of the period, as it provides us with</w:t>
      </w:r>
      <w:r w:rsidR="003F381F">
        <w:rPr>
          <w:rFonts w:ascii="Times New Roman" w:hAnsi="Times New Roman" w:cs="Times New Roman"/>
          <w:color w:val="373A3C"/>
          <w:sz w:val="24"/>
          <w:szCs w:val="24"/>
        </w:rPr>
        <w:t xml:space="preserve"> a wealth of information</w:t>
      </w:r>
      <w:r w:rsidR="007F4AB4">
        <w:rPr>
          <w:rFonts w:ascii="Times New Roman" w:hAnsi="Times New Roman" w:cs="Times New Roman"/>
          <w:color w:val="373A3C"/>
          <w:sz w:val="24"/>
          <w:szCs w:val="24"/>
        </w:rPr>
        <w:t xml:space="preserve"> that can arguably be</w:t>
      </w:r>
      <w:r w:rsidR="001D4BAD">
        <w:rPr>
          <w:rFonts w:ascii="Times New Roman" w:hAnsi="Times New Roman" w:cs="Times New Roman"/>
          <w:color w:val="373A3C"/>
          <w:sz w:val="24"/>
          <w:szCs w:val="24"/>
        </w:rPr>
        <w:t xml:space="preserve"> carefully</w:t>
      </w:r>
      <w:r w:rsidR="007F4AB4">
        <w:rPr>
          <w:rFonts w:ascii="Times New Roman" w:hAnsi="Times New Roman" w:cs="Times New Roman"/>
          <w:color w:val="373A3C"/>
          <w:sz w:val="24"/>
          <w:szCs w:val="24"/>
        </w:rPr>
        <w:t xml:space="preserve"> relied upon</w:t>
      </w:r>
      <w:r w:rsidR="003F381F">
        <w:rPr>
          <w:rFonts w:ascii="Times New Roman" w:hAnsi="Times New Roman" w:cs="Times New Roman"/>
          <w:color w:val="373A3C"/>
          <w:sz w:val="24"/>
          <w:szCs w:val="24"/>
        </w:rPr>
        <w:t xml:space="preserve">. </w:t>
      </w:r>
      <w:r w:rsidR="00EB4D85">
        <w:rPr>
          <w:rFonts w:ascii="Times New Roman" w:hAnsi="Times New Roman" w:cs="Times New Roman"/>
          <w:color w:val="373A3C"/>
          <w:sz w:val="24"/>
          <w:szCs w:val="24"/>
        </w:rPr>
        <w:t xml:space="preserve">Despite this, </w:t>
      </w:r>
      <w:r w:rsidR="003D3E04">
        <w:rPr>
          <w:rFonts w:ascii="Times New Roman" w:hAnsi="Times New Roman" w:cs="Times New Roman"/>
          <w:color w:val="373A3C"/>
          <w:sz w:val="24"/>
          <w:szCs w:val="24"/>
        </w:rPr>
        <w:t xml:space="preserve">Augustus’ ‘narrative’ remains problematic in that it is self-aggrandising and </w:t>
      </w:r>
      <w:r w:rsidR="00E00CA5">
        <w:rPr>
          <w:rFonts w:ascii="Times New Roman" w:hAnsi="Times New Roman" w:cs="Times New Roman"/>
          <w:color w:val="373A3C"/>
          <w:sz w:val="24"/>
          <w:szCs w:val="24"/>
        </w:rPr>
        <w:t xml:space="preserve">arguably </w:t>
      </w:r>
      <w:r w:rsidR="003D3E04">
        <w:rPr>
          <w:rFonts w:ascii="Times New Roman" w:hAnsi="Times New Roman" w:cs="Times New Roman"/>
          <w:color w:val="373A3C"/>
          <w:sz w:val="24"/>
          <w:szCs w:val="24"/>
        </w:rPr>
        <w:t xml:space="preserve">serves </w:t>
      </w:r>
      <w:r w:rsidR="00760137">
        <w:rPr>
          <w:rFonts w:ascii="Times New Roman" w:hAnsi="Times New Roman" w:cs="Times New Roman"/>
          <w:color w:val="373A3C"/>
          <w:sz w:val="24"/>
          <w:szCs w:val="24"/>
        </w:rPr>
        <w:t>as p</w:t>
      </w:r>
      <w:r w:rsidR="003D3E04">
        <w:rPr>
          <w:rFonts w:ascii="Times New Roman" w:hAnsi="Times New Roman" w:cs="Times New Roman"/>
          <w:color w:val="373A3C"/>
          <w:sz w:val="24"/>
          <w:szCs w:val="24"/>
        </w:rPr>
        <w:t xml:space="preserve">ropaganda, which </w:t>
      </w:r>
      <w:proofErr w:type="spellStart"/>
      <w:r w:rsidR="003D3E04" w:rsidRPr="00281636">
        <w:rPr>
          <w:rFonts w:ascii="Times New Roman" w:hAnsi="Times New Roman" w:cs="Times New Roman"/>
          <w:color w:val="373A3C"/>
          <w:sz w:val="24"/>
          <w:szCs w:val="24"/>
        </w:rPr>
        <w:t>Güven</w:t>
      </w:r>
      <w:proofErr w:type="spellEnd"/>
      <w:r w:rsidR="003D3E04">
        <w:rPr>
          <w:rFonts w:ascii="Times New Roman" w:hAnsi="Times New Roman" w:cs="Times New Roman"/>
          <w:color w:val="373A3C"/>
          <w:sz w:val="24"/>
          <w:szCs w:val="24"/>
        </w:rPr>
        <w:t xml:space="preserve"> tells us was to ‘ensure the continuity of empire spawned and nurtured by Augustus’, and therefore the continuity of the Julio-Claudian dynasty.</w:t>
      </w:r>
      <w:r w:rsidR="00CE5C9B">
        <w:rPr>
          <w:rStyle w:val="FootnoteReference"/>
          <w:rFonts w:ascii="Times New Roman" w:hAnsi="Times New Roman" w:cs="Times New Roman"/>
          <w:color w:val="373A3C"/>
          <w:sz w:val="24"/>
          <w:szCs w:val="24"/>
        </w:rPr>
        <w:footnoteReference w:id="3"/>
      </w:r>
      <w:r w:rsidR="00CE5C9B">
        <w:rPr>
          <w:rFonts w:ascii="Times New Roman" w:hAnsi="Times New Roman" w:cs="Times New Roman"/>
          <w:color w:val="373A3C"/>
          <w:sz w:val="24"/>
          <w:szCs w:val="24"/>
        </w:rPr>
        <w:t xml:space="preserve"> </w:t>
      </w:r>
      <w:r w:rsidR="00DD5F43">
        <w:rPr>
          <w:rFonts w:ascii="Times New Roman" w:hAnsi="Times New Roman" w:cs="Times New Roman"/>
          <w:color w:val="373A3C"/>
          <w:sz w:val="24"/>
          <w:szCs w:val="24"/>
        </w:rPr>
        <w:t xml:space="preserve"> </w:t>
      </w:r>
    </w:p>
    <w:p w:rsidR="00A06CA5" w:rsidRDefault="00A06CA5" w:rsidP="006B303D">
      <w:pPr>
        <w:rPr>
          <w:rFonts w:ascii="Times New Roman" w:hAnsi="Times New Roman" w:cs="Times New Roman"/>
          <w:color w:val="373A3C"/>
          <w:sz w:val="24"/>
          <w:szCs w:val="24"/>
        </w:rPr>
      </w:pPr>
    </w:p>
    <w:p w:rsidR="00C7783A" w:rsidRDefault="00030330" w:rsidP="006B303D">
      <w:pPr>
        <w:rPr>
          <w:rFonts w:ascii="Times New Roman" w:hAnsi="Times New Roman" w:cs="Times New Roman"/>
          <w:color w:val="373A3C"/>
          <w:sz w:val="24"/>
          <w:szCs w:val="24"/>
        </w:rPr>
      </w:pPr>
      <w:r>
        <w:rPr>
          <w:rFonts w:ascii="Times New Roman" w:hAnsi="Times New Roman" w:cs="Times New Roman"/>
          <w:color w:val="373A3C"/>
          <w:sz w:val="24"/>
          <w:szCs w:val="24"/>
        </w:rPr>
        <w:t>A positive</w:t>
      </w:r>
      <w:r w:rsidR="00BA3D7F">
        <w:rPr>
          <w:rFonts w:ascii="Times New Roman" w:hAnsi="Times New Roman" w:cs="Times New Roman"/>
          <w:color w:val="373A3C"/>
          <w:sz w:val="24"/>
          <w:szCs w:val="24"/>
        </w:rPr>
        <w:t xml:space="preserve"> aspect of the </w:t>
      </w:r>
      <w:r w:rsidR="00BA3D7F">
        <w:rPr>
          <w:rFonts w:ascii="Times New Roman" w:hAnsi="Times New Roman" w:cs="Times New Roman"/>
          <w:i/>
          <w:color w:val="373A3C"/>
          <w:sz w:val="24"/>
          <w:szCs w:val="24"/>
        </w:rPr>
        <w:t>Res Gestae</w:t>
      </w:r>
      <w:r>
        <w:rPr>
          <w:rFonts w:ascii="Times New Roman" w:hAnsi="Times New Roman" w:cs="Times New Roman"/>
          <w:color w:val="373A3C"/>
          <w:sz w:val="24"/>
          <w:szCs w:val="24"/>
        </w:rPr>
        <w:t>,</w:t>
      </w:r>
      <w:r w:rsidR="00C7783A">
        <w:rPr>
          <w:rFonts w:ascii="Times New Roman" w:hAnsi="Times New Roman" w:cs="Times New Roman"/>
          <w:color w:val="373A3C"/>
          <w:sz w:val="24"/>
          <w:szCs w:val="24"/>
        </w:rPr>
        <w:t xml:space="preserve"> Gordon </w:t>
      </w:r>
      <w:r w:rsidR="00016175">
        <w:rPr>
          <w:rFonts w:ascii="Times New Roman" w:hAnsi="Times New Roman" w:cs="Times New Roman"/>
          <w:color w:val="373A3C"/>
          <w:sz w:val="24"/>
          <w:szCs w:val="24"/>
        </w:rPr>
        <w:t>argues</w:t>
      </w:r>
      <w:r w:rsidR="00C7783A">
        <w:rPr>
          <w:rFonts w:ascii="Times New Roman" w:hAnsi="Times New Roman" w:cs="Times New Roman"/>
          <w:color w:val="373A3C"/>
          <w:sz w:val="24"/>
          <w:szCs w:val="24"/>
        </w:rPr>
        <w:t xml:space="preserve">, is the fact that there are literary references </w:t>
      </w:r>
      <w:r w:rsidR="00BA3D7F">
        <w:rPr>
          <w:rFonts w:ascii="Times New Roman" w:hAnsi="Times New Roman" w:cs="Times New Roman"/>
          <w:color w:val="373A3C"/>
          <w:sz w:val="24"/>
          <w:szCs w:val="24"/>
        </w:rPr>
        <w:t>to it</w:t>
      </w:r>
      <w:r w:rsidR="00C7783A">
        <w:rPr>
          <w:rFonts w:ascii="Times New Roman" w:hAnsi="Times New Roman" w:cs="Times New Roman"/>
          <w:i/>
          <w:color w:val="373A3C"/>
          <w:sz w:val="24"/>
          <w:szCs w:val="24"/>
        </w:rPr>
        <w:t xml:space="preserve">, </w:t>
      </w:r>
      <w:r w:rsidR="005012A1">
        <w:rPr>
          <w:rFonts w:ascii="Times New Roman" w:hAnsi="Times New Roman" w:cs="Times New Roman"/>
          <w:color w:val="373A3C"/>
          <w:sz w:val="24"/>
          <w:szCs w:val="24"/>
        </w:rPr>
        <w:t xml:space="preserve">such as Suetonius’ accounts, </w:t>
      </w:r>
      <w:r w:rsidR="009B6C3D">
        <w:rPr>
          <w:rFonts w:ascii="Times New Roman" w:hAnsi="Times New Roman" w:cs="Times New Roman"/>
          <w:color w:val="373A3C"/>
          <w:sz w:val="24"/>
          <w:szCs w:val="24"/>
        </w:rPr>
        <w:t xml:space="preserve">which is </w:t>
      </w:r>
      <w:r w:rsidR="00C7783A">
        <w:rPr>
          <w:rFonts w:ascii="Times New Roman" w:hAnsi="Times New Roman" w:cs="Times New Roman"/>
          <w:color w:val="373A3C"/>
          <w:sz w:val="24"/>
          <w:szCs w:val="24"/>
        </w:rPr>
        <w:t>uncommon</w:t>
      </w:r>
      <w:r w:rsidR="008F60B1">
        <w:rPr>
          <w:rFonts w:ascii="Times New Roman" w:hAnsi="Times New Roman" w:cs="Times New Roman"/>
          <w:color w:val="373A3C"/>
          <w:sz w:val="24"/>
          <w:szCs w:val="24"/>
        </w:rPr>
        <w:t>ly</w:t>
      </w:r>
      <w:r w:rsidR="00C7783A">
        <w:rPr>
          <w:rFonts w:ascii="Times New Roman" w:hAnsi="Times New Roman" w:cs="Times New Roman"/>
          <w:color w:val="373A3C"/>
          <w:sz w:val="24"/>
          <w:szCs w:val="24"/>
        </w:rPr>
        <w:t xml:space="preserve"> characteristic of inscriptions.</w:t>
      </w:r>
      <w:r w:rsidR="00D50042">
        <w:rPr>
          <w:rFonts w:ascii="Times New Roman" w:hAnsi="Times New Roman" w:cs="Times New Roman"/>
          <w:color w:val="373A3C"/>
          <w:sz w:val="24"/>
          <w:szCs w:val="24"/>
        </w:rPr>
        <w:t xml:space="preserve"> </w:t>
      </w:r>
      <w:r w:rsidR="002C2C12">
        <w:rPr>
          <w:rFonts w:ascii="Times New Roman" w:hAnsi="Times New Roman" w:cs="Times New Roman"/>
          <w:color w:val="373A3C"/>
          <w:sz w:val="24"/>
          <w:szCs w:val="24"/>
        </w:rPr>
        <w:t>Equally positive is that t</w:t>
      </w:r>
      <w:r w:rsidR="00BA3D7F">
        <w:rPr>
          <w:rFonts w:ascii="Times New Roman" w:hAnsi="Times New Roman" w:cs="Times New Roman"/>
          <w:color w:val="373A3C"/>
          <w:sz w:val="24"/>
          <w:szCs w:val="24"/>
        </w:rPr>
        <w:t xml:space="preserve">he reproduction of the </w:t>
      </w:r>
      <w:r w:rsidR="00BA3D7F">
        <w:rPr>
          <w:rFonts w:ascii="Times New Roman" w:hAnsi="Times New Roman" w:cs="Times New Roman"/>
          <w:i/>
          <w:color w:val="373A3C"/>
          <w:sz w:val="24"/>
          <w:szCs w:val="24"/>
        </w:rPr>
        <w:t xml:space="preserve">Res Gestae </w:t>
      </w:r>
      <w:r w:rsidR="00BA3D7F">
        <w:rPr>
          <w:rFonts w:ascii="Times New Roman" w:hAnsi="Times New Roman" w:cs="Times New Roman"/>
          <w:color w:val="373A3C"/>
          <w:sz w:val="24"/>
          <w:szCs w:val="24"/>
        </w:rPr>
        <w:t>into stone</w:t>
      </w:r>
      <w:r w:rsidR="00B60270">
        <w:rPr>
          <w:rFonts w:ascii="Times New Roman" w:hAnsi="Times New Roman" w:cs="Times New Roman"/>
          <w:color w:val="373A3C"/>
          <w:sz w:val="24"/>
          <w:szCs w:val="24"/>
        </w:rPr>
        <w:t xml:space="preserve"> </w:t>
      </w:r>
      <w:r w:rsidR="00A9349B">
        <w:rPr>
          <w:rFonts w:ascii="Times New Roman" w:hAnsi="Times New Roman" w:cs="Times New Roman"/>
          <w:color w:val="373A3C"/>
          <w:sz w:val="24"/>
          <w:szCs w:val="24"/>
        </w:rPr>
        <w:t>is also the reason for its preservation, Gordon says.</w:t>
      </w:r>
      <w:r w:rsidR="00BA3D7F">
        <w:rPr>
          <w:rFonts w:ascii="Times New Roman" w:hAnsi="Times New Roman" w:cs="Times New Roman"/>
          <w:color w:val="373A3C"/>
          <w:sz w:val="24"/>
          <w:szCs w:val="24"/>
        </w:rPr>
        <w:t xml:space="preserve"> </w:t>
      </w:r>
      <w:r w:rsidR="00817FF9">
        <w:rPr>
          <w:rFonts w:ascii="Times New Roman" w:hAnsi="Times New Roman" w:cs="Times New Roman"/>
          <w:color w:val="373A3C"/>
          <w:sz w:val="24"/>
          <w:szCs w:val="24"/>
        </w:rPr>
        <w:t>Due to</w:t>
      </w:r>
      <w:r w:rsidR="00BA3D7F">
        <w:rPr>
          <w:rFonts w:ascii="Times New Roman" w:hAnsi="Times New Roman" w:cs="Times New Roman"/>
          <w:color w:val="373A3C"/>
          <w:sz w:val="24"/>
          <w:szCs w:val="24"/>
        </w:rPr>
        <w:t xml:space="preserve"> t</w:t>
      </w:r>
      <w:r w:rsidR="00D50042">
        <w:rPr>
          <w:rFonts w:ascii="Times New Roman" w:hAnsi="Times New Roman" w:cs="Times New Roman"/>
          <w:color w:val="373A3C"/>
          <w:sz w:val="24"/>
          <w:szCs w:val="24"/>
        </w:rPr>
        <w:t>he original</w:t>
      </w:r>
      <w:r w:rsidR="00B8605B">
        <w:rPr>
          <w:rFonts w:ascii="Times New Roman" w:hAnsi="Times New Roman" w:cs="Times New Roman"/>
          <w:color w:val="373A3C"/>
          <w:sz w:val="24"/>
          <w:szCs w:val="24"/>
        </w:rPr>
        <w:t xml:space="preserve"> inscription </w:t>
      </w:r>
      <w:r w:rsidR="00817FF9">
        <w:rPr>
          <w:rFonts w:ascii="Times New Roman" w:hAnsi="Times New Roman" w:cs="Times New Roman"/>
          <w:color w:val="373A3C"/>
          <w:sz w:val="24"/>
          <w:szCs w:val="24"/>
        </w:rPr>
        <w:t>being</w:t>
      </w:r>
      <w:r w:rsidR="00B8605B">
        <w:rPr>
          <w:rFonts w:ascii="Times New Roman" w:hAnsi="Times New Roman" w:cs="Times New Roman"/>
          <w:color w:val="373A3C"/>
          <w:sz w:val="24"/>
          <w:szCs w:val="24"/>
        </w:rPr>
        <w:t xml:space="preserve"> made in bronze,</w:t>
      </w:r>
      <w:r w:rsidR="005D1219">
        <w:rPr>
          <w:rFonts w:ascii="Times New Roman" w:hAnsi="Times New Roman" w:cs="Times New Roman"/>
          <w:color w:val="373A3C"/>
          <w:sz w:val="24"/>
          <w:szCs w:val="24"/>
        </w:rPr>
        <w:t xml:space="preserve"> as a valuable material it would hav</w:t>
      </w:r>
      <w:r>
        <w:rPr>
          <w:rFonts w:ascii="Times New Roman" w:hAnsi="Times New Roman" w:cs="Times New Roman"/>
          <w:color w:val="373A3C"/>
          <w:sz w:val="24"/>
          <w:szCs w:val="24"/>
        </w:rPr>
        <w:t xml:space="preserve">e later been melted for re-use. </w:t>
      </w:r>
      <w:r w:rsidR="00D834C8">
        <w:rPr>
          <w:rFonts w:ascii="Times New Roman" w:hAnsi="Times New Roman" w:cs="Times New Roman"/>
          <w:color w:val="373A3C"/>
          <w:sz w:val="24"/>
          <w:szCs w:val="24"/>
        </w:rPr>
        <w:t>The use of material is not a trivial point</w:t>
      </w:r>
      <w:r w:rsidR="00FA7D71">
        <w:rPr>
          <w:rFonts w:ascii="Times New Roman" w:hAnsi="Times New Roman" w:cs="Times New Roman"/>
          <w:color w:val="373A3C"/>
          <w:sz w:val="24"/>
          <w:szCs w:val="24"/>
        </w:rPr>
        <w:t xml:space="preserve"> and can be an important feature of epigraphy. I</w:t>
      </w:r>
      <w:r w:rsidR="00D834C8">
        <w:rPr>
          <w:rFonts w:ascii="Times New Roman" w:hAnsi="Times New Roman" w:cs="Times New Roman"/>
          <w:color w:val="373A3C"/>
          <w:sz w:val="24"/>
          <w:szCs w:val="24"/>
        </w:rPr>
        <w:t xml:space="preserve">t has been noted that the use of bronze </w:t>
      </w:r>
      <w:r w:rsidR="00FA7D71">
        <w:rPr>
          <w:rFonts w:ascii="Times New Roman" w:hAnsi="Times New Roman" w:cs="Times New Roman"/>
          <w:color w:val="373A3C"/>
          <w:sz w:val="24"/>
          <w:szCs w:val="24"/>
        </w:rPr>
        <w:t xml:space="preserve">in the </w:t>
      </w:r>
      <w:r w:rsidR="00FA7D71">
        <w:rPr>
          <w:rFonts w:ascii="Times New Roman" w:hAnsi="Times New Roman" w:cs="Times New Roman"/>
          <w:i/>
          <w:color w:val="373A3C"/>
          <w:sz w:val="24"/>
          <w:szCs w:val="24"/>
        </w:rPr>
        <w:t xml:space="preserve">Res Gestae </w:t>
      </w:r>
      <w:r w:rsidR="00D834C8" w:rsidRPr="00FA7D71">
        <w:rPr>
          <w:rFonts w:ascii="Times New Roman" w:hAnsi="Times New Roman" w:cs="Times New Roman"/>
          <w:color w:val="373A3C"/>
          <w:sz w:val="24"/>
          <w:szCs w:val="24"/>
        </w:rPr>
        <w:t>evoked</w:t>
      </w:r>
      <w:r w:rsidR="00D834C8">
        <w:rPr>
          <w:rFonts w:ascii="Times New Roman" w:hAnsi="Times New Roman" w:cs="Times New Roman"/>
          <w:color w:val="373A3C"/>
          <w:sz w:val="24"/>
          <w:szCs w:val="24"/>
        </w:rPr>
        <w:t xml:space="preserve"> notions of ‘sacrosanctity’ and ‘moral authority’, as-well as alluding to religious sanctity that underpinned Augustus’ rule.</w:t>
      </w:r>
      <w:r w:rsidR="00F10F0B">
        <w:rPr>
          <w:rStyle w:val="FootnoteReference"/>
          <w:rFonts w:ascii="Times New Roman" w:hAnsi="Times New Roman" w:cs="Times New Roman"/>
          <w:color w:val="373A3C"/>
          <w:sz w:val="24"/>
          <w:szCs w:val="24"/>
        </w:rPr>
        <w:footnoteReference w:id="4"/>
      </w:r>
      <w:r w:rsidR="00D834C8">
        <w:rPr>
          <w:rFonts w:ascii="Times New Roman" w:hAnsi="Times New Roman" w:cs="Times New Roman"/>
          <w:color w:val="373A3C"/>
          <w:sz w:val="24"/>
          <w:szCs w:val="24"/>
        </w:rPr>
        <w:t xml:space="preserve"> </w:t>
      </w:r>
      <w:r w:rsidR="007E44DD">
        <w:rPr>
          <w:rFonts w:ascii="Times New Roman" w:hAnsi="Times New Roman" w:cs="Times New Roman"/>
          <w:color w:val="373A3C"/>
          <w:sz w:val="24"/>
          <w:szCs w:val="24"/>
        </w:rPr>
        <w:t>Gordon, however, presents a number of</w:t>
      </w:r>
      <w:r w:rsidR="005C6FE1">
        <w:rPr>
          <w:rFonts w:ascii="Times New Roman" w:hAnsi="Times New Roman" w:cs="Times New Roman"/>
          <w:color w:val="373A3C"/>
          <w:sz w:val="24"/>
          <w:szCs w:val="24"/>
        </w:rPr>
        <w:t xml:space="preserve"> problems with the epigraphical nature of the </w:t>
      </w:r>
      <w:r w:rsidR="005C6FE1">
        <w:rPr>
          <w:rFonts w:ascii="Times New Roman" w:hAnsi="Times New Roman" w:cs="Times New Roman"/>
          <w:i/>
          <w:color w:val="373A3C"/>
          <w:sz w:val="24"/>
          <w:szCs w:val="24"/>
        </w:rPr>
        <w:t>Res Gestae</w:t>
      </w:r>
      <w:r w:rsidR="00A069D5">
        <w:rPr>
          <w:rFonts w:ascii="Times New Roman" w:hAnsi="Times New Roman" w:cs="Times New Roman"/>
          <w:color w:val="373A3C"/>
          <w:sz w:val="24"/>
          <w:szCs w:val="24"/>
        </w:rPr>
        <w:t xml:space="preserve">, </w:t>
      </w:r>
      <w:r w:rsidR="005D6222">
        <w:rPr>
          <w:rFonts w:ascii="Times New Roman" w:hAnsi="Times New Roman" w:cs="Times New Roman"/>
          <w:color w:val="373A3C"/>
          <w:sz w:val="24"/>
          <w:szCs w:val="24"/>
        </w:rPr>
        <w:t>such as mistakes when inscriptions were copied or translated between Latin and Greek, as-well as the unfortunate fact that many inscriptions were lost d</w:t>
      </w:r>
      <w:r w:rsidR="003E1B18">
        <w:rPr>
          <w:rFonts w:ascii="Times New Roman" w:hAnsi="Times New Roman" w:cs="Times New Roman"/>
          <w:color w:val="373A3C"/>
          <w:sz w:val="24"/>
          <w:szCs w:val="24"/>
        </w:rPr>
        <w:t xml:space="preserve">uring the destruction of cities, hence the surviving copies of </w:t>
      </w:r>
      <w:r w:rsidR="003E1B18">
        <w:rPr>
          <w:rFonts w:ascii="Times New Roman" w:hAnsi="Times New Roman" w:cs="Times New Roman"/>
          <w:i/>
          <w:color w:val="373A3C"/>
          <w:sz w:val="24"/>
          <w:szCs w:val="24"/>
        </w:rPr>
        <w:t xml:space="preserve">Res Gestae </w:t>
      </w:r>
      <w:r w:rsidR="003E1B18">
        <w:rPr>
          <w:rFonts w:ascii="Times New Roman" w:hAnsi="Times New Roman" w:cs="Times New Roman"/>
          <w:color w:val="373A3C"/>
          <w:sz w:val="24"/>
          <w:szCs w:val="24"/>
        </w:rPr>
        <w:t>being found in remote places.</w:t>
      </w:r>
      <w:r w:rsidR="00942980">
        <w:rPr>
          <w:rStyle w:val="FootnoteReference"/>
          <w:rFonts w:ascii="Times New Roman" w:hAnsi="Times New Roman" w:cs="Times New Roman"/>
          <w:color w:val="373A3C"/>
          <w:sz w:val="24"/>
          <w:szCs w:val="24"/>
        </w:rPr>
        <w:footnoteReference w:id="5"/>
      </w:r>
      <w:r w:rsidR="000E6DB2">
        <w:rPr>
          <w:rFonts w:ascii="Times New Roman" w:hAnsi="Times New Roman" w:cs="Times New Roman"/>
          <w:color w:val="373A3C"/>
          <w:sz w:val="24"/>
          <w:szCs w:val="24"/>
        </w:rPr>
        <w:t xml:space="preserve"> </w:t>
      </w:r>
      <w:r w:rsidR="00E55ADA">
        <w:rPr>
          <w:rFonts w:ascii="Times New Roman" w:hAnsi="Times New Roman" w:cs="Times New Roman"/>
          <w:color w:val="373A3C"/>
          <w:sz w:val="24"/>
          <w:szCs w:val="24"/>
        </w:rPr>
        <w:t xml:space="preserve">It is also safe to assume that </w:t>
      </w:r>
      <w:r w:rsidR="00E55ADA">
        <w:rPr>
          <w:rFonts w:ascii="Times New Roman" w:hAnsi="Times New Roman" w:cs="Times New Roman"/>
          <w:color w:val="373A3C"/>
          <w:sz w:val="24"/>
          <w:szCs w:val="24"/>
        </w:rPr>
        <w:lastRenderedPageBreak/>
        <w:t>nuances in content and translation issues between the copies</w:t>
      </w:r>
      <w:r w:rsidR="00E944BB">
        <w:rPr>
          <w:rFonts w:ascii="Times New Roman" w:hAnsi="Times New Roman" w:cs="Times New Roman"/>
          <w:color w:val="373A3C"/>
          <w:sz w:val="24"/>
          <w:szCs w:val="24"/>
        </w:rPr>
        <w:t xml:space="preserve"> of the </w:t>
      </w:r>
      <w:r w:rsidR="00E944BB">
        <w:rPr>
          <w:rFonts w:ascii="Times New Roman" w:hAnsi="Times New Roman" w:cs="Times New Roman"/>
          <w:i/>
          <w:color w:val="373A3C"/>
          <w:sz w:val="24"/>
          <w:szCs w:val="24"/>
        </w:rPr>
        <w:t>Res Gestae</w:t>
      </w:r>
      <w:r w:rsidR="00E55ADA">
        <w:rPr>
          <w:rFonts w:ascii="Times New Roman" w:hAnsi="Times New Roman" w:cs="Times New Roman"/>
          <w:color w:val="373A3C"/>
          <w:sz w:val="24"/>
          <w:szCs w:val="24"/>
        </w:rPr>
        <w:t xml:space="preserve">, as discussed by Gordon and </w:t>
      </w:r>
      <w:r w:rsidR="002E7439">
        <w:rPr>
          <w:rFonts w:ascii="Times New Roman" w:hAnsi="Times New Roman" w:cs="Times New Roman"/>
          <w:color w:val="373A3C"/>
          <w:sz w:val="24"/>
          <w:szCs w:val="24"/>
        </w:rPr>
        <w:t>also</w:t>
      </w:r>
      <w:r w:rsidR="00E55ADA">
        <w:rPr>
          <w:rFonts w:ascii="Times New Roman" w:hAnsi="Times New Roman" w:cs="Times New Roman"/>
          <w:color w:val="373A3C"/>
          <w:sz w:val="24"/>
          <w:szCs w:val="24"/>
        </w:rPr>
        <w:t xml:space="preserve"> by Cooley, would indicate that the copies cannot be verbatim reflections of the original.</w:t>
      </w:r>
      <w:r w:rsidR="003311B3">
        <w:rPr>
          <w:rStyle w:val="FootnoteReference"/>
          <w:rFonts w:ascii="Times New Roman" w:hAnsi="Times New Roman" w:cs="Times New Roman"/>
          <w:color w:val="373A3C"/>
          <w:sz w:val="24"/>
          <w:szCs w:val="24"/>
        </w:rPr>
        <w:footnoteReference w:id="6"/>
      </w:r>
    </w:p>
    <w:p w:rsidR="0059260C" w:rsidRDefault="0059260C" w:rsidP="006B303D">
      <w:pPr>
        <w:rPr>
          <w:rFonts w:ascii="Times New Roman" w:hAnsi="Times New Roman" w:cs="Times New Roman"/>
          <w:color w:val="373A3C"/>
          <w:sz w:val="24"/>
          <w:szCs w:val="24"/>
        </w:rPr>
      </w:pPr>
    </w:p>
    <w:p w:rsidR="00E23B41" w:rsidRDefault="00E23B41" w:rsidP="006B303D">
      <w:pPr>
        <w:rPr>
          <w:rFonts w:ascii="Times New Roman" w:hAnsi="Times New Roman" w:cs="Times New Roman"/>
          <w:color w:val="373A3C"/>
          <w:sz w:val="24"/>
          <w:szCs w:val="24"/>
        </w:rPr>
      </w:pPr>
      <w:r>
        <w:rPr>
          <w:rFonts w:ascii="Times New Roman" w:hAnsi="Times New Roman" w:cs="Times New Roman"/>
          <w:color w:val="373A3C"/>
          <w:sz w:val="24"/>
          <w:szCs w:val="24"/>
        </w:rPr>
        <w:t xml:space="preserve">Other epigraphical sources pertaining to the Augustan era highlight the rise of Roman Imperialism </w:t>
      </w:r>
      <w:r w:rsidR="005B7FDA">
        <w:rPr>
          <w:rFonts w:ascii="Times New Roman" w:hAnsi="Times New Roman" w:cs="Times New Roman"/>
          <w:color w:val="373A3C"/>
          <w:sz w:val="24"/>
          <w:szCs w:val="24"/>
        </w:rPr>
        <w:t xml:space="preserve">and changes across the empire </w:t>
      </w:r>
      <w:r>
        <w:rPr>
          <w:rFonts w:ascii="Times New Roman" w:hAnsi="Times New Roman" w:cs="Times New Roman"/>
          <w:color w:val="373A3C"/>
          <w:sz w:val="24"/>
          <w:szCs w:val="24"/>
        </w:rPr>
        <w:t xml:space="preserve">under Augustus. In particular, dedications to Augustus have been found from across </w:t>
      </w:r>
      <w:r w:rsidR="005B56A5">
        <w:rPr>
          <w:rFonts w:ascii="Times New Roman" w:hAnsi="Times New Roman" w:cs="Times New Roman"/>
          <w:color w:val="373A3C"/>
          <w:sz w:val="24"/>
          <w:szCs w:val="24"/>
        </w:rPr>
        <w:t xml:space="preserve">Italy and </w:t>
      </w:r>
      <w:r w:rsidR="00FE6815">
        <w:rPr>
          <w:rFonts w:ascii="Times New Roman" w:hAnsi="Times New Roman" w:cs="Times New Roman"/>
          <w:color w:val="373A3C"/>
          <w:sz w:val="24"/>
          <w:szCs w:val="24"/>
        </w:rPr>
        <w:t xml:space="preserve">in </w:t>
      </w:r>
      <w:r w:rsidR="005B56A5">
        <w:rPr>
          <w:rFonts w:ascii="Times New Roman" w:hAnsi="Times New Roman" w:cs="Times New Roman"/>
          <w:color w:val="373A3C"/>
          <w:sz w:val="24"/>
          <w:szCs w:val="24"/>
        </w:rPr>
        <w:t xml:space="preserve">the </w:t>
      </w:r>
      <w:r w:rsidR="00FE6815">
        <w:rPr>
          <w:rFonts w:ascii="Times New Roman" w:hAnsi="Times New Roman" w:cs="Times New Roman"/>
          <w:color w:val="373A3C"/>
          <w:sz w:val="24"/>
          <w:szCs w:val="24"/>
        </w:rPr>
        <w:t xml:space="preserve">furthest reaches of the </w:t>
      </w:r>
      <w:r w:rsidR="005B56A5">
        <w:rPr>
          <w:rFonts w:ascii="Times New Roman" w:hAnsi="Times New Roman" w:cs="Times New Roman"/>
          <w:color w:val="373A3C"/>
          <w:sz w:val="24"/>
          <w:szCs w:val="24"/>
        </w:rPr>
        <w:t>provinces</w:t>
      </w:r>
      <w:r w:rsidR="000B313B">
        <w:rPr>
          <w:rFonts w:ascii="Times New Roman" w:hAnsi="Times New Roman" w:cs="Times New Roman"/>
          <w:color w:val="373A3C"/>
          <w:sz w:val="24"/>
          <w:szCs w:val="24"/>
        </w:rPr>
        <w:t xml:space="preserve"> and allied territories</w:t>
      </w:r>
      <w:r w:rsidR="005B56A5">
        <w:rPr>
          <w:rFonts w:ascii="Times New Roman" w:hAnsi="Times New Roman" w:cs="Times New Roman"/>
          <w:color w:val="373A3C"/>
          <w:sz w:val="24"/>
          <w:szCs w:val="24"/>
        </w:rPr>
        <w:t>.</w:t>
      </w:r>
      <w:r w:rsidR="0054579F">
        <w:rPr>
          <w:rFonts w:ascii="Times New Roman" w:hAnsi="Times New Roman" w:cs="Times New Roman"/>
          <w:color w:val="373A3C"/>
          <w:sz w:val="24"/>
          <w:szCs w:val="24"/>
        </w:rPr>
        <w:t xml:space="preserve"> </w:t>
      </w:r>
      <w:r w:rsidR="00C3236A">
        <w:rPr>
          <w:rFonts w:ascii="Times New Roman" w:hAnsi="Times New Roman" w:cs="Times New Roman"/>
          <w:color w:val="373A3C"/>
          <w:sz w:val="24"/>
          <w:szCs w:val="24"/>
        </w:rPr>
        <w:t>Examples</w:t>
      </w:r>
      <w:r w:rsidR="000B313B">
        <w:rPr>
          <w:rFonts w:ascii="Times New Roman" w:hAnsi="Times New Roman" w:cs="Times New Roman"/>
          <w:color w:val="373A3C"/>
          <w:sz w:val="24"/>
          <w:szCs w:val="24"/>
        </w:rPr>
        <w:t xml:space="preserve"> found in Lepcis</w:t>
      </w:r>
      <w:r w:rsidR="00682140">
        <w:rPr>
          <w:rFonts w:ascii="Times New Roman" w:hAnsi="Times New Roman" w:cs="Times New Roman"/>
          <w:color w:val="373A3C"/>
          <w:sz w:val="24"/>
          <w:szCs w:val="24"/>
        </w:rPr>
        <w:t xml:space="preserve"> </w:t>
      </w:r>
      <w:r w:rsidR="00AA293D">
        <w:rPr>
          <w:rFonts w:ascii="Times New Roman" w:hAnsi="Times New Roman" w:cs="Times New Roman"/>
          <w:color w:val="373A3C"/>
          <w:sz w:val="24"/>
          <w:szCs w:val="24"/>
        </w:rPr>
        <w:t xml:space="preserve">Magna, a city located in </w:t>
      </w:r>
      <w:r w:rsidR="005B1FE0">
        <w:rPr>
          <w:rFonts w:ascii="Times New Roman" w:hAnsi="Times New Roman" w:cs="Times New Roman"/>
          <w:color w:val="373A3C"/>
          <w:sz w:val="24"/>
          <w:szCs w:val="24"/>
        </w:rPr>
        <w:t xml:space="preserve">the Roman province of Africa in </w:t>
      </w:r>
      <w:r w:rsidR="00C3236A">
        <w:rPr>
          <w:rFonts w:ascii="Times New Roman" w:hAnsi="Times New Roman" w:cs="Times New Roman"/>
          <w:color w:val="373A3C"/>
          <w:sz w:val="24"/>
          <w:szCs w:val="24"/>
        </w:rPr>
        <w:t>what is now Libya, paint a narrative of events under Augustus</w:t>
      </w:r>
      <w:r w:rsidR="002A6628">
        <w:rPr>
          <w:rFonts w:ascii="Times New Roman" w:hAnsi="Times New Roman" w:cs="Times New Roman"/>
          <w:color w:val="373A3C"/>
          <w:sz w:val="24"/>
          <w:szCs w:val="24"/>
        </w:rPr>
        <w:t>’ reign</w:t>
      </w:r>
      <w:r w:rsidR="00C3236A">
        <w:rPr>
          <w:rFonts w:ascii="Times New Roman" w:hAnsi="Times New Roman" w:cs="Times New Roman"/>
          <w:color w:val="373A3C"/>
          <w:sz w:val="24"/>
          <w:szCs w:val="24"/>
        </w:rPr>
        <w:t>.</w:t>
      </w:r>
      <w:r w:rsidR="003700B1">
        <w:rPr>
          <w:rFonts w:ascii="Times New Roman" w:hAnsi="Times New Roman" w:cs="Times New Roman"/>
          <w:color w:val="373A3C"/>
          <w:sz w:val="24"/>
          <w:szCs w:val="24"/>
        </w:rPr>
        <w:t xml:space="preserve"> </w:t>
      </w:r>
      <w:r w:rsidR="00600380">
        <w:rPr>
          <w:rFonts w:ascii="Times New Roman" w:hAnsi="Times New Roman" w:cs="Times New Roman"/>
          <w:color w:val="373A3C"/>
          <w:sz w:val="24"/>
          <w:szCs w:val="24"/>
        </w:rPr>
        <w:t>One prominent inscription lying within the theatre there featur</w:t>
      </w:r>
      <w:r w:rsidR="002A6628">
        <w:rPr>
          <w:rFonts w:ascii="Times New Roman" w:hAnsi="Times New Roman" w:cs="Times New Roman"/>
          <w:color w:val="373A3C"/>
          <w:sz w:val="24"/>
          <w:szCs w:val="24"/>
        </w:rPr>
        <w:t>ing</w:t>
      </w:r>
      <w:r w:rsidR="00600380">
        <w:rPr>
          <w:rFonts w:ascii="Times New Roman" w:hAnsi="Times New Roman" w:cs="Times New Roman"/>
          <w:color w:val="373A3C"/>
          <w:sz w:val="24"/>
          <w:szCs w:val="24"/>
        </w:rPr>
        <w:t xml:space="preserve"> Augustus, dated to 1-2 AD</w:t>
      </w:r>
      <w:r w:rsidR="00A31F44">
        <w:rPr>
          <w:rFonts w:ascii="Times New Roman" w:hAnsi="Times New Roman" w:cs="Times New Roman"/>
          <w:color w:val="373A3C"/>
          <w:sz w:val="24"/>
          <w:szCs w:val="24"/>
        </w:rPr>
        <w:t xml:space="preserve"> (F</w:t>
      </w:r>
      <w:r w:rsidR="008D1C21">
        <w:rPr>
          <w:rFonts w:ascii="Times New Roman" w:hAnsi="Times New Roman" w:cs="Times New Roman"/>
          <w:color w:val="373A3C"/>
          <w:sz w:val="24"/>
          <w:szCs w:val="24"/>
        </w:rPr>
        <w:t>ig. 1)</w:t>
      </w:r>
      <w:r w:rsidR="002A6628">
        <w:rPr>
          <w:rFonts w:ascii="Times New Roman" w:hAnsi="Times New Roman" w:cs="Times New Roman"/>
          <w:color w:val="373A3C"/>
          <w:sz w:val="24"/>
          <w:szCs w:val="24"/>
        </w:rPr>
        <w:t>, is pertinent to this narrative</w:t>
      </w:r>
      <w:r w:rsidR="008D1C21">
        <w:rPr>
          <w:rFonts w:ascii="Times New Roman" w:hAnsi="Times New Roman" w:cs="Times New Roman"/>
          <w:color w:val="373A3C"/>
          <w:sz w:val="24"/>
          <w:szCs w:val="24"/>
        </w:rPr>
        <w:t>.</w:t>
      </w:r>
      <w:r w:rsidR="002A6628">
        <w:rPr>
          <w:rFonts w:ascii="Times New Roman" w:hAnsi="Times New Roman" w:cs="Times New Roman"/>
          <w:color w:val="373A3C"/>
          <w:sz w:val="24"/>
          <w:szCs w:val="24"/>
        </w:rPr>
        <w:t xml:space="preserve"> Another is </w:t>
      </w:r>
      <w:r w:rsidR="006A58F4">
        <w:rPr>
          <w:rFonts w:ascii="Times New Roman" w:hAnsi="Times New Roman" w:cs="Times New Roman"/>
          <w:color w:val="373A3C"/>
          <w:sz w:val="24"/>
          <w:szCs w:val="24"/>
        </w:rPr>
        <w:t xml:space="preserve">a direct dedication to Augustus </w:t>
      </w:r>
      <w:r w:rsidR="00EE7634">
        <w:rPr>
          <w:rFonts w:ascii="Times New Roman" w:hAnsi="Times New Roman" w:cs="Times New Roman"/>
          <w:color w:val="373A3C"/>
          <w:sz w:val="24"/>
          <w:szCs w:val="24"/>
        </w:rPr>
        <w:t>at the chalcidicum</w:t>
      </w:r>
      <w:r w:rsidR="00C52147">
        <w:rPr>
          <w:rFonts w:ascii="Times New Roman" w:hAnsi="Times New Roman" w:cs="Times New Roman"/>
          <w:color w:val="373A3C"/>
          <w:sz w:val="24"/>
          <w:szCs w:val="24"/>
        </w:rPr>
        <w:t>, dated 11-12 AD (Fig. 2).</w:t>
      </w:r>
      <w:r w:rsidR="00EE7634">
        <w:rPr>
          <w:rFonts w:ascii="Times New Roman" w:hAnsi="Times New Roman" w:cs="Times New Roman"/>
          <w:color w:val="373A3C"/>
          <w:sz w:val="24"/>
          <w:szCs w:val="24"/>
        </w:rPr>
        <w:t xml:space="preserve"> </w:t>
      </w:r>
    </w:p>
    <w:p w:rsidR="00B62E1D" w:rsidRDefault="00B62E1D" w:rsidP="00B62E1D">
      <w:pPr>
        <w:keepNext/>
      </w:pPr>
      <w:r>
        <w:rPr>
          <w:rFonts w:ascii="Times New Roman" w:hAnsi="Times New Roman" w:cs="Times New Roman"/>
          <w:noProof/>
          <w:color w:val="373A3C"/>
          <w:sz w:val="24"/>
          <w:szCs w:val="24"/>
        </w:rPr>
        <w:drawing>
          <wp:inline distT="0" distB="0" distL="0" distR="0">
            <wp:extent cx="5731510" cy="160464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21.jpg"/>
                    <pic:cNvPicPr/>
                  </pic:nvPicPr>
                  <pic:blipFill>
                    <a:blip r:embed="rId7">
                      <a:extLst>
                        <a:ext uri="{28A0092B-C50C-407E-A947-70E740481C1C}">
                          <a14:useLocalDpi xmlns:a14="http://schemas.microsoft.com/office/drawing/2010/main" val="0"/>
                        </a:ext>
                      </a:extLst>
                    </a:blip>
                    <a:stretch>
                      <a:fillRect/>
                    </a:stretch>
                  </pic:blipFill>
                  <pic:spPr>
                    <a:xfrm>
                      <a:off x="0" y="0"/>
                      <a:ext cx="5731510" cy="1604645"/>
                    </a:xfrm>
                    <a:prstGeom prst="rect">
                      <a:avLst/>
                    </a:prstGeom>
                  </pic:spPr>
                </pic:pic>
              </a:graphicData>
            </a:graphic>
          </wp:inline>
        </w:drawing>
      </w:r>
    </w:p>
    <w:p w:rsidR="00B62E1D" w:rsidRDefault="00B62E1D" w:rsidP="00B62E1D">
      <w:pPr>
        <w:pStyle w:val="Caption"/>
        <w:jc w:val="center"/>
        <w:rPr>
          <w:sz w:val="22"/>
          <w:szCs w:val="22"/>
        </w:rPr>
      </w:pPr>
      <w:r w:rsidRPr="00B62E1D">
        <w:rPr>
          <w:sz w:val="22"/>
          <w:szCs w:val="22"/>
        </w:rPr>
        <w:t xml:space="preserve">Figure </w:t>
      </w:r>
      <w:r w:rsidRPr="00B62E1D">
        <w:rPr>
          <w:sz w:val="22"/>
          <w:szCs w:val="22"/>
        </w:rPr>
        <w:fldChar w:fldCharType="begin"/>
      </w:r>
      <w:r w:rsidRPr="00B62E1D">
        <w:rPr>
          <w:sz w:val="22"/>
          <w:szCs w:val="22"/>
        </w:rPr>
        <w:instrText xml:space="preserve"> SEQ Figure \* ARABIC </w:instrText>
      </w:r>
      <w:r w:rsidRPr="00B62E1D">
        <w:rPr>
          <w:sz w:val="22"/>
          <w:szCs w:val="22"/>
        </w:rPr>
        <w:fldChar w:fldCharType="separate"/>
      </w:r>
      <w:r w:rsidR="003D12E3">
        <w:rPr>
          <w:noProof/>
          <w:sz w:val="22"/>
          <w:szCs w:val="22"/>
        </w:rPr>
        <w:t>1</w:t>
      </w:r>
      <w:r w:rsidRPr="00B62E1D">
        <w:rPr>
          <w:sz w:val="22"/>
          <w:szCs w:val="22"/>
        </w:rPr>
        <w:fldChar w:fldCharType="end"/>
      </w:r>
      <w:r w:rsidRPr="00B62E1D">
        <w:rPr>
          <w:sz w:val="22"/>
          <w:szCs w:val="22"/>
        </w:rPr>
        <w:t xml:space="preserve"> - Dedication at</w:t>
      </w:r>
      <w:r w:rsidR="00DD2D7B">
        <w:rPr>
          <w:sz w:val="22"/>
          <w:szCs w:val="22"/>
        </w:rPr>
        <w:t xml:space="preserve"> the</w:t>
      </w:r>
      <w:r w:rsidRPr="00B62E1D">
        <w:rPr>
          <w:sz w:val="22"/>
          <w:szCs w:val="22"/>
        </w:rPr>
        <w:t xml:space="preserve"> theatre in Lepcis Magna - IRT2009 321</w:t>
      </w:r>
    </w:p>
    <w:p w:rsidR="00F10FD7" w:rsidRPr="00F10FD7" w:rsidRDefault="00F10FD7" w:rsidP="00F10FD7"/>
    <w:p w:rsidR="00310013" w:rsidRDefault="00310013" w:rsidP="00310013">
      <w:pPr>
        <w:keepNext/>
      </w:pPr>
      <w:r>
        <w:rPr>
          <w:rFonts w:ascii="Times New Roman" w:hAnsi="Times New Roman" w:cs="Times New Roman"/>
          <w:sz w:val="24"/>
          <w:szCs w:val="24"/>
        </w:rPr>
        <w:lastRenderedPageBreak/>
        <w:t xml:space="preserve">            </w:t>
      </w:r>
      <w:r w:rsidR="00F10FD7">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extent cx="4137721" cy="2743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24.jpg"/>
                    <pic:cNvPicPr/>
                  </pic:nvPicPr>
                  <pic:blipFill>
                    <a:blip r:embed="rId8">
                      <a:extLst>
                        <a:ext uri="{28A0092B-C50C-407E-A947-70E740481C1C}">
                          <a14:useLocalDpi xmlns:a14="http://schemas.microsoft.com/office/drawing/2010/main" val="0"/>
                        </a:ext>
                      </a:extLst>
                    </a:blip>
                    <a:stretch>
                      <a:fillRect/>
                    </a:stretch>
                  </pic:blipFill>
                  <pic:spPr>
                    <a:xfrm>
                      <a:off x="0" y="0"/>
                      <a:ext cx="4165078" cy="2761337"/>
                    </a:xfrm>
                    <a:prstGeom prst="rect">
                      <a:avLst/>
                    </a:prstGeom>
                  </pic:spPr>
                </pic:pic>
              </a:graphicData>
            </a:graphic>
          </wp:inline>
        </w:drawing>
      </w:r>
    </w:p>
    <w:p w:rsidR="000A46F9" w:rsidRPr="00310013" w:rsidRDefault="00310013" w:rsidP="00310013">
      <w:pPr>
        <w:pStyle w:val="Caption"/>
        <w:jc w:val="center"/>
        <w:rPr>
          <w:rFonts w:cs="Arial"/>
          <w:sz w:val="22"/>
          <w:szCs w:val="22"/>
        </w:rPr>
      </w:pPr>
      <w:r w:rsidRPr="00310013">
        <w:rPr>
          <w:rFonts w:cs="Arial"/>
          <w:sz w:val="22"/>
          <w:szCs w:val="22"/>
        </w:rPr>
        <w:t xml:space="preserve">Figure </w:t>
      </w:r>
      <w:r w:rsidRPr="00310013">
        <w:rPr>
          <w:rFonts w:cs="Arial"/>
          <w:sz w:val="22"/>
          <w:szCs w:val="22"/>
        </w:rPr>
        <w:fldChar w:fldCharType="begin"/>
      </w:r>
      <w:r w:rsidRPr="00310013">
        <w:rPr>
          <w:rFonts w:cs="Arial"/>
          <w:sz w:val="22"/>
          <w:szCs w:val="22"/>
        </w:rPr>
        <w:instrText xml:space="preserve"> SEQ Figure \* ARABIC </w:instrText>
      </w:r>
      <w:r w:rsidRPr="00310013">
        <w:rPr>
          <w:rFonts w:cs="Arial"/>
          <w:sz w:val="22"/>
          <w:szCs w:val="22"/>
        </w:rPr>
        <w:fldChar w:fldCharType="separate"/>
      </w:r>
      <w:r w:rsidR="003D12E3">
        <w:rPr>
          <w:rFonts w:cs="Arial"/>
          <w:noProof/>
          <w:sz w:val="22"/>
          <w:szCs w:val="22"/>
        </w:rPr>
        <w:t>2</w:t>
      </w:r>
      <w:r w:rsidRPr="00310013">
        <w:rPr>
          <w:rFonts w:cs="Arial"/>
          <w:sz w:val="22"/>
          <w:szCs w:val="22"/>
        </w:rPr>
        <w:fldChar w:fldCharType="end"/>
      </w:r>
      <w:r w:rsidRPr="00310013">
        <w:rPr>
          <w:rFonts w:cs="Arial"/>
          <w:sz w:val="22"/>
          <w:szCs w:val="22"/>
        </w:rPr>
        <w:t xml:space="preserve"> - Dedication to Augustus at the chalcidicum in Lepcis Magna - IRT2009 324</w:t>
      </w:r>
    </w:p>
    <w:p w:rsidR="00BA760B" w:rsidRDefault="00BA760B" w:rsidP="006B303D">
      <w:pPr>
        <w:rPr>
          <w:rFonts w:ascii="Times New Roman" w:hAnsi="Times New Roman" w:cs="Times New Roman"/>
          <w:color w:val="373A3C"/>
          <w:sz w:val="24"/>
          <w:szCs w:val="24"/>
        </w:rPr>
      </w:pPr>
    </w:p>
    <w:p w:rsidR="00322804" w:rsidRDefault="00790324" w:rsidP="006B303D">
      <w:pPr>
        <w:rPr>
          <w:rFonts w:ascii="Times New Roman" w:hAnsi="Times New Roman" w:cs="Times New Roman"/>
          <w:color w:val="373A3C"/>
          <w:sz w:val="24"/>
          <w:szCs w:val="24"/>
        </w:rPr>
      </w:pPr>
      <w:r>
        <w:rPr>
          <w:rFonts w:ascii="Times New Roman" w:hAnsi="Times New Roman" w:cs="Times New Roman"/>
          <w:color w:val="373A3C"/>
          <w:sz w:val="24"/>
          <w:szCs w:val="24"/>
        </w:rPr>
        <w:t xml:space="preserve">Cooley identifies the role of Augustus in the dedication at the theatre as prominent, </w:t>
      </w:r>
      <w:r w:rsidR="002E1574">
        <w:rPr>
          <w:rFonts w:ascii="Times New Roman" w:hAnsi="Times New Roman" w:cs="Times New Roman"/>
          <w:color w:val="373A3C"/>
          <w:sz w:val="24"/>
          <w:szCs w:val="24"/>
        </w:rPr>
        <w:t>but notes that whilst</w:t>
      </w:r>
      <w:r>
        <w:rPr>
          <w:rFonts w:ascii="Times New Roman" w:hAnsi="Times New Roman" w:cs="Times New Roman"/>
          <w:color w:val="373A3C"/>
          <w:sz w:val="24"/>
          <w:szCs w:val="24"/>
        </w:rPr>
        <w:t xml:space="preserve"> ‘imperial rule remained firmly in the background</w:t>
      </w:r>
      <w:r w:rsidR="00CB31E3">
        <w:rPr>
          <w:rFonts w:ascii="Times New Roman" w:hAnsi="Times New Roman" w:cs="Times New Roman"/>
          <w:color w:val="373A3C"/>
          <w:sz w:val="24"/>
          <w:szCs w:val="24"/>
        </w:rPr>
        <w:t>’,</w:t>
      </w:r>
      <w:r>
        <w:rPr>
          <w:rFonts w:ascii="Times New Roman" w:hAnsi="Times New Roman" w:cs="Times New Roman"/>
          <w:color w:val="373A3C"/>
          <w:sz w:val="24"/>
          <w:szCs w:val="24"/>
        </w:rPr>
        <w:t xml:space="preserve"> the buildings at this time were not dedicated </w:t>
      </w:r>
      <w:r w:rsidR="0008201E">
        <w:rPr>
          <w:rFonts w:ascii="Times New Roman" w:hAnsi="Times New Roman" w:cs="Times New Roman"/>
          <w:color w:val="373A3C"/>
          <w:sz w:val="24"/>
          <w:szCs w:val="24"/>
        </w:rPr>
        <w:t xml:space="preserve">directly </w:t>
      </w:r>
      <w:r>
        <w:rPr>
          <w:rFonts w:ascii="Times New Roman" w:hAnsi="Times New Roman" w:cs="Times New Roman"/>
          <w:i/>
          <w:color w:val="373A3C"/>
          <w:sz w:val="24"/>
          <w:szCs w:val="24"/>
        </w:rPr>
        <w:t>to</w:t>
      </w:r>
      <w:r>
        <w:rPr>
          <w:rFonts w:ascii="Times New Roman" w:hAnsi="Times New Roman" w:cs="Times New Roman"/>
          <w:color w:val="373A3C"/>
          <w:sz w:val="24"/>
          <w:szCs w:val="24"/>
        </w:rPr>
        <w:t xml:space="preserve"> Augustus</w:t>
      </w:r>
      <w:r w:rsidR="00C7637A">
        <w:rPr>
          <w:rFonts w:ascii="Times New Roman" w:hAnsi="Times New Roman" w:cs="Times New Roman"/>
          <w:color w:val="373A3C"/>
          <w:sz w:val="24"/>
          <w:szCs w:val="24"/>
        </w:rPr>
        <w:t xml:space="preserve"> (Cooley indicates Augustus’ name is in the ablative case in the theatre dedication)</w:t>
      </w:r>
      <w:r>
        <w:rPr>
          <w:rFonts w:ascii="Times New Roman" w:hAnsi="Times New Roman" w:cs="Times New Roman"/>
          <w:color w:val="373A3C"/>
          <w:sz w:val="24"/>
          <w:szCs w:val="24"/>
        </w:rPr>
        <w:t>, but rat</w:t>
      </w:r>
      <w:r w:rsidR="00AD6F62">
        <w:rPr>
          <w:rFonts w:ascii="Times New Roman" w:hAnsi="Times New Roman" w:cs="Times New Roman"/>
          <w:color w:val="373A3C"/>
          <w:sz w:val="24"/>
          <w:szCs w:val="24"/>
        </w:rPr>
        <w:t xml:space="preserve">her his titles serve primarily </w:t>
      </w:r>
      <w:r>
        <w:rPr>
          <w:rFonts w:ascii="Times New Roman" w:hAnsi="Times New Roman" w:cs="Times New Roman"/>
          <w:color w:val="373A3C"/>
          <w:sz w:val="24"/>
          <w:szCs w:val="24"/>
        </w:rPr>
        <w:t>as a ‘dating formula’.</w:t>
      </w:r>
      <w:r w:rsidR="00F20746">
        <w:rPr>
          <w:rFonts w:ascii="Times New Roman" w:hAnsi="Times New Roman" w:cs="Times New Roman"/>
          <w:color w:val="373A3C"/>
          <w:sz w:val="24"/>
          <w:szCs w:val="24"/>
        </w:rPr>
        <w:t xml:space="preserve"> The ability to date particular events through such inscriptions is, of course, an extremely useful quality of Latin epigraphy in general</w:t>
      </w:r>
      <w:r w:rsidR="005B52C9">
        <w:rPr>
          <w:rFonts w:ascii="Times New Roman" w:hAnsi="Times New Roman" w:cs="Times New Roman"/>
          <w:color w:val="373A3C"/>
          <w:sz w:val="24"/>
          <w:szCs w:val="24"/>
        </w:rPr>
        <w:t>, with i</w:t>
      </w:r>
      <w:r w:rsidR="00C54817">
        <w:rPr>
          <w:rFonts w:ascii="Times New Roman" w:hAnsi="Times New Roman" w:cs="Times New Roman"/>
          <w:color w:val="373A3C"/>
          <w:sz w:val="24"/>
          <w:szCs w:val="24"/>
        </w:rPr>
        <w:t>t being a quality of a vast number of inscriptions</w:t>
      </w:r>
      <w:r w:rsidR="003E425C">
        <w:rPr>
          <w:rFonts w:ascii="Times New Roman" w:hAnsi="Times New Roman" w:cs="Times New Roman"/>
          <w:color w:val="373A3C"/>
          <w:sz w:val="24"/>
          <w:szCs w:val="24"/>
        </w:rPr>
        <w:t xml:space="preserve"> throughout Roman history</w:t>
      </w:r>
      <w:r w:rsidR="00F20746">
        <w:rPr>
          <w:rFonts w:ascii="Times New Roman" w:hAnsi="Times New Roman" w:cs="Times New Roman"/>
          <w:color w:val="373A3C"/>
          <w:sz w:val="24"/>
          <w:szCs w:val="24"/>
        </w:rPr>
        <w:t>.</w:t>
      </w:r>
      <w:r>
        <w:rPr>
          <w:rFonts w:ascii="Times New Roman" w:hAnsi="Times New Roman" w:cs="Times New Roman"/>
          <w:color w:val="373A3C"/>
          <w:sz w:val="24"/>
          <w:szCs w:val="24"/>
        </w:rPr>
        <w:t xml:space="preserve"> </w:t>
      </w:r>
      <w:r w:rsidR="00AD6F62">
        <w:rPr>
          <w:rFonts w:ascii="Times New Roman" w:hAnsi="Times New Roman" w:cs="Times New Roman"/>
          <w:color w:val="373A3C"/>
          <w:sz w:val="24"/>
          <w:szCs w:val="24"/>
        </w:rPr>
        <w:t>Regardless</w:t>
      </w:r>
      <w:r w:rsidR="00F20746">
        <w:rPr>
          <w:rFonts w:ascii="Times New Roman" w:hAnsi="Times New Roman" w:cs="Times New Roman"/>
          <w:color w:val="373A3C"/>
          <w:sz w:val="24"/>
          <w:szCs w:val="24"/>
        </w:rPr>
        <w:t xml:space="preserve"> of the specificity of the dedication in Fig. 1</w:t>
      </w:r>
      <w:r w:rsidR="00AD6F62">
        <w:rPr>
          <w:rFonts w:ascii="Times New Roman" w:hAnsi="Times New Roman" w:cs="Times New Roman"/>
          <w:color w:val="373A3C"/>
          <w:sz w:val="24"/>
          <w:szCs w:val="24"/>
        </w:rPr>
        <w:t xml:space="preserve">, Roman imperialism is clearly present. </w:t>
      </w:r>
      <w:r w:rsidR="00F20746">
        <w:rPr>
          <w:rFonts w:ascii="Times New Roman" w:hAnsi="Times New Roman" w:cs="Times New Roman"/>
          <w:color w:val="373A3C"/>
          <w:sz w:val="24"/>
          <w:szCs w:val="24"/>
        </w:rPr>
        <w:t>Moreover</w:t>
      </w:r>
      <w:r w:rsidR="00B03F2B">
        <w:rPr>
          <w:rFonts w:ascii="Times New Roman" w:hAnsi="Times New Roman" w:cs="Times New Roman"/>
          <w:color w:val="373A3C"/>
          <w:sz w:val="24"/>
          <w:szCs w:val="24"/>
        </w:rPr>
        <w:t xml:space="preserve">, Cooley notes a shift in later years, as </w:t>
      </w:r>
      <w:r w:rsidR="00BC420C">
        <w:rPr>
          <w:rFonts w:ascii="Times New Roman" w:hAnsi="Times New Roman" w:cs="Times New Roman"/>
          <w:color w:val="373A3C"/>
          <w:sz w:val="24"/>
          <w:szCs w:val="24"/>
        </w:rPr>
        <w:t>the</w:t>
      </w:r>
      <w:r w:rsidR="00B03F2B">
        <w:rPr>
          <w:rFonts w:ascii="Times New Roman" w:hAnsi="Times New Roman" w:cs="Times New Roman"/>
          <w:color w:val="373A3C"/>
          <w:sz w:val="24"/>
          <w:szCs w:val="24"/>
        </w:rPr>
        <w:t xml:space="preserve"> dedication at the chalcidicum</w:t>
      </w:r>
      <w:r w:rsidR="00BC420C">
        <w:rPr>
          <w:rFonts w:ascii="Times New Roman" w:hAnsi="Times New Roman" w:cs="Times New Roman"/>
          <w:color w:val="373A3C"/>
          <w:sz w:val="24"/>
          <w:szCs w:val="24"/>
        </w:rPr>
        <w:t xml:space="preserve"> </w:t>
      </w:r>
      <w:r w:rsidR="00F20746">
        <w:rPr>
          <w:rFonts w:ascii="Times New Roman" w:hAnsi="Times New Roman" w:cs="Times New Roman"/>
          <w:color w:val="373A3C"/>
          <w:sz w:val="24"/>
          <w:szCs w:val="24"/>
        </w:rPr>
        <w:t>is made</w:t>
      </w:r>
      <w:r w:rsidR="00B03F2B">
        <w:rPr>
          <w:rFonts w:ascii="Times New Roman" w:hAnsi="Times New Roman" w:cs="Times New Roman"/>
          <w:color w:val="373A3C"/>
          <w:sz w:val="24"/>
          <w:szCs w:val="24"/>
        </w:rPr>
        <w:t xml:space="preserve"> </w:t>
      </w:r>
      <w:r w:rsidR="00603C5E">
        <w:rPr>
          <w:rFonts w:ascii="Times New Roman" w:hAnsi="Times New Roman" w:cs="Times New Roman"/>
          <w:color w:val="373A3C"/>
          <w:sz w:val="24"/>
          <w:szCs w:val="24"/>
        </w:rPr>
        <w:t xml:space="preserve">directly to the </w:t>
      </w:r>
      <w:r w:rsidR="00F808B2">
        <w:rPr>
          <w:rFonts w:ascii="Times New Roman" w:hAnsi="Times New Roman" w:cs="Times New Roman"/>
          <w:color w:val="373A3C"/>
          <w:sz w:val="24"/>
          <w:szCs w:val="24"/>
        </w:rPr>
        <w:t>‘</w:t>
      </w:r>
      <w:r w:rsidR="00603C5E">
        <w:rPr>
          <w:rFonts w:ascii="Times New Roman" w:hAnsi="Times New Roman" w:cs="Times New Roman"/>
          <w:color w:val="373A3C"/>
          <w:sz w:val="24"/>
          <w:szCs w:val="24"/>
        </w:rPr>
        <w:t>divine spirit</w:t>
      </w:r>
      <w:r w:rsidR="00F808B2">
        <w:rPr>
          <w:rFonts w:ascii="Times New Roman" w:hAnsi="Times New Roman" w:cs="Times New Roman"/>
          <w:color w:val="373A3C"/>
          <w:sz w:val="24"/>
          <w:szCs w:val="24"/>
        </w:rPr>
        <w:t>’</w:t>
      </w:r>
      <w:r w:rsidR="00603C5E">
        <w:rPr>
          <w:rFonts w:ascii="Times New Roman" w:hAnsi="Times New Roman" w:cs="Times New Roman"/>
          <w:color w:val="373A3C"/>
          <w:sz w:val="24"/>
          <w:szCs w:val="24"/>
        </w:rPr>
        <w:t xml:space="preserve"> of Augustus.</w:t>
      </w:r>
      <w:r w:rsidR="008E10BE">
        <w:rPr>
          <w:rStyle w:val="FootnoteReference"/>
          <w:rFonts w:ascii="Times New Roman" w:hAnsi="Times New Roman" w:cs="Times New Roman"/>
          <w:color w:val="373A3C"/>
          <w:sz w:val="24"/>
          <w:szCs w:val="24"/>
        </w:rPr>
        <w:footnoteReference w:id="7"/>
      </w:r>
      <w:r w:rsidR="00A40C53">
        <w:rPr>
          <w:rFonts w:ascii="Times New Roman" w:hAnsi="Times New Roman" w:cs="Times New Roman"/>
          <w:color w:val="373A3C"/>
          <w:sz w:val="24"/>
          <w:szCs w:val="24"/>
        </w:rPr>
        <w:t xml:space="preserve"> Here, Latin epigraphy is able to construct a narrative of increasing Roman inf</w:t>
      </w:r>
      <w:r w:rsidR="00E740E0">
        <w:rPr>
          <w:rFonts w:ascii="Times New Roman" w:hAnsi="Times New Roman" w:cs="Times New Roman"/>
          <w:color w:val="373A3C"/>
          <w:sz w:val="24"/>
          <w:szCs w:val="24"/>
        </w:rPr>
        <w:t>luence and grip on the province</w:t>
      </w:r>
      <w:r w:rsidR="00A40C53">
        <w:rPr>
          <w:rFonts w:ascii="Times New Roman" w:hAnsi="Times New Roman" w:cs="Times New Roman"/>
          <w:color w:val="373A3C"/>
          <w:sz w:val="24"/>
          <w:szCs w:val="24"/>
        </w:rPr>
        <w:t xml:space="preserve"> under Augustus</w:t>
      </w:r>
      <w:r w:rsidR="00E740E0">
        <w:rPr>
          <w:rFonts w:ascii="Times New Roman" w:hAnsi="Times New Roman" w:cs="Times New Roman"/>
          <w:color w:val="373A3C"/>
          <w:sz w:val="24"/>
          <w:szCs w:val="24"/>
        </w:rPr>
        <w:t xml:space="preserve">, </w:t>
      </w:r>
      <w:r w:rsidR="00902424">
        <w:rPr>
          <w:rFonts w:ascii="Times New Roman" w:hAnsi="Times New Roman" w:cs="Times New Roman"/>
          <w:color w:val="373A3C"/>
          <w:sz w:val="24"/>
          <w:szCs w:val="24"/>
        </w:rPr>
        <w:t xml:space="preserve">particularly </w:t>
      </w:r>
      <w:r w:rsidR="00E740E0">
        <w:rPr>
          <w:rFonts w:ascii="Times New Roman" w:hAnsi="Times New Roman" w:cs="Times New Roman"/>
          <w:color w:val="373A3C"/>
          <w:sz w:val="24"/>
          <w:szCs w:val="24"/>
        </w:rPr>
        <w:t>given the renewed bonds between Lepcis and Rome following local campaigns</w:t>
      </w:r>
      <w:r w:rsidR="009D43A8">
        <w:rPr>
          <w:rFonts w:ascii="Times New Roman" w:hAnsi="Times New Roman" w:cs="Times New Roman"/>
          <w:color w:val="373A3C"/>
          <w:sz w:val="24"/>
          <w:szCs w:val="24"/>
        </w:rPr>
        <w:t xml:space="preserve"> against the Gaetulians</w:t>
      </w:r>
      <w:r w:rsidR="00E35201">
        <w:rPr>
          <w:rFonts w:ascii="Times New Roman" w:hAnsi="Times New Roman" w:cs="Times New Roman"/>
          <w:color w:val="373A3C"/>
          <w:sz w:val="24"/>
          <w:szCs w:val="24"/>
        </w:rPr>
        <w:t xml:space="preserve"> in 6 AD</w:t>
      </w:r>
      <w:r w:rsidR="00221091">
        <w:rPr>
          <w:rFonts w:ascii="Times New Roman" w:hAnsi="Times New Roman" w:cs="Times New Roman"/>
          <w:color w:val="373A3C"/>
          <w:sz w:val="24"/>
          <w:szCs w:val="24"/>
        </w:rPr>
        <w:t>. A</w:t>
      </w:r>
      <w:r w:rsidR="00B47C75">
        <w:rPr>
          <w:rFonts w:ascii="Times New Roman" w:hAnsi="Times New Roman" w:cs="Times New Roman"/>
          <w:color w:val="373A3C"/>
          <w:sz w:val="24"/>
          <w:szCs w:val="24"/>
        </w:rPr>
        <w:t xml:space="preserve"> striking example of the deification</w:t>
      </w:r>
      <w:r w:rsidR="00045988">
        <w:rPr>
          <w:rFonts w:ascii="Times New Roman" w:hAnsi="Times New Roman" w:cs="Times New Roman"/>
          <w:color w:val="373A3C"/>
          <w:sz w:val="24"/>
          <w:szCs w:val="24"/>
        </w:rPr>
        <w:t xml:space="preserve"> and </w:t>
      </w:r>
      <w:r w:rsidR="00045988">
        <w:rPr>
          <w:rFonts w:ascii="Times New Roman" w:hAnsi="Times New Roman" w:cs="Times New Roman"/>
          <w:color w:val="373A3C"/>
          <w:sz w:val="24"/>
          <w:szCs w:val="24"/>
        </w:rPr>
        <w:lastRenderedPageBreak/>
        <w:t>veneration</w:t>
      </w:r>
      <w:r w:rsidR="00B47C75">
        <w:rPr>
          <w:rFonts w:ascii="Times New Roman" w:hAnsi="Times New Roman" w:cs="Times New Roman"/>
          <w:color w:val="373A3C"/>
          <w:sz w:val="24"/>
          <w:szCs w:val="24"/>
        </w:rPr>
        <w:t xml:space="preserve"> of Augustus</w:t>
      </w:r>
      <w:r w:rsidR="007E5635">
        <w:rPr>
          <w:rFonts w:ascii="Times New Roman" w:hAnsi="Times New Roman" w:cs="Times New Roman"/>
          <w:color w:val="373A3C"/>
          <w:sz w:val="24"/>
          <w:szCs w:val="24"/>
        </w:rPr>
        <w:t xml:space="preserve"> </w:t>
      </w:r>
      <w:r w:rsidR="00775C5B">
        <w:rPr>
          <w:rFonts w:ascii="Times New Roman" w:hAnsi="Times New Roman" w:cs="Times New Roman"/>
          <w:color w:val="373A3C"/>
          <w:sz w:val="24"/>
          <w:szCs w:val="24"/>
        </w:rPr>
        <w:t>in a dedication that followed</w:t>
      </w:r>
      <w:r w:rsidR="00902424">
        <w:rPr>
          <w:rFonts w:ascii="Times New Roman" w:hAnsi="Times New Roman" w:cs="Times New Roman"/>
          <w:color w:val="373A3C"/>
          <w:sz w:val="24"/>
          <w:szCs w:val="24"/>
        </w:rPr>
        <w:t xml:space="preserve"> </w:t>
      </w:r>
      <w:r w:rsidR="006B6F14">
        <w:rPr>
          <w:rFonts w:ascii="Times New Roman" w:hAnsi="Times New Roman" w:cs="Times New Roman"/>
          <w:color w:val="373A3C"/>
          <w:sz w:val="24"/>
          <w:szCs w:val="24"/>
        </w:rPr>
        <w:t xml:space="preserve">also </w:t>
      </w:r>
      <w:r w:rsidR="00902424">
        <w:rPr>
          <w:rFonts w:ascii="Times New Roman" w:hAnsi="Times New Roman" w:cs="Times New Roman"/>
          <w:color w:val="373A3C"/>
          <w:sz w:val="24"/>
          <w:szCs w:val="24"/>
        </w:rPr>
        <w:t xml:space="preserve">serves </w:t>
      </w:r>
      <w:r w:rsidR="00683E2C">
        <w:rPr>
          <w:rFonts w:ascii="Times New Roman" w:hAnsi="Times New Roman" w:cs="Times New Roman"/>
          <w:color w:val="373A3C"/>
          <w:sz w:val="24"/>
          <w:szCs w:val="24"/>
        </w:rPr>
        <w:t>both as</w:t>
      </w:r>
      <w:r w:rsidR="00902424">
        <w:rPr>
          <w:rFonts w:ascii="Times New Roman" w:hAnsi="Times New Roman" w:cs="Times New Roman"/>
          <w:color w:val="373A3C"/>
          <w:sz w:val="24"/>
          <w:szCs w:val="24"/>
        </w:rPr>
        <w:t xml:space="preserve"> evidence</w:t>
      </w:r>
      <w:r w:rsidR="006B6F14">
        <w:rPr>
          <w:rFonts w:ascii="Times New Roman" w:hAnsi="Times New Roman" w:cs="Times New Roman"/>
          <w:color w:val="373A3C"/>
          <w:sz w:val="24"/>
          <w:szCs w:val="24"/>
        </w:rPr>
        <w:t xml:space="preserve"> for the events</w:t>
      </w:r>
      <w:r w:rsidR="00683E2C">
        <w:rPr>
          <w:rFonts w:ascii="Times New Roman" w:hAnsi="Times New Roman" w:cs="Times New Roman"/>
          <w:color w:val="373A3C"/>
          <w:sz w:val="24"/>
          <w:szCs w:val="24"/>
        </w:rPr>
        <w:t xml:space="preserve"> and, again, as a method of dating said events.</w:t>
      </w:r>
      <w:r w:rsidR="00775C5B">
        <w:rPr>
          <w:rFonts w:ascii="Times New Roman" w:hAnsi="Times New Roman" w:cs="Times New Roman"/>
          <w:color w:val="373A3C"/>
          <w:sz w:val="24"/>
          <w:szCs w:val="24"/>
        </w:rPr>
        <w:t xml:space="preserve"> </w:t>
      </w:r>
      <w:r w:rsidR="007E5635">
        <w:rPr>
          <w:rFonts w:ascii="Times New Roman" w:hAnsi="Times New Roman" w:cs="Times New Roman"/>
          <w:color w:val="373A3C"/>
          <w:sz w:val="24"/>
          <w:szCs w:val="24"/>
        </w:rPr>
        <w:t>(Fig. 3)</w:t>
      </w:r>
      <w:r w:rsidR="00A40C53">
        <w:rPr>
          <w:rFonts w:ascii="Times New Roman" w:hAnsi="Times New Roman" w:cs="Times New Roman"/>
          <w:color w:val="373A3C"/>
          <w:sz w:val="24"/>
          <w:szCs w:val="24"/>
        </w:rPr>
        <w:t>.</w:t>
      </w:r>
      <w:r w:rsidR="00DB1D7A">
        <w:rPr>
          <w:rStyle w:val="FootnoteReference"/>
          <w:rFonts w:ascii="Times New Roman" w:hAnsi="Times New Roman" w:cs="Times New Roman"/>
          <w:color w:val="373A3C"/>
          <w:sz w:val="24"/>
          <w:szCs w:val="24"/>
        </w:rPr>
        <w:footnoteReference w:id="8"/>
      </w:r>
      <w:r w:rsidR="002274B3">
        <w:rPr>
          <w:rFonts w:ascii="Times New Roman" w:hAnsi="Times New Roman" w:cs="Times New Roman"/>
          <w:color w:val="373A3C"/>
          <w:sz w:val="24"/>
          <w:szCs w:val="24"/>
        </w:rPr>
        <w:t xml:space="preserve"> </w:t>
      </w:r>
    </w:p>
    <w:p w:rsidR="00A83D7F" w:rsidRDefault="00A83D7F" w:rsidP="00A83D7F">
      <w:pPr>
        <w:keepNext/>
      </w:pPr>
      <w:r>
        <w:rPr>
          <w:rFonts w:ascii="Times New Roman" w:hAnsi="Times New Roman" w:cs="Times New Roman"/>
          <w:color w:val="373A3C"/>
          <w:sz w:val="24"/>
          <w:szCs w:val="24"/>
        </w:rPr>
        <w:t xml:space="preserve">              </w:t>
      </w:r>
      <w:r w:rsidR="003A0151">
        <w:rPr>
          <w:rFonts w:ascii="Times New Roman" w:hAnsi="Times New Roman" w:cs="Times New Roman"/>
          <w:color w:val="373A3C"/>
          <w:sz w:val="24"/>
          <w:szCs w:val="24"/>
        </w:rPr>
        <w:t xml:space="preserve"> </w:t>
      </w:r>
      <w:r>
        <w:rPr>
          <w:rFonts w:ascii="Times New Roman" w:hAnsi="Times New Roman" w:cs="Times New Roman"/>
          <w:color w:val="373A3C"/>
          <w:sz w:val="24"/>
          <w:szCs w:val="24"/>
        </w:rPr>
        <w:t xml:space="preserve">     </w:t>
      </w:r>
      <w:r>
        <w:rPr>
          <w:rFonts w:ascii="Times New Roman" w:hAnsi="Times New Roman" w:cs="Times New Roman"/>
          <w:noProof/>
          <w:color w:val="373A3C"/>
          <w:sz w:val="24"/>
          <w:szCs w:val="24"/>
        </w:rPr>
        <w:drawing>
          <wp:inline distT="0" distB="0" distL="0" distR="0">
            <wp:extent cx="4210195" cy="27660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361.jpg"/>
                    <pic:cNvPicPr/>
                  </pic:nvPicPr>
                  <pic:blipFill>
                    <a:blip r:embed="rId9">
                      <a:extLst>
                        <a:ext uri="{28A0092B-C50C-407E-A947-70E740481C1C}">
                          <a14:useLocalDpi xmlns:a14="http://schemas.microsoft.com/office/drawing/2010/main" val="0"/>
                        </a:ext>
                      </a:extLst>
                    </a:blip>
                    <a:stretch>
                      <a:fillRect/>
                    </a:stretch>
                  </pic:blipFill>
                  <pic:spPr>
                    <a:xfrm>
                      <a:off x="0" y="0"/>
                      <a:ext cx="4222855" cy="2774378"/>
                    </a:xfrm>
                    <a:prstGeom prst="rect">
                      <a:avLst/>
                    </a:prstGeom>
                  </pic:spPr>
                </pic:pic>
              </a:graphicData>
            </a:graphic>
          </wp:inline>
        </w:drawing>
      </w:r>
    </w:p>
    <w:p w:rsidR="00A83D7F" w:rsidRPr="00A83D7F" w:rsidRDefault="00A83D7F" w:rsidP="00A83D7F">
      <w:pPr>
        <w:pStyle w:val="Caption"/>
        <w:jc w:val="center"/>
        <w:rPr>
          <w:rFonts w:ascii="Times New Roman" w:hAnsi="Times New Roman" w:cs="Times New Roman"/>
          <w:color w:val="373A3C"/>
          <w:sz w:val="22"/>
          <w:szCs w:val="22"/>
        </w:rPr>
      </w:pPr>
      <w:r w:rsidRPr="00A83D7F">
        <w:rPr>
          <w:sz w:val="22"/>
          <w:szCs w:val="22"/>
        </w:rPr>
        <w:t xml:space="preserve">Figure </w:t>
      </w:r>
      <w:r w:rsidRPr="00A83D7F">
        <w:rPr>
          <w:sz w:val="22"/>
          <w:szCs w:val="22"/>
        </w:rPr>
        <w:fldChar w:fldCharType="begin"/>
      </w:r>
      <w:r w:rsidRPr="00A83D7F">
        <w:rPr>
          <w:sz w:val="22"/>
          <w:szCs w:val="22"/>
        </w:rPr>
        <w:instrText xml:space="preserve"> SEQ Figure \* ARABIC </w:instrText>
      </w:r>
      <w:r w:rsidRPr="00A83D7F">
        <w:rPr>
          <w:sz w:val="22"/>
          <w:szCs w:val="22"/>
        </w:rPr>
        <w:fldChar w:fldCharType="separate"/>
      </w:r>
      <w:r w:rsidR="003D12E3">
        <w:rPr>
          <w:noProof/>
          <w:sz w:val="22"/>
          <w:szCs w:val="22"/>
        </w:rPr>
        <w:t>3</w:t>
      </w:r>
      <w:r w:rsidRPr="00A83D7F">
        <w:rPr>
          <w:sz w:val="22"/>
          <w:szCs w:val="22"/>
        </w:rPr>
        <w:fldChar w:fldCharType="end"/>
      </w:r>
      <w:r w:rsidRPr="00A83D7F">
        <w:rPr>
          <w:sz w:val="22"/>
          <w:szCs w:val="22"/>
        </w:rPr>
        <w:t xml:space="preserve"> - Dedication to Mars Augustus in Lepcis Magna</w:t>
      </w:r>
      <w:r w:rsidR="00094C31">
        <w:rPr>
          <w:sz w:val="22"/>
          <w:szCs w:val="22"/>
        </w:rPr>
        <w:t xml:space="preserve"> – IRT2009 301</w:t>
      </w:r>
    </w:p>
    <w:p w:rsidR="00E514DC" w:rsidRDefault="00E514DC" w:rsidP="006B303D">
      <w:pPr>
        <w:rPr>
          <w:rFonts w:ascii="Times New Roman" w:hAnsi="Times New Roman" w:cs="Times New Roman"/>
          <w:color w:val="373A3C"/>
          <w:sz w:val="24"/>
          <w:szCs w:val="24"/>
        </w:rPr>
      </w:pPr>
    </w:p>
    <w:p w:rsidR="00DF5D32" w:rsidRDefault="00DF5D32" w:rsidP="006B303D">
      <w:pPr>
        <w:rPr>
          <w:rFonts w:ascii="Times New Roman" w:hAnsi="Times New Roman" w:cs="Times New Roman"/>
          <w:color w:val="373A3C"/>
          <w:sz w:val="24"/>
          <w:szCs w:val="24"/>
        </w:rPr>
      </w:pPr>
      <w:r>
        <w:rPr>
          <w:rFonts w:ascii="Times New Roman" w:hAnsi="Times New Roman" w:cs="Times New Roman"/>
          <w:color w:val="373A3C"/>
          <w:sz w:val="24"/>
          <w:szCs w:val="24"/>
        </w:rPr>
        <w:t xml:space="preserve">Another interesting form of epigraphy relating to the Augustan era is the use of coins. Whilst typically </w:t>
      </w:r>
      <w:r w:rsidR="00D74FBB">
        <w:rPr>
          <w:rFonts w:ascii="Times New Roman" w:hAnsi="Times New Roman" w:cs="Times New Roman"/>
          <w:color w:val="373A3C"/>
          <w:sz w:val="24"/>
          <w:szCs w:val="24"/>
        </w:rPr>
        <w:t>not considered as epigraphy proper,</w:t>
      </w:r>
      <w:r w:rsidR="00687BB8">
        <w:rPr>
          <w:rFonts w:ascii="Times New Roman" w:hAnsi="Times New Roman" w:cs="Times New Roman"/>
          <w:color w:val="373A3C"/>
          <w:sz w:val="24"/>
          <w:szCs w:val="24"/>
        </w:rPr>
        <w:t xml:space="preserve"> falling under the category of numismatics,</w:t>
      </w:r>
      <w:r w:rsidR="00D74FBB">
        <w:rPr>
          <w:rFonts w:ascii="Times New Roman" w:hAnsi="Times New Roman" w:cs="Times New Roman"/>
          <w:color w:val="373A3C"/>
          <w:sz w:val="24"/>
          <w:szCs w:val="24"/>
        </w:rPr>
        <w:t xml:space="preserve"> Cooley notes that coins acted as </w:t>
      </w:r>
      <w:proofErr w:type="spellStart"/>
      <w:r w:rsidR="00D74FBB">
        <w:rPr>
          <w:rFonts w:ascii="Times New Roman" w:hAnsi="Times New Roman" w:cs="Times New Roman"/>
          <w:i/>
          <w:color w:val="373A3C"/>
          <w:sz w:val="24"/>
          <w:szCs w:val="24"/>
        </w:rPr>
        <w:t>monumenta</w:t>
      </w:r>
      <w:proofErr w:type="spellEnd"/>
      <w:r w:rsidR="00D74FBB">
        <w:rPr>
          <w:rFonts w:ascii="Times New Roman" w:hAnsi="Times New Roman" w:cs="Times New Roman"/>
          <w:color w:val="373A3C"/>
          <w:sz w:val="24"/>
          <w:szCs w:val="24"/>
        </w:rPr>
        <w:t xml:space="preserve"> in the same fashion as monumental inscriptions</w:t>
      </w:r>
      <w:r w:rsidR="005942CF">
        <w:rPr>
          <w:rFonts w:ascii="Times New Roman" w:hAnsi="Times New Roman" w:cs="Times New Roman"/>
          <w:color w:val="373A3C"/>
          <w:sz w:val="24"/>
          <w:szCs w:val="24"/>
        </w:rPr>
        <w:t>, making their position in epigraphy a somewhat semantical debate</w:t>
      </w:r>
      <w:r w:rsidR="00D74FBB">
        <w:rPr>
          <w:rFonts w:ascii="Times New Roman" w:hAnsi="Times New Roman" w:cs="Times New Roman"/>
          <w:color w:val="373A3C"/>
          <w:sz w:val="24"/>
          <w:szCs w:val="24"/>
        </w:rPr>
        <w:t>. The Augustan period typifies this, Cooley says, with coins not just displaying the status of an individual, but in some cases depicting inscriptions themselves</w:t>
      </w:r>
      <w:r w:rsidR="005C6A5A">
        <w:rPr>
          <w:rFonts w:ascii="Times New Roman" w:hAnsi="Times New Roman" w:cs="Times New Roman"/>
          <w:color w:val="373A3C"/>
          <w:sz w:val="24"/>
          <w:szCs w:val="24"/>
        </w:rPr>
        <w:t xml:space="preserve"> (see Fig. 4)</w:t>
      </w:r>
      <w:r w:rsidR="00D74FBB">
        <w:rPr>
          <w:rFonts w:ascii="Times New Roman" w:hAnsi="Times New Roman" w:cs="Times New Roman"/>
          <w:color w:val="373A3C"/>
          <w:sz w:val="24"/>
          <w:szCs w:val="24"/>
        </w:rPr>
        <w:t>.</w:t>
      </w:r>
      <w:r w:rsidR="006425FD">
        <w:rPr>
          <w:rStyle w:val="FootnoteReference"/>
          <w:rFonts w:ascii="Times New Roman" w:hAnsi="Times New Roman" w:cs="Times New Roman"/>
          <w:color w:val="373A3C"/>
          <w:sz w:val="24"/>
          <w:szCs w:val="24"/>
        </w:rPr>
        <w:footnoteReference w:id="9"/>
      </w:r>
      <w:r w:rsidR="00B6619F">
        <w:rPr>
          <w:rFonts w:ascii="Times New Roman" w:hAnsi="Times New Roman" w:cs="Times New Roman"/>
          <w:color w:val="373A3C"/>
          <w:sz w:val="24"/>
          <w:szCs w:val="24"/>
        </w:rPr>
        <w:t xml:space="preserve"> </w:t>
      </w:r>
    </w:p>
    <w:p w:rsidR="00F21B22" w:rsidRDefault="00F21B22" w:rsidP="006B303D">
      <w:pPr>
        <w:rPr>
          <w:rFonts w:ascii="Times New Roman" w:hAnsi="Times New Roman" w:cs="Times New Roman"/>
          <w:color w:val="373A3C"/>
          <w:sz w:val="24"/>
          <w:szCs w:val="24"/>
        </w:rPr>
      </w:pPr>
    </w:p>
    <w:p w:rsidR="00D51574" w:rsidRDefault="00D51574" w:rsidP="00D51574">
      <w:pPr>
        <w:keepNext/>
      </w:pPr>
      <w:r>
        <w:rPr>
          <w:rFonts w:ascii="Times New Roman" w:hAnsi="Times New Roman" w:cs="Times New Roman"/>
          <w:color w:val="373A3C"/>
          <w:sz w:val="24"/>
          <w:szCs w:val="24"/>
        </w:rPr>
        <w:lastRenderedPageBreak/>
        <w:t xml:space="preserve">        </w:t>
      </w:r>
      <w:r w:rsidR="001323D5">
        <w:rPr>
          <w:rFonts w:ascii="Times New Roman" w:hAnsi="Times New Roman" w:cs="Times New Roman"/>
          <w:color w:val="373A3C"/>
          <w:sz w:val="24"/>
          <w:szCs w:val="24"/>
        </w:rPr>
        <w:t xml:space="preserve">   </w:t>
      </w:r>
      <w:r>
        <w:rPr>
          <w:rFonts w:ascii="Times New Roman" w:hAnsi="Times New Roman" w:cs="Times New Roman"/>
          <w:color w:val="373A3C"/>
          <w:sz w:val="24"/>
          <w:szCs w:val="24"/>
        </w:rPr>
        <w:t xml:space="preserve">       </w:t>
      </w:r>
      <w:r w:rsidR="00E80B8E">
        <w:rPr>
          <w:rFonts w:ascii="Times New Roman" w:hAnsi="Times New Roman" w:cs="Times New Roman"/>
          <w:noProof/>
          <w:color w:val="373A3C"/>
          <w:sz w:val="24"/>
          <w:szCs w:val="24"/>
        </w:rPr>
        <w:drawing>
          <wp:inline distT="0" distB="0" distL="0" distR="0">
            <wp:extent cx="4221480" cy="2025618"/>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in.jpg"/>
                    <pic:cNvPicPr/>
                  </pic:nvPicPr>
                  <pic:blipFill>
                    <a:blip r:embed="rId10">
                      <a:extLst>
                        <a:ext uri="{28A0092B-C50C-407E-A947-70E740481C1C}">
                          <a14:useLocalDpi xmlns:a14="http://schemas.microsoft.com/office/drawing/2010/main" val="0"/>
                        </a:ext>
                      </a:extLst>
                    </a:blip>
                    <a:stretch>
                      <a:fillRect/>
                    </a:stretch>
                  </pic:blipFill>
                  <pic:spPr>
                    <a:xfrm>
                      <a:off x="0" y="0"/>
                      <a:ext cx="4278963" cy="2053200"/>
                    </a:xfrm>
                    <a:prstGeom prst="rect">
                      <a:avLst/>
                    </a:prstGeom>
                  </pic:spPr>
                </pic:pic>
              </a:graphicData>
            </a:graphic>
          </wp:inline>
        </w:drawing>
      </w:r>
    </w:p>
    <w:p w:rsidR="00322804" w:rsidRPr="00D51574" w:rsidRDefault="00D51574" w:rsidP="00D51574">
      <w:pPr>
        <w:pStyle w:val="Caption"/>
        <w:jc w:val="center"/>
        <w:rPr>
          <w:rFonts w:ascii="Times New Roman" w:hAnsi="Times New Roman" w:cs="Times New Roman"/>
          <w:color w:val="373A3C"/>
          <w:sz w:val="22"/>
          <w:szCs w:val="22"/>
        </w:rPr>
      </w:pPr>
      <w:r w:rsidRPr="00D51574">
        <w:rPr>
          <w:sz w:val="22"/>
          <w:szCs w:val="22"/>
        </w:rPr>
        <w:t xml:space="preserve">Figure </w:t>
      </w:r>
      <w:r w:rsidRPr="00D51574">
        <w:rPr>
          <w:sz w:val="22"/>
          <w:szCs w:val="22"/>
        </w:rPr>
        <w:fldChar w:fldCharType="begin"/>
      </w:r>
      <w:r w:rsidRPr="00D51574">
        <w:rPr>
          <w:sz w:val="22"/>
          <w:szCs w:val="22"/>
        </w:rPr>
        <w:instrText xml:space="preserve"> SEQ Figure \* ARABIC </w:instrText>
      </w:r>
      <w:r w:rsidRPr="00D51574">
        <w:rPr>
          <w:sz w:val="22"/>
          <w:szCs w:val="22"/>
        </w:rPr>
        <w:fldChar w:fldCharType="separate"/>
      </w:r>
      <w:r w:rsidR="003D12E3">
        <w:rPr>
          <w:noProof/>
          <w:sz w:val="22"/>
          <w:szCs w:val="22"/>
        </w:rPr>
        <w:t>4</w:t>
      </w:r>
      <w:r w:rsidRPr="00D51574">
        <w:rPr>
          <w:sz w:val="22"/>
          <w:szCs w:val="22"/>
        </w:rPr>
        <w:fldChar w:fldCharType="end"/>
      </w:r>
      <w:r w:rsidRPr="00D51574">
        <w:rPr>
          <w:sz w:val="22"/>
          <w:szCs w:val="22"/>
        </w:rPr>
        <w:t xml:space="preserve"> - Augustus Denarius, 16BC, featuring an inscribed equestrian statue</w:t>
      </w:r>
      <w:r>
        <w:rPr>
          <w:sz w:val="22"/>
          <w:szCs w:val="22"/>
        </w:rPr>
        <w:t xml:space="preserve"> – RIC</w:t>
      </w:r>
      <w:r w:rsidR="00BF4BF7">
        <w:rPr>
          <w:sz w:val="22"/>
          <w:szCs w:val="22"/>
        </w:rPr>
        <w:t xml:space="preserve"> I</w:t>
      </w:r>
      <w:r w:rsidR="00FC19F3">
        <w:rPr>
          <w:sz w:val="22"/>
          <w:szCs w:val="22"/>
        </w:rPr>
        <w:t xml:space="preserve">² </w:t>
      </w:r>
      <w:r>
        <w:rPr>
          <w:sz w:val="22"/>
          <w:szCs w:val="22"/>
        </w:rPr>
        <w:t>362</w:t>
      </w:r>
    </w:p>
    <w:p w:rsidR="00322804" w:rsidRDefault="00B6619F" w:rsidP="006B303D">
      <w:pPr>
        <w:rPr>
          <w:rFonts w:ascii="Times New Roman" w:hAnsi="Times New Roman" w:cs="Times New Roman"/>
          <w:color w:val="373A3C"/>
          <w:sz w:val="24"/>
          <w:szCs w:val="24"/>
        </w:rPr>
      </w:pPr>
      <w:r>
        <w:rPr>
          <w:rFonts w:ascii="Times New Roman" w:hAnsi="Times New Roman" w:cs="Times New Roman"/>
          <w:color w:val="373A3C"/>
          <w:sz w:val="24"/>
          <w:szCs w:val="24"/>
        </w:rPr>
        <w:t>The large num</w:t>
      </w:r>
      <w:r w:rsidR="00B21C08">
        <w:rPr>
          <w:rFonts w:ascii="Times New Roman" w:hAnsi="Times New Roman" w:cs="Times New Roman"/>
          <w:color w:val="373A3C"/>
          <w:sz w:val="24"/>
          <w:szCs w:val="24"/>
        </w:rPr>
        <w:t xml:space="preserve">ber of coins dated to the Augustan era is largely </w:t>
      </w:r>
      <w:r w:rsidR="00990702">
        <w:rPr>
          <w:rFonts w:ascii="Times New Roman" w:hAnsi="Times New Roman" w:cs="Times New Roman"/>
          <w:color w:val="373A3C"/>
          <w:sz w:val="24"/>
          <w:szCs w:val="24"/>
        </w:rPr>
        <w:t>telling of</w:t>
      </w:r>
      <w:r w:rsidR="00B21C08">
        <w:rPr>
          <w:rFonts w:ascii="Times New Roman" w:hAnsi="Times New Roman" w:cs="Times New Roman"/>
          <w:color w:val="373A3C"/>
          <w:sz w:val="24"/>
          <w:szCs w:val="24"/>
        </w:rPr>
        <w:t xml:space="preserve"> Augustus’ reformation</w:t>
      </w:r>
      <w:r w:rsidR="00990702">
        <w:rPr>
          <w:rFonts w:ascii="Times New Roman" w:hAnsi="Times New Roman" w:cs="Times New Roman"/>
          <w:color w:val="373A3C"/>
          <w:sz w:val="24"/>
          <w:szCs w:val="24"/>
        </w:rPr>
        <w:t>s</w:t>
      </w:r>
      <w:r w:rsidR="00B21C08">
        <w:rPr>
          <w:rFonts w:ascii="Times New Roman" w:hAnsi="Times New Roman" w:cs="Times New Roman"/>
          <w:color w:val="373A3C"/>
          <w:sz w:val="24"/>
          <w:szCs w:val="24"/>
        </w:rPr>
        <w:t xml:space="preserve"> of coinage,</w:t>
      </w:r>
      <w:r w:rsidR="007104B3">
        <w:rPr>
          <w:rFonts w:ascii="Times New Roman" w:hAnsi="Times New Roman" w:cs="Times New Roman"/>
          <w:color w:val="373A3C"/>
          <w:sz w:val="24"/>
          <w:szCs w:val="24"/>
        </w:rPr>
        <w:t xml:space="preserve"> and the coins are equally important as iconographic evidence of the portrayal of his public image during the period. It has also been noted</w:t>
      </w:r>
      <w:r w:rsidR="00590A4A">
        <w:rPr>
          <w:rFonts w:ascii="Times New Roman" w:hAnsi="Times New Roman" w:cs="Times New Roman"/>
          <w:color w:val="373A3C"/>
          <w:sz w:val="24"/>
          <w:szCs w:val="24"/>
        </w:rPr>
        <w:t xml:space="preserve"> by West</w:t>
      </w:r>
      <w:r w:rsidR="007104B3">
        <w:rPr>
          <w:rFonts w:ascii="Times New Roman" w:hAnsi="Times New Roman" w:cs="Times New Roman"/>
          <w:color w:val="373A3C"/>
          <w:sz w:val="24"/>
          <w:szCs w:val="24"/>
        </w:rPr>
        <w:t xml:space="preserve"> that whilst Augustus permitted many cities to continue to issue their</w:t>
      </w:r>
      <w:r w:rsidR="00B21C08">
        <w:rPr>
          <w:rFonts w:ascii="Times New Roman" w:hAnsi="Times New Roman" w:cs="Times New Roman"/>
          <w:color w:val="373A3C"/>
          <w:sz w:val="24"/>
          <w:szCs w:val="24"/>
        </w:rPr>
        <w:t xml:space="preserve"> </w:t>
      </w:r>
      <w:r w:rsidR="007104B3">
        <w:rPr>
          <w:rFonts w:ascii="Times New Roman" w:hAnsi="Times New Roman" w:cs="Times New Roman"/>
          <w:color w:val="373A3C"/>
          <w:sz w:val="24"/>
          <w:szCs w:val="24"/>
        </w:rPr>
        <w:t>own coins, this was done ‘under imperial supervision’ with the emphasis on the unity of the Roman World</w:t>
      </w:r>
      <w:r w:rsidR="002A0BC4">
        <w:rPr>
          <w:rFonts w:ascii="Times New Roman" w:hAnsi="Times New Roman" w:cs="Times New Roman"/>
          <w:color w:val="373A3C"/>
          <w:sz w:val="24"/>
          <w:szCs w:val="24"/>
        </w:rPr>
        <w:t>.</w:t>
      </w:r>
      <w:r w:rsidR="007104B3">
        <w:rPr>
          <w:rFonts w:ascii="Times New Roman" w:hAnsi="Times New Roman" w:cs="Times New Roman"/>
          <w:color w:val="373A3C"/>
          <w:sz w:val="24"/>
          <w:szCs w:val="24"/>
        </w:rPr>
        <w:t xml:space="preserve"> Further to this</w:t>
      </w:r>
      <w:r w:rsidR="00590A4A">
        <w:rPr>
          <w:rFonts w:ascii="Times New Roman" w:hAnsi="Times New Roman" w:cs="Times New Roman"/>
          <w:color w:val="373A3C"/>
          <w:sz w:val="24"/>
          <w:szCs w:val="24"/>
        </w:rPr>
        <w:t>, West notes</w:t>
      </w:r>
      <w:r w:rsidR="007104B3">
        <w:rPr>
          <w:rFonts w:ascii="Times New Roman" w:hAnsi="Times New Roman" w:cs="Times New Roman"/>
          <w:color w:val="373A3C"/>
          <w:sz w:val="24"/>
          <w:szCs w:val="24"/>
        </w:rPr>
        <w:t xml:space="preserve"> that coins served a unique function in spreading news and influencing public opinion across the empire</w:t>
      </w:r>
      <w:r w:rsidR="009E1FF8">
        <w:rPr>
          <w:rFonts w:ascii="Times New Roman" w:hAnsi="Times New Roman" w:cs="Times New Roman"/>
          <w:color w:val="373A3C"/>
          <w:sz w:val="24"/>
          <w:szCs w:val="24"/>
        </w:rPr>
        <w:t>, and that the images</w:t>
      </w:r>
      <w:r w:rsidR="005E7C39">
        <w:rPr>
          <w:rFonts w:ascii="Times New Roman" w:hAnsi="Times New Roman" w:cs="Times New Roman"/>
          <w:color w:val="373A3C"/>
          <w:sz w:val="24"/>
          <w:szCs w:val="24"/>
        </w:rPr>
        <w:t xml:space="preserve"> on the reverse of the coins</w:t>
      </w:r>
      <w:r w:rsidR="009E1FF8">
        <w:rPr>
          <w:rFonts w:ascii="Times New Roman" w:hAnsi="Times New Roman" w:cs="Times New Roman"/>
          <w:color w:val="373A3C"/>
          <w:sz w:val="24"/>
          <w:szCs w:val="24"/>
        </w:rPr>
        <w:t xml:space="preserve"> change ‘in close agreement with current political changes’</w:t>
      </w:r>
      <w:r w:rsidR="007104B3">
        <w:rPr>
          <w:rFonts w:ascii="Times New Roman" w:hAnsi="Times New Roman" w:cs="Times New Roman"/>
          <w:color w:val="373A3C"/>
          <w:sz w:val="24"/>
          <w:szCs w:val="24"/>
        </w:rPr>
        <w:t>.</w:t>
      </w:r>
      <w:r w:rsidR="007F2B6B">
        <w:rPr>
          <w:rStyle w:val="FootnoteReference"/>
          <w:rFonts w:ascii="Times New Roman" w:hAnsi="Times New Roman" w:cs="Times New Roman"/>
          <w:color w:val="373A3C"/>
          <w:sz w:val="24"/>
          <w:szCs w:val="24"/>
        </w:rPr>
        <w:footnoteReference w:id="10"/>
      </w:r>
    </w:p>
    <w:p w:rsidR="003D12E3" w:rsidRDefault="003D12E3" w:rsidP="003D12E3">
      <w:pPr>
        <w:keepNext/>
      </w:pPr>
      <w:r>
        <w:rPr>
          <w:rFonts w:ascii="Times New Roman" w:hAnsi="Times New Roman" w:cs="Times New Roman"/>
          <w:color w:val="373A3C"/>
          <w:sz w:val="24"/>
          <w:szCs w:val="24"/>
        </w:rPr>
        <w:t xml:space="preserve">                </w:t>
      </w:r>
      <w:r w:rsidR="003144A8">
        <w:rPr>
          <w:rFonts w:ascii="Times New Roman" w:hAnsi="Times New Roman" w:cs="Times New Roman"/>
          <w:color w:val="373A3C"/>
          <w:sz w:val="24"/>
          <w:szCs w:val="24"/>
        </w:rPr>
        <w:t xml:space="preserve">  </w:t>
      </w:r>
      <w:r>
        <w:rPr>
          <w:rFonts w:ascii="Times New Roman" w:hAnsi="Times New Roman" w:cs="Times New Roman"/>
          <w:color w:val="373A3C"/>
          <w:sz w:val="24"/>
          <w:szCs w:val="24"/>
        </w:rPr>
        <w:t xml:space="preserve">      </w:t>
      </w:r>
      <w:r>
        <w:rPr>
          <w:rFonts w:ascii="Times New Roman" w:hAnsi="Times New Roman" w:cs="Times New Roman"/>
          <w:noProof/>
          <w:color w:val="373A3C"/>
          <w:sz w:val="24"/>
          <w:szCs w:val="24"/>
        </w:rPr>
        <w:drawing>
          <wp:inline distT="0" distB="0" distL="0" distR="0">
            <wp:extent cx="3787140" cy="1859142"/>
            <wp:effectExtent l="0" t="0" r="381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ic1.jpg"/>
                    <pic:cNvPicPr/>
                  </pic:nvPicPr>
                  <pic:blipFill>
                    <a:blip r:embed="rId11">
                      <a:extLst>
                        <a:ext uri="{28A0092B-C50C-407E-A947-70E740481C1C}">
                          <a14:useLocalDpi xmlns:a14="http://schemas.microsoft.com/office/drawing/2010/main" val="0"/>
                        </a:ext>
                      </a:extLst>
                    </a:blip>
                    <a:stretch>
                      <a:fillRect/>
                    </a:stretch>
                  </pic:blipFill>
                  <pic:spPr>
                    <a:xfrm>
                      <a:off x="0" y="0"/>
                      <a:ext cx="3839451" cy="1884822"/>
                    </a:xfrm>
                    <a:prstGeom prst="rect">
                      <a:avLst/>
                    </a:prstGeom>
                  </pic:spPr>
                </pic:pic>
              </a:graphicData>
            </a:graphic>
          </wp:inline>
        </w:drawing>
      </w:r>
    </w:p>
    <w:p w:rsidR="00322804" w:rsidRPr="003D12E3" w:rsidRDefault="003D12E3" w:rsidP="003D12E3">
      <w:pPr>
        <w:pStyle w:val="Caption"/>
        <w:jc w:val="center"/>
        <w:rPr>
          <w:rFonts w:ascii="Times New Roman" w:hAnsi="Times New Roman" w:cs="Times New Roman"/>
          <w:color w:val="373A3C"/>
          <w:sz w:val="22"/>
          <w:szCs w:val="22"/>
        </w:rPr>
      </w:pPr>
      <w:r w:rsidRPr="003D12E3">
        <w:rPr>
          <w:sz w:val="22"/>
          <w:szCs w:val="22"/>
        </w:rPr>
        <w:t xml:space="preserve">Figure </w:t>
      </w:r>
      <w:r w:rsidRPr="003D12E3">
        <w:rPr>
          <w:sz w:val="22"/>
          <w:szCs w:val="22"/>
        </w:rPr>
        <w:fldChar w:fldCharType="begin"/>
      </w:r>
      <w:r w:rsidRPr="003D12E3">
        <w:rPr>
          <w:sz w:val="22"/>
          <w:szCs w:val="22"/>
        </w:rPr>
        <w:instrText xml:space="preserve"> SEQ Figure \* ARABIC </w:instrText>
      </w:r>
      <w:r w:rsidRPr="003D12E3">
        <w:rPr>
          <w:sz w:val="22"/>
          <w:szCs w:val="22"/>
        </w:rPr>
        <w:fldChar w:fldCharType="separate"/>
      </w:r>
      <w:r w:rsidRPr="003D12E3">
        <w:rPr>
          <w:noProof/>
          <w:sz w:val="22"/>
          <w:szCs w:val="22"/>
        </w:rPr>
        <w:t>5</w:t>
      </w:r>
      <w:r w:rsidRPr="003D12E3">
        <w:rPr>
          <w:sz w:val="22"/>
          <w:szCs w:val="22"/>
        </w:rPr>
        <w:fldChar w:fldCharType="end"/>
      </w:r>
      <w:r w:rsidRPr="003D12E3">
        <w:rPr>
          <w:sz w:val="22"/>
          <w:szCs w:val="22"/>
        </w:rPr>
        <w:t xml:space="preserve"> - Augustus Denarius, 19</w:t>
      </w:r>
      <w:r w:rsidR="001A6F92">
        <w:rPr>
          <w:sz w:val="22"/>
          <w:szCs w:val="22"/>
        </w:rPr>
        <w:t xml:space="preserve"> </w:t>
      </w:r>
      <w:r w:rsidRPr="003D12E3">
        <w:rPr>
          <w:sz w:val="22"/>
          <w:szCs w:val="22"/>
        </w:rPr>
        <w:t>BC, featuring a kneeling Parthian presenting a standard - RIC I</w:t>
      </w:r>
      <w:r w:rsidR="00FC19F3">
        <w:rPr>
          <w:sz w:val="22"/>
          <w:szCs w:val="22"/>
        </w:rPr>
        <w:t>²</w:t>
      </w:r>
      <w:r w:rsidRPr="003D12E3">
        <w:rPr>
          <w:sz w:val="22"/>
          <w:szCs w:val="22"/>
        </w:rPr>
        <w:t xml:space="preserve"> 288</w:t>
      </w:r>
    </w:p>
    <w:p w:rsidR="000B6064" w:rsidRDefault="000B6064" w:rsidP="006B303D">
      <w:pPr>
        <w:rPr>
          <w:rFonts w:ascii="Times New Roman" w:hAnsi="Times New Roman" w:cs="Times New Roman"/>
          <w:color w:val="373A3C"/>
          <w:sz w:val="24"/>
          <w:szCs w:val="24"/>
        </w:rPr>
      </w:pPr>
    </w:p>
    <w:p w:rsidR="00322804" w:rsidRDefault="00A008E9" w:rsidP="006B303D">
      <w:pPr>
        <w:rPr>
          <w:rFonts w:ascii="Times New Roman" w:hAnsi="Times New Roman" w:cs="Times New Roman"/>
          <w:color w:val="373A3C"/>
          <w:sz w:val="24"/>
          <w:szCs w:val="24"/>
        </w:rPr>
      </w:pPr>
      <w:r>
        <w:rPr>
          <w:rFonts w:ascii="Times New Roman" w:hAnsi="Times New Roman" w:cs="Times New Roman"/>
          <w:color w:val="373A3C"/>
          <w:sz w:val="24"/>
          <w:szCs w:val="24"/>
        </w:rPr>
        <w:lastRenderedPageBreak/>
        <w:t>West provides an example of coins used in this context (Fig. 5), with coins minted in approximately 19 BC to commemorate the return of army standards captured by the Parthians at</w:t>
      </w:r>
      <w:r w:rsidR="003D7064">
        <w:rPr>
          <w:rFonts w:ascii="Times New Roman" w:hAnsi="Times New Roman" w:cs="Times New Roman"/>
          <w:color w:val="373A3C"/>
          <w:sz w:val="24"/>
          <w:szCs w:val="24"/>
        </w:rPr>
        <w:t xml:space="preserve"> the Battle of Crassus in 53 BC, </w:t>
      </w:r>
      <w:r w:rsidR="008A2D04">
        <w:rPr>
          <w:rFonts w:ascii="Times New Roman" w:hAnsi="Times New Roman" w:cs="Times New Roman"/>
          <w:color w:val="373A3C"/>
          <w:sz w:val="24"/>
          <w:szCs w:val="24"/>
        </w:rPr>
        <w:t>evidencing</w:t>
      </w:r>
      <w:r w:rsidR="003D7064">
        <w:rPr>
          <w:rFonts w:ascii="Times New Roman" w:hAnsi="Times New Roman" w:cs="Times New Roman"/>
          <w:color w:val="373A3C"/>
          <w:sz w:val="24"/>
          <w:szCs w:val="24"/>
        </w:rPr>
        <w:t xml:space="preserve"> </w:t>
      </w:r>
      <w:r w:rsidR="00975A9D">
        <w:rPr>
          <w:rFonts w:ascii="Times New Roman" w:hAnsi="Times New Roman" w:cs="Times New Roman"/>
          <w:color w:val="373A3C"/>
          <w:sz w:val="24"/>
          <w:szCs w:val="24"/>
        </w:rPr>
        <w:t xml:space="preserve">exactly </w:t>
      </w:r>
      <w:r w:rsidR="003D7064">
        <w:rPr>
          <w:rFonts w:ascii="Times New Roman" w:hAnsi="Times New Roman" w:cs="Times New Roman"/>
          <w:color w:val="373A3C"/>
          <w:sz w:val="24"/>
          <w:szCs w:val="24"/>
        </w:rPr>
        <w:t xml:space="preserve">how coins </w:t>
      </w:r>
      <w:r w:rsidR="00CD5011">
        <w:rPr>
          <w:rFonts w:ascii="Times New Roman" w:hAnsi="Times New Roman" w:cs="Times New Roman"/>
          <w:color w:val="373A3C"/>
          <w:sz w:val="24"/>
          <w:szCs w:val="24"/>
        </w:rPr>
        <w:t>could be</w:t>
      </w:r>
      <w:r w:rsidR="003D7064">
        <w:rPr>
          <w:rFonts w:ascii="Times New Roman" w:hAnsi="Times New Roman" w:cs="Times New Roman"/>
          <w:color w:val="373A3C"/>
          <w:sz w:val="24"/>
          <w:szCs w:val="24"/>
        </w:rPr>
        <w:t xml:space="preserve"> used to spread news and celebrate victories throughout the </w:t>
      </w:r>
      <w:r w:rsidR="00673EFC">
        <w:rPr>
          <w:rFonts w:ascii="Times New Roman" w:hAnsi="Times New Roman" w:cs="Times New Roman"/>
          <w:color w:val="373A3C"/>
          <w:sz w:val="24"/>
          <w:szCs w:val="24"/>
        </w:rPr>
        <w:t>provinces.</w:t>
      </w:r>
      <w:r w:rsidR="00970E8A">
        <w:rPr>
          <w:rFonts w:ascii="Times New Roman" w:hAnsi="Times New Roman" w:cs="Times New Roman"/>
          <w:color w:val="373A3C"/>
          <w:sz w:val="24"/>
          <w:szCs w:val="24"/>
        </w:rPr>
        <w:t xml:space="preserve"> West also not</w:t>
      </w:r>
      <w:r w:rsidR="004F50CA">
        <w:rPr>
          <w:rFonts w:ascii="Times New Roman" w:hAnsi="Times New Roman" w:cs="Times New Roman"/>
          <w:color w:val="373A3C"/>
          <w:sz w:val="24"/>
          <w:szCs w:val="24"/>
        </w:rPr>
        <w:t>es the circulation of these coi</w:t>
      </w:r>
      <w:r w:rsidR="00970E8A">
        <w:rPr>
          <w:rFonts w:ascii="Times New Roman" w:hAnsi="Times New Roman" w:cs="Times New Roman"/>
          <w:color w:val="373A3C"/>
          <w:sz w:val="24"/>
          <w:szCs w:val="24"/>
        </w:rPr>
        <w:t xml:space="preserve">ns in the eastern parts of the empire, </w:t>
      </w:r>
      <w:r w:rsidR="004F50CA">
        <w:rPr>
          <w:rFonts w:ascii="Times New Roman" w:hAnsi="Times New Roman" w:cs="Times New Roman"/>
          <w:color w:val="373A3C"/>
          <w:sz w:val="24"/>
          <w:szCs w:val="24"/>
        </w:rPr>
        <w:t>where emphasis of the achievement would also be ‘psychologically important’.</w:t>
      </w:r>
      <w:r w:rsidR="00714244">
        <w:rPr>
          <w:rStyle w:val="FootnoteReference"/>
          <w:rFonts w:ascii="Times New Roman" w:hAnsi="Times New Roman" w:cs="Times New Roman"/>
          <w:color w:val="373A3C"/>
          <w:sz w:val="24"/>
          <w:szCs w:val="24"/>
        </w:rPr>
        <w:footnoteReference w:id="11"/>
      </w:r>
      <w:r w:rsidR="004F50CA">
        <w:rPr>
          <w:rFonts w:ascii="Times New Roman" w:hAnsi="Times New Roman" w:cs="Times New Roman"/>
          <w:color w:val="373A3C"/>
          <w:sz w:val="24"/>
          <w:szCs w:val="24"/>
        </w:rPr>
        <w:t xml:space="preserve"> </w:t>
      </w:r>
      <w:r w:rsidR="00576FB9">
        <w:rPr>
          <w:rFonts w:ascii="Times New Roman" w:hAnsi="Times New Roman" w:cs="Times New Roman"/>
          <w:color w:val="373A3C"/>
          <w:sz w:val="24"/>
          <w:szCs w:val="24"/>
        </w:rPr>
        <w:t xml:space="preserve">Here, Latin epigraphy is invaluable in providing us with </w:t>
      </w:r>
      <w:r w:rsidR="00303ADF">
        <w:rPr>
          <w:rFonts w:ascii="Times New Roman" w:hAnsi="Times New Roman" w:cs="Times New Roman"/>
          <w:color w:val="373A3C"/>
          <w:sz w:val="24"/>
          <w:szCs w:val="24"/>
        </w:rPr>
        <w:t xml:space="preserve">tangible evidence and </w:t>
      </w:r>
      <w:r w:rsidR="00576FB9">
        <w:rPr>
          <w:rFonts w:ascii="Times New Roman" w:hAnsi="Times New Roman" w:cs="Times New Roman"/>
          <w:color w:val="373A3C"/>
          <w:sz w:val="24"/>
          <w:szCs w:val="24"/>
        </w:rPr>
        <w:t xml:space="preserve">information relating to the era. </w:t>
      </w:r>
    </w:p>
    <w:p w:rsidR="00A57B08" w:rsidRDefault="00A57B08" w:rsidP="006B303D">
      <w:pPr>
        <w:rPr>
          <w:rFonts w:ascii="Times New Roman" w:hAnsi="Times New Roman" w:cs="Times New Roman"/>
          <w:color w:val="373A3C"/>
          <w:sz w:val="24"/>
          <w:szCs w:val="24"/>
        </w:rPr>
      </w:pPr>
    </w:p>
    <w:p w:rsidR="002948C2" w:rsidRPr="002948C2" w:rsidRDefault="002948C2" w:rsidP="002948C2">
      <w:pPr>
        <w:rPr>
          <w:rFonts w:ascii="Times New Roman" w:hAnsi="Times New Roman" w:cs="Times New Roman"/>
          <w:color w:val="373A3C"/>
          <w:sz w:val="24"/>
          <w:szCs w:val="24"/>
        </w:rPr>
      </w:pPr>
      <w:r>
        <w:rPr>
          <w:rFonts w:ascii="Times New Roman" w:hAnsi="Times New Roman" w:cs="Times New Roman"/>
          <w:color w:val="373A3C"/>
          <w:sz w:val="24"/>
          <w:szCs w:val="24"/>
        </w:rPr>
        <w:t xml:space="preserve">There are clear advantages and disadvantages in the use of Latin epigraphy. Through the </w:t>
      </w:r>
      <w:r>
        <w:rPr>
          <w:rFonts w:ascii="Times New Roman" w:hAnsi="Times New Roman" w:cs="Times New Roman"/>
          <w:i/>
          <w:color w:val="373A3C"/>
          <w:sz w:val="24"/>
          <w:szCs w:val="24"/>
        </w:rPr>
        <w:t xml:space="preserve">Res Gestae </w:t>
      </w:r>
      <w:proofErr w:type="spellStart"/>
      <w:r>
        <w:rPr>
          <w:rFonts w:ascii="Times New Roman" w:hAnsi="Times New Roman" w:cs="Times New Roman"/>
          <w:i/>
          <w:color w:val="373A3C"/>
          <w:sz w:val="24"/>
          <w:szCs w:val="24"/>
        </w:rPr>
        <w:t>Divi</w:t>
      </w:r>
      <w:proofErr w:type="spellEnd"/>
      <w:r>
        <w:rPr>
          <w:rFonts w:ascii="Times New Roman" w:hAnsi="Times New Roman" w:cs="Times New Roman"/>
          <w:i/>
          <w:color w:val="373A3C"/>
          <w:sz w:val="24"/>
          <w:szCs w:val="24"/>
        </w:rPr>
        <w:t xml:space="preserve"> </w:t>
      </w:r>
      <w:proofErr w:type="spellStart"/>
      <w:r>
        <w:rPr>
          <w:rFonts w:ascii="Times New Roman" w:hAnsi="Times New Roman" w:cs="Times New Roman"/>
          <w:i/>
          <w:color w:val="373A3C"/>
          <w:sz w:val="24"/>
          <w:szCs w:val="24"/>
        </w:rPr>
        <w:t>Augusti</w:t>
      </w:r>
      <w:proofErr w:type="spellEnd"/>
      <w:r>
        <w:rPr>
          <w:rFonts w:ascii="Times New Roman" w:hAnsi="Times New Roman" w:cs="Times New Roman"/>
          <w:color w:val="373A3C"/>
          <w:sz w:val="24"/>
          <w:szCs w:val="24"/>
        </w:rPr>
        <w:t>, which has been aptly named ‘the Queen of inscriptions’, we are given an enormous account of events and justific</w:t>
      </w:r>
      <w:r>
        <w:rPr>
          <w:rFonts w:ascii="Times New Roman" w:hAnsi="Times New Roman" w:cs="Times New Roman"/>
          <w:color w:val="373A3C"/>
          <w:sz w:val="24"/>
          <w:szCs w:val="24"/>
        </w:rPr>
        <w:t>ations that forms a core part of our knowledge of the Augustan era</w:t>
      </w:r>
      <w:r w:rsidR="00475CE0">
        <w:rPr>
          <w:rFonts w:ascii="Times New Roman" w:hAnsi="Times New Roman" w:cs="Times New Roman"/>
          <w:color w:val="373A3C"/>
          <w:sz w:val="24"/>
          <w:szCs w:val="24"/>
        </w:rPr>
        <w:t xml:space="preserve">. Similarly, </w:t>
      </w:r>
      <w:r w:rsidR="006266C9">
        <w:rPr>
          <w:rFonts w:ascii="Times New Roman" w:hAnsi="Times New Roman" w:cs="Times New Roman"/>
          <w:color w:val="373A3C"/>
          <w:sz w:val="24"/>
          <w:szCs w:val="24"/>
        </w:rPr>
        <w:t>I have indicated scholarship that shows</w:t>
      </w:r>
      <w:r>
        <w:rPr>
          <w:rFonts w:ascii="Times New Roman" w:hAnsi="Times New Roman" w:cs="Times New Roman"/>
          <w:color w:val="373A3C"/>
          <w:sz w:val="24"/>
          <w:szCs w:val="24"/>
        </w:rPr>
        <w:t xml:space="preserve"> coins and other inscriptions also reinforce many of the key themes (expansionism; reformation; religion; propaganda) that we see in the </w:t>
      </w:r>
      <w:r>
        <w:rPr>
          <w:rFonts w:ascii="Times New Roman" w:hAnsi="Times New Roman" w:cs="Times New Roman"/>
          <w:i/>
          <w:color w:val="373A3C"/>
          <w:sz w:val="24"/>
          <w:szCs w:val="24"/>
        </w:rPr>
        <w:t>Res Gestae</w:t>
      </w:r>
      <w:r>
        <w:rPr>
          <w:rFonts w:ascii="Times New Roman" w:hAnsi="Times New Roman" w:cs="Times New Roman"/>
          <w:color w:val="373A3C"/>
          <w:sz w:val="24"/>
          <w:szCs w:val="24"/>
        </w:rPr>
        <w:t xml:space="preserve">. </w:t>
      </w:r>
      <w:r w:rsidR="003B4FF3">
        <w:rPr>
          <w:rFonts w:ascii="Times New Roman" w:hAnsi="Times New Roman" w:cs="Times New Roman"/>
          <w:color w:val="373A3C"/>
          <w:sz w:val="24"/>
          <w:szCs w:val="24"/>
        </w:rPr>
        <w:t xml:space="preserve">Inscriptions are also useful as they almost always </w:t>
      </w:r>
      <w:r w:rsidR="00293766">
        <w:rPr>
          <w:rFonts w:ascii="Times New Roman" w:hAnsi="Times New Roman" w:cs="Times New Roman"/>
          <w:color w:val="373A3C"/>
          <w:sz w:val="24"/>
          <w:szCs w:val="24"/>
        </w:rPr>
        <w:t>behave as</w:t>
      </w:r>
      <w:r w:rsidR="003B4FF3">
        <w:rPr>
          <w:rFonts w:ascii="Times New Roman" w:hAnsi="Times New Roman" w:cs="Times New Roman"/>
          <w:color w:val="373A3C"/>
          <w:sz w:val="24"/>
          <w:szCs w:val="24"/>
        </w:rPr>
        <w:t xml:space="preserve"> a first-hand account, and so are always ‘true’</w:t>
      </w:r>
      <w:r w:rsidR="00A704C3">
        <w:rPr>
          <w:rFonts w:ascii="Times New Roman" w:hAnsi="Times New Roman" w:cs="Times New Roman"/>
          <w:color w:val="373A3C"/>
          <w:sz w:val="24"/>
          <w:szCs w:val="24"/>
        </w:rPr>
        <w:t xml:space="preserve"> in some sense of the word. Even when they convey misinformation or </w:t>
      </w:r>
      <w:r w:rsidR="00A331C9">
        <w:rPr>
          <w:rFonts w:ascii="Times New Roman" w:hAnsi="Times New Roman" w:cs="Times New Roman"/>
          <w:color w:val="373A3C"/>
          <w:sz w:val="24"/>
          <w:szCs w:val="24"/>
        </w:rPr>
        <w:t xml:space="preserve">propaganda, they become tangible evidence of the psychology behind </w:t>
      </w:r>
      <w:r w:rsidR="00F97F14">
        <w:rPr>
          <w:rFonts w:ascii="Times New Roman" w:hAnsi="Times New Roman" w:cs="Times New Roman"/>
          <w:color w:val="373A3C"/>
          <w:sz w:val="24"/>
          <w:szCs w:val="24"/>
        </w:rPr>
        <w:t>the creation of the inscription, provided there is other source material to contextualise the issues. The epigraphy of the Augustan era, then, is perhaps best examined alongside other source materials in order to create an enriched, coherent narrative</w:t>
      </w:r>
      <w:r w:rsidR="00DD12F8">
        <w:rPr>
          <w:rFonts w:ascii="Times New Roman" w:hAnsi="Times New Roman" w:cs="Times New Roman"/>
          <w:color w:val="373A3C"/>
          <w:sz w:val="24"/>
          <w:szCs w:val="24"/>
        </w:rPr>
        <w:t xml:space="preserve"> and understanding</w:t>
      </w:r>
      <w:r w:rsidR="00F97F14">
        <w:rPr>
          <w:rFonts w:ascii="Times New Roman" w:hAnsi="Times New Roman" w:cs="Times New Roman"/>
          <w:color w:val="373A3C"/>
          <w:sz w:val="24"/>
          <w:szCs w:val="24"/>
        </w:rPr>
        <w:t xml:space="preserve"> of </w:t>
      </w:r>
      <w:r w:rsidR="00DD12F8">
        <w:rPr>
          <w:rFonts w:ascii="Times New Roman" w:hAnsi="Times New Roman" w:cs="Times New Roman"/>
          <w:color w:val="373A3C"/>
          <w:sz w:val="24"/>
          <w:szCs w:val="24"/>
        </w:rPr>
        <w:t>the era.</w:t>
      </w:r>
      <w:r w:rsidR="00D11EDC">
        <w:rPr>
          <w:rFonts w:ascii="Times New Roman" w:hAnsi="Times New Roman" w:cs="Times New Roman"/>
          <w:color w:val="373A3C"/>
          <w:sz w:val="24"/>
          <w:szCs w:val="24"/>
        </w:rPr>
        <w:t xml:space="preserve"> </w:t>
      </w:r>
    </w:p>
    <w:p w:rsidR="00E944BB" w:rsidRPr="00E944BB" w:rsidRDefault="00E944BB" w:rsidP="006B303D">
      <w:pPr>
        <w:rPr>
          <w:rFonts w:ascii="Times New Roman" w:hAnsi="Times New Roman" w:cs="Times New Roman"/>
          <w:color w:val="373A3C"/>
          <w:sz w:val="24"/>
          <w:szCs w:val="24"/>
        </w:rPr>
      </w:pPr>
    </w:p>
    <w:p w:rsidR="00322804" w:rsidRDefault="00322804" w:rsidP="006B303D">
      <w:pPr>
        <w:rPr>
          <w:rFonts w:ascii="Times New Roman" w:hAnsi="Times New Roman" w:cs="Times New Roman"/>
          <w:color w:val="373A3C"/>
          <w:sz w:val="24"/>
          <w:szCs w:val="24"/>
        </w:rPr>
      </w:pPr>
    </w:p>
    <w:p w:rsidR="00322804" w:rsidRDefault="00322804" w:rsidP="006B303D">
      <w:pPr>
        <w:rPr>
          <w:rFonts w:ascii="Times New Roman" w:hAnsi="Times New Roman" w:cs="Times New Roman"/>
          <w:color w:val="373A3C"/>
          <w:sz w:val="24"/>
          <w:szCs w:val="24"/>
        </w:rPr>
      </w:pPr>
    </w:p>
    <w:p w:rsidR="00322804" w:rsidRDefault="00322804" w:rsidP="006B303D">
      <w:pPr>
        <w:rPr>
          <w:rFonts w:ascii="Times New Roman" w:hAnsi="Times New Roman" w:cs="Times New Roman"/>
          <w:b/>
          <w:color w:val="373A3C"/>
          <w:sz w:val="24"/>
          <w:szCs w:val="24"/>
        </w:rPr>
      </w:pPr>
      <w:r>
        <w:rPr>
          <w:rFonts w:ascii="Times New Roman" w:hAnsi="Times New Roman" w:cs="Times New Roman"/>
          <w:b/>
          <w:color w:val="373A3C"/>
          <w:sz w:val="24"/>
          <w:szCs w:val="24"/>
        </w:rPr>
        <w:t>Bibliography</w:t>
      </w:r>
    </w:p>
    <w:p w:rsidR="001A21D2" w:rsidRPr="001A21D2" w:rsidRDefault="001A21D2" w:rsidP="006B303D">
      <w:pPr>
        <w:rPr>
          <w:rFonts w:ascii="Times New Roman" w:hAnsi="Times New Roman" w:cs="Times New Roman"/>
          <w:color w:val="373A3C"/>
          <w:sz w:val="24"/>
          <w:szCs w:val="24"/>
        </w:rPr>
      </w:pPr>
      <w:r>
        <w:rPr>
          <w:rFonts w:ascii="Times New Roman" w:hAnsi="Times New Roman" w:cs="Times New Roman"/>
          <w:color w:val="373A3C"/>
          <w:sz w:val="24"/>
          <w:szCs w:val="24"/>
        </w:rPr>
        <w:t xml:space="preserve">Cooley, A. 2011. </w:t>
      </w:r>
      <w:r>
        <w:rPr>
          <w:rFonts w:ascii="Times New Roman" w:hAnsi="Times New Roman" w:cs="Times New Roman"/>
          <w:i/>
          <w:color w:val="373A3C"/>
          <w:sz w:val="24"/>
          <w:szCs w:val="24"/>
        </w:rPr>
        <w:t xml:space="preserve">Res Gestae </w:t>
      </w:r>
      <w:proofErr w:type="spellStart"/>
      <w:r>
        <w:rPr>
          <w:rFonts w:ascii="Times New Roman" w:hAnsi="Times New Roman" w:cs="Times New Roman"/>
          <w:i/>
          <w:color w:val="373A3C"/>
          <w:sz w:val="24"/>
          <w:szCs w:val="24"/>
        </w:rPr>
        <w:t>Divi</w:t>
      </w:r>
      <w:proofErr w:type="spellEnd"/>
      <w:r>
        <w:rPr>
          <w:rFonts w:ascii="Times New Roman" w:hAnsi="Times New Roman" w:cs="Times New Roman"/>
          <w:i/>
          <w:color w:val="373A3C"/>
          <w:sz w:val="24"/>
          <w:szCs w:val="24"/>
        </w:rPr>
        <w:t xml:space="preserve"> </w:t>
      </w:r>
      <w:proofErr w:type="spellStart"/>
      <w:r>
        <w:rPr>
          <w:rFonts w:ascii="Times New Roman" w:hAnsi="Times New Roman" w:cs="Times New Roman"/>
          <w:i/>
          <w:color w:val="373A3C"/>
          <w:sz w:val="24"/>
          <w:szCs w:val="24"/>
        </w:rPr>
        <w:t>Augusti</w:t>
      </w:r>
      <w:proofErr w:type="spellEnd"/>
      <w:r>
        <w:rPr>
          <w:rFonts w:ascii="Times New Roman" w:hAnsi="Times New Roman" w:cs="Times New Roman"/>
          <w:i/>
          <w:color w:val="373A3C"/>
          <w:sz w:val="24"/>
          <w:szCs w:val="24"/>
        </w:rPr>
        <w:t>: Text, Translation and Commentary</w:t>
      </w:r>
      <w:r>
        <w:rPr>
          <w:rFonts w:ascii="Times New Roman" w:hAnsi="Times New Roman" w:cs="Times New Roman"/>
          <w:color w:val="373A3C"/>
          <w:sz w:val="24"/>
          <w:szCs w:val="24"/>
        </w:rPr>
        <w:t>. Cambridge University Press.</w:t>
      </w:r>
    </w:p>
    <w:p w:rsidR="00930730" w:rsidRPr="00930730" w:rsidRDefault="00930730" w:rsidP="006B303D">
      <w:pPr>
        <w:rPr>
          <w:rFonts w:ascii="Times New Roman" w:hAnsi="Times New Roman" w:cs="Times New Roman"/>
          <w:color w:val="373A3C"/>
          <w:sz w:val="24"/>
          <w:szCs w:val="24"/>
        </w:rPr>
      </w:pPr>
      <w:r>
        <w:rPr>
          <w:rFonts w:ascii="Times New Roman" w:hAnsi="Times New Roman" w:cs="Times New Roman"/>
          <w:color w:val="373A3C"/>
          <w:sz w:val="24"/>
          <w:szCs w:val="24"/>
        </w:rPr>
        <w:t xml:space="preserve">Cooley, A. 2012. </w:t>
      </w:r>
      <w:r>
        <w:rPr>
          <w:rFonts w:ascii="Times New Roman" w:hAnsi="Times New Roman" w:cs="Times New Roman"/>
          <w:i/>
          <w:color w:val="373A3C"/>
          <w:sz w:val="24"/>
          <w:szCs w:val="24"/>
        </w:rPr>
        <w:t>The Cambridge Manual of Latin Epigraphy.</w:t>
      </w:r>
      <w:r w:rsidR="008E0635">
        <w:rPr>
          <w:rFonts w:ascii="Times New Roman" w:hAnsi="Times New Roman" w:cs="Times New Roman"/>
          <w:color w:val="373A3C"/>
          <w:sz w:val="24"/>
          <w:szCs w:val="24"/>
        </w:rPr>
        <w:t xml:space="preserve"> Cambridge University Press.</w:t>
      </w:r>
    </w:p>
    <w:p w:rsidR="006457FC" w:rsidRPr="006457FC" w:rsidRDefault="006457FC" w:rsidP="006B303D">
      <w:r>
        <w:rPr>
          <w:rFonts w:ascii="Times New Roman" w:hAnsi="Times New Roman" w:cs="Times New Roman"/>
          <w:color w:val="373A3C"/>
          <w:sz w:val="24"/>
          <w:szCs w:val="24"/>
        </w:rPr>
        <w:t xml:space="preserve">Gordon, A. 1968. </w:t>
      </w:r>
      <w:r w:rsidRPr="000D1427">
        <w:rPr>
          <w:rFonts w:ascii="Times New Roman" w:hAnsi="Times New Roman" w:cs="Times New Roman"/>
          <w:color w:val="373A3C"/>
          <w:sz w:val="24"/>
          <w:szCs w:val="24"/>
        </w:rPr>
        <w:t>Notes on the "Res Gestae" of Augustus</w:t>
      </w:r>
      <w:r>
        <w:rPr>
          <w:rFonts w:ascii="Times New Roman" w:hAnsi="Times New Roman" w:cs="Times New Roman"/>
          <w:color w:val="373A3C"/>
          <w:sz w:val="24"/>
          <w:szCs w:val="24"/>
        </w:rPr>
        <w:t xml:space="preserve">. </w:t>
      </w:r>
      <w:r w:rsidRPr="000D1427">
        <w:rPr>
          <w:rFonts w:ascii="Times New Roman" w:hAnsi="Times New Roman" w:cs="Times New Roman"/>
          <w:i/>
          <w:iCs/>
          <w:color w:val="373A3C"/>
          <w:sz w:val="24"/>
          <w:szCs w:val="24"/>
        </w:rPr>
        <w:t>California Studies in Classical Antiquity</w:t>
      </w:r>
      <w:r>
        <w:rPr>
          <w:rFonts w:ascii="Times New Roman" w:hAnsi="Times New Roman" w:cs="Times New Roman"/>
          <w:i/>
          <w:iCs/>
          <w:color w:val="373A3C"/>
          <w:sz w:val="24"/>
          <w:szCs w:val="24"/>
        </w:rPr>
        <w:t xml:space="preserve">. </w:t>
      </w:r>
      <w:r>
        <w:rPr>
          <w:rFonts w:ascii="Times New Roman" w:hAnsi="Times New Roman" w:cs="Times New Roman"/>
          <w:iCs/>
          <w:color w:val="373A3C"/>
          <w:sz w:val="24"/>
          <w:szCs w:val="24"/>
        </w:rPr>
        <w:t>University of California Press.</w:t>
      </w:r>
    </w:p>
    <w:p w:rsidR="00322804" w:rsidRDefault="00322804" w:rsidP="006B303D">
      <w:pPr>
        <w:rPr>
          <w:rFonts w:ascii="Times New Roman" w:hAnsi="Times New Roman" w:cs="Times New Roman"/>
          <w:color w:val="373A3C"/>
          <w:sz w:val="24"/>
          <w:szCs w:val="24"/>
        </w:rPr>
      </w:pPr>
      <w:proofErr w:type="spellStart"/>
      <w:r w:rsidRPr="00281636">
        <w:rPr>
          <w:rFonts w:ascii="Times New Roman" w:hAnsi="Times New Roman" w:cs="Times New Roman"/>
          <w:color w:val="373A3C"/>
          <w:sz w:val="24"/>
          <w:szCs w:val="24"/>
        </w:rPr>
        <w:t>Güven</w:t>
      </w:r>
      <w:proofErr w:type="spellEnd"/>
      <w:r>
        <w:rPr>
          <w:rFonts w:ascii="Times New Roman" w:hAnsi="Times New Roman" w:cs="Times New Roman"/>
          <w:color w:val="373A3C"/>
          <w:sz w:val="24"/>
          <w:szCs w:val="24"/>
        </w:rPr>
        <w:t>, S. 1998.</w:t>
      </w:r>
      <w:r w:rsidR="00970238">
        <w:rPr>
          <w:rFonts w:ascii="Times New Roman" w:hAnsi="Times New Roman" w:cs="Times New Roman"/>
          <w:color w:val="373A3C"/>
          <w:sz w:val="24"/>
          <w:szCs w:val="24"/>
        </w:rPr>
        <w:t xml:space="preserve"> </w:t>
      </w:r>
      <w:r w:rsidR="00970238" w:rsidRPr="00970238">
        <w:rPr>
          <w:rFonts w:ascii="Times New Roman" w:hAnsi="Times New Roman" w:cs="Times New Roman"/>
          <w:color w:val="373A3C"/>
          <w:sz w:val="24"/>
          <w:szCs w:val="24"/>
        </w:rPr>
        <w:t>Displaying the Res Gestae of Augustus: A Monument of Imperial Image for All</w:t>
      </w:r>
      <w:r w:rsidR="00970238">
        <w:rPr>
          <w:rFonts w:ascii="Times New Roman" w:hAnsi="Times New Roman" w:cs="Times New Roman"/>
          <w:color w:val="373A3C"/>
          <w:sz w:val="24"/>
          <w:szCs w:val="24"/>
        </w:rPr>
        <w:t xml:space="preserve">. </w:t>
      </w:r>
      <w:r w:rsidR="00970238" w:rsidRPr="00970238">
        <w:rPr>
          <w:rFonts w:ascii="Times New Roman" w:hAnsi="Times New Roman" w:cs="Times New Roman"/>
          <w:i/>
          <w:color w:val="373A3C"/>
          <w:sz w:val="24"/>
          <w:szCs w:val="24"/>
        </w:rPr>
        <w:t>Journal of the Society of Architectural Historians</w:t>
      </w:r>
      <w:r w:rsidR="00970238">
        <w:rPr>
          <w:rFonts w:ascii="Times New Roman" w:hAnsi="Times New Roman" w:cs="Times New Roman"/>
          <w:i/>
          <w:color w:val="373A3C"/>
          <w:sz w:val="24"/>
          <w:szCs w:val="24"/>
        </w:rPr>
        <w:t xml:space="preserve">. </w:t>
      </w:r>
      <w:r w:rsidR="00533636">
        <w:rPr>
          <w:rFonts w:ascii="Times New Roman" w:hAnsi="Times New Roman" w:cs="Times New Roman"/>
          <w:color w:val="373A3C"/>
          <w:sz w:val="24"/>
          <w:szCs w:val="24"/>
        </w:rPr>
        <w:t>University of California Press.</w:t>
      </w:r>
    </w:p>
    <w:p w:rsidR="00D61CE4" w:rsidRDefault="00D61CE4" w:rsidP="006B303D">
      <w:pPr>
        <w:rPr>
          <w:rFonts w:ascii="Times New Roman" w:hAnsi="Times New Roman" w:cs="Times New Roman"/>
          <w:color w:val="373A3C"/>
          <w:sz w:val="24"/>
          <w:szCs w:val="24"/>
        </w:rPr>
      </w:pPr>
      <w:r>
        <w:rPr>
          <w:rFonts w:ascii="Times New Roman" w:hAnsi="Times New Roman" w:cs="Times New Roman"/>
          <w:color w:val="373A3C"/>
          <w:sz w:val="24"/>
          <w:szCs w:val="24"/>
        </w:rPr>
        <w:t xml:space="preserve">Reynolds, J.M; Ward-Perkins, J.B. 2009. </w:t>
      </w:r>
      <w:r w:rsidRPr="002C1AE0">
        <w:rPr>
          <w:rFonts w:ascii="Times New Roman" w:hAnsi="Times New Roman" w:cs="Times New Roman"/>
          <w:color w:val="373A3C"/>
          <w:sz w:val="24"/>
          <w:szCs w:val="24"/>
        </w:rPr>
        <w:t>Inscriptions of Roman Tripolitania</w:t>
      </w:r>
      <w:r>
        <w:rPr>
          <w:rFonts w:ascii="Times New Roman" w:hAnsi="Times New Roman" w:cs="Times New Roman"/>
          <w:color w:val="373A3C"/>
          <w:sz w:val="24"/>
          <w:szCs w:val="24"/>
        </w:rPr>
        <w:t xml:space="preserve">. </w:t>
      </w:r>
      <w:hyperlink r:id="rId12" w:history="1">
        <w:r w:rsidR="00F431E4" w:rsidRPr="0001569A">
          <w:rPr>
            <w:rStyle w:val="Hyperlink"/>
            <w:rFonts w:ascii="Times New Roman" w:hAnsi="Times New Roman" w:cs="Times New Roman"/>
            <w:sz w:val="24"/>
            <w:szCs w:val="24"/>
          </w:rPr>
          <w:t>http://inslib.kcl.ac.uk/irt2009/</w:t>
        </w:r>
      </w:hyperlink>
      <w:r w:rsidR="00F431E4">
        <w:rPr>
          <w:rFonts w:ascii="Times New Roman" w:hAnsi="Times New Roman" w:cs="Times New Roman"/>
          <w:color w:val="373A3C"/>
          <w:sz w:val="24"/>
          <w:szCs w:val="24"/>
        </w:rPr>
        <w:t xml:space="preserve"> [Accessed: 30</w:t>
      </w:r>
      <w:r w:rsidR="00F431E4" w:rsidRPr="00F431E4">
        <w:rPr>
          <w:rFonts w:ascii="Times New Roman" w:hAnsi="Times New Roman" w:cs="Times New Roman"/>
          <w:color w:val="373A3C"/>
          <w:sz w:val="24"/>
          <w:szCs w:val="24"/>
          <w:vertAlign w:val="superscript"/>
        </w:rPr>
        <w:t>th</w:t>
      </w:r>
      <w:r w:rsidR="00F431E4">
        <w:rPr>
          <w:rFonts w:ascii="Times New Roman" w:hAnsi="Times New Roman" w:cs="Times New Roman"/>
          <w:color w:val="373A3C"/>
          <w:sz w:val="24"/>
          <w:szCs w:val="24"/>
        </w:rPr>
        <w:t xml:space="preserve"> April 2018] </w:t>
      </w:r>
    </w:p>
    <w:p w:rsidR="00A560DE" w:rsidRDefault="00A560DE" w:rsidP="006B303D">
      <w:pPr>
        <w:rPr>
          <w:rFonts w:ascii="Times New Roman" w:hAnsi="Times New Roman" w:cs="Times New Roman"/>
          <w:color w:val="373A3C"/>
          <w:sz w:val="24"/>
          <w:szCs w:val="24"/>
        </w:rPr>
      </w:pPr>
      <w:r>
        <w:rPr>
          <w:rFonts w:ascii="Times New Roman" w:hAnsi="Times New Roman" w:cs="Times New Roman"/>
          <w:color w:val="373A3C"/>
          <w:sz w:val="24"/>
          <w:szCs w:val="24"/>
        </w:rPr>
        <w:t>Sutherland, C.H.V</w:t>
      </w:r>
      <w:r w:rsidR="00A10C23">
        <w:rPr>
          <w:rFonts w:ascii="Times New Roman" w:hAnsi="Times New Roman" w:cs="Times New Roman"/>
          <w:color w:val="373A3C"/>
          <w:sz w:val="24"/>
          <w:szCs w:val="24"/>
        </w:rPr>
        <w:t>.</w:t>
      </w:r>
      <w:r>
        <w:rPr>
          <w:rFonts w:ascii="Times New Roman" w:hAnsi="Times New Roman" w:cs="Times New Roman"/>
          <w:color w:val="373A3C"/>
          <w:sz w:val="24"/>
          <w:szCs w:val="24"/>
        </w:rPr>
        <w:t xml:space="preserve"> 1984. </w:t>
      </w:r>
      <w:r>
        <w:rPr>
          <w:rFonts w:ascii="Times New Roman" w:hAnsi="Times New Roman" w:cs="Times New Roman"/>
          <w:i/>
          <w:color w:val="373A3C"/>
          <w:sz w:val="24"/>
          <w:szCs w:val="24"/>
        </w:rPr>
        <w:t>Roman Imperial Coinage Volume I.</w:t>
      </w:r>
      <w:r w:rsidR="00D752D4">
        <w:rPr>
          <w:rFonts w:ascii="Times New Roman" w:hAnsi="Times New Roman" w:cs="Times New Roman"/>
          <w:i/>
          <w:color w:val="373A3C"/>
          <w:sz w:val="24"/>
          <w:szCs w:val="24"/>
        </w:rPr>
        <w:t xml:space="preserve"> </w:t>
      </w:r>
      <w:r w:rsidR="00A10C23">
        <w:rPr>
          <w:rFonts w:ascii="Times New Roman" w:hAnsi="Times New Roman" w:cs="Times New Roman"/>
          <w:i/>
          <w:color w:val="373A3C"/>
          <w:sz w:val="24"/>
          <w:szCs w:val="24"/>
        </w:rPr>
        <w:t xml:space="preserve"> </w:t>
      </w:r>
      <w:proofErr w:type="spellStart"/>
      <w:r w:rsidR="00A10C23">
        <w:rPr>
          <w:rFonts w:ascii="Times New Roman" w:hAnsi="Times New Roman" w:cs="Times New Roman"/>
          <w:color w:val="373A3C"/>
          <w:sz w:val="24"/>
          <w:szCs w:val="24"/>
        </w:rPr>
        <w:t>Spink</w:t>
      </w:r>
      <w:proofErr w:type="spellEnd"/>
      <w:r w:rsidR="00A10C23">
        <w:rPr>
          <w:rFonts w:ascii="Times New Roman" w:hAnsi="Times New Roman" w:cs="Times New Roman"/>
          <w:color w:val="373A3C"/>
          <w:sz w:val="24"/>
          <w:szCs w:val="24"/>
        </w:rPr>
        <w:t xml:space="preserve"> &amp; Son Ltd.</w:t>
      </w:r>
    </w:p>
    <w:p w:rsidR="00EC674F" w:rsidRPr="00A10C23" w:rsidRDefault="00EC674F" w:rsidP="006B303D">
      <w:pPr>
        <w:rPr>
          <w:rFonts w:ascii="Times New Roman" w:hAnsi="Times New Roman" w:cs="Times New Roman"/>
          <w:color w:val="373A3C"/>
          <w:sz w:val="24"/>
          <w:szCs w:val="24"/>
        </w:rPr>
      </w:pPr>
      <w:r>
        <w:rPr>
          <w:rFonts w:ascii="Times New Roman" w:hAnsi="Times New Roman" w:cs="Times New Roman"/>
          <w:color w:val="373A3C"/>
          <w:sz w:val="24"/>
          <w:szCs w:val="24"/>
        </w:rPr>
        <w:t xml:space="preserve">West, L. 1949. </w:t>
      </w:r>
      <w:r w:rsidRPr="00DA1AD0">
        <w:rPr>
          <w:rFonts w:ascii="Times New Roman" w:hAnsi="Times New Roman" w:cs="Times New Roman"/>
          <w:color w:val="373A3C"/>
          <w:sz w:val="24"/>
          <w:szCs w:val="24"/>
        </w:rPr>
        <w:t>Imperial Publicity on Coins of the Roman Emperors</w:t>
      </w:r>
      <w:r>
        <w:rPr>
          <w:rFonts w:ascii="Times New Roman" w:hAnsi="Times New Roman" w:cs="Times New Roman"/>
          <w:color w:val="373A3C"/>
          <w:sz w:val="24"/>
          <w:szCs w:val="24"/>
        </w:rPr>
        <w:t xml:space="preserve">. </w:t>
      </w:r>
      <w:r>
        <w:rPr>
          <w:rFonts w:ascii="Times New Roman" w:hAnsi="Times New Roman" w:cs="Times New Roman"/>
          <w:i/>
          <w:color w:val="373A3C"/>
          <w:sz w:val="24"/>
          <w:szCs w:val="24"/>
        </w:rPr>
        <w:t>The Classical Journal.</w:t>
      </w:r>
      <w:r>
        <w:rPr>
          <w:rFonts w:ascii="Times New Roman" w:hAnsi="Times New Roman" w:cs="Times New Roman"/>
          <w:color w:val="373A3C"/>
          <w:sz w:val="24"/>
          <w:szCs w:val="24"/>
        </w:rPr>
        <w:t xml:space="preserve"> </w:t>
      </w:r>
      <w:r w:rsidRPr="00DA1AD0">
        <w:rPr>
          <w:rFonts w:ascii="Times New Roman" w:hAnsi="Times New Roman" w:cs="Times New Roman"/>
          <w:color w:val="373A3C"/>
          <w:sz w:val="24"/>
          <w:szCs w:val="24"/>
        </w:rPr>
        <w:t>The Classical Association of the Middle West and South, Inc.</w:t>
      </w:r>
      <w:r>
        <w:rPr>
          <w:rFonts w:ascii="Times New Roman" w:hAnsi="Times New Roman" w:cs="Times New Roman"/>
          <w:color w:val="373A3C"/>
          <w:sz w:val="24"/>
          <w:szCs w:val="24"/>
        </w:rPr>
        <w:t xml:space="preserve"> </w:t>
      </w:r>
    </w:p>
    <w:sectPr w:rsidR="00EC674F" w:rsidRPr="00A10C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4074" w:rsidRDefault="008C4074" w:rsidP="0035170F">
      <w:pPr>
        <w:spacing w:after="0" w:line="240" w:lineRule="auto"/>
      </w:pPr>
      <w:r>
        <w:separator/>
      </w:r>
    </w:p>
  </w:endnote>
  <w:endnote w:type="continuationSeparator" w:id="0">
    <w:p w:rsidR="008C4074" w:rsidRDefault="008C4074" w:rsidP="00351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4074" w:rsidRDefault="008C4074" w:rsidP="0035170F">
      <w:pPr>
        <w:spacing w:after="0" w:line="240" w:lineRule="auto"/>
      </w:pPr>
      <w:r>
        <w:separator/>
      </w:r>
    </w:p>
  </w:footnote>
  <w:footnote w:type="continuationSeparator" w:id="0">
    <w:p w:rsidR="008C4074" w:rsidRDefault="008C4074" w:rsidP="0035170F">
      <w:pPr>
        <w:spacing w:after="0" w:line="240" w:lineRule="auto"/>
      </w:pPr>
      <w:r>
        <w:continuationSeparator/>
      </w:r>
    </w:p>
  </w:footnote>
  <w:footnote w:id="1">
    <w:p w:rsidR="00412BDD" w:rsidRDefault="00412BDD">
      <w:pPr>
        <w:pStyle w:val="FootnoteText"/>
      </w:pPr>
      <w:r>
        <w:rPr>
          <w:rStyle w:val="FootnoteReference"/>
        </w:rPr>
        <w:footnoteRef/>
      </w:r>
      <w:r>
        <w:t xml:space="preserve"> Cooley, A.</w:t>
      </w:r>
      <w:r w:rsidR="005C24CC">
        <w:t xml:space="preserve"> 2011. 2.</w:t>
      </w:r>
    </w:p>
  </w:footnote>
  <w:footnote w:id="2">
    <w:p w:rsidR="005137FF" w:rsidRDefault="005137FF">
      <w:pPr>
        <w:pStyle w:val="FootnoteText"/>
      </w:pPr>
      <w:r>
        <w:rPr>
          <w:rStyle w:val="FootnoteReference"/>
        </w:rPr>
        <w:footnoteRef/>
      </w:r>
      <w:r>
        <w:t xml:space="preserve"> </w:t>
      </w:r>
      <w:proofErr w:type="spellStart"/>
      <w:r w:rsidR="00FB4598" w:rsidRPr="0035170F">
        <w:t>Güven</w:t>
      </w:r>
      <w:proofErr w:type="spellEnd"/>
      <w:r w:rsidR="00FB4598">
        <w:t xml:space="preserve">, S. 1998. 31; </w:t>
      </w:r>
      <w:r>
        <w:t>Gordon, A. 1968. 135.</w:t>
      </w:r>
    </w:p>
  </w:footnote>
  <w:footnote w:id="3">
    <w:p w:rsidR="00CE5C9B" w:rsidRDefault="00CE5C9B" w:rsidP="00CE5C9B">
      <w:pPr>
        <w:pStyle w:val="FootnoteText"/>
      </w:pPr>
      <w:r>
        <w:rPr>
          <w:rStyle w:val="FootnoteReference"/>
        </w:rPr>
        <w:footnoteRef/>
      </w:r>
      <w:r>
        <w:t xml:space="preserve"> </w:t>
      </w:r>
      <w:proofErr w:type="spellStart"/>
      <w:r w:rsidRPr="0035170F">
        <w:t>Güven</w:t>
      </w:r>
      <w:proofErr w:type="spellEnd"/>
      <w:r>
        <w:t>, S. 1998. 30-31.</w:t>
      </w:r>
    </w:p>
  </w:footnote>
  <w:footnote w:id="4">
    <w:p w:rsidR="00F10F0B" w:rsidRDefault="00F10F0B">
      <w:pPr>
        <w:pStyle w:val="FootnoteText"/>
      </w:pPr>
      <w:r>
        <w:rPr>
          <w:rStyle w:val="FootnoteReference"/>
        </w:rPr>
        <w:footnoteRef/>
      </w:r>
      <w:r>
        <w:t xml:space="preserve"> Cooley, A. 2011. 3.</w:t>
      </w:r>
    </w:p>
  </w:footnote>
  <w:footnote w:id="5">
    <w:p w:rsidR="00942980" w:rsidRDefault="00942980">
      <w:pPr>
        <w:pStyle w:val="FootnoteText"/>
      </w:pPr>
      <w:r>
        <w:rPr>
          <w:rStyle w:val="FootnoteReference"/>
        </w:rPr>
        <w:footnoteRef/>
      </w:r>
      <w:r>
        <w:t xml:space="preserve"> Gordon, A. 1968. 129-131.</w:t>
      </w:r>
    </w:p>
  </w:footnote>
  <w:footnote w:id="6">
    <w:p w:rsidR="003311B3" w:rsidRDefault="003311B3">
      <w:pPr>
        <w:pStyle w:val="FootnoteText"/>
      </w:pPr>
      <w:r>
        <w:rPr>
          <w:rStyle w:val="FootnoteReference"/>
        </w:rPr>
        <w:footnoteRef/>
      </w:r>
      <w:r>
        <w:t xml:space="preserve"> Cooley, A. 2012. </w:t>
      </w:r>
      <w:r w:rsidR="00E40E99">
        <w:t>303-304.</w:t>
      </w:r>
    </w:p>
  </w:footnote>
  <w:footnote w:id="7">
    <w:p w:rsidR="008E10BE" w:rsidRDefault="008E10BE">
      <w:pPr>
        <w:pStyle w:val="FootnoteText"/>
      </w:pPr>
      <w:r>
        <w:rPr>
          <w:rStyle w:val="FootnoteReference"/>
        </w:rPr>
        <w:footnoteRef/>
      </w:r>
      <w:r>
        <w:t xml:space="preserve"> Cooley, A. 2012. </w:t>
      </w:r>
      <w:r w:rsidR="008559DB">
        <w:t>258-259.</w:t>
      </w:r>
    </w:p>
  </w:footnote>
  <w:footnote w:id="8">
    <w:p w:rsidR="00DB1D7A" w:rsidRDefault="00DB1D7A">
      <w:pPr>
        <w:pStyle w:val="FootnoteText"/>
      </w:pPr>
      <w:r>
        <w:rPr>
          <w:rStyle w:val="FootnoteReference"/>
        </w:rPr>
        <w:footnoteRef/>
      </w:r>
      <w:r>
        <w:t xml:space="preserve"> Cooley A. 2012. 254</w:t>
      </w:r>
    </w:p>
  </w:footnote>
  <w:footnote w:id="9">
    <w:p w:rsidR="006425FD" w:rsidRDefault="006425FD">
      <w:pPr>
        <w:pStyle w:val="FootnoteText"/>
      </w:pPr>
      <w:r>
        <w:rPr>
          <w:rStyle w:val="FootnoteReference"/>
        </w:rPr>
        <w:footnoteRef/>
      </w:r>
      <w:r>
        <w:t xml:space="preserve"> Cooley, A. 2012. 125-126.</w:t>
      </w:r>
    </w:p>
  </w:footnote>
  <w:footnote w:id="10">
    <w:p w:rsidR="007F2B6B" w:rsidRDefault="007F2B6B">
      <w:pPr>
        <w:pStyle w:val="FootnoteText"/>
      </w:pPr>
      <w:r>
        <w:rPr>
          <w:rStyle w:val="FootnoteReference"/>
        </w:rPr>
        <w:footnoteRef/>
      </w:r>
      <w:r>
        <w:t xml:space="preserve"> West, L. 1949. 19.</w:t>
      </w:r>
    </w:p>
  </w:footnote>
  <w:footnote w:id="11">
    <w:p w:rsidR="00714244" w:rsidRDefault="00714244">
      <w:pPr>
        <w:pStyle w:val="FootnoteText"/>
      </w:pPr>
      <w:r>
        <w:rPr>
          <w:rStyle w:val="FootnoteReference"/>
        </w:rPr>
        <w:footnoteRef/>
      </w:r>
      <w:r>
        <w:t xml:space="preserve"> West, L. 1949. 20.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608"/>
    <w:rsid w:val="00016175"/>
    <w:rsid w:val="00030330"/>
    <w:rsid w:val="00045988"/>
    <w:rsid w:val="0005601B"/>
    <w:rsid w:val="00056024"/>
    <w:rsid w:val="00062E1E"/>
    <w:rsid w:val="0008201E"/>
    <w:rsid w:val="000840DB"/>
    <w:rsid w:val="000944F7"/>
    <w:rsid w:val="00094528"/>
    <w:rsid w:val="00094C31"/>
    <w:rsid w:val="000A46F9"/>
    <w:rsid w:val="000B03E9"/>
    <w:rsid w:val="000B313B"/>
    <w:rsid w:val="000B6064"/>
    <w:rsid w:val="000C4316"/>
    <w:rsid w:val="000C5918"/>
    <w:rsid w:val="000D1427"/>
    <w:rsid w:val="000E0370"/>
    <w:rsid w:val="000E164F"/>
    <w:rsid w:val="000E6DB2"/>
    <w:rsid w:val="00102A46"/>
    <w:rsid w:val="001051DE"/>
    <w:rsid w:val="001076CB"/>
    <w:rsid w:val="00112324"/>
    <w:rsid w:val="00127103"/>
    <w:rsid w:val="001323D5"/>
    <w:rsid w:val="00134AE1"/>
    <w:rsid w:val="0015643A"/>
    <w:rsid w:val="00163B37"/>
    <w:rsid w:val="00182EE2"/>
    <w:rsid w:val="001A143F"/>
    <w:rsid w:val="001A21D2"/>
    <w:rsid w:val="001A37C9"/>
    <w:rsid w:val="001A6F92"/>
    <w:rsid w:val="001B4235"/>
    <w:rsid w:val="001D4298"/>
    <w:rsid w:val="001D4BAD"/>
    <w:rsid w:val="001E00C2"/>
    <w:rsid w:val="001F2D23"/>
    <w:rsid w:val="001F383B"/>
    <w:rsid w:val="001F3CB2"/>
    <w:rsid w:val="00205302"/>
    <w:rsid w:val="00221091"/>
    <w:rsid w:val="002274B3"/>
    <w:rsid w:val="00231782"/>
    <w:rsid w:val="00236334"/>
    <w:rsid w:val="00252A56"/>
    <w:rsid w:val="0026275D"/>
    <w:rsid w:val="00270E41"/>
    <w:rsid w:val="00281636"/>
    <w:rsid w:val="002826AE"/>
    <w:rsid w:val="00283E4D"/>
    <w:rsid w:val="00293766"/>
    <w:rsid w:val="002948C2"/>
    <w:rsid w:val="002A0475"/>
    <w:rsid w:val="002A0BC4"/>
    <w:rsid w:val="002A6628"/>
    <w:rsid w:val="002A7179"/>
    <w:rsid w:val="002B6D65"/>
    <w:rsid w:val="002C1AE0"/>
    <w:rsid w:val="002C2C12"/>
    <w:rsid w:val="002D0FB6"/>
    <w:rsid w:val="002D2ECD"/>
    <w:rsid w:val="002D304D"/>
    <w:rsid w:val="002E1574"/>
    <w:rsid w:val="002E7439"/>
    <w:rsid w:val="00303ADF"/>
    <w:rsid w:val="00310013"/>
    <w:rsid w:val="00313CEC"/>
    <w:rsid w:val="003144A8"/>
    <w:rsid w:val="0032059F"/>
    <w:rsid w:val="00322804"/>
    <w:rsid w:val="003311B3"/>
    <w:rsid w:val="00336112"/>
    <w:rsid w:val="003506E3"/>
    <w:rsid w:val="0035170F"/>
    <w:rsid w:val="0035682A"/>
    <w:rsid w:val="00360B2B"/>
    <w:rsid w:val="003700B1"/>
    <w:rsid w:val="00391CDC"/>
    <w:rsid w:val="003951A3"/>
    <w:rsid w:val="003962EE"/>
    <w:rsid w:val="003A0151"/>
    <w:rsid w:val="003A5E20"/>
    <w:rsid w:val="003A7D1D"/>
    <w:rsid w:val="003B4FF3"/>
    <w:rsid w:val="003D12E3"/>
    <w:rsid w:val="003D3E04"/>
    <w:rsid w:val="003D7064"/>
    <w:rsid w:val="003E1B18"/>
    <w:rsid w:val="003E2222"/>
    <w:rsid w:val="003E425C"/>
    <w:rsid w:val="003E70DB"/>
    <w:rsid w:val="003F381F"/>
    <w:rsid w:val="004070CB"/>
    <w:rsid w:val="00412BDD"/>
    <w:rsid w:val="004171E9"/>
    <w:rsid w:val="00417785"/>
    <w:rsid w:val="00467A1B"/>
    <w:rsid w:val="00471088"/>
    <w:rsid w:val="00475CE0"/>
    <w:rsid w:val="00485544"/>
    <w:rsid w:val="004936C4"/>
    <w:rsid w:val="0049537B"/>
    <w:rsid w:val="004B30DF"/>
    <w:rsid w:val="004C23C9"/>
    <w:rsid w:val="004D2FA4"/>
    <w:rsid w:val="004D486E"/>
    <w:rsid w:val="004D4952"/>
    <w:rsid w:val="004D74D1"/>
    <w:rsid w:val="004F50CA"/>
    <w:rsid w:val="005012A1"/>
    <w:rsid w:val="00503ABA"/>
    <w:rsid w:val="005137FF"/>
    <w:rsid w:val="0051390C"/>
    <w:rsid w:val="00527E38"/>
    <w:rsid w:val="00533636"/>
    <w:rsid w:val="00542DC5"/>
    <w:rsid w:val="0054579F"/>
    <w:rsid w:val="00550148"/>
    <w:rsid w:val="00553772"/>
    <w:rsid w:val="00553DF1"/>
    <w:rsid w:val="00576FB9"/>
    <w:rsid w:val="00581589"/>
    <w:rsid w:val="00590A4A"/>
    <w:rsid w:val="0059260C"/>
    <w:rsid w:val="005942CF"/>
    <w:rsid w:val="0059563F"/>
    <w:rsid w:val="005B1FE0"/>
    <w:rsid w:val="005B52C9"/>
    <w:rsid w:val="005B56A5"/>
    <w:rsid w:val="005B694D"/>
    <w:rsid w:val="005B7FDA"/>
    <w:rsid w:val="005C24CC"/>
    <w:rsid w:val="005C544D"/>
    <w:rsid w:val="005C6A5A"/>
    <w:rsid w:val="005C6FE1"/>
    <w:rsid w:val="005D0357"/>
    <w:rsid w:val="005D1219"/>
    <w:rsid w:val="005D6222"/>
    <w:rsid w:val="005E7C39"/>
    <w:rsid w:val="005F7A10"/>
    <w:rsid w:val="00600380"/>
    <w:rsid w:val="00603C5E"/>
    <w:rsid w:val="00604500"/>
    <w:rsid w:val="00605ACA"/>
    <w:rsid w:val="0061141B"/>
    <w:rsid w:val="00622C15"/>
    <w:rsid w:val="006266C9"/>
    <w:rsid w:val="0063194B"/>
    <w:rsid w:val="00635906"/>
    <w:rsid w:val="006425FD"/>
    <w:rsid w:val="006457FC"/>
    <w:rsid w:val="00645E1A"/>
    <w:rsid w:val="006723C3"/>
    <w:rsid w:val="006725A2"/>
    <w:rsid w:val="00673EFC"/>
    <w:rsid w:val="00682140"/>
    <w:rsid w:val="00683E2C"/>
    <w:rsid w:val="00687BB8"/>
    <w:rsid w:val="006A4BF5"/>
    <w:rsid w:val="006A58F4"/>
    <w:rsid w:val="006B303D"/>
    <w:rsid w:val="006B6F14"/>
    <w:rsid w:val="006C3841"/>
    <w:rsid w:val="006D4FC9"/>
    <w:rsid w:val="006E2042"/>
    <w:rsid w:val="0070268C"/>
    <w:rsid w:val="007104B3"/>
    <w:rsid w:val="00714244"/>
    <w:rsid w:val="00737D6E"/>
    <w:rsid w:val="00741E62"/>
    <w:rsid w:val="00743752"/>
    <w:rsid w:val="00753705"/>
    <w:rsid w:val="0075587D"/>
    <w:rsid w:val="00757CBF"/>
    <w:rsid w:val="00760137"/>
    <w:rsid w:val="00773333"/>
    <w:rsid w:val="00775C5B"/>
    <w:rsid w:val="00790324"/>
    <w:rsid w:val="00791D1C"/>
    <w:rsid w:val="007930DF"/>
    <w:rsid w:val="0079458D"/>
    <w:rsid w:val="007B6DED"/>
    <w:rsid w:val="007D19CA"/>
    <w:rsid w:val="007E44DD"/>
    <w:rsid w:val="007E5635"/>
    <w:rsid w:val="007F2B6B"/>
    <w:rsid w:val="007F4AB4"/>
    <w:rsid w:val="0081477B"/>
    <w:rsid w:val="00817FF9"/>
    <w:rsid w:val="0083095D"/>
    <w:rsid w:val="00836E09"/>
    <w:rsid w:val="008464EC"/>
    <w:rsid w:val="00847296"/>
    <w:rsid w:val="00847B55"/>
    <w:rsid w:val="008552F3"/>
    <w:rsid w:val="008559DB"/>
    <w:rsid w:val="008626FA"/>
    <w:rsid w:val="008634D9"/>
    <w:rsid w:val="00864263"/>
    <w:rsid w:val="0089702A"/>
    <w:rsid w:val="008A2D04"/>
    <w:rsid w:val="008C4074"/>
    <w:rsid w:val="008D1C21"/>
    <w:rsid w:val="008D38E5"/>
    <w:rsid w:val="008D5D68"/>
    <w:rsid w:val="008E0635"/>
    <w:rsid w:val="008E10BE"/>
    <w:rsid w:val="008E6873"/>
    <w:rsid w:val="008F60B1"/>
    <w:rsid w:val="00902424"/>
    <w:rsid w:val="0090268B"/>
    <w:rsid w:val="00913614"/>
    <w:rsid w:val="00920AD9"/>
    <w:rsid w:val="00930730"/>
    <w:rsid w:val="00935B13"/>
    <w:rsid w:val="00942980"/>
    <w:rsid w:val="00943621"/>
    <w:rsid w:val="00970238"/>
    <w:rsid w:val="00970E8A"/>
    <w:rsid w:val="00975A9D"/>
    <w:rsid w:val="009776DB"/>
    <w:rsid w:val="009819E0"/>
    <w:rsid w:val="00990702"/>
    <w:rsid w:val="009908F3"/>
    <w:rsid w:val="009A0E31"/>
    <w:rsid w:val="009B6BDB"/>
    <w:rsid w:val="009B6C3D"/>
    <w:rsid w:val="009C264C"/>
    <w:rsid w:val="009C29C7"/>
    <w:rsid w:val="009D06DE"/>
    <w:rsid w:val="009D2D95"/>
    <w:rsid w:val="009D43A8"/>
    <w:rsid w:val="009E1FF8"/>
    <w:rsid w:val="009F2300"/>
    <w:rsid w:val="00A008E9"/>
    <w:rsid w:val="00A069D5"/>
    <w:rsid w:val="00A06CA5"/>
    <w:rsid w:val="00A10C23"/>
    <w:rsid w:val="00A14031"/>
    <w:rsid w:val="00A24C89"/>
    <w:rsid w:val="00A31F44"/>
    <w:rsid w:val="00A329DA"/>
    <w:rsid w:val="00A331C9"/>
    <w:rsid w:val="00A40C53"/>
    <w:rsid w:val="00A5589F"/>
    <w:rsid w:val="00A560DE"/>
    <w:rsid w:val="00A57B08"/>
    <w:rsid w:val="00A60740"/>
    <w:rsid w:val="00A61182"/>
    <w:rsid w:val="00A704C3"/>
    <w:rsid w:val="00A83D7F"/>
    <w:rsid w:val="00A9349B"/>
    <w:rsid w:val="00A95ED3"/>
    <w:rsid w:val="00AA2697"/>
    <w:rsid w:val="00AA293D"/>
    <w:rsid w:val="00AA50F2"/>
    <w:rsid w:val="00AA69C9"/>
    <w:rsid w:val="00AD6F62"/>
    <w:rsid w:val="00B03F2B"/>
    <w:rsid w:val="00B04AE8"/>
    <w:rsid w:val="00B05E67"/>
    <w:rsid w:val="00B21C08"/>
    <w:rsid w:val="00B47C75"/>
    <w:rsid w:val="00B55BE0"/>
    <w:rsid w:val="00B563F7"/>
    <w:rsid w:val="00B60270"/>
    <w:rsid w:val="00B62E1D"/>
    <w:rsid w:val="00B6619F"/>
    <w:rsid w:val="00B8605B"/>
    <w:rsid w:val="00B91EDC"/>
    <w:rsid w:val="00B92A33"/>
    <w:rsid w:val="00BA11FA"/>
    <w:rsid w:val="00BA1AA0"/>
    <w:rsid w:val="00BA1AC0"/>
    <w:rsid w:val="00BA3D7F"/>
    <w:rsid w:val="00BA760B"/>
    <w:rsid w:val="00BB1535"/>
    <w:rsid w:val="00BC420C"/>
    <w:rsid w:val="00BE45E5"/>
    <w:rsid w:val="00BE47D7"/>
    <w:rsid w:val="00BF4BF7"/>
    <w:rsid w:val="00C05166"/>
    <w:rsid w:val="00C12476"/>
    <w:rsid w:val="00C3236A"/>
    <w:rsid w:val="00C40932"/>
    <w:rsid w:val="00C46259"/>
    <w:rsid w:val="00C52147"/>
    <w:rsid w:val="00C54817"/>
    <w:rsid w:val="00C7637A"/>
    <w:rsid w:val="00C7783A"/>
    <w:rsid w:val="00C91B48"/>
    <w:rsid w:val="00CB31E3"/>
    <w:rsid w:val="00CB6640"/>
    <w:rsid w:val="00CB6FFB"/>
    <w:rsid w:val="00CC54EA"/>
    <w:rsid w:val="00CD5011"/>
    <w:rsid w:val="00CE5C9B"/>
    <w:rsid w:val="00D01608"/>
    <w:rsid w:val="00D11EDC"/>
    <w:rsid w:val="00D26254"/>
    <w:rsid w:val="00D426D7"/>
    <w:rsid w:val="00D50042"/>
    <w:rsid w:val="00D51574"/>
    <w:rsid w:val="00D60219"/>
    <w:rsid w:val="00D61CE4"/>
    <w:rsid w:val="00D627EA"/>
    <w:rsid w:val="00D74FBB"/>
    <w:rsid w:val="00D752D4"/>
    <w:rsid w:val="00D82FE4"/>
    <w:rsid w:val="00D834C8"/>
    <w:rsid w:val="00D8687E"/>
    <w:rsid w:val="00DA1AD0"/>
    <w:rsid w:val="00DA2CE3"/>
    <w:rsid w:val="00DA3557"/>
    <w:rsid w:val="00DB1D7A"/>
    <w:rsid w:val="00DB4B88"/>
    <w:rsid w:val="00DD12F8"/>
    <w:rsid w:val="00DD2D7B"/>
    <w:rsid w:val="00DD5F43"/>
    <w:rsid w:val="00DF5D32"/>
    <w:rsid w:val="00E00CA5"/>
    <w:rsid w:val="00E151E0"/>
    <w:rsid w:val="00E16476"/>
    <w:rsid w:val="00E23B41"/>
    <w:rsid w:val="00E35201"/>
    <w:rsid w:val="00E40127"/>
    <w:rsid w:val="00E408F8"/>
    <w:rsid w:val="00E40E99"/>
    <w:rsid w:val="00E514DC"/>
    <w:rsid w:val="00E54A5F"/>
    <w:rsid w:val="00E55ADA"/>
    <w:rsid w:val="00E6476C"/>
    <w:rsid w:val="00E71E80"/>
    <w:rsid w:val="00E740E0"/>
    <w:rsid w:val="00E80B8E"/>
    <w:rsid w:val="00E944BB"/>
    <w:rsid w:val="00EA2CC1"/>
    <w:rsid w:val="00EB4D85"/>
    <w:rsid w:val="00EC674F"/>
    <w:rsid w:val="00EC7E28"/>
    <w:rsid w:val="00EE1F83"/>
    <w:rsid w:val="00EE2D38"/>
    <w:rsid w:val="00EE7634"/>
    <w:rsid w:val="00EF6B09"/>
    <w:rsid w:val="00F10F0B"/>
    <w:rsid w:val="00F10FD7"/>
    <w:rsid w:val="00F20226"/>
    <w:rsid w:val="00F20746"/>
    <w:rsid w:val="00F21B22"/>
    <w:rsid w:val="00F34300"/>
    <w:rsid w:val="00F431E4"/>
    <w:rsid w:val="00F635D6"/>
    <w:rsid w:val="00F65E2E"/>
    <w:rsid w:val="00F80787"/>
    <w:rsid w:val="00F808B2"/>
    <w:rsid w:val="00F825C2"/>
    <w:rsid w:val="00F900C1"/>
    <w:rsid w:val="00F90199"/>
    <w:rsid w:val="00F901B4"/>
    <w:rsid w:val="00F91B59"/>
    <w:rsid w:val="00F97F14"/>
    <w:rsid w:val="00FA0266"/>
    <w:rsid w:val="00FA7D71"/>
    <w:rsid w:val="00FB3930"/>
    <w:rsid w:val="00FB4598"/>
    <w:rsid w:val="00FC19F3"/>
    <w:rsid w:val="00FD0BBE"/>
    <w:rsid w:val="00FD2D86"/>
    <w:rsid w:val="00FE0BD4"/>
    <w:rsid w:val="00FE6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4DE58"/>
  <w15:chartTrackingRefBased/>
  <w15:docId w15:val="{18B3977B-B82E-45C4-836A-0B05C062D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5170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170F"/>
    <w:rPr>
      <w:sz w:val="20"/>
      <w:szCs w:val="20"/>
    </w:rPr>
  </w:style>
  <w:style w:type="character" w:styleId="FootnoteReference">
    <w:name w:val="footnote reference"/>
    <w:basedOn w:val="DefaultParagraphFont"/>
    <w:uiPriority w:val="99"/>
    <w:semiHidden/>
    <w:unhideWhenUsed/>
    <w:rsid w:val="0035170F"/>
    <w:rPr>
      <w:vertAlign w:val="superscript"/>
    </w:rPr>
  </w:style>
  <w:style w:type="paragraph" w:styleId="Caption">
    <w:name w:val="caption"/>
    <w:basedOn w:val="Normal"/>
    <w:next w:val="Normal"/>
    <w:uiPriority w:val="35"/>
    <w:unhideWhenUsed/>
    <w:qFormat/>
    <w:rsid w:val="00B62E1D"/>
    <w:pPr>
      <w:spacing w:after="200" w:line="240" w:lineRule="auto"/>
    </w:pPr>
    <w:rPr>
      <w:i/>
      <w:iCs/>
      <w:color w:val="44546A" w:themeColor="text2"/>
      <w:sz w:val="18"/>
      <w:szCs w:val="18"/>
    </w:rPr>
  </w:style>
  <w:style w:type="character" w:styleId="Hyperlink">
    <w:name w:val="Hyperlink"/>
    <w:basedOn w:val="DefaultParagraphFont"/>
    <w:uiPriority w:val="99"/>
    <w:unhideWhenUsed/>
    <w:rsid w:val="00F431E4"/>
    <w:rPr>
      <w:color w:val="0563C1" w:themeColor="hyperlink"/>
      <w:u w:val="single"/>
    </w:rPr>
  </w:style>
  <w:style w:type="character" w:styleId="UnresolvedMention">
    <w:name w:val="Unresolved Mention"/>
    <w:basedOn w:val="DefaultParagraphFont"/>
    <w:uiPriority w:val="99"/>
    <w:semiHidden/>
    <w:unhideWhenUsed/>
    <w:rsid w:val="00F431E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inslib.kcl.ac.uk/irt200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45FFCB-1297-439A-82D9-43EB52839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8787</TotalTime>
  <Pages>8</Pages>
  <Words>1571</Words>
  <Characters>8347</Characters>
  <Application>Microsoft Office Word</Application>
  <DocSecurity>0</DocSecurity>
  <Lines>149</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Ogden</dc:creator>
  <cp:keywords/>
  <dc:description/>
  <cp:lastModifiedBy>Joe Ogden</cp:lastModifiedBy>
  <cp:revision>598</cp:revision>
  <dcterms:created xsi:type="dcterms:W3CDTF">2018-04-27T15:07:00Z</dcterms:created>
  <dcterms:modified xsi:type="dcterms:W3CDTF">2018-05-04T16:18:00Z</dcterms:modified>
</cp:coreProperties>
</file>