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166A0" w:rsidP="001166A0" w:rsidRDefault="001166A0" w14:paraId="2C5FBF69" w14:textId="77777777">
      <w:pPr>
        <w:spacing w:line="240" w:lineRule="auto"/>
        <w:jc w:val="center"/>
      </w:pPr>
      <w:r>
        <w:rPr>
          <w:b/>
          <w:color w:val="000000"/>
          <w:sz w:val="28"/>
        </w:rPr>
        <w:t>UNIVERSITY OF WALES TRINITY SAINT DAVID</w:t>
      </w:r>
    </w:p>
    <w:p w:rsidR="001166A0" w:rsidP="66D87884" w:rsidRDefault="001166A0" w14:paraId="3933809E" w14:textId="4090D43F">
      <w:pPr>
        <w:spacing w:after="360" w:line="240" w:lineRule="auto"/>
        <w:jc w:val="center"/>
      </w:pPr>
      <w:r w:rsidRPr="66D87884" w:rsidR="1F58F4EE">
        <w:rPr>
          <w:color w:val="000000" w:themeColor="text1" w:themeTint="FF" w:themeShade="FF"/>
        </w:rPr>
        <w:t xml:space="preserve">Birmingham </w:t>
      </w:r>
      <w:r w:rsidRPr="66D87884" w:rsidR="001166A0">
        <w:rPr>
          <w:color w:val="000000" w:themeColor="text1" w:themeTint="FF" w:themeShade="FF"/>
        </w:rPr>
        <w:t>Campus</w:t>
      </w:r>
    </w:p>
    <w:p w:rsidR="66D87884" w:rsidP="66D87884" w:rsidRDefault="66D87884" w14:paraId="33CE77C2" w14:textId="37EF9BB7">
      <w:pPr>
        <w:spacing w:after="360" w:line="240" w:lineRule="auto"/>
        <w:jc w:val="center"/>
        <w:rPr>
          <w:color w:val="000000" w:themeColor="text1" w:themeTint="FF" w:themeShade="FF"/>
        </w:rPr>
      </w:pPr>
    </w:p>
    <w:p w:rsidR="001166A0" w:rsidP="001166A0" w:rsidRDefault="001166A0" w14:paraId="07DA0B23" w14:textId="77777777">
      <w:pPr>
        <w:spacing w:after="0" w:line="240" w:lineRule="auto"/>
      </w:pPr>
    </w:p>
    <w:p w:rsidR="001166A0" w:rsidP="66D87884" w:rsidRDefault="001166A0" w14:paraId="752CC714" w14:textId="7220EB89">
      <w:pPr>
        <w:pStyle w:val="Normal"/>
        <w:spacing w:after="0" w:line="240" w:lineRule="auto"/>
      </w:pPr>
      <w:r w:rsidRPr="66D87884" w:rsidR="6D693817">
        <w:rPr>
          <w:b w:val="1"/>
          <w:bCs w:val="1"/>
          <w:color w:val="000000" w:themeColor="text1" w:themeTint="FF" w:themeShade="FF"/>
        </w:rPr>
        <w:t xml:space="preserve">                                                   </w:t>
      </w:r>
      <w:r w:rsidRPr="66D87884" w:rsidR="001166A0">
        <w:rPr>
          <w:b w:val="1"/>
          <w:bCs w:val="1"/>
          <w:color w:val="000000" w:themeColor="text1" w:themeTint="FF" w:themeShade="FF"/>
        </w:rPr>
        <w:t>Module Code: LCMB7034</w:t>
      </w:r>
    </w:p>
    <w:p w:rsidR="001166A0" w:rsidP="001166A0" w:rsidRDefault="001166A0" w14:paraId="51DE5256" w14:textId="77777777">
      <w:pPr>
        <w:spacing w:after="560" w:line="240" w:lineRule="auto"/>
        <w:jc w:val="center"/>
      </w:pPr>
      <w:r>
        <w:rPr>
          <w:b/>
          <w:color w:val="000000"/>
        </w:rPr>
        <w:t>Module Title: International Business Concepts</w:t>
      </w:r>
    </w:p>
    <w:p w:rsidR="001166A0" w:rsidP="001166A0" w:rsidRDefault="001166A0" w14:paraId="590981AF" w14:textId="77777777">
      <w:pPr>
        <w:spacing w:after="0" w:line="240" w:lineRule="auto"/>
      </w:pPr>
    </w:p>
    <w:p w:rsidR="001166A0" w:rsidP="001166A0" w:rsidRDefault="001166A0" w14:paraId="5CC10B9C" w14:textId="77777777">
      <w:pPr>
        <w:spacing w:after="320" w:line="240" w:lineRule="auto"/>
        <w:jc w:val="center"/>
      </w:pPr>
      <w:r>
        <w:rPr>
          <w:b/>
          <w:color w:val="000000"/>
          <w:sz w:val="32"/>
        </w:rPr>
        <w:t>ASSESSMENT REPORT</w:t>
      </w:r>
    </w:p>
    <w:p w:rsidR="001166A0" w:rsidP="001166A0" w:rsidRDefault="001166A0" w14:paraId="74E7553B" w14:textId="77777777">
      <w:pPr>
        <w:spacing w:line="240" w:lineRule="auto"/>
        <w:jc w:val="center"/>
      </w:pPr>
      <w:r>
        <w:rPr>
          <w:b/>
          <w:color w:val="000000"/>
          <w:sz w:val="28"/>
        </w:rPr>
        <w:t>Costco Wholesale Corporation:</w:t>
      </w:r>
      <w:r>
        <w:rPr>
          <w:b/>
          <w:color w:val="000000"/>
          <w:sz w:val="28"/>
        </w:rPr>
        <w:br/>
      </w:r>
      <w:r>
        <w:rPr>
          <w:b/>
          <w:color w:val="000000"/>
          <w:sz w:val="28"/>
        </w:rPr>
        <w:t>Strategic Analysis of Market Entry into India</w:t>
      </w:r>
    </w:p>
    <w:p w:rsidR="001166A0" w:rsidP="008A399E" w:rsidRDefault="001166A0" w14:paraId="69BDB869" w14:textId="77777777">
      <w:pPr>
        <w:jc w:val="center"/>
      </w:pPr>
      <w:r>
        <w:t>(Organisational Classification, Macro-Environmental Appraisal,</w:t>
      </w:r>
      <w:r>
        <w:br/>
      </w:r>
      <w:r>
        <w:t>Entry Mode Strategy and Reflective Account)</w:t>
      </w:r>
    </w:p>
    <w:p w:rsidR="001166A0" w:rsidP="001166A0" w:rsidRDefault="001166A0" w14:paraId="2E587747" w14:textId="77777777">
      <w:pPr>
        <w:spacing w:after="0" w:line="240" w:lineRule="auto"/>
      </w:pPr>
    </w:p>
    <w:p w:rsidR="001166A0" w:rsidP="001166A0" w:rsidRDefault="001166A0" w14:paraId="12E49E2F" w14:textId="77777777">
      <w:pPr>
        <w:spacing w:after="0" w:line="240" w:lineRule="auto"/>
      </w:pPr>
    </w:p>
    <w:p w:rsidR="001166A0" w:rsidP="001166A0" w:rsidRDefault="001166A0" w14:paraId="26B7F1C9" w14:textId="76B3AA3B">
      <w:pPr>
        <w:spacing w:line="240" w:lineRule="auto"/>
        <w:jc w:val="center"/>
      </w:pPr>
      <w:r w:rsidRPr="66D87884" w:rsidR="001166A0">
        <w:rPr>
          <w:color w:val="000000" w:themeColor="text1" w:themeTint="FF" w:themeShade="FF"/>
        </w:rPr>
        <w:t xml:space="preserve">Student Name: </w:t>
      </w:r>
      <w:r w:rsidRPr="66D87884" w:rsidR="72FCC12E">
        <w:rPr>
          <w:color w:val="000000" w:themeColor="text1" w:themeTint="FF" w:themeShade="FF"/>
        </w:rPr>
        <w:t>Prahar sunilbhai shah</w:t>
      </w:r>
      <w:r w:rsidRPr="66D87884" w:rsidR="45F32D41">
        <w:rPr>
          <w:color w:val="000000" w:themeColor="text1" w:themeTint="FF" w:themeShade="FF"/>
        </w:rPr>
        <w:t xml:space="preserve"> </w:t>
      </w:r>
    </w:p>
    <w:p w:rsidR="001166A0" w:rsidP="66D87884" w:rsidRDefault="001166A0" w14:paraId="637F1AAA" w14:textId="7FC682F7">
      <w:pPr>
        <w:spacing w:line="240" w:lineRule="auto"/>
        <w:jc w:val="center"/>
        <w:rPr>
          <w:color w:val="000000" w:themeColor="text1" w:themeTint="FF" w:themeShade="FF"/>
        </w:rPr>
      </w:pPr>
      <w:r w:rsidRPr="66D87884" w:rsidR="001166A0">
        <w:rPr>
          <w:color w:val="000000" w:themeColor="text1" w:themeTint="FF" w:themeShade="FF"/>
        </w:rPr>
        <w:t xml:space="preserve">Student ID: </w:t>
      </w:r>
      <w:r w:rsidRPr="66D87884" w:rsidR="167D69DC">
        <w:rPr>
          <w:color w:val="000000" w:themeColor="text1" w:themeTint="FF" w:themeShade="FF"/>
        </w:rPr>
        <w:t>2528026</w:t>
      </w:r>
    </w:p>
    <w:p w:rsidR="001166A0" w:rsidP="001166A0" w:rsidRDefault="001166A0" w14:paraId="4155FCDC" w14:textId="0E8D942F">
      <w:pPr>
        <w:spacing w:after="560" w:line="240" w:lineRule="auto"/>
        <w:jc w:val="center"/>
      </w:pPr>
      <w:r w:rsidRPr="66D87884" w:rsidR="001166A0">
        <w:rPr>
          <w:color w:val="000000" w:themeColor="text1" w:themeTint="FF" w:themeShade="FF"/>
        </w:rPr>
        <w:t xml:space="preserve">Programme: </w:t>
      </w:r>
      <w:r w:rsidRPr="66D87884" w:rsidR="50199488">
        <w:rPr>
          <w:color w:val="000000" w:themeColor="text1" w:themeTint="FF" w:themeShade="FF"/>
        </w:rPr>
        <w:t>Master of Business Ad</w:t>
      </w:r>
      <w:r w:rsidRPr="66D87884" w:rsidR="546B60D7">
        <w:rPr>
          <w:color w:val="000000" w:themeColor="text1" w:themeTint="FF" w:themeShade="FF"/>
        </w:rPr>
        <w:t>ministration</w:t>
      </w:r>
    </w:p>
    <w:p w:rsidR="001166A0" w:rsidP="001166A0" w:rsidRDefault="001166A0" w14:paraId="04CF3FB4" w14:textId="7E534E6C">
      <w:pPr>
        <w:spacing w:after="560" w:line="240" w:lineRule="auto"/>
        <w:jc w:val="center"/>
      </w:pPr>
      <w:r w:rsidRPr="66D87884" w:rsidR="001166A0">
        <w:rPr>
          <w:color w:val="000000" w:themeColor="text1" w:themeTint="FF" w:themeShade="FF"/>
        </w:rPr>
        <w:t xml:space="preserve">Module Tutor: </w:t>
      </w:r>
      <w:r w:rsidRPr="66D87884" w:rsidR="6B59FDD5">
        <w:rPr>
          <w:color w:val="000000" w:themeColor="text1" w:themeTint="FF" w:themeShade="FF"/>
        </w:rPr>
        <w:t>Mansoob Murshed</w:t>
      </w:r>
    </w:p>
    <w:p w:rsidR="001166A0" w:rsidP="001166A0" w:rsidRDefault="001166A0" w14:paraId="60A03AE9" w14:textId="77777777">
      <w:pPr>
        <w:jc w:val="center"/>
        <w:rPr>
          <w:sz w:val="22"/>
        </w:rPr>
      </w:pPr>
      <w:r>
        <w:rPr>
          <w:sz w:val="22"/>
        </w:rPr>
        <w:t>Word Count: 5,000 words</w:t>
      </w:r>
    </w:p>
    <w:p w:rsidR="001166A0" w:rsidP="001166A0" w:rsidRDefault="001166A0" w14:paraId="26B9B98B" w14:textId="3BFFA27D">
      <w:pPr>
        <w:jc w:val="center"/>
      </w:pPr>
      <w:r w:rsidR="001166A0">
        <w:rPr/>
        <w:t xml:space="preserve">Date of Submission: </w:t>
      </w:r>
      <w:r w:rsidR="44503AFD">
        <w:rPr/>
        <w:t xml:space="preserve">31 </w:t>
      </w:r>
      <w:r w:rsidR="001166A0">
        <w:rPr/>
        <w:t>July 2026</w:t>
      </w:r>
    </w:p>
    <w:p w:rsidR="001166A0" w:rsidP="008A399E" w:rsidRDefault="001166A0" w14:paraId="3E0FDED7" w14:textId="77777777">
      <w:pPr>
        <w:jc w:val="center"/>
      </w:pPr>
      <w:r>
        <w:t>This assessment is submitted in partial fulfilment of the requirements</w:t>
      </w:r>
      <w:r>
        <w:br/>
      </w:r>
      <w:r>
        <w:t>for the module LCMB7034 – International Business Concepts</w:t>
      </w:r>
    </w:p>
    <w:p w:rsidR="001166A0" w:rsidP="001166A0" w:rsidRDefault="001166A0" w14:paraId="5724B6E5" w14:textId="77777777"/>
    <w:p w:rsidR="00A83764" w:rsidP="001166A0" w:rsidRDefault="00A83764" w14:paraId="34A22428" w14:textId="77777777"/>
    <w:p w:rsidR="00A83764" w:rsidP="001166A0" w:rsidRDefault="00A83764" w14:paraId="1E1A0A63" w14:textId="77777777"/>
    <w:sdt>
      <w:sdtPr>
        <w:rPr>
          <w:rFonts w:ascii="Times New Roman" w:hAnsi="Times New Roman" w:eastAsia="Times New Roman" w:cs="Times New Roman"/>
          <w:b/>
          <w:bCs/>
          <w:color w:val="auto"/>
          <w:sz w:val="24"/>
          <w:szCs w:val="24"/>
          <w:lang w:val="en-IN" w:eastAsia="en-IN" w:bidi="bn-IN"/>
        </w:rPr>
        <w:id w:val="1655873125"/>
        <w:docPartObj>
          <w:docPartGallery w:val="Table of Contents"/>
          <w:docPartUnique/>
        </w:docPartObj>
      </w:sdtPr>
      <w:sdtEndPr>
        <w:rPr>
          <w:rFonts w:ascii="Times New Roman" w:hAnsi="Times New Roman" w:eastAsia="Times New Roman" w:cs="Times New Roman"/>
          <w:b w:val="0"/>
          <w:bCs w:val="0"/>
          <w:noProof/>
          <w:color w:val="auto"/>
          <w:sz w:val="24"/>
          <w:szCs w:val="24"/>
          <w:lang w:val="en-IN" w:eastAsia="en-IN" w:bidi="bn-IN"/>
        </w:rPr>
      </w:sdtEndPr>
      <w:sdtContent>
        <w:p w:rsidRPr="00A83764" w:rsidR="00A83764" w:rsidP="00A83764" w:rsidRDefault="00A83764" w14:paraId="71FF24A6" w14:textId="4848D109">
          <w:pPr>
            <w:pStyle w:val="TOCHeading"/>
            <w:jc w:val="center"/>
            <w:rPr>
              <w:rFonts w:ascii="Times New Roman" w:hAnsi="Times New Roman" w:cs="Times New Roman"/>
              <w:b/>
              <w:bCs/>
              <w:color w:val="auto"/>
              <w:sz w:val="24"/>
              <w:szCs w:val="24"/>
            </w:rPr>
          </w:pPr>
          <w:r w:rsidRPr="00A83764">
            <w:rPr>
              <w:rFonts w:ascii="Times New Roman" w:hAnsi="Times New Roman" w:cs="Times New Roman"/>
              <w:b/>
              <w:bCs/>
              <w:color w:val="auto"/>
              <w:sz w:val="24"/>
              <w:szCs w:val="24"/>
            </w:rPr>
            <w:t>Table of Contents</w:t>
          </w:r>
        </w:p>
        <w:p w:rsidRPr="00A83764" w:rsidR="00A83764" w:rsidRDefault="00A83764" w14:paraId="2083F978" w14:textId="6EFFBD5D">
          <w:pPr>
            <w:pStyle w:val="TOC1"/>
            <w:tabs>
              <w:tab w:val="right" w:leader="dot" w:pos="9016"/>
            </w:tabs>
            <w:rPr>
              <w:rFonts w:asciiTheme="minorHAnsi" w:hAnsiTheme="minorHAnsi" w:eastAsiaTheme="minorEastAsia" w:cstheme="minorBidi"/>
              <w:noProof/>
              <w:kern w:val="2"/>
              <w14:ligatures w14:val="standardContextual"/>
            </w:rPr>
          </w:pPr>
          <w:r w:rsidRPr="00A83764">
            <w:fldChar w:fldCharType="begin"/>
          </w:r>
          <w:r w:rsidRPr="00A83764">
            <w:instrText xml:space="preserve"> TOC \o "1-3" \h \z \u </w:instrText>
          </w:r>
          <w:r w:rsidRPr="00A83764">
            <w:fldChar w:fldCharType="separate"/>
          </w:r>
          <w:hyperlink w:history="1" w:anchor="_Toc236131612">
            <w:r w:rsidRPr="00A83764">
              <w:rPr>
                <w:rStyle w:val="Hyperlink"/>
                <w:noProof/>
              </w:rPr>
              <w:t>Section1: Costco Wholesale Corporation: Strategic Analysis of Market Entry into India</w:t>
            </w:r>
            <w:r w:rsidRPr="00A83764">
              <w:rPr>
                <w:noProof/>
                <w:webHidden/>
              </w:rPr>
              <w:tab/>
            </w:r>
            <w:r w:rsidRPr="00A83764">
              <w:rPr>
                <w:noProof/>
                <w:webHidden/>
              </w:rPr>
              <w:fldChar w:fldCharType="begin"/>
            </w:r>
            <w:r w:rsidRPr="00A83764">
              <w:rPr>
                <w:noProof/>
                <w:webHidden/>
              </w:rPr>
              <w:instrText xml:space="preserve"> PAGEREF _Toc236131612 \h </w:instrText>
            </w:r>
            <w:r w:rsidRPr="00A83764">
              <w:rPr>
                <w:noProof/>
                <w:webHidden/>
              </w:rPr>
            </w:r>
            <w:r w:rsidRPr="00A83764">
              <w:rPr>
                <w:noProof/>
                <w:webHidden/>
              </w:rPr>
              <w:fldChar w:fldCharType="separate"/>
            </w:r>
            <w:r w:rsidRPr="00A83764">
              <w:rPr>
                <w:noProof/>
                <w:webHidden/>
              </w:rPr>
              <w:t>3</w:t>
            </w:r>
            <w:r w:rsidRPr="00A83764">
              <w:rPr>
                <w:noProof/>
                <w:webHidden/>
              </w:rPr>
              <w:fldChar w:fldCharType="end"/>
            </w:r>
          </w:hyperlink>
        </w:p>
        <w:p w:rsidRPr="00A83764" w:rsidR="00A83764" w:rsidRDefault="00A83764" w14:paraId="02063CE0" w14:textId="6B48998D">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13">
            <w:r w:rsidRPr="00A83764">
              <w:rPr>
                <w:rStyle w:val="Hyperlink"/>
                <w:noProof/>
              </w:rPr>
              <w:t>1. Organisational Classification and Global Strategy</w:t>
            </w:r>
            <w:r w:rsidRPr="00A83764">
              <w:rPr>
                <w:noProof/>
                <w:webHidden/>
              </w:rPr>
              <w:tab/>
            </w:r>
            <w:r w:rsidRPr="00A83764">
              <w:rPr>
                <w:noProof/>
                <w:webHidden/>
              </w:rPr>
              <w:fldChar w:fldCharType="begin"/>
            </w:r>
            <w:r w:rsidRPr="00A83764">
              <w:rPr>
                <w:noProof/>
                <w:webHidden/>
              </w:rPr>
              <w:instrText xml:space="preserve"> PAGEREF _Toc236131613 \h </w:instrText>
            </w:r>
            <w:r w:rsidRPr="00A83764">
              <w:rPr>
                <w:noProof/>
                <w:webHidden/>
              </w:rPr>
            </w:r>
            <w:r w:rsidRPr="00A83764">
              <w:rPr>
                <w:noProof/>
                <w:webHidden/>
              </w:rPr>
              <w:fldChar w:fldCharType="separate"/>
            </w:r>
            <w:r w:rsidRPr="00A83764">
              <w:rPr>
                <w:noProof/>
                <w:webHidden/>
              </w:rPr>
              <w:t>3</w:t>
            </w:r>
            <w:r w:rsidRPr="00A83764">
              <w:rPr>
                <w:noProof/>
                <w:webHidden/>
              </w:rPr>
              <w:fldChar w:fldCharType="end"/>
            </w:r>
          </w:hyperlink>
        </w:p>
        <w:p w:rsidRPr="00A83764" w:rsidR="00A83764" w:rsidRDefault="00A83764" w14:paraId="445A0D67" w14:textId="7EAF9B58">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14">
            <w:r w:rsidRPr="00A83764">
              <w:rPr>
                <w:rStyle w:val="Hyperlink"/>
                <w:noProof/>
              </w:rPr>
              <w:t>2. Macro-Environmental Appraisal and Market Attractiveness</w:t>
            </w:r>
            <w:r w:rsidRPr="00A83764">
              <w:rPr>
                <w:noProof/>
                <w:webHidden/>
              </w:rPr>
              <w:tab/>
            </w:r>
            <w:r w:rsidRPr="00A83764">
              <w:rPr>
                <w:noProof/>
                <w:webHidden/>
              </w:rPr>
              <w:fldChar w:fldCharType="begin"/>
            </w:r>
            <w:r w:rsidRPr="00A83764">
              <w:rPr>
                <w:noProof/>
                <w:webHidden/>
              </w:rPr>
              <w:instrText xml:space="preserve"> PAGEREF _Toc236131614 \h </w:instrText>
            </w:r>
            <w:r w:rsidRPr="00A83764">
              <w:rPr>
                <w:noProof/>
                <w:webHidden/>
              </w:rPr>
            </w:r>
            <w:r w:rsidRPr="00A83764">
              <w:rPr>
                <w:noProof/>
                <w:webHidden/>
              </w:rPr>
              <w:fldChar w:fldCharType="separate"/>
            </w:r>
            <w:r w:rsidRPr="00A83764">
              <w:rPr>
                <w:noProof/>
                <w:webHidden/>
              </w:rPr>
              <w:t>4</w:t>
            </w:r>
            <w:r w:rsidRPr="00A83764">
              <w:rPr>
                <w:noProof/>
                <w:webHidden/>
              </w:rPr>
              <w:fldChar w:fldCharType="end"/>
            </w:r>
          </w:hyperlink>
        </w:p>
        <w:p w:rsidRPr="00A83764" w:rsidR="00A83764" w:rsidRDefault="00A83764" w14:paraId="4DC112D1" w14:textId="19DE231C">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15">
            <w:r w:rsidRPr="00A83764">
              <w:rPr>
                <w:rStyle w:val="Hyperlink"/>
                <w:noProof/>
              </w:rPr>
              <w:t>2.1 Political Environment</w:t>
            </w:r>
            <w:r w:rsidRPr="00A83764">
              <w:rPr>
                <w:noProof/>
                <w:webHidden/>
              </w:rPr>
              <w:tab/>
            </w:r>
            <w:r w:rsidRPr="00A83764">
              <w:rPr>
                <w:noProof/>
                <w:webHidden/>
              </w:rPr>
              <w:fldChar w:fldCharType="begin"/>
            </w:r>
            <w:r w:rsidRPr="00A83764">
              <w:rPr>
                <w:noProof/>
                <w:webHidden/>
              </w:rPr>
              <w:instrText xml:space="preserve"> PAGEREF _Toc236131615 \h </w:instrText>
            </w:r>
            <w:r w:rsidRPr="00A83764">
              <w:rPr>
                <w:noProof/>
                <w:webHidden/>
              </w:rPr>
            </w:r>
            <w:r w:rsidRPr="00A83764">
              <w:rPr>
                <w:noProof/>
                <w:webHidden/>
              </w:rPr>
              <w:fldChar w:fldCharType="separate"/>
            </w:r>
            <w:r w:rsidRPr="00A83764">
              <w:rPr>
                <w:noProof/>
                <w:webHidden/>
              </w:rPr>
              <w:t>4</w:t>
            </w:r>
            <w:r w:rsidRPr="00A83764">
              <w:rPr>
                <w:noProof/>
                <w:webHidden/>
              </w:rPr>
              <w:fldChar w:fldCharType="end"/>
            </w:r>
          </w:hyperlink>
        </w:p>
        <w:p w:rsidRPr="00A83764" w:rsidR="00A83764" w:rsidRDefault="00A83764" w14:paraId="02FBCA13" w14:textId="60396A72">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16">
            <w:r w:rsidRPr="00A83764">
              <w:rPr>
                <w:rStyle w:val="Hyperlink"/>
                <w:noProof/>
              </w:rPr>
              <w:t>2.2 Economic Environment</w:t>
            </w:r>
            <w:r w:rsidRPr="00A83764">
              <w:rPr>
                <w:noProof/>
                <w:webHidden/>
              </w:rPr>
              <w:tab/>
            </w:r>
            <w:r w:rsidRPr="00A83764">
              <w:rPr>
                <w:noProof/>
                <w:webHidden/>
              </w:rPr>
              <w:fldChar w:fldCharType="begin"/>
            </w:r>
            <w:r w:rsidRPr="00A83764">
              <w:rPr>
                <w:noProof/>
                <w:webHidden/>
              </w:rPr>
              <w:instrText xml:space="preserve"> PAGEREF _Toc236131616 \h </w:instrText>
            </w:r>
            <w:r w:rsidRPr="00A83764">
              <w:rPr>
                <w:noProof/>
                <w:webHidden/>
              </w:rPr>
            </w:r>
            <w:r w:rsidRPr="00A83764">
              <w:rPr>
                <w:noProof/>
                <w:webHidden/>
              </w:rPr>
              <w:fldChar w:fldCharType="separate"/>
            </w:r>
            <w:r w:rsidRPr="00A83764">
              <w:rPr>
                <w:noProof/>
                <w:webHidden/>
              </w:rPr>
              <w:t>5</w:t>
            </w:r>
            <w:r w:rsidRPr="00A83764">
              <w:rPr>
                <w:noProof/>
                <w:webHidden/>
              </w:rPr>
              <w:fldChar w:fldCharType="end"/>
            </w:r>
          </w:hyperlink>
        </w:p>
        <w:p w:rsidRPr="00A83764" w:rsidR="00A83764" w:rsidRDefault="00A83764" w14:paraId="1083EED5" w14:textId="71332954">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17">
            <w:r w:rsidRPr="00A83764">
              <w:rPr>
                <w:rStyle w:val="Hyperlink"/>
                <w:noProof/>
              </w:rPr>
              <w:t>2.3 Legal and Regulatory Environment</w:t>
            </w:r>
            <w:r w:rsidRPr="00A83764">
              <w:rPr>
                <w:noProof/>
                <w:webHidden/>
              </w:rPr>
              <w:tab/>
            </w:r>
            <w:r w:rsidRPr="00A83764">
              <w:rPr>
                <w:noProof/>
                <w:webHidden/>
              </w:rPr>
              <w:fldChar w:fldCharType="begin"/>
            </w:r>
            <w:r w:rsidRPr="00A83764">
              <w:rPr>
                <w:noProof/>
                <w:webHidden/>
              </w:rPr>
              <w:instrText xml:space="preserve"> PAGEREF _Toc236131617 \h </w:instrText>
            </w:r>
            <w:r w:rsidRPr="00A83764">
              <w:rPr>
                <w:noProof/>
                <w:webHidden/>
              </w:rPr>
            </w:r>
            <w:r w:rsidRPr="00A83764">
              <w:rPr>
                <w:noProof/>
                <w:webHidden/>
              </w:rPr>
              <w:fldChar w:fldCharType="separate"/>
            </w:r>
            <w:r w:rsidRPr="00A83764">
              <w:rPr>
                <w:noProof/>
                <w:webHidden/>
              </w:rPr>
              <w:t>6</w:t>
            </w:r>
            <w:r w:rsidRPr="00A83764">
              <w:rPr>
                <w:noProof/>
                <w:webHidden/>
              </w:rPr>
              <w:fldChar w:fldCharType="end"/>
            </w:r>
          </w:hyperlink>
        </w:p>
        <w:p w:rsidRPr="00A83764" w:rsidR="00A83764" w:rsidRDefault="00A83764" w14:paraId="306E1023" w14:textId="7B39A9D5">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18">
            <w:r w:rsidRPr="00A83764">
              <w:rPr>
                <w:rStyle w:val="Hyperlink"/>
                <w:noProof/>
              </w:rPr>
              <w:t>2.4 Cultural Environment</w:t>
            </w:r>
            <w:r w:rsidRPr="00A83764">
              <w:rPr>
                <w:noProof/>
                <w:webHidden/>
              </w:rPr>
              <w:tab/>
            </w:r>
            <w:r w:rsidRPr="00A83764">
              <w:rPr>
                <w:noProof/>
                <w:webHidden/>
              </w:rPr>
              <w:fldChar w:fldCharType="begin"/>
            </w:r>
            <w:r w:rsidRPr="00A83764">
              <w:rPr>
                <w:noProof/>
                <w:webHidden/>
              </w:rPr>
              <w:instrText xml:space="preserve"> PAGEREF _Toc236131618 \h </w:instrText>
            </w:r>
            <w:r w:rsidRPr="00A83764">
              <w:rPr>
                <w:noProof/>
                <w:webHidden/>
              </w:rPr>
            </w:r>
            <w:r w:rsidRPr="00A83764">
              <w:rPr>
                <w:noProof/>
                <w:webHidden/>
              </w:rPr>
              <w:fldChar w:fldCharType="separate"/>
            </w:r>
            <w:r w:rsidRPr="00A83764">
              <w:rPr>
                <w:noProof/>
                <w:webHidden/>
              </w:rPr>
              <w:t>7</w:t>
            </w:r>
            <w:r w:rsidRPr="00A83764">
              <w:rPr>
                <w:noProof/>
                <w:webHidden/>
              </w:rPr>
              <w:fldChar w:fldCharType="end"/>
            </w:r>
          </w:hyperlink>
        </w:p>
        <w:p w:rsidRPr="00A83764" w:rsidR="00A83764" w:rsidRDefault="00A83764" w14:paraId="096DE662" w14:textId="0C58ED5D">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19">
            <w:r w:rsidRPr="00A83764">
              <w:rPr>
                <w:rStyle w:val="Hyperlink"/>
                <w:noProof/>
              </w:rPr>
              <w:t>2.5 Competitive Dynamics and Infrastructure Constraints</w:t>
            </w:r>
            <w:r w:rsidRPr="00A83764">
              <w:rPr>
                <w:noProof/>
                <w:webHidden/>
              </w:rPr>
              <w:tab/>
            </w:r>
            <w:r w:rsidRPr="00A83764">
              <w:rPr>
                <w:noProof/>
                <w:webHidden/>
              </w:rPr>
              <w:fldChar w:fldCharType="begin"/>
            </w:r>
            <w:r w:rsidRPr="00A83764">
              <w:rPr>
                <w:noProof/>
                <w:webHidden/>
              </w:rPr>
              <w:instrText xml:space="preserve"> PAGEREF _Toc236131619 \h </w:instrText>
            </w:r>
            <w:r w:rsidRPr="00A83764">
              <w:rPr>
                <w:noProof/>
                <w:webHidden/>
              </w:rPr>
            </w:r>
            <w:r w:rsidRPr="00A83764">
              <w:rPr>
                <w:noProof/>
                <w:webHidden/>
              </w:rPr>
              <w:fldChar w:fldCharType="separate"/>
            </w:r>
            <w:r w:rsidRPr="00A83764">
              <w:rPr>
                <w:noProof/>
                <w:webHidden/>
              </w:rPr>
              <w:t>8</w:t>
            </w:r>
            <w:r w:rsidRPr="00A83764">
              <w:rPr>
                <w:noProof/>
                <w:webHidden/>
              </w:rPr>
              <w:fldChar w:fldCharType="end"/>
            </w:r>
          </w:hyperlink>
        </w:p>
        <w:p w:rsidRPr="00A83764" w:rsidR="00A83764" w:rsidRDefault="00A83764" w14:paraId="582C0502" w14:textId="12963577">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0">
            <w:r w:rsidRPr="00A83764">
              <w:rPr>
                <w:rStyle w:val="Hyperlink"/>
                <w:noProof/>
              </w:rPr>
              <w:t>2.6 Application of the OLI Framework and Overall Market Attractiveness</w:t>
            </w:r>
            <w:r w:rsidRPr="00A83764">
              <w:rPr>
                <w:noProof/>
                <w:webHidden/>
              </w:rPr>
              <w:tab/>
            </w:r>
            <w:r w:rsidRPr="00A83764">
              <w:rPr>
                <w:noProof/>
                <w:webHidden/>
              </w:rPr>
              <w:fldChar w:fldCharType="begin"/>
            </w:r>
            <w:r w:rsidRPr="00A83764">
              <w:rPr>
                <w:noProof/>
                <w:webHidden/>
              </w:rPr>
              <w:instrText xml:space="preserve"> PAGEREF _Toc236131620 \h </w:instrText>
            </w:r>
            <w:r w:rsidRPr="00A83764">
              <w:rPr>
                <w:noProof/>
                <w:webHidden/>
              </w:rPr>
            </w:r>
            <w:r w:rsidRPr="00A83764">
              <w:rPr>
                <w:noProof/>
                <w:webHidden/>
              </w:rPr>
              <w:fldChar w:fldCharType="separate"/>
            </w:r>
            <w:r w:rsidRPr="00A83764">
              <w:rPr>
                <w:noProof/>
                <w:webHidden/>
              </w:rPr>
              <w:t>9</w:t>
            </w:r>
            <w:r w:rsidRPr="00A83764">
              <w:rPr>
                <w:noProof/>
                <w:webHidden/>
              </w:rPr>
              <w:fldChar w:fldCharType="end"/>
            </w:r>
          </w:hyperlink>
        </w:p>
        <w:p w:rsidRPr="00A83764" w:rsidR="00A83764" w:rsidRDefault="00A83764" w14:paraId="2BC8FB8A" w14:textId="066BABD3">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21">
            <w:r w:rsidRPr="00A83764">
              <w:rPr>
                <w:rStyle w:val="Hyperlink"/>
                <w:noProof/>
              </w:rPr>
              <w:t>3. Entry Mode Strategy and Strategic Synthesis</w:t>
            </w:r>
            <w:r w:rsidRPr="00A83764">
              <w:rPr>
                <w:noProof/>
                <w:webHidden/>
              </w:rPr>
              <w:tab/>
            </w:r>
            <w:r w:rsidRPr="00A83764">
              <w:rPr>
                <w:noProof/>
                <w:webHidden/>
              </w:rPr>
              <w:fldChar w:fldCharType="begin"/>
            </w:r>
            <w:r w:rsidRPr="00A83764">
              <w:rPr>
                <w:noProof/>
                <w:webHidden/>
              </w:rPr>
              <w:instrText xml:space="preserve"> PAGEREF _Toc236131621 \h </w:instrText>
            </w:r>
            <w:r w:rsidRPr="00A83764">
              <w:rPr>
                <w:noProof/>
                <w:webHidden/>
              </w:rPr>
            </w:r>
            <w:r w:rsidRPr="00A83764">
              <w:rPr>
                <w:noProof/>
                <w:webHidden/>
              </w:rPr>
              <w:fldChar w:fldCharType="separate"/>
            </w:r>
            <w:r w:rsidRPr="00A83764">
              <w:rPr>
                <w:noProof/>
                <w:webHidden/>
              </w:rPr>
              <w:t>11</w:t>
            </w:r>
            <w:r w:rsidRPr="00A83764">
              <w:rPr>
                <w:noProof/>
                <w:webHidden/>
              </w:rPr>
              <w:fldChar w:fldCharType="end"/>
            </w:r>
          </w:hyperlink>
        </w:p>
        <w:p w:rsidRPr="00A83764" w:rsidR="00A83764" w:rsidRDefault="00A83764" w14:paraId="5866A07E" w14:textId="2C2844C4">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22">
            <w:r w:rsidRPr="00A83764">
              <w:rPr>
                <w:rStyle w:val="Hyperlink"/>
                <w:noProof/>
                <w:lang w:val="en-US" w:eastAsia="en-US" w:bidi="ar-SA"/>
              </w:rPr>
              <w:t>Section 2: Reflective Account: Researching and Preparing the Macro-Environmental Appraisal</w:t>
            </w:r>
            <w:r w:rsidRPr="00A83764">
              <w:rPr>
                <w:noProof/>
                <w:webHidden/>
              </w:rPr>
              <w:tab/>
            </w:r>
            <w:r w:rsidRPr="00A83764">
              <w:rPr>
                <w:noProof/>
                <w:webHidden/>
              </w:rPr>
              <w:fldChar w:fldCharType="begin"/>
            </w:r>
            <w:r w:rsidRPr="00A83764">
              <w:rPr>
                <w:noProof/>
                <w:webHidden/>
              </w:rPr>
              <w:instrText xml:space="preserve"> PAGEREF _Toc236131622 \h </w:instrText>
            </w:r>
            <w:r w:rsidRPr="00A83764">
              <w:rPr>
                <w:noProof/>
                <w:webHidden/>
              </w:rPr>
            </w:r>
            <w:r w:rsidRPr="00A83764">
              <w:rPr>
                <w:noProof/>
                <w:webHidden/>
              </w:rPr>
              <w:fldChar w:fldCharType="separate"/>
            </w:r>
            <w:r w:rsidRPr="00A83764">
              <w:rPr>
                <w:noProof/>
                <w:webHidden/>
              </w:rPr>
              <w:t>13</w:t>
            </w:r>
            <w:r w:rsidRPr="00A83764">
              <w:rPr>
                <w:noProof/>
                <w:webHidden/>
              </w:rPr>
              <w:fldChar w:fldCharType="end"/>
            </w:r>
          </w:hyperlink>
        </w:p>
        <w:p w:rsidRPr="00A83764" w:rsidR="00A83764" w:rsidRDefault="00A83764" w14:paraId="7427E6EC" w14:textId="5A8DCBA4">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23">
            <w:r w:rsidRPr="00A83764">
              <w:rPr>
                <w:rStyle w:val="Hyperlink"/>
                <w:noProof/>
                <w:lang w:val="en-US" w:eastAsia="en-US" w:bidi="ar-SA"/>
              </w:rPr>
              <w:t>Introduction</w:t>
            </w:r>
            <w:r w:rsidRPr="00A83764">
              <w:rPr>
                <w:noProof/>
                <w:webHidden/>
              </w:rPr>
              <w:tab/>
            </w:r>
            <w:r w:rsidRPr="00A83764">
              <w:rPr>
                <w:noProof/>
                <w:webHidden/>
              </w:rPr>
              <w:fldChar w:fldCharType="begin"/>
            </w:r>
            <w:r w:rsidRPr="00A83764">
              <w:rPr>
                <w:noProof/>
                <w:webHidden/>
              </w:rPr>
              <w:instrText xml:space="preserve"> PAGEREF _Toc236131623 \h </w:instrText>
            </w:r>
            <w:r w:rsidRPr="00A83764">
              <w:rPr>
                <w:noProof/>
                <w:webHidden/>
              </w:rPr>
            </w:r>
            <w:r w:rsidRPr="00A83764">
              <w:rPr>
                <w:noProof/>
                <w:webHidden/>
              </w:rPr>
              <w:fldChar w:fldCharType="separate"/>
            </w:r>
            <w:r w:rsidRPr="00A83764">
              <w:rPr>
                <w:noProof/>
                <w:webHidden/>
              </w:rPr>
              <w:t>13</w:t>
            </w:r>
            <w:r w:rsidRPr="00A83764">
              <w:rPr>
                <w:noProof/>
                <w:webHidden/>
              </w:rPr>
              <w:fldChar w:fldCharType="end"/>
            </w:r>
          </w:hyperlink>
        </w:p>
        <w:p w:rsidRPr="00A83764" w:rsidR="00A83764" w:rsidRDefault="00A83764" w14:paraId="39D2F42E" w14:textId="42EE985B">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4">
            <w:r w:rsidRPr="00A83764">
              <w:rPr>
                <w:rStyle w:val="Hyperlink"/>
                <w:rFonts w:cs="Vrinda"/>
                <w:noProof/>
                <w:lang w:val="en-US" w:eastAsia="en-US" w:bidi="ar-SA"/>
              </w:rPr>
              <w:t>1. Description</w:t>
            </w:r>
            <w:r w:rsidRPr="00A83764">
              <w:rPr>
                <w:noProof/>
                <w:webHidden/>
              </w:rPr>
              <w:tab/>
            </w:r>
            <w:r w:rsidRPr="00A83764">
              <w:rPr>
                <w:noProof/>
                <w:webHidden/>
              </w:rPr>
              <w:fldChar w:fldCharType="begin"/>
            </w:r>
            <w:r w:rsidRPr="00A83764">
              <w:rPr>
                <w:noProof/>
                <w:webHidden/>
              </w:rPr>
              <w:instrText xml:space="preserve"> PAGEREF _Toc236131624 \h </w:instrText>
            </w:r>
            <w:r w:rsidRPr="00A83764">
              <w:rPr>
                <w:noProof/>
                <w:webHidden/>
              </w:rPr>
            </w:r>
            <w:r w:rsidRPr="00A83764">
              <w:rPr>
                <w:noProof/>
                <w:webHidden/>
              </w:rPr>
              <w:fldChar w:fldCharType="separate"/>
            </w:r>
            <w:r w:rsidRPr="00A83764">
              <w:rPr>
                <w:noProof/>
                <w:webHidden/>
              </w:rPr>
              <w:t>13</w:t>
            </w:r>
            <w:r w:rsidRPr="00A83764">
              <w:rPr>
                <w:noProof/>
                <w:webHidden/>
              </w:rPr>
              <w:fldChar w:fldCharType="end"/>
            </w:r>
          </w:hyperlink>
        </w:p>
        <w:p w:rsidRPr="00A83764" w:rsidR="00A83764" w:rsidRDefault="00A83764" w14:paraId="6CEE59B5" w14:textId="7AD84ED9">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5">
            <w:r w:rsidRPr="00A83764">
              <w:rPr>
                <w:rStyle w:val="Hyperlink"/>
                <w:rFonts w:cs="Vrinda"/>
                <w:noProof/>
                <w:lang w:val="en-US" w:eastAsia="en-US" w:bidi="ar-SA"/>
              </w:rPr>
              <w:t>2. Feelings</w:t>
            </w:r>
            <w:r w:rsidRPr="00A83764">
              <w:rPr>
                <w:noProof/>
                <w:webHidden/>
              </w:rPr>
              <w:tab/>
            </w:r>
            <w:r w:rsidRPr="00A83764">
              <w:rPr>
                <w:noProof/>
                <w:webHidden/>
              </w:rPr>
              <w:fldChar w:fldCharType="begin"/>
            </w:r>
            <w:r w:rsidRPr="00A83764">
              <w:rPr>
                <w:noProof/>
                <w:webHidden/>
              </w:rPr>
              <w:instrText xml:space="preserve"> PAGEREF _Toc236131625 \h </w:instrText>
            </w:r>
            <w:r w:rsidRPr="00A83764">
              <w:rPr>
                <w:noProof/>
                <w:webHidden/>
              </w:rPr>
            </w:r>
            <w:r w:rsidRPr="00A83764">
              <w:rPr>
                <w:noProof/>
                <w:webHidden/>
              </w:rPr>
              <w:fldChar w:fldCharType="separate"/>
            </w:r>
            <w:r w:rsidRPr="00A83764">
              <w:rPr>
                <w:noProof/>
                <w:webHidden/>
              </w:rPr>
              <w:t>14</w:t>
            </w:r>
            <w:r w:rsidRPr="00A83764">
              <w:rPr>
                <w:noProof/>
                <w:webHidden/>
              </w:rPr>
              <w:fldChar w:fldCharType="end"/>
            </w:r>
          </w:hyperlink>
        </w:p>
        <w:p w:rsidRPr="00A83764" w:rsidR="00A83764" w:rsidRDefault="00A83764" w14:paraId="0EF45C29" w14:textId="1347FF73">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6">
            <w:r w:rsidRPr="00A83764">
              <w:rPr>
                <w:rStyle w:val="Hyperlink"/>
                <w:rFonts w:cs="Vrinda"/>
                <w:noProof/>
                <w:lang w:val="en-US" w:eastAsia="en-US" w:bidi="ar-SA"/>
              </w:rPr>
              <w:t>3. Evaluation</w:t>
            </w:r>
            <w:r w:rsidRPr="00A83764">
              <w:rPr>
                <w:noProof/>
                <w:webHidden/>
              </w:rPr>
              <w:tab/>
            </w:r>
            <w:r w:rsidRPr="00A83764">
              <w:rPr>
                <w:noProof/>
                <w:webHidden/>
              </w:rPr>
              <w:fldChar w:fldCharType="begin"/>
            </w:r>
            <w:r w:rsidRPr="00A83764">
              <w:rPr>
                <w:noProof/>
                <w:webHidden/>
              </w:rPr>
              <w:instrText xml:space="preserve"> PAGEREF _Toc236131626 \h </w:instrText>
            </w:r>
            <w:r w:rsidRPr="00A83764">
              <w:rPr>
                <w:noProof/>
                <w:webHidden/>
              </w:rPr>
            </w:r>
            <w:r w:rsidRPr="00A83764">
              <w:rPr>
                <w:noProof/>
                <w:webHidden/>
              </w:rPr>
              <w:fldChar w:fldCharType="separate"/>
            </w:r>
            <w:r w:rsidRPr="00A83764">
              <w:rPr>
                <w:noProof/>
                <w:webHidden/>
              </w:rPr>
              <w:t>14</w:t>
            </w:r>
            <w:r w:rsidRPr="00A83764">
              <w:rPr>
                <w:noProof/>
                <w:webHidden/>
              </w:rPr>
              <w:fldChar w:fldCharType="end"/>
            </w:r>
          </w:hyperlink>
        </w:p>
        <w:p w:rsidRPr="00A83764" w:rsidR="00A83764" w:rsidRDefault="00A83764" w14:paraId="4F80377B" w14:textId="7625CC26">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7">
            <w:r w:rsidRPr="00A83764">
              <w:rPr>
                <w:rStyle w:val="Hyperlink"/>
                <w:rFonts w:cs="Vrinda"/>
                <w:noProof/>
                <w:lang w:val="en-US" w:eastAsia="en-US" w:bidi="ar-SA"/>
              </w:rPr>
              <w:t>4. Analysis</w:t>
            </w:r>
            <w:r w:rsidRPr="00A83764">
              <w:rPr>
                <w:noProof/>
                <w:webHidden/>
              </w:rPr>
              <w:tab/>
            </w:r>
            <w:r w:rsidRPr="00A83764">
              <w:rPr>
                <w:noProof/>
                <w:webHidden/>
              </w:rPr>
              <w:fldChar w:fldCharType="begin"/>
            </w:r>
            <w:r w:rsidRPr="00A83764">
              <w:rPr>
                <w:noProof/>
                <w:webHidden/>
              </w:rPr>
              <w:instrText xml:space="preserve"> PAGEREF _Toc236131627 \h </w:instrText>
            </w:r>
            <w:r w:rsidRPr="00A83764">
              <w:rPr>
                <w:noProof/>
                <w:webHidden/>
              </w:rPr>
            </w:r>
            <w:r w:rsidRPr="00A83764">
              <w:rPr>
                <w:noProof/>
                <w:webHidden/>
              </w:rPr>
              <w:fldChar w:fldCharType="separate"/>
            </w:r>
            <w:r w:rsidRPr="00A83764">
              <w:rPr>
                <w:noProof/>
                <w:webHidden/>
              </w:rPr>
              <w:t>14</w:t>
            </w:r>
            <w:r w:rsidRPr="00A83764">
              <w:rPr>
                <w:noProof/>
                <w:webHidden/>
              </w:rPr>
              <w:fldChar w:fldCharType="end"/>
            </w:r>
          </w:hyperlink>
        </w:p>
        <w:p w:rsidRPr="00A83764" w:rsidR="00A83764" w:rsidRDefault="00A83764" w14:paraId="04DD586E" w14:textId="13AA35CA">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8">
            <w:r w:rsidRPr="00A83764">
              <w:rPr>
                <w:rStyle w:val="Hyperlink"/>
                <w:rFonts w:cs="Vrinda"/>
                <w:noProof/>
                <w:lang w:val="en-US" w:eastAsia="en-US" w:bidi="ar-SA"/>
              </w:rPr>
              <w:t>5. Conclusion</w:t>
            </w:r>
            <w:r w:rsidRPr="00A83764">
              <w:rPr>
                <w:noProof/>
                <w:webHidden/>
              </w:rPr>
              <w:tab/>
            </w:r>
            <w:r w:rsidRPr="00A83764">
              <w:rPr>
                <w:noProof/>
                <w:webHidden/>
              </w:rPr>
              <w:fldChar w:fldCharType="begin"/>
            </w:r>
            <w:r w:rsidRPr="00A83764">
              <w:rPr>
                <w:noProof/>
                <w:webHidden/>
              </w:rPr>
              <w:instrText xml:space="preserve"> PAGEREF _Toc236131628 \h </w:instrText>
            </w:r>
            <w:r w:rsidRPr="00A83764">
              <w:rPr>
                <w:noProof/>
                <w:webHidden/>
              </w:rPr>
            </w:r>
            <w:r w:rsidRPr="00A83764">
              <w:rPr>
                <w:noProof/>
                <w:webHidden/>
              </w:rPr>
              <w:fldChar w:fldCharType="separate"/>
            </w:r>
            <w:r w:rsidRPr="00A83764">
              <w:rPr>
                <w:noProof/>
                <w:webHidden/>
              </w:rPr>
              <w:t>15</w:t>
            </w:r>
            <w:r w:rsidRPr="00A83764">
              <w:rPr>
                <w:noProof/>
                <w:webHidden/>
              </w:rPr>
              <w:fldChar w:fldCharType="end"/>
            </w:r>
          </w:hyperlink>
        </w:p>
        <w:p w:rsidRPr="00A83764" w:rsidR="00A83764" w:rsidRDefault="00A83764" w14:paraId="3A963945" w14:textId="7F22214E">
          <w:pPr>
            <w:pStyle w:val="TOC2"/>
            <w:tabs>
              <w:tab w:val="right" w:leader="dot" w:pos="9016"/>
            </w:tabs>
            <w:rPr>
              <w:rFonts w:asciiTheme="minorHAnsi" w:hAnsiTheme="minorHAnsi" w:eastAsiaTheme="minorEastAsia" w:cstheme="minorBidi"/>
              <w:noProof/>
              <w:kern w:val="2"/>
              <w14:ligatures w14:val="standardContextual"/>
            </w:rPr>
          </w:pPr>
          <w:hyperlink w:history="1" w:anchor="_Toc236131629">
            <w:r w:rsidRPr="00A83764">
              <w:rPr>
                <w:rStyle w:val="Hyperlink"/>
                <w:rFonts w:cs="Vrinda"/>
                <w:noProof/>
                <w:lang w:val="en-US" w:eastAsia="en-US" w:bidi="ar-SA"/>
              </w:rPr>
              <w:t>6. Action Plan</w:t>
            </w:r>
            <w:r w:rsidRPr="00A83764">
              <w:rPr>
                <w:noProof/>
                <w:webHidden/>
              </w:rPr>
              <w:tab/>
            </w:r>
            <w:r w:rsidRPr="00A83764">
              <w:rPr>
                <w:noProof/>
                <w:webHidden/>
              </w:rPr>
              <w:fldChar w:fldCharType="begin"/>
            </w:r>
            <w:r w:rsidRPr="00A83764">
              <w:rPr>
                <w:noProof/>
                <w:webHidden/>
              </w:rPr>
              <w:instrText xml:space="preserve"> PAGEREF _Toc236131629 \h </w:instrText>
            </w:r>
            <w:r w:rsidRPr="00A83764">
              <w:rPr>
                <w:noProof/>
                <w:webHidden/>
              </w:rPr>
            </w:r>
            <w:r w:rsidRPr="00A83764">
              <w:rPr>
                <w:noProof/>
                <w:webHidden/>
              </w:rPr>
              <w:fldChar w:fldCharType="separate"/>
            </w:r>
            <w:r w:rsidRPr="00A83764">
              <w:rPr>
                <w:noProof/>
                <w:webHidden/>
              </w:rPr>
              <w:t>15</w:t>
            </w:r>
            <w:r w:rsidRPr="00A83764">
              <w:rPr>
                <w:noProof/>
                <w:webHidden/>
              </w:rPr>
              <w:fldChar w:fldCharType="end"/>
            </w:r>
          </w:hyperlink>
        </w:p>
        <w:p w:rsidRPr="00A83764" w:rsidR="00A83764" w:rsidRDefault="00A83764" w14:paraId="301FE695" w14:textId="41C9A8A4">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30">
            <w:r w:rsidRPr="00A83764">
              <w:rPr>
                <w:rStyle w:val="Hyperlink"/>
                <w:rFonts w:cs="Vrinda"/>
                <w:noProof/>
                <w:lang w:val="en-US" w:eastAsia="en-US" w:bidi="ar-SA"/>
              </w:rPr>
              <w:t>Final Reflection</w:t>
            </w:r>
            <w:r w:rsidRPr="00A83764">
              <w:rPr>
                <w:noProof/>
                <w:webHidden/>
              </w:rPr>
              <w:tab/>
            </w:r>
            <w:r w:rsidRPr="00A83764">
              <w:rPr>
                <w:noProof/>
                <w:webHidden/>
              </w:rPr>
              <w:fldChar w:fldCharType="begin"/>
            </w:r>
            <w:r w:rsidRPr="00A83764">
              <w:rPr>
                <w:noProof/>
                <w:webHidden/>
              </w:rPr>
              <w:instrText xml:space="preserve"> PAGEREF _Toc236131630 \h </w:instrText>
            </w:r>
            <w:r w:rsidRPr="00A83764">
              <w:rPr>
                <w:noProof/>
                <w:webHidden/>
              </w:rPr>
            </w:r>
            <w:r w:rsidRPr="00A83764">
              <w:rPr>
                <w:noProof/>
                <w:webHidden/>
              </w:rPr>
              <w:fldChar w:fldCharType="separate"/>
            </w:r>
            <w:r w:rsidRPr="00A83764">
              <w:rPr>
                <w:noProof/>
                <w:webHidden/>
              </w:rPr>
              <w:t>16</w:t>
            </w:r>
            <w:r w:rsidRPr="00A83764">
              <w:rPr>
                <w:noProof/>
                <w:webHidden/>
              </w:rPr>
              <w:fldChar w:fldCharType="end"/>
            </w:r>
          </w:hyperlink>
        </w:p>
        <w:p w:rsidRPr="00A83764" w:rsidR="00A83764" w:rsidRDefault="00A83764" w14:paraId="52DDA5CA" w14:textId="63B998A4">
          <w:pPr>
            <w:pStyle w:val="TOC1"/>
            <w:tabs>
              <w:tab w:val="right" w:leader="dot" w:pos="9016"/>
            </w:tabs>
            <w:rPr>
              <w:rFonts w:asciiTheme="minorHAnsi" w:hAnsiTheme="minorHAnsi" w:eastAsiaTheme="minorEastAsia" w:cstheme="minorBidi"/>
              <w:noProof/>
              <w:kern w:val="2"/>
              <w14:ligatures w14:val="standardContextual"/>
            </w:rPr>
          </w:pPr>
          <w:hyperlink w:history="1" w:anchor="_Toc236131631">
            <w:r w:rsidRPr="00A83764">
              <w:rPr>
                <w:rStyle w:val="Hyperlink"/>
                <w:noProof/>
                <w:lang w:val="en-US"/>
              </w:rPr>
              <w:t>References</w:t>
            </w:r>
            <w:r w:rsidRPr="00A83764">
              <w:rPr>
                <w:noProof/>
                <w:webHidden/>
              </w:rPr>
              <w:tab/>
            </w:r>
            <w:r w:rsidRPr="00A83764">
              <w:rPr>
                <w:noProof/>
                <w:webHidden/>
              </w:rPr>
              <w:fldChar w:fldCharType="begin"/>
            </w:r>
            <w:r w:rsidRPr="00A83764">
              <w:rPr>
                <w:noProof/>
                <w:webHidden/>
              </w:rPr>
              <w:instrText xml:space="preserve"> PAGEREF _Toc236131631 \h </w:instrText>
            </w:r>
            <w:r w:rsidRPr="00A83764">
              <w:rPr>
                <w:noProof/>
                <w:webHidden/>
              </w:rPr>
            </w:r>
            <w:r w:rsidRPr="00A83764">
              <w:rPr>
                <w:noProof/>
                <w:webHidden/>
              </w:rPr>
              <w:fldChar w:fldCharType="separate"/>
            </w:r>
            <w:r w:rsidRPr="00A83764">
              <w:rPr>
                <w:noProof/>
                <w:webHidden/>
              </w:rPr>
              <w:t>17</w:t>
            </w:r>
            <w:r w:rsidRPr="00A83764">
              <w:rPr>
                <w:noProof/>
                <w:webHidden/>
              </w:rPr>
              <w:fldChar w:fldCharType="end"/>
            </w:r>
          </w:hyperlink>
        </w:p>
        <w:p w:rsidRPr="00A83764" w:rsidR="00A83764" w:rsidRDefault="00A83764" w14:paraId="642DEB24" w14:textId="1C2E110C">
          <w:r w:rsidRPr="00A83764">
            <w:rPr>
              <w:noProof/>
            </w:rPr>
            <w:fldChar w:fldCharType="end"/>
          </w:r>
        </w:p>
      </w:sdtContent>
    </w:sdt>
    <w:p w:rsidR="001166A0" w:rsidP="00542ED8" w:rsidRDefault="001166A0" w14:paraId="045A2259" w14:textId="77777777">
      <w:pPr>
        <w:jc w:val="left"/>
        <w:rPr>
          <w:b/>
          <w:bCs/>
          <w:sz w:val="28"/>
          <w:szCs w:val="28"/>
        </w:rPr>
      </w:pPr>
    </w:p>
    <w:p w:rsidR="001166A0" w:rsidP="00542ED8" w:rsidRDefault="001166A0" w14:paraId="26A1B92E" w14:textId="77777777">
      <w:pPr>
        <w:jc w:val="left"/>
        <w:rPr>
          <w:b/>
          <w:bCs/>
          <w:sz w:val="28"/>
          <w:szCs w:val="28"/>
        </w:rPr>
      </w:pPr>
    </w:p>
    <w:p w:rsidR="00A83764" w:rsidP="00974E91" w:rsidRDefault="00A83764" w14:paraId="60840EF7" w14:textId="77777777">
      <w:pPr>
        <w:pStyle w:val="Heading1"/>
      </w:pPr>
    </w:p>
    <w:p w:rsidRPr="00542ED8" w:rsidR="00E85216" w:rsidP="00974E91" w:rsidRDefault="00206E5D" w14:paraId="1A1E384B" w14:textId="453F0660">
      <w:pPr>
        <w:pStyle w:val="Heading1"/>
        <w:rPr>
          <w:sz w:val="22"/>
          <w:szCs w:val="22"/>
        </w:rPr>
      </w:pPr>
      <w:bookmarkStart w:name="_Toc236131612" w:id="0"/>
      <w:r w:rsidRPr="00542ED8">
        <w:t>Section1: Costco Wholesale Corporation: Strategic Analysis of Market Entry into India</w:t>
      </w:r>
      <w:bookmarkEnd w:id="0"/>
    </w:p>
    <w:p w:rsidR="00E85216" w:rsidRDefault="00000000" w14:paraId="1AB61E7E" w14:textId="77777777">
      <w:pPr>
        <w:pStyle w:val="Heading1"/>
      </w:pPr>
      <w:bookmarkStart w:name="_Toc236131613" w:id="1"/>
      <w:r>
        <w:t>1. Organisational Classification and Global Strategy</w:t>
      </w:r>
      <w:bookmarkEnd w:id="1"/>
    </w:p>
    <w:p w:rsidR="00974E91" w:rsidP="00974E91" w:rsidRDefault="00974E91" w14:paraId="304CF6D7" w14:textId="77777777">
      <w:r>
        <w:t>Costco Wholesale Corporation fits the definition of a global strategy organisation in the Bartlett and Ghoshal integration-responsiveness framework (as expounded in Transnational Management, latest edition, 2025) because of the characteristics of the Costco model: standardized warehouse format with about 140,000 square feet, limited stock keeping unit (SKU) selection of around 4,000 items, strict cost discipline and membership fee income source which create economies of scale and operationally consistent system across borders (Costco Wholesale Corporation, 2025). Such a business model requires high level of global integration and provides very limited scope for adapting the core operating system into a multi-domestic one.</w:t>
      </w:r>
    </w:p>
    <w:p w:rsidR="00974E91" w:rsidP="00974E91" w:rsidRDefault="00974E91" w14:paraId="13A66B74" w14:textId="72175ADB">
      <w:r>
        <w:t xml:space="preserve">Some level of selective responsiveness takes place. The product mix is adapted according to regional preferences, membership fees are adjusted and regulatory compliance with local labelling and food safety requirements takes place. However, the extent of adaptation is low compared to the level required by the high integration and responsiveness of the truly transnational corporation (Bartlett, Beamish and Delios, 2025; Collinson </w:t>
      </w:r>
      <w:r w:rsidRPr="00A83764" w:rsidR="00A83764">
        <w:rPr>
          <w:i/>
          <w:iCs/>
        </w:rPr>
        <w:t>et al</w:t>
      </w:r>
      <w:r>
        <w:t xml:space="preserve">., 2024). Moreover, the geographical reach of Costco reinforces its global classification: by the end of fiscal year 2025, the company had 914 warehouses in 14 countries, where the US continues to provide the major part of revenues and </w:t>
      </w:r>
      <w:r w:rsidR="00A83764">
        <w:t>“</w:t>
      </w:r>
      <w:r>
        <w:t>Other International</w:t>
      </w:r>
      <w:r w:rsidR="00A83764">
        <w:t>”</w:t>
      </w:r>
      <w:r>
        <w:t xml:space="preserve"> segment provides around 14 percent (Costco Wholesale Corporation, 2025).</w:t>
      </w:r>
    </w:p>
    <w:p w:rsidR="00974E91" w:rsidP="00974E91" w:rsidRDefault="00974E91" w14:paraId="7274F058" w14:textId="402C5B1F">
      <w:r>
        <w:t xml:space="preserve">Under the global strategy, value creation is based on three ownership advantages of the firm: strong and reliable brand, excellent supplier relations providing favorable prices and unique products, membership structure providing loyal clients and stable cash flow. Since the core operating system transfers relatively easily across borders, such firm-specific advantages may be exploited in different countries at relatively low configuration costs (Dunning and Lundan, 2008; Hill, 2023). Still, there are certain constraints imposed by the business model: the need for large contiguous land plots, advanced logistics capabilities, mass market of middle class car owners; markets lacking these features can be accessed only through the major dilution of standardized format (Benito </w:t>
      </w:r>
      <w:r w:rsidRPr="00A83764" w:rsidR="00A83764">
        <w:rPr>
          <w:i/>
          <w:iCs/>
        </w:rPr>
        <w:t>et al</w:t>
      </w:r>
      <w:r>
        <w:t>., 2022; Pitelis, Teece and Yang, 2024).</w:t>
      </w:r>
    </w:p>
    <w:p w:rsidR="00974E91" w:rsidP="00974E91" w:rsidRDefault="00974E91" w14:paraId="5EB3C94F" w14:textId="0F203A71">
      <w:r>
        <w:t xml:space="preserve">Thus, Costco's international strategy has been oriented towards the regions allowing its high volume and low margin economics with minimal localization. As follows from the above, the </w:t>
      </w:r>
      <w:r>
        <w:t xml:space="preserve">company's strategic stance has immediate implications for the case of India. In any case, Costco will try to apply its standardised warehouse format and membership economics while accepting only those product and operational changes as far as it is really required for compliance with the local laws and preferences of the consumers. The organizational classification, thus, helps to formulate the analysis of the macro environment of India and the appropriate entry mode (Collinson </w:t>
      </w:r>
      <w:r w:rsidRPr="00A83764" w:rsidR="00A83764">
        <w:rPr>
          <w:i/>
          <w:iCs/>
        </w:rPr>
        <w:t>et al</w:t>
      </w:r>
      <w:r>
        <w:t>., 2024; Bartlett, Beamish and Delios, 2025).</w:t>
      </w:r>
    </w:p>
    <w:p w:rsidR="00E85216" w:rsidRDefault="00000000" w14:paraId="60041AF7" w14:textId="77777777">
      <w:pPr>
        <w:pStyle w:val="Heading1"/>
      </w:pPr>
      <w:bookmarkStart w:name="_Toc236131614" w:id="2"/>
      <w:r>
        <w:t>2. Macro-Environmental Appraisal and Market Attractiveness</w:t>
      </w:r>
      <w:bookmarkEnd w:id="2"/>
    </w:p>
    <w:p w:rsidR="00974E91" w:rsidP="00974E91" w:rsidRDefault="00974E91" w14:paraId="7D175A3D" w14:textId="4C5E18B9">
      <w:r w:rsidRPr="00974E91">
        <w:t xml:space="preserve">A systematic assessment of the political, economic, legal and cultural environment in India is vital for analyzing the desirability of the market for Costco's warehouse-club business format and using the OLI (eclectic) framework of Dunning (Dunning and Lundan, 2008). The following analysis assesses each dimension with regard to their specific applicability to a club retailing concept as well as drawing on recent empirical data from the literature (Collinson </w:t>
      </w:r>
      <w:r w:rsidRPr="00A83764" w:rsidR="00A83764">
        <w:rPr>
          <w:i/>
          <w:iCs/>
        </w:rPr>
        <w:t>et al</w:t>
      </w:r>
      <w:r w:rsidRPr="00974E91">
        <w:t>., 2024; Hill, 2023). The analysis also takes into account competitive pressures and infrastructural limitations that affect the conversion of opportunities at the macro-level to performance at the firm level (Patil, Borle and Singh, 2023; IBEF / Deloitte-FICCI, 2025). It is only through such an assessment of multiple dimensions that the real balance of location advantages and institutional limitations of Costco can be adequately determined (Bartlett, Beamish and Delios, 2025; Pitelis, Teece and Yang, 2024).</w:t>
      </w:r>
    </w:p>
    <w:p w:rsidR="00E85216" w:rsidRDefault="00000000" w14:paraId="359A8D24" w14:textId="77777777">
      <w:pPr>
        <w:pStyle w:val="Heading2"/>
      </w:pPr>
      <w:bookmarkStart w:name="_Toc236131615" w:id="3"/>
      <w:r>
        <w:t>2.1 Political Environment</w:t>
      </w:r>
      <w:bookmarkEnd w:id="3"/>
    </w:p>
    <w:p w:rsidR="00974E91" w:rsidP="00974E91" w:rsidRDefault="00974E91" w14:paraId="1605ECB5" w14:textId="7C50D693">
      <w:pPr>
        <w:spacing w:after="200"/>
      </w:pPr>
      <w:r>
        <w:t xml:space="preserve">India has a federal parliamentary democratic system, where power is shared between the government at the centre and the states (Chakraborty, 2022). Since 2014, the central government of India has adopted a reformist approach to governance with the slogan </w:t>
      </w:r>
      <w:r w:rsidR="00A83764">
        <w:t>“</w:t>
      </w:r>
      <w:r>
        <w:t>Make in India</w:t>
      </w:r>
      <w:r w:rsidR="00A83764">
        <w:t>”</w:t>
      </w:r>
      <w:r>
        <w:t xml:space="preserve"> and </w:t>
      </w:r>
      <w:r w:rsidR="00A83764">
        <w:t>“</w:t>
      </w:r>
      <w:r>
        <w:t>Atmanirbhar Bharat</w:t>
      </w:r>
      <w:r w:rsidR="00A83764">
        <w:t>”</w:t>
      </w:r>
      <w:r>
        <w:t>. Despite the above, policy relating to retail sector has remained highly political (Kedar, Karlekar and Gosavi, 2025). Due to the large employment base in traditional kirana stores and political significance of small scale traders, multi-brand retail is an area where foreign investment will quickly turn into a political issue (Chakraborty, 2022; Saluja, 2025). Multi-brand retailers will, therefore, face high political risk due to the likelihood of changes in policy, state level opposition and increasing demands for localization requirements (Meyer and Tse, 2025; Witt and Ciravegna, 2025).</w:t>
      </w:r>
    </w:p>
    <w:p w:rsidR="00974E91" w:rsidP="00974E91" w:rsidRDefault="00974E91" w14:paraId="7C56A7BA" w14:textId="56EB9DDD">
      <w:pPr>
        <w:spacing w:after="200"/>
      </w:pPr>
      <w:r>
        <w:t xml:space="preserve">While the central government has allowed up to 51 per cent of foreign direct investment (FDI) in MBRT via government approval route since 2012, the actual implementation process has </w:t>
      </w:r>
      <w:r>
        <w:t xml:space="preserve">been left to individual states (DPIIT, 2020; Beacon Filing, 2026). At the beginning of 2026, only a few states have formally expressed support for the establishment of MBRT outlets and even then a political turnover can nullify previous approvals (Beacon Filing, 2026; Dubey, Gupta and Agarwal, 2024). In such a dual political system, the transaction costs involved in location selection increase, leading to an increased probability of using non-market approaches such as lobbying, building coalitions with local stakeholders and careful opening sequence of stores (Meyer and Tse, 2025; Witt </w:t>
      </w:r>
      <w:r w:rsidRPr="00A83764" w:rsidR="00A83764">
        <w:rPr>
          <w:i/>
          <w:iCs/>
        </w:rPr>
        <w:t>et al</w:t>
      </w:r>
      <w:r>
        <w:t>., 2023). The political division of retail policy thus forms a structural aspect of the Indian institutional environment rather than a short-lived anomaly (Chakraborty, 2022).</w:t>
      </w:r>
    </w:p>
    <w:p w:rsidR="00E85216" w:rsidP="00974E91" w:rsidRDefault="00974E91" w14:paraId="0DB3DB01" w14:textId="78D3DF52">
      <w:pPr>
        <w:spacing w:after="200"/>
      </w:pPr>
      <w:r>
        <w:t xml:space="preserve">Geopolitical factors increase complexity even further. Costco is an American firm (Costco Wholesale Corporation, 2025). The improved alignment between India and the US in terms of geopolitics in the Indo-Pacific region is beneficial. The rising trend of economic nationalism and politicization of supply chains in emerging markets around the world is unfavourable for Western retailers, however (Tung, Zander and Fang, 2023; Witt </w:t>
      </w:r>
      <w:r w:rsidRPr="00A83764" w:rsidR="00A83764">
        <w:rPr>
          <w:i/>
          <w:iCs/>
        </w:rPr>
        <w:t>et al</w:t>
      </w:r>
      <w:r>
        <w:t xml:space="preserve">., 2023; Sinani </w:t>
      </w:r>
      <w:r w:rsidRPr="00A83764" w:rsidR="00A83764">
        <w:rPr>
          <w:i/>
          <w:iCs/>
        </w:rPr>
        <w:t>et al</w:t>
      </w:r>
      <w:r>
        <w:t xml:space="preserve">., 2026). Generally, it may be said that the political environment is moderately favourable for long term investment, but there is short and medium-term risk of regulatory challenges and state-level opposition (Meyer and Tse, 2025). The entry strategy should thus necessarily include political risk management as an integral aspect (Witt and Ciravegna, 2025; Thein </w:t>
      </w:r>
      <w:r w:rsidRPr="00A83764" w:rsidR="00A83764">
        <w:rPr>
          <w:i/>
          <w:iCs/>
        </w:rPr>
        <w:t>et al</w:t>
      </w:r>
      <w:r>
        <w:t>., 2024). The political dimension thus shapes both the feasibility and the sequencing of any potential Costco presence in India.</w:t>
      </w:r>
    </w:p>
    <w:p w:rsidR="00E85216" w:rsidRDefault="00000000" w14:paraId="47E57F64" w14:textId="77777777">
      <w:pPr>
        <w:pStyle w:val="Heading2"/>
      </w:pPr>
      <w:bookmarkStart w:name="_Toc236131616" w:id="4"/>
      <w:r>
        <w:t>2.2 Economic Environment</w:t>
      </w:r>
      <w:bookmarkEnd w:id="4"/>
    </w:p>
    <w:p w:rsidR="0053603B" w:rsidP="0053603B" w:rsidRDefault="0053603B" w14:paraId="3D089A00" w14:textId="77777777">
      <w:r>
        <w:t xml:space="preserve">The long-term economics of India offer an exciting opportunity. Growth in real GDP is robust at more than 6 per cent annually while the retail market is forecast to grow from about US$1.06 trillion in 2024 to US$1.93 trillion by 2030—compound annual growth rate of about 10 per cent (IBEF / Deloitte-FICCI, 2025). The organised retail sector remains under-penetrated compared to its peers among emerging economies offering a lot of potential room for development of modern formats (Patil, Borle and Singh, 2023). Demographics offer additional positive dynamics with the growth of the middle-class population, increasing disposable incomes and Generation Z consumers set to comprise 43 per cent of all consumption by 2025 having spending power of US$250 billion (IBEF / Deloitte-FICCI, 2025). Online retail is forecast to increase quickly too, from US$75 billion in 2024 to US$260 billion by 2030 despite </w:t>
      </w:r>
      <w:r>
        <w:t>being currently off-limits for multi-brand operators under FDI rules (DPIIT, 2020; Beacon Filing, 2026).</w:t>
      </w:r>
    </w:p>
    <w:p w:rsidR="0053603B" w:rsidP="0053603B" w:rsidRDefault="0053603B" w14:paraId="0E08C446" w14:textId="34BA3F2C">
      <w:r>
        <w:t xml:space="preserve">On the other hand, there are several aspects of the economy of India that present significant obstacles for Costco's business model. First of all, average household incomes are much lower in India compared to the levels in Costco's current markets (Costco Wholesale Corporation, 2025; Hill, 2023). This constrains the potential addressable market for a fee-based warehouse model which relies on high average ticket size and car shopping trips (Kumar </w:t>
      </w:r>
      <w:r w:rsidRPr="00A83764" w:rsidR="00A83764">
        <w:rPr>
          <w:i/>
          <w:iCs/>
        </w:rPr>
        <w:t>et al</w:t>
      </w:r>
      <w:r>
        <w:t xml:space="preserve">., 2022). Secondly, the share of sales through the unorganised retail channel remains dominant while online and quick commerce channels are growing fast and intensify the competition in physical retail (Patil, Borle and Singh, 2023; IBEF / Deloitte-FICCI, 2025). Thirdly, there are infrastructure deficiencies related to cold chain logistics, last mile delivery and availability of large plots of land for warehouse stores in urban high density locations (Hill, 2023; Collinson </w:t>
      </w:r>
      <w:r w:rsidRPr="00A83764" w:rsidR="00A83764">
        <w:rPr>
          <w:i/>
          <w:iCs/>
        </w:rPr>
        <w:t>et al</w:t>
      </w:r>
      <w:r>
        <w:t>., 2024; Stoian, Tardios and Samdanis, 2024).</w:t>
      </w:r>
    </w:p>
    <w:p w:rsidR="0053603B" w:rsidP="0053603B" w:rsidRDefault="0053603B" w14:paraId="532C2822" w14:textId="5FABC89F">
      <w:r>
        <w:t xml:space="preserve">Therefore, from the standpoint of the Dunning's Location (L) advantages, India looks like a mixed story (Dunning and Lundan, 2008). Large and growing size of the consumer market is a strong pull factor, but institutional deficiencies and infrastructure shortages make this location not as attractive for a capital intensive warehouse store (Stoian, Tardios and Samdanis, 2024; Benito </w:t>
      </w:r>
      <w:r w:rsidRPr="00A83764" w:rsidR="00A83764">
        <w:rPr>
          <w:i/>
          <w:iCs/>
        </w:rPr>
        <w:t>et al</w:t>
      </w:r>
      <w:r>
        <w:t xml:space="preserve">., 2022). Costco will have to make substantial investments into back-end infrastructure just to unlock its ownership advantages which requirement is already built into the FDI terms for MBRTs (DPIIT, 2020; Saluja, 2025). Thus, while the economic situation supports a strategic long-term commitment, the short-term financial performance is likely to be limited (Pitelis, Teece and Yang, 2024). Therefore, the economic rationale of entering this market is better understood when looked at through a multi-year strategic perspective than based on short-term ROIC targets (Hill, 2023; Collinson </w:t>
      </w:r>
      <w:r w:rsidRPr="00A83764" w:rsidR="00A83764">
        <w:rPr>
          <w:i/>
          <w:iCs/>
        </w:rPr>
        <w:t>et al</w:t>
      </w:r>
      <w:r>
        <w:t>., 2024).</w:t>
      </w:r>
    </w:p>
    <w:p w:rsidR="00E85216" w:rsidRDefault="00000000" w14:paraId="194AA14C" w14:textId="77777777">
      <w:pPr>
        <w:pStyle w:val="Heading2"/>
      </w:pPr>
      <w:bookmarkStart w:name="_Toc236131617" w:id="5"/>
      <w:r>
        <w:t>2.3 Legal and Regulatory Environment</w:t>
      </w:r>
      <w:bookmarkEnd w:id="5"/>
    </w:p>
    <w:p w:rsidR="00A12427" w:rsidP="00A12427" w:rsidRDefault="00A12427" w14:paraId="61F77C13" w14:textId="77777777">
      <w:r>
        <w:t xml:space="preserve">Law and regulation represent the most binding entry option constraint for Costco. According to the Consolidated FDI Policy, the Multi Brand Retail Trading (MBRT) business sector operates under the ceiling cap of 51 per cent FDI and is required to obtain government approval rather than operating in an automatic route (DPIIT, 2020; Beacon Filing, 2026). The key mandatory requirements include the following: at least US$100 million of FDI; 50 per cent of the first US$100 million to be used to create backend infrastructure (including cold chain, warehousing, logistics) within three years; mandatory 30 per cent sourcing of manufactured </w:t>
      </w:r>
      <w:r>
        <w:t>and processed products from Indian MSMEs; the stores must be located only in cities with populations exceeding one million according to the 2011 Census; and prohibition of e-commerce operations for any MBRT firm that obtained FDI (Chakraborty, 2022; Saluja, 2025; Dubey, Gupta and Agarwal, 2024). Overall, these requirements raise both capital requirement and operational complexity (Kedar, Karlekar and Gosavi, 2025).</w:t>
      </w:r>
    </w:p>
    <w:p w:rsidR="00A12427" w:rsidP="00A12427" w:rsidRDefault="00A12427" w14:paraId="6E5FDAB0" w14:textId="161393ED">
      <w:r>
        <w:t xml:space="preserve">Moreover, each state government must independently give its consent on allowing MBRT stores to operate in its territory (Beacon Filing, 2026). Such dual-level approval process creates a great deal of uncertainty and red tape. As of 2026, no big foreign multi-brand retailer has been able to create a national presence within the framework of 51 per cent FDI policy (Beacon Filing, 2026; Chakraborty, 2022). In contrast, 100 per cent FDI is allowed in single brand retail trading automatically. However, since the product mix at Costco includes many different categories, it cannot be regarded as single brand retailing (DPIIT, 2020; Saluja, 2025). The legal framework thus limits possible governance options for a potential new entrant (Wan </w:t>
      </w:r>
      <w:r w:rsidRPr="00A83764" w:rsidR="00A83764">
        <w:rPr>
          <w:i/>
          <w:iCs/>
        </w:rPr>
        <w:t>et al</w:t>
      </w:r>
      <w:r>
        <w:t>., 2023).</w:t>
      </w:r>
    </w:p>
    <w:p w:rsidR="00A12427" w:rsidP="00A12427" w:rsidRDefault="00A12427" w14:paraId="23C418E9" w14:textId="1E16AB4F">
      <w:r>
        <w:t xml:space="preserve">As a result, all these regulatory aspects directly undermine I advantages (Dunning and Lundan, 2008). Great institutional distance, mandatory local joint venture and prohibition on online sales make the protection of proprietary knowledge and implementation of standardized global operating system of Costco more expensive (Wan </w:t>
      </w:r>
      <w:r w:rsidRPr="00A83764" w:rsidR="00A83764">
        <w:rPr>
          <w:i/>
          <w:iCs/>
        </w:rPr>
        <w:t>et al</w:t>
      </w:r>
      <w:r>
        <w:t xml:space="preserve">., 2023; Brouthers </w:t>
      </w:r>
      <w:r w:rsidRPr="00A83764" w:rsidR="00A83764">
        <w:rPr>
          <w:i/>
          <w:iCs/>
        </w:rPr>
        <w:t>et al</w:t>
      </w:r>
      <w:r>
        <w:t xml:space="preserve">., 2022; Ego and Pidun, 2025). Therefore, any feasible entry model should not only comply with the FDI policy formally but also overcome informal constraints that have so far discouraged equity investment in multi-brand retailing by foreign companies (Meyer and Tse, 2025; Kashyap </w:t>
      </w:r>
      <w:r w:rsidRPr="00A83764" w:rsidR="00A83764">
        <w:rPr>
          <w:i/>
          <w:iCs/>
        </w:rPr>
        <w:t>et al</w:t>
      </w:r>
      <w:r>
        <w:t xml:space="preserve">., 2026). The legal environment thus shifts the balance of advantages towards collaborative rather than wholly-owned entry models and highlights the importance of proper partner choice and contract design (Brouthers </w:t>
      </w:r>
      <w:r w:rsidRPr="00A83764" w:rsidR="00A83764">
        <w:rPr>
          <w:i/>
          <w:iCs/>
        </w:rPr>
        <w:t>et al</w:t>
      </w:r>
      <w:r>
        <w:t>., 2022; Zhou, Gomes and Vendrell-Herrero, 2025).</w:t>
      </w:r>
    </w:p>
    <w:p w:rsidR="00E85216" w:rsidRDefault="00000000" w14:paraId="56C04CC9" w14:textId="77777777">
      <w:pPr>
        <w:pStyle w:val="Heading2"/>
      </w:pPr>
      <w:bookmarkStart w:name="_Toc236131618" w:id="6"/>
      <w:r>
        <w:t>2.4 Cultural Environment</w:t>
      </w:r>
      <w:bookmarkEnd w:id="6"/>
    </w:p>
    <w:p w:rsidR="00A12427" w:rsidP="00A12427" w:rsidRDefault="00A12427" w14:paraId="57356F34" w14:textId="7020D011">
      <w:r>
        <w:t xml:space="preserve">In turn, cultural factors influence not only consumer acceptability of the warehouse-club business model but also internal company management of its Indian subsidiary. Price sensitivity along with growing consumer aspirations for branded products of high quality are among typical characteristics of Indian customers (Patil, Borle and Singh, 2023; Kumar </w:t>
      </w:r>
      <w:r w:rsidRPr="00A83764" w:rsidR="00A83764">
        <w:rPr>
          <w:i/>
          <w:iCs/>
        </w:rPr>
        <w:t>et al</w:t>
      </w:r>
      <w:r>
        <w:t xml:space="preserve">., 2022). However, shopping continues to focus on frequent small-scale purchases in the neighbourhood stores (IBEF / Deloitte-FICCI, 2025). Owning a car is also becoming more common in India but the share of the population having a car is much lower compared to </w:t>
      </w:r>
      <w:r>
        <w:t xml:space="preserve">developed countries where Costco operates (Costco Wholesale Corporation, 2025; Hill, 2023). The idea of making an annual fee to buy products from a warehouse-club is quite new for Indian consumers and requires continuous educating (Kumar </w:t>
      </w:r>
      <w:r w:rsidRPr="00A83764" w:rsidR="00A83764">
        <w:rPr>
          <w:i/>
          <w:iCs/>
        </w:rPr>
        <w:t>et al</w:t>
      </w:r>
      <w:r>
        <w:t xml:space="preserve">., 2022; Collinson </w:t>
      </w:r>
      <w:r w:rsidRPr="00A83764" w:rsidR="00A83764">
        <w:rPr>
          <w:i/>
          <w:iCs/>
        </w:rPr>
        <w:t>et al</w:t>
      </w:r>
      <w:r>
        <w:t>., 2024).</w:t>
      </w:r>
    </w:p>
    <w:p w:rsidR="00A12427" w:rsidP="00A12427" w:rsidRDefault="00A12427" w14:paraId="1CFD3BEF" w14:textId="2EFF691C">
      <w:r>
        <w:t xml:space="preserve">From the point of view of organisational culture, relatively high power distance and collectivist mentality in India suggest that it may be more beneficial to implement a hierarchical approach to management and building relationships with suppliers rather than the lean egalitarian culture of Costco in North America (Collinson </w:t>
      </w:r>
      <w:r w:rsidRPr="00A83764" w:rsidR="00A83764">
        <w:rPr>
          <w:i/>
          <w:iCs/>
        </w:rPr>
        <w:t>et al</w:t>
      </w:r>
      <w:r>
        <w:t xml:space="preserve">., 2024; Macro and Ott, 2024). In addition, cross-cultural adaptation of expatriate managers as well as developing managerial skills among local workforce able to understand Costco's operating philosophy represents a non-trivial organisational challenge (Stoian, Tardios and Samdanis, 2024; Schotter </w:t>
      </w:r>
      <w:r w:rsidRPr="00A83764" w:rsidR="00A83764">
        <w:rPr>
          <w:i/>
          <w:iCs/>
        </w:rPr>
        <w:t>et al</w:t>
      </w:r>
      <w:r>
        <w:t xml:space="preserve">., 2025). Otherwise, human resources management and interaction with suppliers can lead to the loss of the transferred ownership advantages as well as inconsistency of the global model (Pitelis, Teece and Yang, 2024; Bartlett, Beamish and Delios, 2025). Cultural distance increases the necessity to have a partner capable of overcoming institutional and behavioural barriers while Costa itself invests into developing managerial capacity in India (Macro and Ott, 2024; Kashyap </w:t>
      </w:r>
      <w:r w:rsidRPr="00A83764" w:rsidR="00A83764">
        <w:rPr>
          <w:i/>
          <w:iCs/>
        </w:rPr>
        <w:t>et al</w:t>
      </w:r>
      <w:r>
        <w:t>., 2026).</w:t>
      </w:r>
    </w:p>
    <w:p w:rsidR="00E85216" w:rsidRDefault="00000000" w14:paraId="53DF5BEC" w14:textId="77777777">
      <w:pPr>
        <w:pStyle w:val="Heading2"/>
      </w:pPr>
      <w:bookmarkStart w:name="_Toc236131619" w:id="7"/>
      <w:r>
        <w:t>2.5 Competitive Dynamics and Infrastructure Constraints</w:t>
      </w:r>
      <w:bookmarkEnd w:id="7"/>
    </w:p>
    <w:p w:rsidR="00A12427" w:rsidP="00A12427" w:rsidRDefault="00A12427" w14:paraId="038A985A" w14:textId="0C95C2E9">
      <w:r w:rsidRPr="00A12427">
        <w:t xml:space="preserve">Apart from the classical PEST dimensions, two more variables affect the attractiveness of the market to the entry of Costco. Firstly, the level of competition in the Indian organized retail sector has sharply grown due to the rise in the number of conglomerate retailers within the country (specifically, Reliance Retail) as well as fast growth of the online and express retailing platforms (Patil, Borle and Singh, 2023; IBEF / Deloitte-FICCI, 2025). These players have already established themselves in the market with their extensive networks of stores, efficient last-mile capabilities and profound local expertise, which an incumbent warehouse retailer will have to face (Hill, 2023; Collinson </w:t>
      </w:r>
      <w:r w:rsidRPr="00A83764" w:rsidR="00A83764">
        <w:rPr>
          <w:i/>
          <w:iCs/>
        </w:rPr>
        <w:t>et al</w:t>
      </w:r>
      <w:r w:rsidRPr="00A12427">
        <w:t xml:space="preserve">., 2024). Secondly, the lack of appropriately sized parcels of land and the poor development of cold chain and logistics infrastructure increase both the capital intensity and complexity of the business (Stoian, Tardios and Samdanis, 2024; Benito </w:t>
      </w:r>
      <w:r w:rsidRPr="00A83764" w:rsidR="00A83764">
        <w:rPr>
          <w:i/>
          <w:iCs/>
        </w:rPr>
        <w:t>et al</w:t>
      </w:r>
      <w:r w:rsidRPr="00A12427">
        <w:t>., 2022). These difficulties, combined with the obligation to allocate 50 percent of the initial investment into back-end infrastructure according to the regulations, result in the need for the establishment of the capabilities that the indigenous competitors may have (DPIIT, 2020; Saluja, 2025).</w:t>
      </w:r>
    </w:p>
    <w:p w:rsidR="00E85216" w:rsidP="00542ED8" w:rsidRDefault="00000000" w14:paraId="4A8C197F" w14:textId="77777777">
      <w:pPr>
        <w:pStyle w:val="Heading2"/>
      </w:pPr>
      <w:bookmarkStart w:name="_Toc236131620" w:id="8"/>
      <w:r>
        <w:t xml:space="preserve">2.6 Application of the OLI </w:t>
      </w:r>
      <w:r w:rsidRPr="00542ED8">
        <w:t>Framework</w:t>
      </w:r>
      <w:r>
        <w:t xml:space="preserve"> and Overall Market Attractiveness</w:t>
      </w:r>
      <w:bookmarkEnd w:id="8"/>
    </w:p>
    <w:p w:rsidR="00542ED8" w:rsidRDefault="00000000" w14:paraId="1CD4BF5E" w14:textId="77777777">
      <w:pPr>
        <w:spacing w:after="200"/>
      </w:pPr>
      <w:r>
        <w:t xml:space="preserve">Dunning’s eclectic paradigm supplies a coherent framework for synthesising the preceding analysis (Dunning and Lundan, 2008). </w:t>
      </w:r>
    </w:p>
    <w:p w:rsidR="00A83764" w:rsidP="00A83764" w:rsidRDefault="00A83764" w14:paraId="2F4D0C06" w14:textId="798AC522">
      <w:pPr>
        <w:spacing w:after="200"/>
        <w:jc w:val="center"/>
      </w:pPr>
      <w:r>
        <w:rPr>
          <w:noProof/>
        </w:rPr>
        <w:drawing>
          <wp:inline distT="0" distB="0" distL="0" distR="0" wp14:anchorId="30528905" wp14:editId="6FDD355D">
            <wp:extent cx="5734050" cy="3822700"/>
            <wp:effectExtent l="0" t="0" r="0" b="6350"/>
            <wp:docPr id="1839476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3822700"/>
                    </a:xfrm>
                    <a:prstGeom prst="rect">
                      <a:avLst/>
                    </a:prstGeom>
                    <a:noFill/>
                  </pic:spPr>
                </pic:pic>
              </a:graphicData>
            </a:graphic>
          </wp:inline>
        </w:drawing>
      </w:r>
    </w:p>
    <w:p w:rsidR="00542ED8" w:rsidP="00542ED8" w:rsidRDefault="00542ED8" w14:paraId="536E7B56" w14:textId="5A15AEC4">
      <w:pPr>
        <w:jc w:val="center"/>
      </w:pPr>
      <w:r w:rsidRPr="00A83764">
        <w:rPr>
          <w:b/>
          <w:bCs/>
        </w:rPr>
        <w:t xml:space="preserve">Figure 1: </w:t>
      </w:r>
      <w:r>
        <w:t>OLI Framework</w:t>
      </w:r>
    </w:p>
    <w:p w:rsidR="00542ED8" w:rsidP="00542ED8" w:rsidRDefault="00542ED8" w14:paraId="4C064E4A" w14:textId="230CEDC8">
      <w:pPr>
        <w:jc w:val="center"/>
      </w:pPr>
      <w:r>
        <w:t>(Source: Self-developed)</w:t>
      </w:r>
    </w:p>
    <w:p w:rsidR="00A12427" w:rsidP="00A12427" w:rsidRDefault="00A12427" w14:paraId="01EDCF66" w14:textId="3DD7B7F6">
      <w:r>
        <w:t xml:space="preserve">The company benefits from considerable ownership (O) assets: strong brand recognition, membership-related business economics, advanced inventory management and logistics processes, and considerable experience of adapting its warehouse format abroad (Costco Wholesale Corporation, 2025; Kumar </w:t>
      </w:r>
      <w:r w:rsidRPr="00A83764" w:rsidR="00A83764">
        <w:rPr>
          <w:i/>
          <w:iCs/>
        </w:rPr>
        <w:t>et al</w:t>
      </w:r>
      <w:r>
        <w:t>., 2022; Hill, 2023). All these firm-specific resources are fairly mobile and might, theoretically, be used to enter India (Pitelis, Teece and Yang, 2024; Bartlett, Beamish and Delios, 2025).</w:t>
      </w:r>
    </w:p>
    <w:p w:rsidR="00A12427" w:rsidP="00A12427" w:rsidRDefault="00A12427" w14:paraId="1B3A3C45" w14:textId="36D7D4E3">
      <w:r>
        <w:t xml:space="preserve">Regarding location (L) advantages, their character is generally positive but ambiguous. Large potential of the country’s absolute market size, continuous growth prospects, and demographic dividend provide powerful demand-side incentives to enter (IBEF / Deloitte-FICCI, 2025). However, institutional gaps, lack of adequate infrastructure, political sensitiveness regarding multi-brand retail, and complex regulation by the states reduce the overall L-advantages in comparison with other emerging markets offering more straightforward FDI regimes (Stoian, </w:t>
      </w:r>
      <w:r>
        <w:t xml:space="preserve">Tardios and Samdanis, 2024; Meyer and Tse, 2025; Chakraborty, 2022). Finally, internalisation (I) advantages face restrictions set by the 51 per cent FDI ceiling, mandatory local partnerships, and ban on e-commerce (DPIIT, 2020; Beacon Filing, 2026). This means that the company will have to share control and compromise integrity of its operating system (Wan </w:t>
      </w:r>
      <w:r w:rsidRPr="00A83764" w:rsidR="00A83764">
        <w:rPr>
          <w:i/>
          <w:iCs/>
        </w:rPr>
        <w:t>et al</w:t>
      </w:r>
      <w:r>
        <w:t xml:space="preserve">., 2023; Brouthers </w:t>
      </w:r>
      <w:r w:rsidRPr="00A83764" w:rsidR="00A83764">
        <w:rPr>
          <w:i/>
          <w:iCs/>
        </w:rPr>
        <w:t>et al</w:t>
      </w:r>
      <w:r>
        <w:t>., 2022; Ego and Pidun, 2025).</w:t>
      </w:r>
    </w:p>
    <w:p w:rsidR="00A12427" w:rsidP="00A12427" w:rsidRDefault="00A12427" w14:paraId="2426F019" w14:textId="5F7800E1">
      <w:r>
        <w:t xml:space="preserve">Combining all the elements of the OLI approach helps arrive at a clear-cut conclusion about the nature of India: the country represents an attractive yet challenging market (Dunning and Lundan, 2008; Benito </w:t>
      </w:r>
      <w:r w:rsidRPr="00A83764" w:rsidR="00A83764">
        <w:rPr>
          <w:i/>
          <w:iCs/>
        </w:rPr>
        <w:t>et al</w:t>
      </w:r>
      <w:r>
        <w:t xml:space="preserve">., 2022). Attractiveness stems from growth opportunities and under-development of retail warehouses in the country; unattractiveness is determined by regulatory restrictive measures, political risks, infrastructure deficiencies, and necessity of heavy adaptation of the business model and governance structures (IBEF / Deloitte-FICCI, 2025; Chakraborty, 2022; Patil, Borle and Singh, 2023). All this points at the fact that complete and full-scale entry through ownership of stores is currently neither legal nor feasible (Wan </w:t>
      </w:r>
      <w:r w:rsidRPr="00A83764" w:rsidR="00A83764">
        <w:rPr>
          <w:i/>
          <w:iCs/>
        </w:rPr>
        <w:t>et al</w:t>
      </w:r>
      <w:r>
        <w:t xml:space="preserve">., 2023; Brouthers </w:t>
      </w:r>
      <w:r w:rsidRPr="00A83764" w:rsidR="00A83764">
        <w:rPr>
          <w:i/>
          <w:iCs/>
        </w:rPr>
        <w:t>et al</w:t>
      </w:r>
      <w:r>
        <w:t xml:space="preserve">., 2022). However, collaborative entry could help the company to explore the market, gain experience and form necessary relational assets (Zhou, Gomes and Vendrell-Herrero, 2025; Kashyap </w:t>
      </w:r>
      <w:r w:rsidRPr="00A83764" w:rsidR="00A83764">
        <w:rPr>
          <w:i/>
          <w:iCs/>
        </w:rPr>
        <w:t>et al</w:t>
      </w:r>
      <w:r>
        <w:t>., 2026; Ego and Pidun, 2025).</w:t>
      </w:r>
    </w:p>
    <w:p w:rsidR="00A12427" w:rsidP="00A12427" w:rsidRDefault="00A12427" w14:paraId="04D5AF13" w14:textId="742D1104">
      <w:r>
        <w:t xml:space="preserve">It should be noted that up until 2025–2026, the only confirmed activity of Costco in India is Global Capability Centre in Hyderabad which deals exclusively with technology and shared services, not retail (Reuters, 2025). Limited presence of the company on the Indian market means that the company does not operate any stores, hence meeting the criterion of </w:t>
      </w:r>
      <w:r w:rsidR="00A83764">
        <w:t>“</w:t>
      </w:r>
      <w:r>
        <w:t>no significant operational presence as of 1 June 2026</w:t>
      </w:r>
      <w:r w:rsidR="00A83764">
        <w:t>”</w:t>
      </w:r>
      <w:r>
        <w:t xml:space="preserve"> (Costco Wholesale Corporation, 2025; Reuters, 2025). At the same time, presence of the capability centre gives an insight into organizational familiarity with institutional and HR aspects of doing business in the country (Schotter </w:t>
      </w:r>
      <w:r w:rsidRPr="00A83764" w:rsidR="00A83764">
        <w:rPr>
          <w:i/>
          <w:iCs/>
        </w:rPr>
        <w:t>et al</w:t>
      </w:r>
      <w:r>
        <w:t>., 2025; Macro and Ott, 2024).</w:t>
      </w:r>
    </w:p>
    <w:p w:rsidR="00A12427" w:rsidP="00A12427" w:rsidRDefault="00A12427" w14:paraId="09A6CCF9" w14:textId="3FA1C63A">
      <w:r>
        <w:t xml:space="preserve">In conclusion, it is possible to say that both macro-environmental analysis and OLI framework lead to the same strategic decision: India requires a staged and collaborative approach rather than aggressive and high-control strategy (Dunning and Lundan, 2008; Bartlett, Beamish and Delios, 2025; Pitelis, Teece and Yang, 2024). Together, political, economic, legal and cultural factors, as well as competitive and infrastructural limitations, clearly indicate that the path of joint venture will be appropriate. In this regard, next section discusses implications of this diagnostic in terms of entry mode choice and strategy formulation (Wan </w:t>
      </w:r>
      <w:r w:rsidRPr="00A83764" w:rsidR="00A83764">
        <w:rPr>
          <w:i/>
          <w:iCs/>
        </w:rPr>
        <w:t>et al</w:t>
      </w:r>
      <w:r>
        <w:t xml:space="preserve">., 2023; Brouthers </w:t>
      </w:r>
      <w:r w:rsidRPr="00A83764" w:rsidR="00A83764">
        <w:rPr>
          <w:i/>
          <w:iCs/>
        </w:rPr>
        <w:t>et al</w:t>
      </w:r>
      <w:r>
        <w:t xml:space="preserve">., 2022; Zhou </w:t>
      </w:r>
      <w:r w:rsidRPr="00A83764" w:rsidR="00A83764">
        <w:rPr>
          <w:i/>
          <w:iCs/>
        </w:rPr>
        <w:t>et al</w:t>
      </w:r>
      <w:r>
        <w:t xml:space="preserve">., 2025). In line with the general theory of entry modes and institutional constraints, collaboration appears to be advantageous when there are both formal and informal </w:t>
      </w:r>
      <w:r>
        <w:t xml:space="preserve">barriers to entry (Brouthers </w:t>
      </w:r>
      <w:r w:rsidRPr="00A83764" w:rsidR="00A83764">
        <w:rPr>
          <w:i/>
          <w:iCs/>
        </w:rPr>
        <w:t>et al</w:t>
      </w:r>
      <w:r>
        <w:t xml:space="preserve">., 2022; Wan </w:t>
      </w:r>
      <w:r w:rsidRPr="00A83764" w:rsidR="00A83764">
        <w:rPr>
          <w:i/>
          <w:iCs/>
        </w:rPr>
        <w:t>et al</w:t>
      </w:r>
      <w:r>
        <w:t xml:space="preserve">., 2023; Ego and Pidun, 2025; Kashyap </w:t>
      </w:r>
      <w:r w:rsidRPr="00A83764" w:rsidR="00A83764">
        <w:rPr>
          <w:i/>
          <w:iCs/>
        </w:rPr>
        <w:t>et al</w:t>
      </w:r>
      <w:r>
        <w:t>., 2026). Therefore, the macro-environmental findings presented in this section represent a solid basis for entry mode recommendations made in Section 3.</w:t>
      </w:r>
    </w:p>
    <w:p w:rsidR="00E85216" w:rsidRDefault="00000000" w14:paraId="6E859197" w14:textId="77777777">
      <w:pPr>
        <w:pStyle w:val="Heading1"/>
      </w:pPr>
      <w:bookmarkStart w:name="_Toc236131621" w:id="9"/>
      <w:r>
        <w:t>3. Entry Mode Strategy and Strategic Synthesis</w:t>
      </w:r>
      <w:bookmarkEnd w:id="9"/>
    </w:p>
    <w:p w:rsidR="00A12427" w:rsidP="00A12427" w:rsidRDefault="00A12427" w14:paraId="3F2DB13C" w14:textId="69FE60EC">
      <w:r>
        <w:t xml:space="preserve">In light of the OLI framework and the identified macro-level constraints, the most suitable entry mode for Costco would be a joint venture that fits within the 51 per cent FDI ownership restriction while maximizing possible levels of operational control over the venture. This is based on institutional theories, transaction cost economics and entry-mode research (Dunning and Lundan, 2008; Wan </w:t>
      </w:r>
      <w:r w:rsidRPr="00A83764" w:rsidR="00A83764">
        <w:rPr>
          <w:i/>
          <w:iCs/>
        </w:rPr>
        <w:t>et al</w:t>
      </w:r>
      <w:r>
        <w:t xml:space="preserve">., 2023; Brouthers </w:t>
      </w:r>
      <w:r w:rsidRPr="00A83764" w:rsidR="00A83764">
        <w:rPr>
          <w:i/>
          <w:iCs/>
        </w:rPr>
        <w:t>et al</w:t>
      </w:r>
      <w:r>
        <w:t>., 2022).</w:t>
      </w:r>
    </w:p>
    <w:p w:rsidR="00864072" w:rsidP="00A12427" w:rsidRDefault="00864072" w14:paraId="1210B601" w14:textId="2DBF4FB9">
      <w:r>
        <w:rPr>
          <w:noProof/>
        </w:rPr>
        <w:drawing>
          <wp:inline distT="0" distB="0" distL="0" distR="0" wp14:anchorId="2DB50FC5" wp14:editId="11011DFD">
            <wp:extent cx="5692140" cy="3794760"/>
            <wp:effectExtent l="0" t="0" r="3810" b="0"/>
            <wp:docPr id="735836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92140" cy="3794760"/>
                    </a:xfrm>
                    <a:prstGeom prst="rect">
                      <a:avLst/>
                    </a:prstGeom>
                    <a:noFill/>
                  </pic:spPr>
                </pic:pic>
              </a:graphicData>
            </a:graphic>
          </wp:inline>
        </w:drawing>
      </w:r>
    </w:p>
    <w:p w:rsidR="00864072" w:rsidP="00864072" w:rsidRDefault="00864072" w14:paraId="513914F5" w14:textId="446612CE">
      <w:pPr>
        <w:jc w:val="center"/>
      </w:pPr>
      <w:r w:rsidRPr="00864072">
        <w:rPr>
          <w:b/>
          <w:bCs/>
        </w:rPr>
        <w:t xml:space="preserve">Figure </w:t>
      </w:r>
      <w:r w:rsidR="00A97DCE">
        <w:rPr>
          <w:b/>
          <w:bCs/>
        </w:rPr>
        <w:t>2</w:t>
      </w:r>
      <w:r>
        <w:rPr>
          <w:b/>
          <w:bCs/>
        </w:rPr>
        <w:t>:</w:t>
      </w:r>
      <w:r w:rsidRPr="00864072">
        <w:t xml:space="preserve"> Entry Mode Strategy and Strategic Synthesis for Costco's Entry into India</w:t>
      </w:r>
    </w:p>
    <w:p w:rsidR="00864072" w:rsidP="00864072" w:rsidRDefault="00864072" w14:paraId="54984E2B" w14:textId="7A89BC13">
      <w:pPr>
        <w:jc w:val="center"/>
      </w:pPr>
      <w:r>
        <w:t>(Source: Self-Developed)</w:t>
      </w:r>
    </w:p>
    <w:p w:rsidR="00A12427" w:rsidP="00A12427" w:rsidRDefault="00A12427" w14:paraId="56F50DEE" w14:textId="5FF3B53B">
      <w:r>
        <w:t xml:space="preserve">Other entry modes are not viable from either a legal or strategic perspective. An entirely owned subsidiary is not possible due to the ownership cap of 51 per cent (DPIIT, 2020; Beacon Filing, 2026). Purely exporting or licensing fails to transfer the physical warehouse experience and membership benefits, which are the company’s competitive advantages (Costco Wholesale Corporation, 2025; Kumar </w:t>
      </w:r>
      <w:r w:rsidRPr="00A83764" w:rsidR="00A83764">
        <w:rPr>
          <w:i/>
          <w:iCs/>
        </w:rPr>
        <w:t>et al</w:t>
      </w:r>
      <w:r>
        <w:t xml:space="preserve">., 2022). Franchising is not a good option since Costco has not </w:t>
      </w:r>
      <w:r>
        <w:t xml:space="preserve">used franchise and maintains tight control over merchandising, pricing, and suppliers (Hill, 2023). An acquisition of an existing MBRT would also require government’s approval due to the ownership ceiling, as well as would bring the liability of the heritage operations (Kashyap </w:t>
      </w:r>
      <w:r w:rsidRPr="00A83764" w:rsidR="00A83764">
        <w:rPr>
          <w:i/>
          <w:iCs/>
        </w:rPr>
        <w:t>et al</w:t>
      </w:r>
      <w:r>
        <w:t xml:space="preserve">., 2026; Amankwah-Amoah </w:t>
      </w:r>
      <w:r w:rsidRPr="00A83764" w:rsidR="00A83764">
        <w:rPr>
          <w:i/>
          <w:iCs/>
        </w:rPr>
        <w:t>et al</w:t>
      </w:r>
      <w:r>
        <w:t>., 2022; Schmitz and Parente, 2024).</w:t>
      </w:r>
    </w:p>
    <w:p w:rsidR="00A12427" w:rsidP="00A12427" w:rsidRDefault="00A12427" w14:paraId="12245A13" w14:textId="77777777">
      <w:r>
        <w:t>There are at least four major reasons why a joint venture in greenfield mode can be beneficial. Firstly, it satisfies the statutory requirements concerning ownership and partnering with Indians (DPIIT, 2020). Secondly, it is easier for a properly chosen partner to provide political capital, land assembly and knowledge of the state regulatory practices since the approval procedure is twofold (Beacon Filing, 2026; Meyer and Tse, 2025). Thirdly, the joint venture allows gradual investments by starting with opening warehouses in one or two supportive states (such as Maharashtra or Haryana), thus obtaining learning by doing and early cash flows before entering other locations (Zhou, Gomes and Vendrell-Herrero, 2025). Finally, the mandatory $100 million investment and 50 per cent infrastructure requirement can be shared between partners, thus reducing the burden for Costco (Saluja, 2025; DPIIT, 2020).</w:t>
      </w:r>
    </w:p>
    <w:p w:rsidR="00A12427" w:rsidP="00A12427" w:rsidRDefault="00A12427" w14:paraId="17A052FC" w14:textId="60FBB21E">
      <w:r>
        <w:t xml:space="preserve">Design factors for the joint venture would include at least four elements. Firstly, Costco should negotiate a majority of operational control through the board composition, management contracts and brand licenses that would secure the protection of its know-how and standards (Brouthers </w:t>
      </w:r>
      <w:r w:rsidRPr="00A83764" w:rsidR="00A83764">
        <w:rPr>
          <w:i/>
          <w:iCs/>
        </w:rPr>
        <w:t>et al</w:t>
      </w:r>
      <w:r>
        <w:t xml:space="preserve">., 2022; Wan </w:t>
      </w:r>
      <w:r w:rsidRPr="00A83764" w:rsidR="00A83764">
        <w:rPr>
          <w:i/>
          <w:iCs/>
        </w:rPr>
        <w:t>et al</w:t>
      </w:r>
      <w:r>
        <w:t xml:space="preserve">., 2023). Secondly, the shareholders’ agreement should include clear provisions about the exit and escalation of disagreements that would minimize partner opportunism (Ego and Pidun, 2025). Thirdly, the geographic expansion strategy should take into account the sequence of states, which have officially expressed their support for MBRT and have fairly advanced logistics infrastructure (Beacon Filing, 2026). Fourthly, there should be additional investments in educating consumers who are unfamiliar with the idea of membership benefits (Kumar </w:t>
      </w:r>
      <w:r w:rsidRPr="00A83764" w:rsidR="00A83764">
        <w:rPr>
          <w:i/>
          <w:iCs/>
        </w:rPr>
        <w:t>et al</w:t>
      </w:r>
      <w:r>
        <w:t xml:space="preserve">., 2022; Zhou </w:t>
      </w:r>
      <w:r w:rsidRPr="00A83764" w:rsidR="00A83764">
        <w:rPr>
          <w:i/>
          <w:iCs/>
        </w:rPr>
        <w:t>et al</w:t>
      </w:r>
      <w:r>
        <w:t>., 2025).</w:t>
      </w:r>
    </w:p>
    <w:p w:rsidR="00A12427" w:rsidP="00A12427" w:rsidRDefault="00A12427" w14:paraId="7C9C5D58" w14:textId="26E7A87C">
      <w:r>
        <w:t xml:space="preserve">In the long run, in case of changes in the FDI regulations, or reclassification of product lines under the single brand regime, Costco can either raise the share or use a multi-format approach (DPIIT, 2020; Saluja, 2025). However, until these regulatory changes come, the joint venture remains the only feasible solution that combines compliance with regulation and strategic flexibility (Wan </w:t>
      </w:r>
      <w:r w:rsidRPr="00A83764" w:rsidR="00A83764">
        <w:rPr>
          <w:i/>
          <w:iCs/>
        </w:rPr>
        <w:t>et al</w:t>
      </w:r>
      <w:r>
        <w:t xml:space="preserve">., 2023; Brouthers </w:t>
      </w:r>
      <w:r w:rsidRPr="00A83764" w:rsidR="00A83764">
        <w:rPr>
          <w:i/>
          <w:iCs/>
        </w:rPr>
        <w:t>et al</w:t>
      </w:r>
      <w:r>
        <w:t>., 2022).</w:t>
      </w:r>
    </w:p>
    <w:p w:rsidR="00A12427" w:rsidP="00A12427" w:rsidRDefault="00A12427" w14:paraId="15B5E3F8" w14:textId="630E2ED8">
      <w:r>
        <w:t xml:space="preserve">The recommended joint venture entry corresponds with the organizational classification of Costco. The company will transfer its standardized warehouse model and membership model – this means high global integration – and will rely on the local partner for institutional </w:t>
      </w:r>
      <w:r>
        <w:t xml:space="preserve">navigation and minor product customization, which implies selective local responsiveness (Bartlett, Beamish and Delios, 2025). This is consistent with recent empirical research, according to which a high-involvement lower-equity entry mode can be effective when there is a high institutional distance, and the relational resources complement the firm’s specific advantages (Kashyap </w:t>
      </w:r>
      <w:r w:rsidRPr="00A83764" w:rsidR="00A83764">
        <w:rPr>
          <w:i/>
          <w:iCs/>
        </w:rPr>
        <w:t>et al</w:t>
      </w:r>
      <w:r>
        <w:t xml:space="preserve">., 2026; Brouthers </w:t>
      </w:r>
      <w:r w:rsidRPr="00A83764" w:rsidR="00A83764">
        <w:rPr>
          <w:i/>
          <w:iCs/>
        </w:rPr>
        <w:t>et al</w:t>
      </w:r>
      <w:r>
        <w:t>., 2022).</w:t>
      </w:r>
    </w:p>
    <w:p w:rsidR="00A12427" w:rsidP="00A12427" w:rsidRDefault="00A12427" w14:paraId="7DF76341" w14:textId="7E663AE6">
      <w:r>
        <w:t xml:space="preserve">In the overall analysis of strategic opportunities and options, Costco should treat India as a strategic long-horizon option rather than a current volume market. The combination of strong ownership advantages, qualified location advantages, and restrictions in internalization clearly suggests a collaborative and phased entry (Dunning and Lundan, 2008; Wan </w:t>
      </w:r>
      <w:r w:rsidRPr="00A83764" w:rsidR="00A83764">
        <w:rPr>
          <w:i/>
          <w:iCs/>
        </w:rPr>
        <w:t>et al</w:t>
      </w:r>
      <w:r>
        <w:t xml:space="preserve">., 2023). In case Costco secures a competent Indian partner, makes the required backend investments and targets states with supportive politics, it will be able to establish a beachhead where it will preserve the integrity of its global model while accumulating local knowledge (Zhou </w:t>
      </w:r>
      <w:r w:rsidRPr="00A83764" w:rsidR="00A83764">
        <w:rPr>
          <w:i/>
          <w:iCs/>
        </w:rPr>
        <w:t>et al</w:t>
      </w:r>
      <w:r>
        <w:t xml:space="preserve">., 2025; Kashyap </w:t>
      </w:r>
      <w:r w:rsidRPr="00A83764" w:rsidR="00A83764">
        <w:rPr>
          <w:i/>
          <w:iCs/>
        </w:rPr>
        <w:t>et al</w:t>
      </w:r>
      <w:r>
        <w:t>., 2026). Such approach maximizes the capture of opportunities and minimizes the risks and is theoretically based on OLI framework, institutional theories, and entry-mode research (Dunning and Lundan, 2008; Bartlett, Beamish and Delios, 2025; Pitelis, Teece and Yang, 2024).</w:t>
      </w:r>
    </w:p>
    <w:p w:rsidR="00A12427" w:rsidP="00A12427" w:rsidRDefault="00A12427" w14:paraId="6CAB2FFB" w14:textId="57A8F36B">
      <w:r>
        <w:t xml:space="preserve">Ultimately, the success of such strategy depends not on the choice of entry mode but on the ability of Costco to cultivate capabilities for managing institutional complexities and orchestrating a hybrid global or local operating system (Pitelis, Teece and Yang, 2024; Macro and Ott, 2024; Schotter </w:t>
      </w:r>
      <w:r w:rsidRPr="00A83764" w:rsidR="00A83764">
        <w:rPr>
          <w:i/>
          <w:iCs/>
        </w:rPr>
        <w:t>et al</w:t>
      </w:r>
      <w:r>
        <w:t xml:space="preserve">., 2025). In case of cultivation of such capabilities, India could become an important pillar of Costco’s international development in the next decade. Thus, this analysis suggests that Costco enter India in a joint-venture mode, gradually expanding geographically and investing in infrastructure and learning (Brouthers </w:t>
      </w:r>
      <w:r w:rsidRPr="00A83764" w:rsidR="00A83764">
        <w:rPr>
          <w:i/>
          <w:iCs/>
        </w:rPr>
        <w:t>et al</w:t>
      </w:r>
      <w:r>
        <w:t xml:space="preserve">., 2022; Wan </w:t>
      </w:r>
      <w:r w:rsidRPr="00A83764" w:rsidR="00A83764">
        <w:rPr>
          <w:i/>
          <w:iCs/>
        </w:rPr>
        <w:t>et al</w:t>
      </w:r>
      <w:r>
        <w:t xml:space="preserve">., 2023; Zhou </w:t>
      </w:r>
      <w:r w:rsidRPr="00A83764" w:rsidR="00A83764">
        <w:rPr>
          <w:i/>
          <w:iCs/>
        </w:rPr>
        <w:t>et al</w:t>
      </w:r>
      <w:r>
        <w:t>., 2025).</w:t>
      </w:r>
    </w:p>
    <w:p w:rsidRPr="00206E5D" w:rsidR="00206E5D" w:rsidP="00A83764" w:rsidRDefault="00206E5D" w14:paraId="5BD8BD7D" w14:textId="2164D2F8">
      <w:pPr>
        <w:pStyle w:val="Heading1"/>
        <w:rPr>
          <w:rFonts w:eastAsia="MS Mincho"/>
          <w:lang w:val="en-US" w:eastAsia="en-US" w:bidi="ar-SA"/>
        </w:rPr>
      </w:pPr>
      <w:bookmarkStart w:name="_Toc236131622" w:id="10"/>
      <w:r w:rsidRPr="00206E5D">
        <w:rPr>
          <w:lang w:val="en-US" w:eastAsia="en-US" w:bidi="ar-SA"/>
        </w:rPr>
        <w:t>Section 2: Reflective Account: Researching and Preparing the Macro-Environmental Appraisal</w:t>
      </w:r>
      <w:bookmarkEnd w:id="10"/>
    </w:p>
    <w:p w:rsidR="00206E5D" w:rsidP="00206E5D" w:rsidRDefault="00206E5D" w14:paraId="24EA4538" w14:textId="77777777">
      <w:pPr>
        <w:pStyle w:val="Heading1"/>
        <w:rPr>
          <w:lang w:val="en-US" w:eastAsia="en-US" w:bidi="ar-SA"/>
        </w:rPr>
      </w:pPr>
      <w:bookmarkStart w:name="_Toc236131623" w:id="11"/>
      <w:r w:rsidRPr="00206E5D">
        <w:rPr>
          <w:lang w:val="en-US" w:eastAsia="en-US" w:bidi="ar-SA"/>
        </w:rPr>
        <w:t>Introduction</w:t>
      </w:r>
      <w:bookmarkEnd w:id="11"/>
    </w:p>
    <w:p w:rsidR="00A12427" w:rsidP="00A12427" w:rsidRDefault="00A12427" w14:paraId="71A2554C" w14:textId="45B86A60">
      <w:pPr>
        <w:rPr>
          <w:rFonts w:eastAsia="MS Gothic"/>
          <w:lang w:val="en-US" w:eastAsia="en-US" w:bidi="ar-SA"/>
        </w:rPr>
      </w:pPr>
      <w:r w:rsidRPr="00A12427">
        <w:rPr>
          <w:rFonts w:eastAsia="MS Gothic"/>
          <w:lang w:val="en-US" w:eastAsia="en-US" w:bidi="ar-SA"/>
        </w:rPr>
        <w:t xml:space="preserve">This reflection will look into the process that was taken in conducting the macro environmental analysis of India for the entry of Costco into the market. This reflection uses the structure of Gibbs' reflective cycle, which consists of the following aspects: description, feelings, evaluation, analysis, conclusion and action plan. The main aim of this reflection is to show the </w:t>
      </w:r>
      <w:r w:rsidRPr="00A12427">
        <w:rPr>
          <w:rFonts w:eastAsia="MS Gothic"/>
          <w:lang w:val="en-US" w:eastAsia="en-US" w:bidi="ar-SA"/>
        </w:rPr>
        <w:t>critical understanding of the process of learning, the research methods used and the impact of the module on international business knowledge.</w:t>
      </w:r>
    </w:p>
    <w:p w:rsidR="00A97DCE" w:rsidP="00A12427" w:rsidRDefault="00A97DCE" w14:paraId="0B38D349" w14:textId="627BA9D6">
      <w:pPr>
        <w:rPr>
          <w:rFonts w:eastAsia="MS Gothic"/>
          <w:lang w:val="en-US" w:eastAsia="en-US" w:bidi="ar-SA"/>
        </w:rPr>
      </w:pPr>
      <w:r>
        <w:rPr>
          <w:noProof/>
        </w:rPr>
        <w:drawing>
          <wp:inline distT="0" distB="0" distL="0" distR="0" wp14:anchorId="7FBB3493" wp14:editId="26BCFD42">
            <wp:extent cx="5731510" cy="4298950"/>
            <wp:effectExtent l="0" t="0" r="2540" b="6350"/>
            <wp:docPr id="1983315817"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Pr="00A97DCE" w:rsidR="00A97DCE" w:rsidP="00A97DCE" w:rsidRDefault="00A97DCE" w14:paraId="4A20A193" w14:textId="77777777">
      <w:pPr>
        <w:jc w:val="center"/>
        <w:rPr>
          <w:rFonts w:eastAsia="MS Gothic"/>
          <w:b/>
          <w:bCs/>
          <w:lang w:eastAsia="en-US" w:bidi="ar-SA"/>
        </w:rPr>
      </w:pPr>
      <w:r w:rsidRPr="00A97DCE">
        <w:rPr>
          <w:rFonts w:eastAsia="MS Gothic"/>
          <w:b/>
          <w:bCs/>
          <w:lang w:val="en-US" w:eastAsia="en-US" w:bidi="ar-SA"/>
        </w:rPr>
        <w:t xml:space="preserve">Figure 3: </w:t>
      </w:r>
      <w:r w:rsidRPr="00A97DCE">
        <w:rPr>
          <w:rFonts w:eastAsia="MS Gothic"/>
          <w:lang w:eastAsia="en-US" w:bidi="ar-SA"/>
        </w:rPr>
        <w:t>Gibbs Reflective Cycle</w:t>
      </w:r>
    </w:p>
    <w:p w:rsidRPr="00206E5D" w:rsidR="00A97DCE" w:rsidP="00A97DCE" w:rsidRDefault="00A97DCE" w14:paraId="6C6ACFFF" w14:textId="39239FFA">
      <w:pPr>
        <w:jc w:val="center"/>
        <w:rPr>
          <w:rFonts w:eastAsia="MS Gothic"/>
          <w:lang w:val="en-US" w:eastAsia="en-US" w:bidi="ar-SA"/>
        </w:rPr>
      </w:pPr>
      <w:r>
        <w:rPr>
          <w:rFonts w:eastAsia="MS Gothic"/>
          <w:lang w:val="en-US" w:eastAsia="en-US" w:bidi="ar-SA"/>
        </w:rPr>
        <w:t xml:space="preserve">(Source: </w:t>
      </w:r>
      <w:r w:rsidRPr="00A97DCE">
        <w:rPr>
          <w:rFonts w:eastAsia="MS Gothic"/>
          <w:lang w:val="en-US" w:eastAsia="en-US" w:bidi="ar-SA"/>
        </w:rPr>
        <w:t>Simply Psychology</w:t>
      </w:r>
      <w:r>
        <w:rPr>
          <w:rFonts w:eastAsia="MS Gothic"/>
          <w:lang w:val="en-US" w:eastAsia="en-US" w:bidi="ar-SA"/>
        </w:rPr>
        <w:t xml:space="preserve">, </w:t>
      </w:r>
      <w:r w:rsidRPr="00A97DCE">
        <w:rPr>
          <w:rFonts w:eastAsia="MS Gothic"/>
          <w:lang w:val="en-US" w:eastAsia="en-US" w:bidi="ar-SA"/>
        </w:rPr>
        <w:t>2024</w:t>
      </w:r>
      <w:r>
        <w:rPr>
          <w:rFonts w:eastAsia="MS Gothic"/>
          <w:lang w:val="en-US" w:eastAsia="en-US" w:bidi="ar-SA"/>
        </w:rPr>
        <w:t>)</w:t>
      </w:r>
    </w:p>
    <w:p w:rsidR="00206E5D" w:rsidP="00206E5D" w:rsidRDefault="00206E5D" w14:paraId="030924F6" w14:textId="77777777">
      <w:pPr>
        <w:keepNext/>
        <w:keepLines/>
        <w:spacing w:before="200"/>
        <w:outlineLvl w:val="1"/>
        <w:rPr>
          <w:rFonts w:cs="Vrinda"/>
          <w:b/>
          <w:bCs/>
          <w:color w:val="000000"/>
          <w:sz w:val="26"/>
          <w:szCs w:val="26"/>
          <w:lang w:val="en-US" w:eastAsia="en-US" w:bidi="ar-SA"/>
        </w:rPr>
      </w:pPr>
      <w:bookmarkStart w:name="_Toc236131624" w:id="12"/>
      <w:r w:rsidRPr="00206E5D">
        <w:rPr>
          <w:rFonts w:cs="Vrinda"/>
          <w:b/>
          <w:bCs/>
          <w:color w:val="000000"/>
          <w:sz w:val="26"/>
          <w:szCs w:val="26"/>
          <w:lang w:val="en-US" w:eastAsia="en-US" w:bidi="ar-SA"/>
        </w:rPr>
        <w:t>1. Description</w:t>
      </w:r>
      <w:bookmarkEnd w:id="12"/>
    </w:p>
    <w:p w:rsidRPr="00A12427" w:rsidR="00A12427" w:rsidP="00A12427" w:rsidRDefault="00A12427" w14:paraId="4F88C0B2" w14:textId="77777777">
      <w:pPr>
        <w:rPr>
          <w:rFonts w:eastAsia="MS Gothic"/>
          <w:lang w:val="en-US" w:eastAsia="en-US" w:bidi="ar-SA"/>
        </w:rPr>
      </w:pPr>
      <w:r w:rsidRPr="00A12427">
        <w:rPr>
          <w:rFonts w:eastAsia="MS Gothic"/>
          <w:lang w:val="en-US" w:eastAsia="en-US" w:bidi="ar-SA"/>
        </w:rPr>
        <w:t>This task entailed a comprehensive examination of the political, economic, legal and cultural environment in India using the eclectic paradigm approach in order to determine the attractiveness of the market using the warehouse club business model. The study utilized module materials from Week 1 to Week 9 where emphasis was placed on lecture materials and reading on political systems, economic systems, entry modes and cultural analysis. Costco was used as the company since it fulfilled the ‘no significant operational presence’ condition while India was selected based on its potential along with the stringent multi-brand retail FDI policy in place.</w:t>
      </w:r>
    </w:p>
    <w:p w:rsidRPr="00206E5D" w:rsidR="00A12427" w:rsidP="00A12427" w:rsidRDefault="00A12427" w14:paraId="6DD105DA" w14:textId="4C555DF5">
      <w:pPr>
        <w:rPr>
          <w:rFonts w:eastAsia="MS Gothic"/>
          <w:lang w:val="en-US" w:eastAsia="en-US" w:bidi="ar-SA"/>
        </w:rPr>
      </w:pPr>
      <w:r w:rsidRPr="00A12427">
        <w:rPr>
          <w:rFonts w:eastAsia="MS Gothic"/>
          <w:lang w:val="en-US" w:eastAsia="en-US" w:bidi="ar-SA"/>
        </w:rPr>
        <w:t xml:space="preserve">The research followed three main phases. First, academic journals published from 2022 to 2026 were reviewed on entry modes, FDI policy in India, internationalization of retail and </w:t>
      </w:r>
      <w:r w:rsidRPr="00A12427">
        <w:rPr>
          <w:rFonts w:eastAsia="MS Gothic"/>
          <w:lang w:val="en-US" w:eastAsia="en-US" w:bidi="ar-SA"/>
        </w:rPr>
        <w:t>geopolitical risks. Second, official sources including the Consolidated FDI Policy, Form 10-K of Costco and industry reports were considered. Finally, these resources were synthesized into an environmental analysis framework, which was tied to the concepts of ownership, location and internalization advantages. Drafting of the paper was done to support all claims made and ensure that the paper was strategically focused.</w:t>
      </w:r>
    </w:p>
    <w:p w:rsidR="00206E5D" w:rsidP="00206E5D" w:rsidRDefault="00206E5D" w14:paraId="6C94FB8E" w14:textId="77777777">
      <w:pPr>
        <w:keepNext/>
        <w:keepLines/>
        <w:spacing w:before="200"/>
        <w:outlineLvl w:val="1"/>
        <w:rPr>
          <w:rFonts w:cs="Vrinda"/>
          <w:b/>
          <w:bCs/>
          <w:color w:val="000000"/>
          <w:sz w:val="26"/>
          <w:szCs w:val="26"/>
          <w:lang w:val="en-US" w:eastAsia="en-US" w:bidi="ar-SA"/>
        </w:rPr>
      </w:pPr>
      <w:bookmarkStart w:name="_Toc236131625" w:id="13"/>
      <w:r w:rsidRPr="00206E5D">
        <w:rPr>
          <w:rFonts w:cs="Vrinda"/>
          <w:b/>
          <w:bCs/>
          <w:color w:val="000000"/>
          <w:sz w:val="26"/>
          <w:szCs w:val="26"/>
          <w:lang w:val="en-US" w:eastAsia="en-US" w:bidi="ar-SA"/>
        </w:rPr>
        <w:t>2. Feelings</w:t>
      </w:r>
      <w:bookmarkEnd w:id="13"/>
    </w:p>
    <w:p w:rsidRPr="00206E5D" w:rsidR="00A12427" w:rsidP="00A12427" w:rsidRDefault="00A12427" w14:paraId="04982E84" w14:textId="750EB051">
      <w:pPr>
        <w:rPr>
          <w:rFonts w:eastAsia="MS Gothic"/>
          <w:lang w:val="en-US" w:eastAsia="en-US" w:bidi="ar-SA"/>
        </w:rPr>
      </w:pPr>
      <w:r w:rsidRPr="00A12427">
        <w:rPr>
          <w:rFonts w:eastAsia="MS Gothic"/>
          <w:lang w:val="en-US" w:eastAsia="en-US" w:bidi="ar-SA"/>
        </w:rPr>
        <w:t>At first there was a mixture of confidence and nervousness. The confidence was based on the clarity of the theoretical models that were taught in the course, as these gave an immediate framework for analyzing the topic. The nervousness was due to the sheer amount of information that needed to be analyzed and incorporated, along with the need to be critical about the information and include current academic and policy papers. In the middle of the process, frustration emerged as the complex nature of the dual FDI approval system in India was realized. The frustration turned into satisfaction as the process progressed towards completion.</w:t>
      </w:r>
    </w:p>
    <w:p w:rsidR="00206E5D" w:rsidP="00206E5D" w:rsidRDefault="00206E5D" w14:paraId="0D7FD704" w14:textId="77777777">
      <w:pPr>
        <w:keepNext/>
        <w:keepLines/>
        <w:spacing w:before="200"/>
        <w:outlineLvl w:val="1"/>
        <w:rPr>
          <w:rFonts w:cs="Vrinda"/>
          <w:b/>
          <w:bCs/>
          <w:color w:val="000000"/>
          <w:sz w:val="26"/>
          <w:szCs w:val="26"/>
          <w:lang w:val="en-US" w:eastAsia="en-US" w:bidi="ar-SA"/>
        </w:rPr>
      </w:pPr>
      <w:bookmarkStart w:name="_Toc236131626" w:id="14"/>
      <w:r w:rsidRPr="00206E5D">
        <w:rPr>
          <w:rFonts w:cs="Vrinda"/>
          <w:b/>
          <w:bCs/>
          <w:color w:val="000000"/>
          <w:sz w:val="26"/>
          <w:szCs w:val="26"/>
          <w:lang w:val="en-US" w:eastAsia="en-US" w:bidi="ar-SA"/>
        </w:rPr>
        <w:t>3. Evaluation</w:t>
      </w:r>
      <w:bookmarkEnd w:id="14"/>
    </w:p>
    <w:p w:rsidRPr="00A83764" w:rsidR="00A83764" w:rsidP="00A83764" w:rsidRDefault="00A83764" w14:paraId="45D36EC2" w14:textId="77777777">
      <w:pPr>
        <w:rPr>
          <w:rFonts w:eastAsia="MS Gothic"/>
          <w:lang w:val="en-US" w:eastAsia="en-US" w:bidi="ar-SA"/>
        </w:rPr>
      </w:pPr>
      <w:r w:rsidRPr="00A83764">
        <w:rPr>
          <w:rFonts w:eastAsia="MS Gothic"/>
          <w:lang w:val="en-US" w:eastAsia="en-US" w:bidi="ar-SA"/>
        </w:rPr>
        <w:t>What worked well is that the entire appraisal process was based on an eclectic framework right from the start. It helped keep the environmental appraisal from becoming an isolated set of factors and maintained continuous connections between the external environment and the specific advantages of the firm. Peer-reviewed literature helped build academic credibility, whereas government policy documents and corporate disclosures helped provide empirical support. Iterative writing was also helpful since the early versions were too descriptive; later revisions helped build critical analysis of market attractiveness.</w:t>
      </w:r>
    </w:p>
    <w:p w:rsidRPr="00206E5D" w:rsidR="00A83764" w:rsidP="00A83764" w:rsidRDefault="00A83764" w14:paraId="3F9F8C8C" w14:textId="5B4CEF5A">
      <w:pPr>
        <w:rPr>
          <w:rFonts w:eastAsia="MS Gothic"/>
          <w:lang w:val="en-US" w:eastAsia="en-US" w:bidi="ar-SA"/>
        </w:rPr>
      </w:pPr>
      <w:r w:rsidRPr="00A83764">
        <w:rPr>
          <w:rFonts w:eastAsia="MS Gothic"/>
          <w:lang w:val="en-US" w:eastAsia="en-US" w:bidi="ar-SA"/>
        </w:rPr>
        <w:t>What didn’t work well was that I underestimated the amount of time it would take to reconcile regulatory information. The multi-brand retail FDI regulations in India require interpretation at both national and state levels, and it took a lot of triangulation to reconcile academic insights with primary documents.</w:t>
      </w:r>
    </w:p>
    <w:p w:rsidR="00206E5D" w:rsidP="00206E5D" w:rsidRDefault="00206E5D" w14:paraId="23637537" w14:textId="77777777">
      <w:pPr>
        <w:keepNext/>
        <w:keepLines/>
        <w:spacing w:before="200"/>
        <w:outlineLvl w:val="1"/>
        <w:rPr>
          <w:rFonts w:cs="Vrinda"/>
          <w:b/>
          <w:bCs/>
          <w:color w:val="000000"/>
          <w:sz w:val="26"/>
          <w:szCs w:val="26"/>
          <w:lang w:val="en-US" w:eastAsia="en-US" w:bidi="ar-SA"/>
        </w:rPr>
      </w:pPr>
      <w:bookmarkStart w:name="_Toc236131627" w:id="15"/>
      <w:r w:rsidRPr="00206E5D">
        <w:rPr>
          <w:rFonts w:cs="Vrinda"/>
          <w:b/>
          <w:bCs/>
          <w:color w:val="000000"/>
          <w:sz w:val="26"/>
          <w:szCs w:val="26"/>
          <w:lang w:val="en-US" w:eastAsia="en-US" w:bidi="ar-SA"/>
        </w:rPr>
        <w:t>4. Analysis</w:t>
      </w:r>
      <w:bookmarkEnd w:id="15"/>
    </w:p>
    <w:p w:rsidRPr="00A83764" w:rsidR="00A83764" w:rsidP="00A83764" w:rsidRDefault="00A83764" w14:paraId="037F8FB9" w14:textId="1E8A0B64">
      <w:pPr>
        <w:rPr>
          <w:rFonts w:eastAsia="MS Gothic"/>
          <w:lang w:val="en-US" w:eastAsia="en-US" w:bidi="ar-SA"/>
        </w:rPr>
      </w:pPr>
      <w:r w:rsidRPr="00A83764">
        <w:rPr>
          <w:rFonts w:eastAsia="MS Gothic"/>
          <w:lang w:val="en-US" w:eastAsia="en-US" w:bidi="ar-SA"/>
        </w:rPr>
        <w:t xml:space="preserve">This exercise provided practical application for the theoretical principles learned in the module. Lessons about the political and economic environment of international business helped appreciate that while there is liberalization of policies on paper, operational openness may still be far away. This is critical in explaining the low uptake of 51 per cent FDI rule in multi-brand </w:t>
      </w:r>
      <w:r w:rsidRPr="00A83764">
        <w:rPr>
          <w:rFonts w:eastAsia="MS Gothic"/>
          <w:lang w:val="en-US" w:eastAsia="en-US" w:bidi="ar-SA"/>
        </w:rPr>
        <w:t xml:space="preserve">retail (Chakraborty, 2022; Beacon Filing, 2026). Discussion of institutional distance and internalization theory provided an insight that a move from simply describing market size needed to delve deeper into the barriers for a firm in safeguarding and transferring its ownership advantages (Dunning and Lundan, 2008; Wan </w:t>
      </w:r>
      <w:r w:rsidRPr="00A83764">
        <w:rPr>
          <w:rFonts w:eastAsia="MS Gothic"/>
          <w:i/>
          <w:iCs/>
          <w:lang w:val="en-US" w:eastAsia="en-US" w:bidi="ar-SA"/>
        </w:rPr>
        <w:t>et al</w:t>
      </w:r>
      <w:r w:rsidRPr="00A83764">
        <w:rPr>
          <w:rFonts w:eastAsia="MS Gothic"/>
          <w:lang w:val="en-US" w:eastAsia="en-US" w:bidi="ar-SA"/>
        </w:rPr>
        <w:t>., 2023).</w:t>
      </w:r>
    </w:p>
    <w:p w:rsidRPr="00206E5D" w:rsidR="00A83764" w:rsidP="00A83764" w:rsidRDefault="00A83764" w14:paraId="5FCA18A1" w14:textId="2970E99D">
      <w:pPr>
        <w:rPr>
          <w:rFonts w:eastAsia="MS Gothic"/>
          <w:lang w:val="en-US" w:eastAsia="en-US" w:bidi="ar-SA"/>
        </w:rPr>
      </w:pPr>
      <w:r w:rsidRPr="00A83764">
        <w:rPr>
          <w:rFonts w:eastAsia="MS Gothic"/>
          <w:lang w:val="en-US" w:eastAsia="en-US" w:bidi="ar-SA"/>
        </w:rPr>
        <w:t xml:space="preserve">Cultural case studies and readings influenced our analysis of the cultural element too. Instead of seeing culture as something to analyze after others, we discussed power distance and collectivism orientation for the effects on the acceptance of membership concept among consumers and transfer of business philosophy within the firm (Collinson </w:t>
      </w:r>
      <w:r w:rsidRPr="00A83764">
        <w:rPr>
          <w:rFonts w:eastAsia="MS Gothic"/>
          <w:i/>
          <w:iCs/>
          <w:lang w:val="en-US" w:eastAsia="en-US" w:bidi="ar-SA"/>
        </w:rPr>
        <w:t>et al</w:t>
      </w:r>
      <w:r w:rsidRPr="00A83764">
        <w:rPr>
          <w:rFonts w:eastAsia="MS Gothic"/>
          <w:lang w:val="en-US" w:eastAsia="en-US" w:bidi="ar-SA"/>
        </w:rPr>
        <w:t>., 2024). This process also showed the importance of multiple sources triangulation. The sole use of scholarly articles could make one vulnerable to out-of-date policy information, while sole use of government and firm documents could lack critical perspective. A combination of both made for a better assessment and reflected the requirement of managers to synthesize information under institutional uncertainty (Meyer and Tse, 2025; Stoian, Tardios and Samdanis, 2024).</w:t>
      </w:r>
    </w:p>
    <w:p w:rsidR="00206E5D" w:rsidP="00206E5D" w:rsidRDefault="00206E5D" w14:paraId="53B7587B" w14:textId="77777777">
      <w:pPr>
        <w:keepNext/>
        <w:keepLines/>
        <w:spacing w:before="200"/>
        <w:outlineLvl w:val="1"/>
        <w:rPr>
          <w:rFonts w:cs="Vrinda"/>
          <w:b/>
          <w:bCs/>
          <w:color w:val="000000"/>
          <w:sz w:val="26"/>
          <w:szCs w:val="26"/>
          <w:lang w:val="en-US" w:eastAsia="en-US" w:bidi="ar-SA"/>
        </w:rPr>
      </w:pPr>
      <w:bookmarkStart w:name="_Toc236131628" w:id="16"/>
      <w:r w:rsidRPr="00206E5D">
        <w:rPr>
          <w:rFonts w:cs="Vrinda"/>
          <w:b/>
          <w:bCs/>
          <w:color w:val="000000"/>
          <w:sz w:val="26"/>
          <w:szCs w:val="26"/>
          <w:lang w:val="en-US" w:eastAsia="en-US" w:bidi="ar-SA"/>
        </w:rPr>
        <w:t>5. Conclusion</w:t>
      </w:r>
      <w:bookmarkEnd w:id="16"/>
    </w:p>
    <w:p w:rsidRPr="00206E5D" w:rsidR="00A83764" w:rsidP="00A83764" w:rsidRDefault="00A83764" w14:paraId="5EED317D" w14:textId="7335A52C">
      <w:pPr>
        <w:rPr>
          <w:rFonts w:eastAsia="MS Gothic"/>
          <w:lang w:val="en-US" w:eastAsia="en-US" w:bidi="ar-SA"/>
        </w:rPr>
      </w:pPr>
      <w:r w:rsidRPr="00A83764">
        <w:rPr>
          <w:rFonts w:eastAsia="MS Gothic"/>
          <w:lang w:val="en-US" w:eastAsia="en-US" w:bidi="ar-SA"/>
        </w:rPr>
        <w:t>As a whole, the process of doing the macro-environmental assessment provided valuable insights into the practical application of the theory. What makes the eclectic paradigm unique is not the ability to classify the benefits, but the challenge posed to think about the interplay between ownership, location and internalisation in a given institutional context (Dunning and Lundan, 2008; Pitelis, Teece and Yang, 2024). The lesson learned is that the numbers about the size and growth of the market become relevant only if compared with regulatory obstacles, infrastructure limitations and culture match (IBEF / Deloitte-FICCI, 2025; Patil, Borle and Singh, 2023). The initial attempts at drafting were rather descriptive, while the last part benefitted a lot from asking each paragraph what does it imply for value creation and capture.</w:t>
      </w:r>
    </w:p>
    <w:p w:rsidRPr="00206E5D" w:rsidR="00206E5D" w:rsidP="00206E5D" w:rsidRDefault="00206E5D" w14:paraId="58D52974" w14:textId="77777777">
      <w:pPr>
        <w:keepNext/>
        <w:keepLines/>
        <w:spacing w:before="200"/>
        <w:outlineLvl w:val="1"/>
        <w:rPr>
          <w:rFonts w:ascii="Calibri" w:hAnsi="Calibri" w:eastAsia="MS Gothic" w:cs="Vrinda"/>
          <w:b/>
          <w:bCs/>
          <w:color w:val="4F81BD"/>
          <w:sz w:val="26"/>
          <w:szCs w:val="26"/>
          <w:lang w:val="en-US" w:eastAsia="en-US" w:bidi="ar-SA"/>
        </w:rPr>
      </w:pPr>
      <w:bookmarkStart w:name="_Toc236131629" w:id="17"/>
      <w:r w:rsidRPr="00206E5D">
        <w:rPr>
          <w:rFonts w:cs="Vrinda"/>
          <w:b/>
          <w:bCs/>
          <w:color w:val="000000"/>
          <w:sz w:val="26"/>
          <w:szCs w:val="26"/>
          <w:lang w:val="en-US" w:eastAsia="en-US" w:bidi="ar-SA"/>
        </w:rPr>
        <w:t>6. Action Plan</w:t>
      </w:r>
      <w:bookmarkEnd w:id="17"/>
    </w:p>
    <w:p w:rsidR="00A83764" w:rsidP="00A83764" w:rsidRDefault="00A83764" w14:paraId="5EB7AFBA" w14:textId="77777777">
      <w:pPr>
        <w:rPr>
          <w:lang w:val="en-US" w:eastAsia="en-US" w:bidi="ar-SA"/>
        </w:rPr>
      </w:pPr>
      <w:r w:rsidRPr="00A83764">
        <w:rPr>
          <w:lang w:val="en-US" w:eastAsia="en-US" w:bidi="ar-SA"/>
        </w:rPr>
        <w:t>There are three practical things that can be done to improve future analysis. First, time will be set aside to map out primary policy and corporate sources and scholarly literature at the very start. Second, an analysis matrix will be created for each environmental aspect and corresponding eclectic paradigm element before any writing takes place. Finally, shorter critical paragraphs will be practiced, where each paragraph will make the connection between evidence and implications more quickly. In doing so, the research process can become more efficient and critical in the future.</w:t>
      </w:r>
    </w:p>
    <w:p w:rsidR="00206E5D" w:rsidP="00A83764" w:rsidRDefault="00206E5D" w14:paraId="2AD3A95A" w14:textId="2DF3029B">
      <w:pPr>
        <w:keepNext/>
        <w:keepLines/>
        <w:spacing w:before="0"/>
        <w:outlineLvl w:val="0"/>
        <w:rPr>
          <w:rFonts w:cs="Vrinda"/>
          <w:b/>
          <w:bCs/>
          <w:color w:val="000000"/>
          <w:sz w:val="28"/>
          <w:szCs w:val="28"/>
          <w:lang w:val="en-US" w:eastAsia="en-US" w:bidi="ar-SA"/>
        </w:rPr>
      </w:pPr>
      <w:bookmarkStart w:name="_Toc236131630" w:id="18"/>
      <w:r w:rsidRPr="00206E5D">
        <w:rPr>
          <w:rFonts w:cs="Vrinda"/>
          <w:b/>
          <w:bCs/>
          <w:color w:val="000000"/>
          <w:sz w:val="28"/>
          <w:szCs w:val="28"/>
          <w:lang w:val="en-US" w:eastAsia="en-US" w:bidi="ar-SA"/>
        </w:rPr>
        <w:t>Final Reflection</w:t>
      </w:r>
      <w:bookmarkEnd w:id="18"/>
    </w:p>
    <w:p w:rsidRPr="00206E5D" w:rsidR="00A83764" w:rsidP="00A83764" w:rsidRDefault="00A83764" w14:paraId="721A4B3F" w14:textId="17D310C3">
      <w:pPr>
        <w:rPr>
          <w:rFonts w:eastAsia="MS Gothic"/>
          <w:lang w:val="en-US" w:eastAsia="en-US" w:bidi="ar-SA"/>
        </w:rPr>
      </w:pPr>
      <w:r w:rsidRPr="00A83764">
        <w:rPr>
          <w:rFonts w:eastAsia="MS Gothic"/>
          <w:lang w:val="en-US" w:eastAsia="en-US" w:bidi="ar-SA"/>
        </w:rPr>
        <w:t xml:space="preserve">Undertaking the macro-environmental analysis enabled integration of theoretical concepts learned in class with the practice of evidence-based analysis. Use of the Gibbs cycle allowed progression from describing events to examining how and why understanding was gained. Successful analysis of international business calls for an understanding of concepts like the eclectic theory and environmental scanning, critical application of those theories, management of incomplete information, and consideration of strategic implications (Bartlett, Beamish and Delios, 2025; Brouthers </w:t>
      </w:r>
      <w:r w:rsidRPr="00A83764">
        <w:rPr>
          <w:rFonts w:eastAsia="MS Gothic"/>
          <w:i/>
          <w:iCs/>
          <w:lang w:val="en-US" w:eastAsia="en-US" w:bidi="ar-SA"/>
        </w:rPr>
        <w:t>et al</w:t>
      </w:r>
      <w:r w:rsidRPr="00A83764">
        <w:rPr>
          <w:rFonts w:eastAsia="MS Gothic"/>
          <w:lang w:val="en-US" w:eastAsia="en-US" w:bidi="ar-SA"/>
        </w:rPr>
        <w:t>., 2022). This learning will be applied in the following parts of the assignment and further studies in the field of international business.</w:t>
      </w:r>
    </w:p>
    <w:p w:rsidR="00A83764" w:rsidRDefault="00A83764" w14:paraId="597D85B2" w14:textId="77777777">
      <w:pPr>
        <w:spacing w:before="0" w:after="0" w:line="240" w:lineRule="auto"/>
        <w:jc w:val="left"/>
        <w:rPr>
          <w:b/>
          <w:bCs/>
          <w:sz w:val="28"/>
          <w:szCs w:val="28"/>
          <w:lang w:val="en-US"/>
        </w:rPr>
      </w:pPr>
      <w:r>
        <w:rPr>
          <w:lang w:val="en-US"/>
        </w:rPr>
        <w:br w:type="page"/>
      </w:r>
    </w:p>
    <w:p w:rsidR="00206E5D" w:rsidP="00A83764" w:rsidRDefault="00542ED8" w14:paraId="1928A570" w14:textId="47E93AB1">
      <w:pPr>
        <w:pStyle w:val="Heading1"/>
        <w:rPr>
          <w:lang w:val="en-US"/>
        </w:rPr>
      </w:pPr>
      <w:bookmarkStart w:name="_Toc236131631" w:id="19"/>
      <w:r w:rsidRPr="00542ED8">
        <w:rPr>
          <w:lang w:val="en-US"/>
        </w:rPr>
        <w:t>References</w:t>
      </w:r>
      <w:bookmarkEnd w:id="19"/>
      <w:r w:rsidRPr="00542ED8">
        <w:rPr>
          <w:lang w:val="en-US"/>
        </w:rPr>
        <w:t xml:space="preserve"> </w:t>
      </w:r>
    </w:p>
    <w:p w:rsidRPr="00A86483" w:rsidR="00A97DCE" w:rsidP="00542ED8" w:rsidRDefault="00A97DCE" w14:paraId="43BD5B1A" w14:textId="77777777">
      <w:r w:rsidRPr="00A86483">
        <w:t>Alinasab, J. and Hunt, R.A., 2025. Real Options Reasoning and the Internationalization of Small Firms: A Review and Agenda for Future Research. </w:t>
      </w:r>
      <w:r w:rsidRPr="00A86483">
        <w:rPr>
          <w:i/>
          <w:iCs/>
        </w:rPr>
        <w:t>Management International Review</w:t>
      </w:r>
      <w:r w:rsidRPr="00A86483">
        <w:t>, </w:t>
      </w:r>
      <w:r w:rsidRPr="00A86483">
        <w:rPr>
          <w:i/>
          <w:iCs/>
        </w:rPr>
        <w:t>65</w:t>
      </w:r>
      <w:r w:rsidRPr="00A86483">
        <w:t>(5), pp.821-849.</w:t>
      </w:r>
      <w:r>
        <w:t xml:space="preserve"> </w:t>
      </w:r>
      <w:r w:rsidRPr="00A86483">
        <w:t xml:space="preserve">Available at: </w:t>
      </w:r>
      <w:hyperlink w:tgtFrame="_blank" w:history="1" r:id="rId11">
        <w:r w:rsidRPr="00A86483">
          <w:rPr>
            <w:rStyle w:val="Hyperlink"/>
            <w:lang w:bidi="ar-SA"/>
          </w:rPr>
          <w:t>https://link.springer.com/article/10.1007/s11575-025-00584-6</w:t>
        </w:r>
      </w:hyperlink>
      <w:r w:rsidRPr="00A86483">
        <w:t xml:space="preserve"> </w:t>
      </w:r>
    </w:p>
    <w:p w:rsidRPr="00A86483" w:rsidR="00A97DCE" w:rsidP="00542ED8" w:rsidRDefault="00A97DCE" w14:paraId="525CCD76" w14:textId="77777777">
      <w:r w:rsidRPr="00A86483">
        <w:t xml:space="preserve">Amankwah-Amoah, J., Adomako, S., Danquah, J.K., Opoku, R.A. and Zahoor, N. (2022) ‘Foreign market knowledge, entry mode choice and SME international performance in an emerging market’, </w:t>
      </w:r>
      <w:r w:rsidRPr="00A86483">
        <w:rPr>
          <w:i/>
          <w:iCs/>
        </w:rPr>
        <w:t>Journal of International Management</w:t>
      </w:r>
      <w:r w:rsidRPr="00A86483">
        <w:t xml:space="preserve">, 28(4), article 100955. Available at: </w:t>
      </w:r>
      <w:hyperlink w:tgtFrame="_blank" w:history="1" r:id="rId12">
        <w:r w:rsidRPr="00A86483">
          <w:rPr>
            <w:rStyle w:val="Hyperlink"/>
            <w:lang w:bidi="ar-SA"/>
          </w:rPr>
          <w:t>https://www.sciencedirect.com/science/article/abs/pii/S1075425322000308</w:t>
        </w:r>
      </w:hyperlink>
      <w:r w:rsidRPr="00A86483">
        <w:t xml:space="preserve"> </w:t>
      </w:r>
    </w:p>
    <w:p w:rsidRPr="00C80C35" w:rsidR="00A97DCE" w:rsidP="00542ED8" w:rsidRDefault="00A97DCE" w14:paraId="4D42F99D" w14:textId="77777777">
      <w:r w:rsidRPr="00C80C35">
        <w:t xml:space="preserve">Bartlett, C.A., Beamish, P.W. and Delios, A. (2025) </w:t>
      </w:r>
      <w:r w:rsidRPr="00C80C35">
        <w:rPr>
          <w:i/>
          <w:iCs/>
        </w:rPr>
        <w:t>Transnational Management: Concepts and Cases in Cross-Border Management</w:t>
      </w:r>
      <w:r w:rsidRPr="00C80C35">
        <w:t xml:space="preserve">. 9th edn. Cambridge: Cambridge University Press. Available at: </w:t>
      </w:r>
      <w:hyperlink w:tgtFrame="_blank" w:history="1" r:id="rId13">
        <w:r w:rsidRPr="00C80C35">
          <w:rPr>
            <w:rStyle w:val="Hyperlink"/>
            <w:lang w:bidi="ar-SA"/>
          </w:rPr>
          <w:t>https://www.cambridge.org/highereducation/books/transnational-management/3C642DA87989DEB80698EAFFC09E5F92</w:t>
        </w:r>
      </w:hyperlink>
      <w:r w:rsidRPr="00C80C35">
        <w:t xml:space="preserve"> </w:t>
      </w:r>
    </w:p>
    <w:p w:rsidRPr="00D137D2" w:rsidR="00A97DCE" w:rsidP="00542ED8" w:rsidRDefault="00A97DCE" w14:paraId="1D6EDC65" w14:textId="77777777">
      <w:r w:rsidRPr="00C80C35">
        <w:t xml:space="preserve">Beacon Filing / DPIIT analysis (2026) ‘Single Brand vs Multi-Brand Retail FDI India — Rules’ (detailed comparison of SBRT vs MBRT conditions). Available at: </w:t>
      </w:r>
      <w:hyperlink w:tgtFrame="_blank" w:history="1" r:id="rId14">
        <w:r w:rsidRPr="00C80C35">
          <w:rPr>
            <w:rStyle w:val="Hyperlink"/>
            <w:lang w:bidi="ar-SA"/>
          </w:rPr>
          <w:t>https://beaconfiling.com/comparisons/single-brand-vs-multi-brand-retail-fdi</w:t>
        </w:r>
      </w:hyperlink>
    </w:p>
    <w:p w:rsidRPr="00D137D2" w:rsidR="00A97DCE" w:rsidP="00542ED8" w:rsidRDefault="00A97DCE" w14:paraId="4109D8CC" w14:textId="77777777">
      <w:r w:rsidRPr="00D137D2">
        <w:t xml:space="preserve">Benito, G.R.G., Cuervo-Cazurra, A., Mudambi, R., Pedersen, T. and Tallman, S. (2022) ‘The future of global strategy’, </w:t>
      </w:r>
      <w:r w:rsidRPr="00D137D2">
        <w:rPr>
          <w:i/>
          <w:iCs/>
        </w:rPr>
        <w:t>Global Strategy Journal</w:t>
      </w:r>
      <w:r w:rsidRPr="00D137D2">
        <w:t xml:space="preserve">, 12(3), pp. 421–450. Available at: </w:t>
      </w:r>
      <w:hyperlink w:tgtFrame="_blank" w:history="1" r:id="rId15">
        <w:r w:rsidRPr="00D137D2">
          <w:rPr>
            <w:rStyle w:val="Hyperlink"/>
            <w:lang w:bidi="ar-SA"/>
          </w:rPr>
          <w:t>https://onlinelibrary.wiley.com/doi/10.1002/gsj.1464</w:t>
        </w:r>
      </w:hyperlink>
      <w:r w:rsidRPr="00D137D2">
        <w:t xml:space="preserve"> </w:t>
      </w:r>
    </w:p>
    <w:p w:rsidRPr="00D137D2" w:rsidR="00A97DCE" w:rsidP="00542ED8" w:rsidRDefault="00A97DCE" w14:paraId="31CED63D" w14:textId="77777777">
      <w:r w:rsidRPr="00D137D2">
        <w:t xml:space="preserve">Brouthers, K.D., Chen, L., Li, S. and Shaheer, N. (2022) ‘Charting new courses to enter foreign markets: Conceptualization, theoretical framework, and research directions on non-traditional entry modes’, </w:t>
      </w:r>
      <w:r w:rsidRPr="00D137D2">
        <w:rPr>
          <w:i/>
          <w:iCs/>
        </w:rPr>
        <w:t>Journal of International Business Studies</w:t>
      </w:r>
      <w:r w:rsidRPr="00D137D2">
        <w:t xml:space="preserve">, 53(9), pp. 2088–2115. Available at: </w:t>
      </w:r>
      <w:hyperlink w:tgtFrame="_blank" w:history="1" r:id="rId16">
        <w:r w:rsidRPr="00D137D2">
          <w:rPr>
            <w:rStyle w:val="Hyperlink"/>
            <w:lang w:bidi="ar-SA"/>
          </w:rPr>
          <w:t>https://link.springer.com/article/10.1057/s41267-022-00521-x</w:t>
        </w:r>
      </w:hyperlink>
      <w:r w:rsidRPr="00D137D2">
        <w:t xml:space="preserve"> </w:t>
      </w:r>
    </w:p>
    <w:p w:rsidRPr="00D137D2" w:rsidR="00A97DCE" w:rsidP="00542ED8" w:rsidRDefault="00A97DCE" w14:paraId="66FDAA9D" w14:textId="77777777">
      <w:r w:rsidRPr="00D137D2">
        <w:t>Chakraborty, P., 2022. FDI Policy in India: With Special Reference to the Multi-Brand Retail FDI Policy. </w:t>
      </w:r>
      <w:r w:rsidRPr="00D137D2">
        <w:rPr>
          <w:i/>
          <w:iCs/>
        </w:rPr>
        <w:t>Indian Journal of Public Administration</w:t>
      </w:r>
      <w:r w:rsidRPr="00D137D2">
        <w:t>, </w:t>
      </w:r>
      <w:r w:rsidRPr="00D137D2">
        <w:rPr>
          <w:i/>
          <w:iCs/>
        </w:rPr>
        <w:t>68</w:t>
      </w:r>
      <w:r w:rsidRPr="00D137D2">
        <w:t>(1), pp.48-61.</w:t>
      </w:r>
      <w:r>
        <w:t xml:space="preserve"> </w:t>
      </w:r>
      <w:r w:rsidRPr="00D137D2">
        <w:t xml:space="preserve">Available at: </w:t>
      </w:r>
      <w:hyperlink w:tgtFrame="_blank" w:history="1" r:id="rId17">
        <w:r w:rsidRPr="00D137D2">
          <w:rPr>
            <w:rStyle w:val="Hyperlink"/>
            <w:lang w:bidi="ar-SA"/>
          </w:rPr>
          <w:t>https://journals.sagepub.com/doi/10.1177/00195561211058442</w:t>
        </w:r>
      </w:hyperlink>
      <w:r w:rsidRPr="00D137D2">
        <w:t xml:space="preserve"> </w:t>
      </w:r>
    </w:p>
    <w:p w:rsidR="00A97DCE" w:rsidP="00542ED8" w:rsidRDefault="00A97DCE" w14:paraId="2C873BAD" w14:textId="77777777">
      <w:r w:rsidRPr="00C80C35">
        <w:t xml:space="preserve">Collinson, S., Narula, R. and Rugman, A.M. (2020) </w:t>
      </w:r>
      <w:r w:rsidRPr="00C80C35">
        <w:rPr>
          <w:i/>
          <w:iCs/>
        </w:rPr>
        <w:t>International Business</w:t>
      </w:r>
      <w:r w:rsidRPr="00C80C35">
        <w:t xml:space="preserve">. 8th edn. Harlow: Pearson. Available at: </w:t>
      </w:r>
      <w:hyperlink w:tgtFrame="_blank" w:history="1" r:id="rId18">
        <w:r w:rsidRPr="00C80C35">
          <w:rPr>
            <w:rStyle w:val="Hyperlink"/>
            <w:lang w:bidi="ar-SA"/>
          </w:rPr>
          <w:t>https://www.pearson.com/en-gb/subject-catalog/p/international-business/P200000003959/9781292274157</w:t>
        </w:r>
      </w:hyperlink>
    </w:p>
    <w:p w:rsidRPr="00C80C35" w:rsidR="00A97DCE" w:rsidP="00542ED8" w:rsidRDefault="00A97DCE" w14:paraId="5B09323D" w14:textId="77777777">
      <w:r w:rsidRPr="00C80C35">
        <w:t xml:space="preserve">Collinson, S., Narula, R., Qamar, A. and Rugman, A.M. (2024) </w:t>
      </w:r>
      <w:r w:rsidRPr="00C80C35">
        <w:rPr>
          <w:i/>
          <w:iCs/>
        </w:rPr>
        <w:t>International Business</w:t>
      </w:r>
      <w:r w:rsidRPr="00C80C35">
        <w:t xml:space="preserve">. 9th edn. Harlow: Pearson. Available at: </w:t>
      </w:r>
      <w:hyperlink w:tgtFrame="_blank" w:history="1" r:id="rId19">
        <w:r w:rsidRPr="00C80C35">
          <w:rPr>
            <w:rStyle w:val="Hyperlink"/>
            <w:lang w:bidi="ar-SA"/>
          </w:rPr>
          <w:t>https://www.pearson.com/en-gb/subject-catalog/p/international-business/P200000010958/9781292741901</w:t>
        </w:r>
      </w:hyperlink>
      <w:r w:rsidRPr="00C80C35">
        <w:t xml:space="preserve"> </w:t>
      </w:r>
    </w:p>
    <w:p w:rsidR="00A97DCE" w:rsidP="00542ED8" w:rsidRDefault="00A97DCE" w14:paraId="0AD93890" w14:textId="77777777">
      <w:r w:rsidRPr="00D137D2">
        <w:t xml:space="preserve">Contractor, F.J., Cantwell, J., Gereffi, G. and Sauvant, K.P. (2026) ‘The shift to a more turbulent IB environment, and how MNEs respond to this shift’, </w:t>
      </w:r>
      <w:r w:rsidRPr="00D137D2">
        <w:rPr>
          <w:i/>
          <w:iCs/>
        </w:rPr>
        <w:t>International Business Review</w:t>
      </w:r>
      <w:r w:rsidRPr="00D137D2">
        <w:t xml:space="preserve">, 35(2), article 102538. Available at: </w:t>
      </w:r>
      <w:hyperlink w:tgtFrame="_blank" w:history="1" r:id="rId20">
        <w:r w:rsidRPr="00D137D2">
          <w:rPr>
            <w:rStyle w:val="Hyperlink"/>
            <w:lang w:bidi="ar-SA"/>
          </w:rPr>
          <w:t>https://www.sciencedirect.com/science/article/pii/S096959312600034X</w:t>
        </w:r>
      </w:hyperlink>
    </w:p>
    <w:p w:rsidRPr="00C80C35" w:rsidR="00A97DCE" w:rsidP="00542ED8" w:rsidRDefault="00A97DCE" w14:paraId="4A5B9D17" w14:textId="77777777">
      <w:r w:rsidRPr="00C80C35">
        <w:t xml:space="preserve">Costco Wholesale Corporation (2025) </w:t>
      </w:r>
      <w:r w:rsidRPr="00C80C35">
        <w:rPr>
          <w:i/>
          <w:iCs/>
        </w:rPr>
        <w:t>Form 10-K Annual Report for the fiscal year ended August 31, 2025</w:t>
      </w:r>
      <w:r w:rsidRPr="00C80C35">
        <w:t xml:space="preserve">. Available at: </w:t>
      </w:r>
      <w:hyperlink w:tgtFrame="_blank" w:history="1" r:id="rId21">
        <w:r w:rsidRPr="00C80C35">
          <w:rPr>
            <w:rStyle w:val="Hyperlink"/>
            <w:lang w:bidi="ar-SA"/>
          </w:rPr>
          <w:t>https://www.sec.gov/Archives/edgar/data/909832/000090983225000101/</w:t>
        </w:r>
      </w:hyperlink>
      <w:r w:rsidRPr="00C80C35">
        <w:t xml:space="preserve"> (or via Costco Investor Relations / latest 10-K filing) </w:t>
      </w:r>
    </w:p>
    <w:p w:rsidRPr="00C80C35" w:rsidR="00A97DCE" w:rsidP="00542ED8" w:rsidRDefault="00A97DCE" w14:paraId="37A65EB6" w14:textId="77777777">
      <w:r w:rsidRPr="00C80C35">
        <w:t xml:space="preserve">Department for Promotion of Industry and Internal Trade (DPIIT), Government of India (2020/updated) </w:t>
      </w:r>
      <w:r w:rsidRPr="00C80C35">
        <w:rPr>
          <w:i/>
          <w:iCs/>
        </w:rPr>
        <w:t>Consolidated FDI Policy</w:t>
      </w:r>
      <w:r w:rsidRPr="00C80C35">
        <w:t xml:space="preserve"> (Multi-Brand Retail Trading provisions). Available at: </w:t>
      </w:r>
      <w:hyperlink w:tgtFrame="_blank" w:history="1" r:id="rId22">
        <w:r w:rsidRPr="00C80C35">
          <w:rPr>
            <w:rStyle w:val="Hyperlink"/>
            <w:lang w:bidi="ar-SA"/>
          </w:rPr>
          <w:t>https://www.dpiit.gov.in/documents/acts-and-policies/foreign-direct-investment-policy-cDNwATNtQWa?pageTitle=Foreign-Direct-Investment-Policy</w:t>
        </w:r>
      </w:hyperlink>
      <w:r w:rsidRPr="00C80C35">
        <w:t xml:space="preserve"> </w:t>
      </w:r>
    </w:p>
    <w:p w:rsidRPr="00A86483" w:rsidR="00A97DCE" w:rsidP="00542ED8" w:rsidRDefault="00A97DCE" w14:paraId="048C406A" w14:textId="77777777">
      <w:r w:rsidRPr="00A86483">
        <w:t>Dubey, D., Gupta, D. and Agarwal, N., 2024. THE INDIAN RETAIL LANDSCAPE: THE EFFECT OF FOREIGN DIRECT INVESTMENT (FDI) LIBERALISATION. </w:t>
      </w:r>
      <w:r w:rsidRPr="00A86483">
        <w:rPr>
          <w:i/>
          <w:iCs/>
        </w:rPr>
        <w:t>INTERNATIONAL JOURNAL OF MANAGEMENT</w:t>
      </w:r>
      <w:r w:rsidRPr="00A86483">
        <w:t>, </w:t>
      </w:r>
      <w:r w:rsidRPr="00A86483">
        <w:rPr>
          <w:i/>
          <w:iCs/>
        </w:rPr>
        <w:t>12</w:t>
      </w:r>
      <w:r w:rsidRPr="00A86483">
        <w:t>(2), pp.185-207.</w:t>
      </w:r>
      <w:r>
        <w:t xml:space="preserve"> </w:t>
      </w:r>
      <w:r w:rsidRPr="00A86483">
        <w:t xml:space="preserve">Available at: </w:t>
      </w:r>
      <w:hyperlink w:tgtFrame="_blank" w:history="1" r:id="rId23">
        <w:r w:rsidRPr="00A86483">
          <w:rPr>
            <w:rStyle w:val="Hyperlink"/>
            <w:lang w:bidi="ar-SA"/>
          </w:rPr>
          <w:t>https://www.journalpressindia.com/international-journal-of-management-issues-and-research/doi/10.69711/sharda.ijmir.v12i2.2309</w:t>
        </w:r>
      </w:hyperlink>
      <w:r w:rsidRPr="00A86483">
        <w:t xml:space="preserve"> </w:t>
      </w:r>
    </w:p>
    <w:p w:rsidRPr="00C80C35" w:rsidR="00A97DCE" w:rsidP="00542ED8" w:rsidRDefault="00A97DCE" w14:paraId="138FE340" w14:textId="77777777">
      <w:r w:rsidRPr="00C80C35">
        <w:t xml:space="preserve">Dunning, J.H. and Lundan, S.M. (2008) </w:t>
      </w:r>
      <w:r w:rsidRPr="00C80C35">
        <w:rPr>
          <w:i/>
          <w:iCs/>
        </w:rPr>
        <w:t>Multinational Enterprises and the Global Economy</w:t>
      </w:r>
      <w:r w:rsidRPr="00C80C35">
        <w:t xml:space="preserve">. 2nd edn. Cheltenham: Edward Elgar Publishing. Available at: </w:t>
      </w:r>
      <w:hyperlink w:tgtFrame="_blank" w:history="1" r:id="rId24">
        <w:r w:rsidRPr="00C80C35">
          <w:rPr>
            <w:rStyle w:val="Hyperlink"/>
            <w:lang w:bidi="ar-SA"/>
          </w:rPr>
          <w:t>https://www.e-elgar.com/shop/usd/multinational-enterprises-and-the-global-economy-second-edition-9781843765257.html</w:t>
        </w:r>
      </w:hyperlink>
      <w:r w:rsidRPr="00C80C35">
        <w:t xml:space="preserve"> </w:t>
      </w:r>
    </w:p>
    <w:p w:rsidRPr="00D137D2" w:rsidR="00A97DCE" w:rsidP="00542ED8" w:rsidRDefault="00A97DCE" w14:paraId="120DBF55" w14:textId="77777777">
      <w:r w:rsidRPr="00D137D2">
        <w:t>Ego, P. and Pidun, U., 2025. Roles of Market Characteristics and Experience in Ventures’ International Growth Mode Choice: A Conjoint Experiment. </w:t>
      </w:r>
      <w:r w:rsidRPr="00D137D2">
        <w:rPr>
          <w:i/>
          <w:iCs/>
        </w:rPr>
        <w:t>Management International Review</w:t>
      </w:r>
      <w:r w:rsidRPr="00D137D2">
        <w:t>, </w:t>
      </w:r>
      <w:r w:rsidRPr="00D137D2">
        <w:rPr>
          <w:i/>
          <w:iCs/>
        </w:rPr>
        <w:t>65</w:t>
      </w:r>
      <w:r w:rsidRPr="00D137D2">
        <w:t xml:space="preserve">(2), pp.329-357. Available at: </w:t>
      </w:r>
      <w:hyperlink w:tgtFrame="_blank" w:history="1" r:id="rId25">
        <w:r w:rsidRPr="00D137D2">
          <w:rPr>
            <w:rStyle w:val="Hyperlink"/>
            <w:lang w:bidi="ar-SA"/>
          </w:rPr>
          <w:t>https://link.springer.com/article/10.1007/s11575-024-00566-0</w:t>
        </w:r>
      </w:hyperlink>
      <w:r w:rsidRPr="00D137D2">
        <w:t xml:space="preserve"> </w:t>
      </w:r>
    </w:p>
    <w:p w:rsidRPr="00A86483" w:rsidR="00A97DCE" w:rsidP="00542ED8" w:rsidRDefault="00A97DCE" w14:paraId="3471D262" w14:textId="77777777">
      <w:r w:rsidRPr="00A86483">
        <w:t>Francioni, B. and Martín, O.M., 2024. International market, network, and opportunity selection: A systematic review of empirical research, integrative framework, and comprehensive research agenda. </w:t>
      </w:r>
      <w:r w:rsidRPr="00A86483">
        <w:rPr>
          <w:i/>
          <w:iCs/>
        </w:rPr>
        <w:t>Journal of International Management</w:t>
      </w:r>
      <w:r w:rsidRPr="00A86483">
        <w:t>, </w:t>
      </w:r>
      <w:r w:rsidRPr="00A86483">
        <w:rPr>
          <w:i/>
          <w:iCs/>
        </w:rPr>
        <w:t>30</w:t>
      </w:r>
      <w:r w:rsidRPr="00A86483">
        <w:t xml:space="preserve">(5), p.101174. Available at: </w:t>
      </w:r>
      <w:hyperlink w:tgtFrame="_blank" w:history="1" r:id="rId26">
        <w:r w:rsidRPr="00A86483">
          <w:rPr>
            <w:rStyle w:val="Hyperlink"/>
            <w:lang w:bidi="ar-SA"/>
          </w:rPr>
          <w:t>https://www.sciencedirect.com/science/article/pii/S1075425324000553</w:t>
        </w:r>
      </w:hyperlink>
      <w:r w:rsidRPr="00A86483">
        <w:t xml:space="preserve"> </w:t>
      </w:r>
    </w:p>
    <w:p w:rsidRPr="00C80C35" w:rsidR="00A97DCE" w:rsidP="00542ED8" w:rsidRDefault="00A97DCE" w14:paraId="0DA0BD6A" w14:textId="77777777">
      <w:r w:rsidRPr="00C80C35">
        <w:t xml:space="preserve">Hill, C.W.L. (2023) </w:t>
      </w:r>
      <w:r w:rsidRPr="00C80C35">
        <w:rPr>
          <w:i/>
          <w:iCs/>
        </w:rPr>
        <w:t>International Business: Competing in the Global Marketplace</w:t>
      </w:r>
      <w:r w:rsidRPr="00C80C35">
        <w:t xml:space="preserve">. 14th edn. New York: McGraw-Hill. Available at: </w:t>
      </w:r>
      <w:hyperlink w:tgtFrame="_blank" w:history="1" r:id="rId27">
        <w:r w:rsidRPr="00C80C35">
          <w:rPr>
            <w:rStyle w:val="Hyperlink"/>
            <w:lang w:bidi="ar-SA"/>
          </w:rPr>
          <w:t>https://www.mheducation.com/highered/product/international-business-competing-in-the-global-marketplace-hill.html</w:t>
        </w:r>
      </w:hyperlink>
      <w:r w:rsidRPr="00C80C35">
        <w:t xml:space="preserve"> </w:t>
      </w:r>
    </w:p>
    <w:p w:rsidRPr="00C80C35" w:rsidR="00A97DCE" w:rsidP="00542ED8" w:rsidRDefault="00A97DCE" w14:paraId="6A8F4DBE" w14:textId="77777777">
      <w:r w:rsidRPr="00C80C35">
        <w:t xml:space="preserve">India Brand Equity Foundation (IBEF) / Deloitte-FICCI (2025) ‘India’s retail sector projected to nearly double to US$ 1.93 trillion by 2030’. Available at: </w:t>
      </w:r>
      <w:hyperlink w:tgtFrame="_blank" w:history="1" r:id="rId28">
        <w:r w:rsidRPr="00C80C35">
          <w:rPr>
            <w:rStyle w:val="Hyperlink"/>
            <w:lang w:bidi="ar-SA"/>
          </w:rPr>
          <w:t>https://www.ibef.org/news/india-s-retail-sector-projected-to-nearly-double-to-rs-1-68-00-650-crore-us-1-93-trillion-by-2030-deloitte-ficci</w:t>
        </w:r>
      </w:hyperlink>
      <w:r w:rsidRPr="00C80C35">
        <w:t xml:space="preserve"> </w:t>
      </w:r>
    </w:p>
    <w:p w:rsidRPr="00D137D2" w:rsidR="00A97DCE" w:rsidP="00542ED8" w:rsidRDefault="00A97DCE" w14:paraId="16A661BF" w14:textId="77777777">
      <w:r w:rsidRPr="00D137D2">
        <w:t>Kashyap, R., Schotter, A., Satyavageeswaran, P. and Rose, E.L., 2026. High involvement–low investment foreign operating mode: considering Indian MNEs in emerging markets. </w:t>
      </w:r>
      <w:r w:rsidRPr="00D137D2">
        <w:rPr>
          <w:i/>
          <w:iCs/>
        </w:rPr>
        <w:t>Journal of International Business Studies</w:t>
      </w:r>
      <w:r w:rsidRPr="00D137D2">
        <w:t>, pp.1-21.</w:t>
      </w:r>
      <w:r>
        <w:t xml:space="preserve"> </w:t>
      </w:r>
      <w:r w:rsidRPr="00D137D2">
        <w:t xml:space="preserve">Available at: </w:t>
      </w:r>
      <w:hyperlink w:tgtFrame="_blank" w:history="1" r:id="rId29">
        <w:r w:rsidRPr="00D137D2">
          <w:rPr>
            <w:rStyle w:val="Hyperlink"/>
            <w:lang w:bidi="ar-SA"/>
          </w:rPr>
          <w:t>https://link.springer.com/article/10.1057/s41267-026-00842-1</w:t>
        </w:r>
      </w:hyperlink>
      <w:r w:rsidRPr="00D137D2">
        <w:t xml:space="preserve"> </w:t>
      </w:r>
    </w:p>
    <w:p w:rsidRPr="00A86483" w:rsidR="00A97DCE" w:rsidP="00542ED8" w:rsidRDefault="00A97DCE" w14:paraId="08008933" w14:textId="77777777">
      <w:r w:rsidRPr="00A86483">
        <w:t xml:space="preserve">Kedar, M.S., Karlekar, S. and Gosavi, G. (2025) ‘Foreign Direct Investment in Indian Retail Market: Challenges and Opportunities’, </w:t>
      </w:r>
      <w:r w:rsidRPr="00A86483">
        <w:rPr>
          <w:i/>
          <w:iCs/>
        </w:rPr>
        <w:t>ACADEMICIA: An International Multidisciplinary Research Journal</w:t>
      </w:r>
      <w:r w:rsidRPr="00A86483">
        <w:t xml:space="preserve">, 15(7), pp. 40–48. Available at: </w:t>
      </w:r>
      <w:hyperlink w:tgtFrame="_blank" w:history="1" r:id="rId30">
        <w:r w:rsidRPr="00A86483">
          <w:rPr>
            <w:rStyle w:val="Hyperlink"/>
            <w:lang w:bidi="ar-SA"/>
          </w:rPr>
          <w:t>https://indianjournals.com/article/aca-15-7-004</w:t>
        </w:r>
      </w:hyperlink>
      <w:r w:rsidRPr="00A86483">
        <w:t xml:space="preserve"> </w:t>
      </w:r>
    </w:p>
    <w:p w:rsidRPr="00D137D2" w:rsidR="00A97DCE" w:rsidP="00542ED8" w:rsidRDefault="00A97DCE" w14:paraId="179C0E78" w14:textId="77777777">
      <w:r w:rsidRPr="00D137D2">
        <w:t xml:space="preserve">Kumar, A., Kar, S.K., Mishra, S.K., Bansal, R. and Harichandan, S. (2022) ‘Costco wholesale: The global expansion dilemma’, </w:t>
      </w:r>
      <w:r w:rsidRPr="00D137D2">
        <w:rPr>
          <w:i/>
          <w:iCs/>
        </w:rPr>
        <w:t>Emerald Emerging Markets Case Studies</w:t>
      </w:r>
      <w:r w:rsidRPr="00D137D2">
        <w:t xml:space="preserve">, 12(1). Available at: </w:t>
      </w:r>
      <w:hyperlink w:tgtFrame="_blank" w:history="1" r:id="rId31">
        <w:r w:rsidRPr="00D137D2">
          <w:rPr>
            <w:rStyle w:val="Hyperlink"/>
            <w:lang w:bidi="ar-SA"/>
          </w:rPr>
          <w:t>https://www.emerald.com/insight/content/doi/10.1108/EEMCS-05-2021-0145/full/html</w:t>
        </w:r>
      </w:hyperlink>
      <w:r w:rsidRPr="00D137D2">
        <w:t xml:space="preserve"> </w:t>
      </w:r>
    </w:p>
    <w:p w:rsidRPr="00A86483" w:rsidR="00A97DCE" w:rsidP="00542ED8" w:rsidRDefault="00A97DCE" w14:paraId="58E3DA20" w14:textId="77777777">
      <w:r w:rsidRPr="00A86483">
        <w:t xml:space="preserve">Macro, S. and Ott, U.F. (2024) ‘The evolution of the ability to effectively innovate in a transnational organization – A configurational analysis’, </w:t>
      </w:r>
      <w:r w:rsidRPr="00A86483">
        <w:rPr>
          <w:i/>
          <w:iCs/>
        </w:rPr>
        <w:t>Journal of International Management</w:t>
      </w:r>
      <w:r w:rsidRPr="00A86483">
        <w:t xml:space="preserve">, 30(6), article 101200. Available at: </w:t>
      </w:r>
      <w:hyperlink w:tgtFrame="_blank" w:history="1" r:id="rId32">
        <w:r w:rsidRPr="00A86483">
          <w:rPr>
            <w:rStyle w:val="Hyperlink"/>
            <w:lang w:bidi="ar-SA"/>
          </w:rPr>
          <w:t>https://www.sciencedirect.com/science/article/pii/S1075425324000814</w:t>
        </w:r>
      </w:hyperlink>
      <w:r w:rsidRPr="00A86483">
        <w:t xml:space="preserve"> </w:t>
      </w:r>
    </w:p>
    <w:p w:rsidRPr="00A86483" w:rsidR="00A97DCE" w:rsidP="00542ED8" w:rsidRDefault="00A97DCE" w14:paraId="3833D0DF" w14:textId="77777777">
      <w:r w:rsidRPr="00A86483">
        <w:t xml:space="preserve">Meyer, K.E. and Tse, C.H. (2025) ‘Organizational legitimacy as a core concept for theorizing on business in emerging economies’, </w:t>
      </w:r>
      <w:r w:rsidRPr="00A86483">
        <w:rPr>
          <w:i/>
          <w:iCs/>
        </w:rPr>
        <w:t>International Business Review</w:t>
      </w:r>
      <w:r w:rsidRPr="00A86483">
        <w:t xml:space="preserve">, 34(4), article 102447. Available at: </w:t>
      </w:r>
      <w:hyperlink w:tgtFrame="_blank" w:history="1" r:id="rId33">
        <w:r w:rsidRPr="00A86483">
          <w:rPr>
            <w:rStyle w:val="Hyperlink"/>
            <w:lang w:bidi="ar-SA"/>
          </w:rPr>
          <w:t>https://www.sciencedirect.com/science/article/pii/S096959312500047X</w:t>
        </w:r>
      </w:hyperlink>
      <w:r w:rsidRPr="00A86483">
        <w:t xml:space="preserve"> </w:t>
      </w:r>
    </w:p>
    <w:p w:rsidRPr="00D137D2" w:rsidR="00A97DCE" w:rsidP="00542ED8" w:rsidRDefault="00A97DCE" w14:paraId="36E0CD49" w14:textId="77777777">
      <w:r w:rsidRPr="00D137D2">
        <w:t xml:space="preserve">Patil, A., Borle, S. and Singh, S. (2023) ‘An empirical investigation of unique traits of retailing industry in emerging economies: The perspective of consumer-packaged goods manufacturers’, </w:t>
      </w:r>
      <w:r w:rsidRPr="00D137D2">
        <w:rPr>
          <w:i/>
          <w:iCs/>
        </w:rPr>
        <w:t>Journal of Business Research</w:t>
      </w:r>
      <w:r w:rsidRPr="00D137D2">
        <w:t xml:space="preserve">, 154, article 113254. Available at: </w:t>
      </w:r>
      <w:hyperlink w:tgtFrame="_blank" w:history="1" r:id="rId34">
        <w:r w:rsidRPr="00D137D2">
          <w:rPr>
            <w:rStyle w:val="Hyperlink"/>
            <w:lang w:bidi="ar-SA"/>
          </w:rPr>
          <w:t>https://www.sciencedirect.com/science/article/abs/pii/S0148296322007020</w:t>
        </w:r>
      </w:hyperlink>
      <w:r w:rsidRPr="00D137D2">
        <w:t xml:space="preserve"> </w:t>
      </w:r>
    </w:p>
    <w:p w:rsidRPr="00D137D2" w:rsidR="00A97DCE" w:rsidP="00542ED8" w:rsidRDefault="00A97DCE" w14:paraId="69302DED" w14:textId="77777777">
      <w:r w:rsidRPr="00D137D2">
        <w:t>Pitelis, C.N., Teece, D.J. and Yang, H., 2024. Dynamic capabilities and MNE global strategy: A systematic literature review‐based novel conceptual framework. </w:t>
      </w:r>
      <w:r w:rsidRPr="00D137D2">
        <w:rPr>
          <w:i/>
          <w:iCs/>
        </w:rPr>
        <w:t>Journal of management studies</w:t>
      </w:r>
      <w:r w:rsidRPr="00D137D2">
        <w:t>, </w:t>
      </w:r>
      <w:r w:rsidRPr="00D137D2">
        <w:rPr>
          <w:i/>
          <w:iCs/>
        </w:rPr>
        <w:t>61</w:t>
      </w:r>
      <w:r w:rsidRPr="00D137D2">
        <w:t>(7), pp.3295-3326.</w:t>
      </w:r>
      <w:r>
        <w:t xml:space="preserve"> </w:t>
      </w:r>
      <w:r w:rsidRPr="00D137D2">
        <w:t xml:space="preserve">Available at: </w:t>
      </w:r>
      <w:hyperlink w:tgtFrame="_blank" w:history="1" r:id="rId35">
        <w:r w:rsidRPr="00D137D2">
          <w:rPr>
            <w:rStyle w:val="Hyperlink"/>
            <w:lang w:bidi="ar-SA"/>
          </w:rPr>
          <w:t>https://onlinelibrary.wiley.com/doi/10.1111/joms.13021</w:t>
        </w:r>
      </w:hyperlink>
      <w:r w:rsidRPr="00D137D2">
        <w:t xml:space="preserve"> </w:t>
      </w:r>
    </w:p>
    <w:p w:rsidRPr="00C80C35" w:rsidR="00A97DCE" w:rsidP="00542ED8" w:rsidRDefault="00A97DCE" w14:paraId="785ED714" w14:textId="77777777">
      <w:r w:rsidRPr="00C80C35">
        <w:t xml:space="preserve">Reuters (2025) ‘US retail giant Costco to set up global capability centre in India, to employ 1000 people, sources say’, 21 July. Available at: </w:t>
      </w:r>
      <w:hyperlink w:tgtFrame="_blank" w:history="1" r:id="rId36">
        <w:r w:rsidRPr="00C80C35">
          <w:rPr>
            <w:rStyle w:val="Hyperlink"/>
            <w:lang w:bidi="ar-SA"/>
          </w:rPr>
          <w:t>https://www.reuters.com/world/india/us-retail-giant-costco-set-up-global-capability-centre-india-employ-1000-people-2025-07-21/</w:t>
        </w:r>
      </w:hyperlink>
      <w:r w:rsidRPr="00C80C35">
        <w:t xml:space="preserve"> </w:t>
      </w:r>
    </w:p>
    <w:p w:rsidRPr="00D137D2" w:rsidR="00A97DCE" w:rsidP="00542ED8" w:rsidRDefault="00A97DCE" w14:paraId="696E0F60" w14:textId="77777777">
      <w:r w:rsidRPr="00D137D2">
        <w:t xml:space="preserve">Saluja, P. (2025) ‘Retail FDI in India: A confirmatory factor approach’, </w:t>
      </w:r>
      <w:r w:rsidRPr="00D137D2">
        <w:rPr>
          <w:i/>
          <w:iCs/>
        </w:rPr>
        <w:t>PRAGATI: Journal of Indian Economy</w:t>
      </w:r>
      <w:r w:rsidRPr="00D137D2">
        <w:t xml:space="preserve">, 12(1), pp. 33–48. Available at: </w:t>
      </w:r>
      <w:hyperlink w:tgtFrame="_blank" w:history="1" r:id="rId37">
        <w:r w:rsidRPr="00D137D2">
          <w:rPr>
            <w:rStyle w:val="Hyperlink"/>
            <w:lang w:bidi="ar-SA"/>
          </w:rPr>
          <w:t>https://www.journalpressindia.com/pragati-journal-of-indian-economy/doi/10.17492/jpi.pragati.v12i1.1212503</w:t>
        </w:r>
      </w:hyperlink>
      <w:r w:rsidRPr="00D137D2">
        <w:t xml:space="preserve"> </w:t>
      </w:r>
    </w:p>
    <w:p w:rsidRPr="00A86483" w:rsidR="00A97DCE" w:rsidP="00542ED8" w:rsidRDefault="00A97DCE" w14:paraId="3E50D27B" w14:textId="77777777">
      <w:r w:rsidRPr="00A86483">
        <w:t xml:space="preserve">Schmitz, F.R. and Parente, R. (2024) ‘Born digitals entry mode choice from a target market institutional and digitalization perspective’, </w:t>
      </w:r>
      <w:r w:rsidRPr="00A86483">
        <w:rPr>
          <w:i/>
          <w:iCs/>
        </w:rPr>
        <w:t>Review of International Business and Strategy</w:t>
      </w:r>
      <w:r w:rsidRPr="00A86483">
        <w:t xml:space="preserve">, 34(1), pp. 64–77. Available at: </w:t>
      </w:r>
      <w:hyperlink w:tgtFrame="_blank" w:history="1" r:id="rId38">
        <w:r w:rsidRPr="00A86483">
          <w:rPr>
            <w:rStyle w:val="Hyperlink"/>
            <w:lang w:bidi="ar-SA"/>
          </w:rPr>
          <w:t>https://www.emerald.com/insight/content/doi/10.1108/ribs-05-2024-0048/full/html</w:t>
        </w:r>
      </w:hyperlink>
      <w:r w:rsidRPr="00A86483">
        <w:t xml:space="preserve"> </w:t>
      </w:r>
    </w:p>
    <w:p w:rsidRPr="00A86483" w:rsidR="00A97DCE" w:rsidP="00542ED8" w:rsidRDefault="00A97DCE" w14:paraId="3DA79525" w14:textId="77777777">
      <w:r w:rsidRPr="00A86483">
        <w:t>Schotter, A.P., Maznevski, M., Stahl, G.K. and Doz, Y., 2025. Towards a dynamic theory of lateral collaboration across multinational enterprise structures: A collection of insights. </w:t>
      </w:r>
      <w:r w:rsidRPr="00A86483">
        <w:rPr>
          <w:i/>
          <w:iCs/>
        </w:rPr>
        <w:t>Journal of World Business</w:t>
      </w:r>
      <w:r w:rsidRPr="00A86483">
        <w:t>, </w:t>
      </w:r>
      <w:r w:rsidRPr="00A86483">
        <w:rPr>
          <w:i/>
          <w:iCs/>
        </w:rPr>
        <w:t>60</w:t>
      </w:r>
      <w:r w:rsidRPr="00A86483">
        <w:t>(4), p.101647.</w:t>
      </w:r>
      <w:r>
        <w:t xml:space="preserve"> </w:t>
      </w:r>
      <w:r w:rsidRPr="00A86483">
        <w:t xml:space="preserve">Available at: </w:t>
      </w:r>
      <w:hyperlink w:tgtFrame="_blank" w:history="1" r:id="rId39">
        <w:r w:rsidRPr="00A86483">
          <w:rPr>
            <w:rStyle w:val="Hyperlink"/>
            <w:lang w:bidi="ar-SA"/>
          </w:rPr>
          <w:t>https://www.sciencedirect.com/science/article/pii/S109095162500047X</w:t>
        </w:r>
      </w:hyperlink>
      <w:r w:rsidRPr="00A86483">
        <w:t xml:space="preserve"> </w:t>
      </w:r>
    </w:p>
    <w:p w:rsidRPr="00D137D2" w:rsidR="00A97DCE" w:rsidP="00542ED8" w:rsidRDefault="00A97DCE" w14:paraId="61118BD3" w14:textId="77777777">
      <w:r w:rsidRPr="00A97DCE">
        <w:rPr>
          <w:rFonts w:eastAsia="MS Gothic"/>
          <w:lang w:val="en-US" w:eastAsia="en-US" w:bidi="ar-SA"/>
        </w:rPr>
        <w:t xml:space="preserve">Simply Psychology (2024) Gibbs' Reflective Cycle. Available at: </w:t>
      </w:r>
      <w:hyperlink w:history="1" r:id="rId40">
        <w:r w:rsidRPr="00803487">
          <w:rPr>
            <w:rStyle w:val="Hyperlink"/>
            <w:rFonts w:eastAsia="MS Gothic"/>
            <w:lang w:val="en-US" w:eastAsia="en-US" w:bidi="ar-SA"/>
          </w:rPr>
          <w:t>https://www.simplypsychology.org/gibbs-reflective-cycle.html</w:t>
        </w:r>
      </w:hyperlink>
      <w:r>
        <w:rPr>
          <w:rFonts w:eastAsia="MS Gothic"/>
          <w:lang w:val="en-US" w:eastAsia="en-US" w:bidi="ar-SA"/>
        </w:rPr>
        <w:t xml:space="preserve"> </w:t>
      </w:r>
      <w:r w:rsidRPr="00A97DCE">
        <w:rPr>
          <w:rFonts w:eastAsia="MS Gothic"/>
          <w:lang w:val="en-US" w:eastAsia="en-US" w:bidi="ar-SA"/>
        </w:rPr>
        <w:t xml:space="preserve"> (Accessed: 30 July 2026).</w:t>
      </w:r>
      <w:r>
        <w:rPr>
          <w:rFonts w:eastAsia="MS Gothic"/>
          <w:lang w:val="en-US" w:eastAsia="en-US" w:bidi="ar-SA"/>
        </w:rPr>
        <w:t>)</w:t>
      </w:r>
    </w:p>
    <w:p w:rsidR="00A97DCE" w:rsidP="00542ED8" w:rsidRDefault="00A97DCE" w14:paraId="792E0041" w14:textId="77777777">
      <w:r w:rsidRPr="00A86483">
        <w:t>Sinani, E., Hobdari, B., Brandl, K. and Gammelgaard, J., 2026. Caught in the crossfire: Multinational enterprises in the era of geopolitical tensions. </w:t>
      </w:r>
      <w:r w:rsidRPr="00A86483">
        <w:rPr>
          <w:i/>
          <w:iCs/>
        </w:rPr>
        <w:t>International Business Review</w:t>
      </w:r>
      <w:r w:rsidRPr="00A86483">
        <w:t>, </w:t>
      </w:r>
      <w:r w:rsidRPr="00A86483">
        <w:rPr>
          <w:i/>
          <w:iCs/>
        </w:rPr>
        <w:t>35</w:t>
      </w:r>
      <w:r w:rsidRPr="00A86483">
        <w:t>(4), p.102590.</w:t>
      </w:r>
      <w:r>
        <w:t xml:space="preserve"> </w:t>
      </w:r>
      <w:r w:rsidRPr="00A86483">
        <w:t xml:space="preserve">Available at: </w:t>
      </w:r>
      <w:hyperlink w:tgtFrame="_blank" w:history="1" r:id="rId41">
        <w:r w:rsidRPr="00A86483">
          <w:rPr>
            <w:rStyle w:val="Hyperlink"/>
            <w:lang w:bidi="ar-SA"/>
          </w:rPr>
          <w:t>https://www.sciencedirect.com/science/article/pii/S096959312600034X</w:t>
        </w:r>
      </w:hyperlink>
    </w:p>
    <w:p w:rsidRPr="00D137D2" w:rsidR="00A97DCE" w:rsidP="00542ED8" w:rsidRDefault="00A97DCE" w14:paraId="74CCBF50" w14:textId="77777777">
      <w:r w:rsidRPr="00D137D2">
        <w:t xml:space="preserve">Stoian, M.-C., Tardios, J.A. and Samdanis, M. (2024) ‘The knowledge-based view in international business: A systematic review of the literature and future research directions’, </w:t>
      </w:r>
      <w:r w:rsidRPr="00D137D2">
        <w:rPr>
          <w:i/>
          <w:iCs/>
        </w:rPr>
        <w:t>International Business Review</w:t>
      </w:r>
      <w:r w:rsidRPr="00D137D2">
        <w:t xml:space="preserve">, 33(2), article 102239. Available at: </w:t>
      </w:r>
      <w:hyperlink w:tgtFrame="_blank" w:history="1" r:id="rId42">
        <w:r w:rsidRPr="00D137D2">
          <w:rPr>
            <w:rStyle w:val="Hyperlink"/>
            <w:lang w:bidi="ar-SA"/>
          </w:rPr>
          <w:t>https://www.sciencedirect.com/science/article/pii/S0969593123001397</w:t>
        </w:r>
      </w:hyperlink>
      <w:r w:rsidRPr="00D137D2">
        <w:t xml:space="preserve"> </w:t>
      </w:r>
    </w:p>
    <w:p w:rsidRPr="00A86483" w:rsidR="00A97DCE" w:rsidP="00542ED8" w:rsidRDefault="00A97DCE" w14:paraId="6DD44A15" w14:textId="77777777">
      <w:r w:rsidRPr="00A86483">
        <w:t xml:space="preserve">Thein, H.H., Grosman, A., Sosnovskikh, S. and Klarin, A. (2024) ‘Should we stay or should we exit? Dilemmas faced by multinationals under sanctioned regimes’, </w:t>
      </w:r>
      <w:r w:rsidRPr="00A86483">
        <w:rPr>
          <w:i/>
          <w:iCs/>
        </w:rPr>
        <w:t xml:space="preserve">Journal of World </w:t>
      </w:r>
      <w:r w:rsidRPr="00A86483">
        <w:rPr>
          <w:i/>
          <w:iCs/>
        </w:rPr>
        <w:t>Business</w:t>
      </w:r>
      <w:r w:rsidRPr="00A86483">
        <w:t xml:space="preserve">, 59(6), article 101585. Available at: </w:t>
      </w:r>
      <w:hyperlink w:tgtFrame="_blank" w:history="1" r:id="rId43">
        <w:r w:rsidRPr="00A86483">
          <w:rPr>
            <w:rStyle w:val="Hyperlink"/>
            <w:lang w:bidi="ar-SA"/>
          </w:rPr>
          <w:t>https://www.sciencedirect.com/science/article/pii/S1090951624000853</w:t>
        </w:r>
      </w:hyperlink>
      <w:r w:rsidRPr="00A86483">
        <w:t xml:space="preserve"> </w:t>
      </w:r>
    </w:p>
    <w:p w:rsidRPr="00A86483" w:rsidR="00A97DCE" w:rsidP="00542ED8" w:rsidRDefault="00A97DCE" w14:paraId="042B08BC" w14:textId="77777777">
      <w:r w:rsidRPr="00A86483">
        <w:t>Tsougkou, E., Cadogan, J.W., Boso, N., Hodgkinson, I.R., Oliveira, J.S., Laukkanen, T., Yazdani, N. and Story, V.M., 2025. International product adaptation and performance: A systematic analysis of the literature and agenda for future research. </w:t>
      </w:r>
      <w:r w:rsidRPr="00A86483">
        <w:rPr>
          <w:i/>
          <w:iCs/>
        </w:rPr>
        <w:t>Journal of World Business</w:t>
      </w:r>
      <w:r w:rsidRPr="00A86483">
        <w:t>, </w:t>
      </w:r>
      <w:r w:rsidRPr="00A86483">
        <w:rPr>
          <w:i/>
          <w:iCs/>
        </w:rPr>
        <w:t>60</w:t>
      </w:r>
      <w:r w:rsidRPr="00A86483">
        <w:t>(1), p.101597.</w:t>
      </w:r>
      <w:r>
        <w:t xml:space="preserve"> </w:t>
      </w:r>
      <w:r w:rsidRPr="00A86483">
        <w:t xml:space="preserve">Available at: </w:t>
      </w:r>
      <w:hyperlink w:tgtFrame="_blank" w:history="1" r:id="rId44">
        <w:r w:rsidRPr="00A86483">
          <w:rPr>
            <w:rStyle w:val="Hyperlink"/>
            <w:lang w:bidi="ar-SA"/>
          </w:rPr>
          <w:t>https://www.sciencedirect.com/science/article/abs/pii/S109095162400097X</w:t>
        </w:r>
      </w:hyperlink>
      <w:r w:rsidRPr="00A86483">
        <w:t xml:space="preserve"> </w:t>
      </w:r>
    </w:p>
    <w:p w:rsidRPr="00A86483" w:rsidR="00A97DCE" w:rsidP="00542ED8" w:rsidRDefault="00A97DCE" w14:paraId="01FAC694" w14:textId="77777777">
      <w:r w:rsidRPr="00A86483">
        <w:t xml:space="preserve">Tung, R.L., Zander, I. and Fang, T. (2023) ‘The Tech Cold War, the multipolarization of the world economy, and IB research’, </w:t>
      </w:r>
      <w:r w:rsidRPr="00A86483">
        <w:rPr>
          <w:i/>
          <w:iCs/>
        </w:rPr>
        <w:t>International Business Review</w:t>
      </w:r>
      <w:r w:rsidRPr="00A86483">
        <w:t xml:space="preserve">, 32(6), article 102195. Available at: </w:t>
      </w:r>
      <w:hyperlink w:tgtFrame="_blank" w:history="1" r:id="rId45">
        <w:r w:rsidRPr="00A86483">
          <w:rPr>
            <w:rStyle w:val="Hyperlink"/>
            <w:lang w:bidi="ar-SA"/>
          </w:rPr>
          <w:t>https://www.sciencedirect.com/science/article/pii/S0969593123000951</w:t>
        </w:r>
      </w:hyperlink>
      <w:r w:rsidRPr="00A86483">
        <w:t xml:space="preserve"> </w:t>
      </w:r>
    </w:p>
    <w:p w:rsidRPr="00D137D2" w:rsidR="00A97DCE" w:rsidP="00542ED8" w:rsidRDefault="00A97DCE" w14:paraId="0CA0CAAD" w14:textId="77777777">
      <w:r w:rsidRPr="00D137D2">
        <w:t xml:space="preserve">Wan, C., Sousa, C.M.P., Lengler, J. and Tan, Q. (2023) ‘Entry mode choice: A meta-analysis of antecedents and outcomes’, </w:t>
      </w:r>
      <w:r w:rsidRPr="00D137D2">
        <w:rPr>
          <w:i/>
          <w:iCs/>
        </w:rPr>
        <w:t>Management International Review</w:t>
      </w:r>
      <w:r w:rsidRPr="00D137D2">
        <w:t xml:space="preserve">, 63(2), pp. 193–246. Available at: </w:t>
      </w:r>
      <w:hyperlink w:tgtFrame="_blank" w:history="1" r:id="rId46">
        <w:r w:rsidRPr="00D137D2">
          <w:rPr>
            <w:rStyle w:val="Hyperlink"/>
            <w:lang w:bidi="ar-SA"/>
          </w:rPr>
          <w:t>https://link.springer.com/article/10.1007/s11575-022-00499-6</w:t>
        </w:r>
      </w:hyperlink>
      <w:r w:rsidRPr="00D137D2">
        <w:t xml:space="preserve"> </w:t>
      </w:r>
    </w:p>
    <w:p w:rsidRPr="00D137D2" w:rsidR="00A97DCE" w:rsidP="00542ED8" w:rsidRDefault="00A97DCE" w14:paraId="0F8BF717" w14:textId="77777777">
      <w:r w:rsidRPr="00D137D2">
        <w:t>Wistedt, U. and Safari, A., 2026. Exploring purchase intention in cross-border e-commerce: a relational view. </w:t>
      </w:r>
      <w:r w:rsidRPr="00D137D2">
        <w:rPr>
          <w:i/>
          <w:iCs/>
        </w:rPr>
        <w:t>International Marketing Review</w:t>
      </w:r>
      <w:r w:rsidRPr="00D137D2">
        <w:t>, </w:t>
      </w:r>
      <w:r w:rsidRPr="00D137D2">
        <w:rPr>
          <w:i/>
          <w:iCs/>
        </w:rPr>
        <w:t>43</w:t>
      </w:r>
      <w:r w:rsidRPr="00D137D2">
        <w:t>(7), pp.50-83.</w:t>
      </w:r>
      <w:r>
        <w:t xml:space="preserve"> </w:t>
      </w:r>
      <w:r w:rsidRPr="00D137D2">
        <w:t xml:space="preserve">Available at: </w:t>
      </w:r>
      <w:hyperlink w:tgtFrame="_blank" w:history="1" r:id="rId47">
        <w:r w:rsidRPr="00D137D2">
          <w:rPr>
            <w:rStyle w:val="Hyperlink"/>
            <w:lang w:bidi="ar-SA"/>
          </w:rPr>
          <w:t>https://www.emerald.com/insight/content/doi/10.1108/IMR-03-2025-0122/full/html</w:t>
        </w:r>
      </w:hyperlink>
      <w:r w:rsidRPr="00D137D2">
        <w:t xml:space="preserve"> </w:t>
      </w:r>
    </w:p>
    <w:p w:rsidRPr="00A86483" w:rsidR="00A97DCE" w:rsidP="00542ED8" w:rsidRDefault="00A97DCE" w14:paraId="0792E638" w14:textId="77777777">
      <w:r w:rsidRPr="00A86483">
        <w:t xml:space="preserve">Witt, M.A. and Ciravegna, L. (2025) ‘Serving national security? MNE responses in economic war’, </w:t>
      </w:r>
      <w:r w:rsidRPr="00A86483">
        <w:rPr>
          <w:i/>
          <w:iCs/>
        </w:rPr>
        <w:t>Journal of World Business</w:t>
      </w:r>
      <w:r w:rsidRPr="00A86483">
        <w:t xml:space="preserve">, 60(3), article 101628. Available at: </w:t>
      </w:r>
      <w:hyperlink w:tgtFrame="_blank" w:history="1" r:id="rId48">
        <w:r w:rsidRPr="00A86483">
          <w:rPr>
            <w:rStyle w:val="Hyperlink"/>
            <w:lang w:bidi="ar-SA"/>
          </w:rPr>
          <w:t>https://www.sciencedirect.com/science/article/pii/S1090951625000286</w:t>
        </w:r>
      </w:hyperlink>
      <w:r w:rsidRPr="00A86483">
        <w:t xml:space="preserve"> </w:t>
      </w:r>
    </w:p>
    <w:p w:rsidRPr="00A86483" w:rsidR="00A97DCE" w:rsidP="00542ED8" w:rsidRDefault="00A97DCE" w14:paraId="2996B7C4" w14:textId="77777777">
      <w:r w:rsidRPr="00A86483">
        <w:t xml:space="preserve">Witt, M.A., Lewin, A.Y., Li, P.P. and Gaur, A. (2023) ‘Decoupling in international business: Evidence, drivers, impact, and implications for IB research’, </w:t>
      </w:r>
      <w:r w:rsidRPr="00A86483">
        <w:rPr>
          <w:i/>
          <w:iCs/>
        </w:rPr>
        <w:t>Journal of World Business</w:t>
      </w:r>
      <w:r w:rsidRPr="00A86483">
        <w:t xml:space="preserve">, 58(1), article 101399. Available at: </w:t>
      </w:r>
      <w:hyperlink w:tgtFrame="_blank" w:history="1" r:id="rId49">
        <w:r w:rsidRPr="00A86483">
          <w:rPr>
            <w:rStyle w:val="Hyperlink"/>
            <w:lang w:bidi="ar-SA"/>
          </w:rPr>
          <w:t>https://www.sciencedirect.com/science/article/pii/S109095162200075X</w:t>
        </w:r>
      </w:hyperlink>
      <w:r w:rsidRPr="00A86483">
        <w:t xml:space="preserve"> </w:t>
      </w:r>
    </w:p>
    <w:p w:rsidRPr="00D137D2" w:rsidR="00A97DCE" w:rsidP="00542ED8" w:rsidRDefault="00A97DCE" w14:paraId="1614ABFE" w14:textId="77777777">
      <w:r w:rsidRPr="00D137D2">
        <w:t xml:space="preserve">Yao, F.K., Chen, M.-J., Li, J., Combs, D. and Li, Q. (2024) ‘A review of 50 years of research since Knickerbocker (1973): Competitive dynamics in international business’, </w:t>
      </w:r>
      <w:r w:rsidRPr="00D137D2">
        <w:rPr>
          <w:i/>
          <w:iCs/>
        </w:rPr>
        <w:t>Journal of International Business Studies</w:t>
      </w:r>
      <w:r w:rsidRPr="00D137D2">
        <w:t xml:space="preserve">, 55(5), pp. 522–550. Available at: </w:t>
      </w:r>
      <w:hyperlink w:tgtFrame="_blank" w:history="1" r:id="rId50">
        <w:r w:rsidRPr="00D137D2">
          <w:rPr>
            <w:rStyle w:val="Hyperlink"/>
            <w:lang w:bidi="ar-SA"/>
          </w:rPr>
          <w:t>https://link.springer.com/article/10.1057/s41267-024-00707-5</w:t>
        </w:r>
      </w:hyperlink>
      <w:r w:rsidRPr="00D137D2">
        <w:t xml:space="preserve"> </w:t>
      </w:r>
    </w:p>
    <w:p w:rsidR="00A97DCE" w:rsidP="00542ED8" w:rsidRDefault="00A97DCE" w14:paraId="3216D992" w14:textId="77777777">
      <w:r w:rsidRPr="00D137D2">
        <w:t>Zhou, Y., Gomes, E. and Vendrell‐Herrero, F., 2025. Optimizing International Market Selection: A Dynamic Approach Integrating Export and FDI Entry Modes. </w:t>
      </w:r>
      <w:r w:rsidRPr="00D137D2">
        <w:rPr>
          <w:i/>
          <w:iCs/>
        </w:rPr>
        <w:t>Thunderbird International Business Review</w:t>
      </w:r>
      <w:r w:rsidRPr="00D137D2">
        <w:t>, </w:t>
      </w:r>
      <w:r w:rsidRPr="00D137D2">
        <w:rPr>
          <w:i/>
          <w:iCs/>
        </w:rPr>
        <w:t>67</w:t>
      </w:r>
      <w:r w:rsidRPr="00D137D2">
        <w:t>(6), pp.739-755.</w:t>
      </w:r>
      <w:r>
        <w:t xml:space="preserve"> </w:t>
      </w:r>
      <w:r w:rsidRPr="00D137D2">
        <w:t xml:space="preserve">Available at: </w:t>
      </w:r>
      <w:hyperlink w:tgtFrame="_blank" w:history="1" r:id="rId51">
        <w:r w:rsidRPr="00D137D2">
          <w:rPr>
            <w:rStyle w:val="Hyperlink"/>
            <w:lang w:bidi="ar-SA"/>
          </w:rPr>
          <w:t>https://onlinelibrary.wiley.com/doi/10.1002/tie.70007</w:t>
        </w:r>
      </w:hyperlink>
      <w:r w:rsidRPr="00D137D2">
        <w:t xml:space="preserve"> </w:t>
      </w:r>
    </w:p>
    <w:p w:rsidRPr="00542ED8" w:rsidR="00542ED8" w:rsidP="00542ED8" w:rsidRDefault="00542ED8" w14:paraId="4275D56F" w14:textId="77777777"/>
    <w:sectPr w:rsidRPr="00542ED8" w:rsidR="00542ED8" w:rsidSect="00A83764">
      <w:footerReference w:type="default" r:id="rId52"/>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02E1" w:rsidRDefault="00C202E1" w14:paraId="6726EB9F" w14:textId="77777777">
      <w:pPr>
        <w:spacing w:before="0" w:after="0" w:line="240" w:lineRule="auto"/>
      </w:pPr>
      <w:r>
        <w:separator/>
      </w:r>
    </w:p>
  </w:endnote>
  <w:endnote w:type="continuationSeparator" w:id="0">
    <w:p w:rsidR="00C202E1" w:rsidRDefault="00C202E1" w14:paraId="7BDB2BF2"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85216" w:rsidRDefault="00000000" w14:paraId="349FB34A" w14:textId="77777777">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0364E9">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0364E9">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02E1" w:rsidRDefault="00C202E1" w14:paraId="169EA9BC" w14:textId="77777777">
      <w:pPr>
        <w:spacing w:before="0" w:after="0" w:line="240" w:lineRule="auto"/>
      </w:pPr>
      <w:r>
        <w:separator/>
      </w:r>
    </w:p>
  </w:footnote>
  <w:footnote w:type="continuationSeparator" w:id="0">
    <w:p w:rsidR="00C202E1" w:rsidRDefault="00C202E1" w14:paraId="0555D58A"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1A5EDF"/>
    <w:multiLevelType w:val="hybridMultilevel"/>
    <w:tmpl w:val="CAA4958E"/>
    <w:lvl w:ilvl="0" w:tplc="CC14C698">
      <w:start w:val="1"/>
      <w:numFmt w:val="bullet"/>
      <w:lvlText w:val="●"/>
      <w:lvlJc w:val="left"/>
      <w:pPr>
        <w:ind w:left="720" w:hanging="360"/>
      </w:pPr>
    </w:lvl>
    <w:lvl w:ilvl="1" w:tplc="6D32741E">
      <w:start w:val="1"/>
      <w:numFmt w:val="bullet"/>
      <w:lvlText w:val="○"/>
      <w:lvlJc w:val="left"/>
      <w:pPr>
        <w:ind w:left="1440" w:hanging="360"/>
      </w:pPr>
    </w:lvl>
    <w:lvl w:ilvl="2" w:tplc="3C2AA43A">
      <w:start w:val="1"/>
      <w:numFmt w:val="bullet"/>
      <w:lvlText w:val="■"/>
      <w:lvlJc w:val="left"/>
      <w:pPr>
        <w:ind w:left="2160" w:hanging="360"/>
      </w:pPr>
    </w:lvl>
    <w:lvl w:ilvl="3" w:tplc="BC62B280">
      <w:start w:val="1"/>
      <w:numFmt w:val="bullet"/>
      <w:lvlText w:val="●"/>
      <w:lvlJc w:val="left"/>
      <w:pPr>
        <w:ind w:left="2880" w:hanging="360"/>
      </w:pPr>
    </w:lvl>
    <w:lvl w:ilvl="4" w:tplc="4E78D7A6">
      <w:start w:val="1"/>
      <w:numFmt w:val="bullet"/>
      <w:lvlText w:val="○"/>
      <w:lvlJc w:val="left"/>
      <w:pPr>
        <w:ind w:left="3600" w:hanging="360"/>
      </w:pPr>
    </w:lvl>
    <w:lvl w:ilvl="5" w:tplc="A880DD92">
      <w:start w:val="1"/>
      <w:numFmt w:val="bullet"/>
      <w:lvlText w:val="■"/>
      <w:lvlJc w:val="left"/>
      <w:pPr>
        <w:ind w:left="4320" w:hanging="360"/>
      </w:pPr>
    </w:lvl>
    <w:lvl w:ilvl="6" w:tplc="D326E5DA">
      <w:start w:val="1"/>
      <w:numFmt w:val="bullet"/>
      <w:lvlText w:val="●"/>
      <w:lvlJc w:val="left"/>
      <w:pPr>
        <w:ind w:left="5040" w:hanging="360"/>
      </w:pPr>
    </w:lvl>
    <w:lvl w:ilvl="7" w:tplc="57C22C56">
      <w:start w:val="1"/>
      <w:numFmt w:val="bullet"/>
      <w:lvlText w:val="●"/>
      <w:lvlJc w:val="left"/>
      <w:pPr>
        <w:ind w:left="5760" w:hanging="360"/>
      </w:pPr>
    </w:lvl>
    <w:lvl w:ilvl="8" w:tplc="2A9E6D9A">
      <w:start w:val="1"/>
      <w:numFmt w:val="bullet"/>
      <w:lvlText w:val="●"/>
      <w:lvlJc w:val="left"/>
      <w:pPr>
        <w:ind w:left="6480" w:hanging="360"/>
      </w:pPr>
    </w:lvl>
  </w:abstractNum>
  <w:num w:numId="1" w16cid:durableId="1832788513">
    <w:abstractNumId w:val="0"/>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216"/>
    <w:rsid w:val="00000000"/>
    <w:rsid w:val="000364E9"/>
    <w:rsid w:val="001166A0"/>
    <w:rsid w:val="00206E5D"/>
    <w:rsid w:val="005052B3"/>
    <w:rsid w:val="0053603B"/>
    <w:rsid w:val="00542ED8"/>
    <w:rsid w:val="007D2084"/>
    <w:rsid w:val="00864072"/>
    <w:rsid w:val="00866EE1"/>
    <w:rsid w:val="008A399E"/>
    <w:rsid w:val="008F5EA6"/>
    <w:rsid w:val="009122DA"/>
    <w:rsid w:val="00974E91"/>
    <w:rsid w:val="00A12427"/>
    <w:rsid w:val="00A83764"/>
    <w:rsid w:val="00A97DCE"/>
    <w:rsid w:val="00C202E1"/>
    <w:rsid w:val="00D730E5"/>
    <w:rsid w:val="00E85216"/>
    <w:rsid w:val="06F5DFA4"/>
    <w:rsid w:val="0FE60104"/>
    <w:rsid w:val="113D2BD6"/>
    <w:rsid w:val="167D69DC"/>
    <w:rsid w:val="1C0DF20C"/>
    <w:rsid w:val="1F58F4EE"/>
    <w:rsid w:val="2C426F99"/>
    <w:rsid w:val="418E8CB4"/>
    <w:rsid w:val="44503AFD"/>
    <w:rsid w:val="4465A0B3"/>
    <w:rsid w:val="45F32D41"/>
    <w:rsid w:val="4A76E3C8"/>
    <w:rsid w:val="4E8D8BC1"/>
    <w:rsid w:val="50199488"/>
    <w:rsid w:val="546B60D7"/>
    <w:rsid w:val="54906B88"/>
    <w:rsid w:val="5F7E2A5C"/>
    <w:rsid w:val="66D87884"/>
    <w:rsid w:val="6B59FDD5"/>
    <w:rsid w:val="6D693817"/>
    <w:rsid w:val="6DBA7F5B"/>
    <w:rsid w:val="72FCC12E"/>
    <w:rsid w:val="799ABA6C"/>
    <w:rsid w:val="7EAAC2C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3C07C"/>
  <w15:docId w15:val="{16CA15CF-6811-44E3-94A5-9535B588C4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42ED8"/>
    <w:pPr>
      <w:spacing w:before="120" w:after="120" w:line="360" w:lineRule="auto"/>
      <w:jc w:val="both"/>
    </w:pPr>
  </w:style>
  <w:style w:type="paragraph" w:styleId="Heading1">
    <w:name w:val="heading 1"/>
    <w:uiPriority w:val="9"/>
    <w:qFormat/>
    <w:pPr>
      <w:spacing w:before="360" w:after="240"/>
      <w:outlineLvl w:val="0"/>
    </w:pPr>
    <w:rPr>
      <w:b/>
      <w:bCs/>
      <w:sz w:val="28"/>
      <w:szCs w:val="28"/>
    </w:rPr>
  </w:style>
  <w:style w:type="paragraph" w:styleId="Heading2">
    <w:name w:val="heading 2"/>
    <w:uiPriority w:val="9"/>
    <w:unhideWhenUsed/>
    <w:qFormat/>
    <w:pPr>
      <w:spacing w:before="280" w:after="18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166A0"/>
    <w:pPr>
      <w:tabs>
        <w:tab w:val="center" w:pos="4513"/>
        <w:tab w:val="right" w:pos="9026"/>
      </w:tabs>
      <w:spacing w:before="0" w:after="0" w:line="240" w:lineRule="auto"/>
    </w:pPr>
    <w:rPr>
      <w:szCs w:val="30"/>
    </w:rPr>
  </w:style>
  <w:style w:type="character" w:styleId="HeaderChar" w:customStyle="1">
    <w:name w:val="Header Char"/>
    <w:basedOn w:val="DefaultParagraphFont"/>
    <w:link w:val="Header"/>
    <w:uiPriority w:val="99"/>
    <w:rsid w:val="001166A0"/>
    <w:rPr>
      <w:szCs w:val="30"/>
    </w:rPr>
  </w:style>
  <w:style w:type="paragraph" w:styleId="Footer">
    <w:name w:val="footer"/>
    <w:basedOn w:val="Normal"/>
    <w:link w:val="FooterChar"/>
    <w:uiPriority w:val="99"/>
    <w:unhideWhenUsed/>
    <w:rsid w:val="001166A0"/>
    <w:pPr>
      <w:tabs>
        <w:tab w:val="center" w:pos="4513"/>
        <w:tab w:val="right" w:pos="9026"/>
      </w:tabs>
      <w:spacing w:before="0" w:after="0" w:line="240" w:lineRule="auto"/>
    </w:pPr>
    <w:rPr>
      <w:szCs w:val="30"/>
    </w:rPr>
  </w:style>
  <w:style w:type="character" w:styleId="FooterChar" w:customStyle="1">
    <w:name w:val="Footer Char"/>
    <w:basedOn w:val="DefaultParagraphFont"/>
    <w:link w:val="Footer"/>
    <w:uiPriority w:val="99"/>
    <w:rsid w:val="001166A0"/>
    <w:rPr>
      <w:szCs w:val="30"/>
    </w:rPr>
  </w:style>
  <w:style w:type="paragraph" w:styleId="TOCHeading">
    <w:name w:val="TOC Heading"/>
    <w:basedOn w:val="Heading1"/>
    <w:next w:val="Normal"/>
    <w:uiPriority w:val="39"/>
    <w:unhideWhenUsed/>
    <w:qFormat/>
    <w:rsid w:val="00A83764"/>
    <w:pPr>
      <w:keepNext/>
      <w:keepLines/>
      <w:spacing w:before="240" w:after="0" w:line="259" w:lineRule="auto"/>
      <w:outlineLvl w:val="9"/>
    </w:pPr>
    <w:rPr>
      <w:rFonts w:asciiTheme="majorHAnsi" w:hAnsiTheme="majorHAnsi" w:eastAsiaTheme="majorEastAsia"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A83764"/>
    <w:pPr>
      <w:spacing w:after="100"/>
    </w:pPr>
    <w:rPr>
      <w:szCs w:val="30"/>
    </w:rPr>
  </w:style>
  <w:style w:type="paragraph" w:styleId="TOC2">
    <w:name w:val="toc 2"/>
    <w:basedOn w:val="Normal"/>
    <w:next w:val="Normal"/>
    <w:autoRedefine/>
    <w:uiPriority w:val="39"/>
    <w:unhideWhenUsed/>
    <w:rsid w:val="00A83764"/>
    <w:pPr>
      <w:spacing w:after="100"/>
      <w:ind w:left="240"/>
    </w:pPr>
    <w:rPr>
      <w:szCs w:val="30"/>
    </w:rPr>
  </w:style>
  <w:style w:type="character" w:styleId="UnresolvedMention">
    <w:name w:val="Unresolved Mention"/>
    <w:basedOn w:val="DefaultParagraphFont"/>
    <w:uiPriority w:val="99"/>
    <w:semiHidden/>
    <w:unhideWhenUsed/>
    <w:rsid w:val="00A97D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cambridge.org/highereducation/books/transnational-management/3C642DA87989DEB80698EAFFC09E5F92" TargetMode="External" Id="rId13" /><Relationship Type="http://schemas.openxmlformats.org/officeDocument/2006/relationships/hyperlink" Target="https://www.pearson.com/en-gb/subject-catalog/p/international-business/P200000003959/9781292274157" TargetMode="External" Id="rId18" /><Relationship Type="http://schemas.openxmlformats.org/officeDocument/2006/relationships/hyperlink" Target="https://www.sciencedirect.com/science/article/pii/S1075425324000553" TargetMode="External" Id="rId26" /><Relationship Type="http://schemas.openxmlformats.org/officeDocument/2006/relationships/hyperlink" Target="https://www.sciencedirect.com/science/article/pii/S109095162500047X" TargetMode="External" Id="rId39" /><Relationship Type="http://schemas.openxmlformats.org/officeDocument/2006/relationships/hyperlink" Target="https://www.sec.gov/Archives/edgar/data/909832/000090983225000101/" TargetMode="External" Id="rId21" /><Relationship Type="http://schemas.openxmlformats.org/officeDocument/2006/relationships/hyperlink" Target="https://www.sciencedirect.com/science/article/abs/pii/S0148296322007020" TargetMode="External" Id="rId34" /><Relationship Type="http://schemas.openxmlformats.org/officeDocument/2006/relationships/hyperlink" Target="https://www.sciencedirect.com/science/article/pii/S0969593123001397" TargetMode="External" Id="rId42" /><Relationship Type="http://schemas.openxmlformats.org/officeDocument/2006/relationships/hyperlink" Target="https://www.emerald.com/insight/content/doi/10.1108/IMR-03-2025-0122/full/html" TargetMode="External" Id="rId47" /><Relationship Type="http://schemas.openxmlformats.org/officeDocument/2006/relationships/hyperlink" Target="https://link.springer.com/article/10.1057/s41267-024-00707-5" TargetMode="External" Id="rId50"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link.springer.com/article/10.1057/s41267-022-00521-x" TargetMode="External" Id="rId16" /><Relationship Type="http://schemas.openxmlformats.org/officeDocument/2006/relationships/hyperlink" Target="https://link.springer.com/article/10.1057/s41267-026-00842-1" TargetMode="External" Id="rId29" /><Relationship Type="http://schemas.openxmlformats.org/officeDocument/2006/relationships/hyperlink" Target="https://link.springer.com/article/10.1007/s11575-025-00584-6" TargetMode="External" Id="rId11" /><Relationship Type="http://schemas.openxmlformats.org/officeDocument/2006/relationships/hyperlink" Target="https://www.e-elgar.com/shop/usd/multinational-enterprises-and-the-global-economy-second-edition-9781843765257.html" TargetMode="External" Id="rId24" /><Relationship Type="http://schemas.openxmlformats.org/officeDocument/2006/relationships/hyperlink" Target="https://www.sciencedirect.com/science/article/pii/S1075425324000814" TargetMode="External" Id="rId32" /><Relationship Type="http://schemas.openxmlformats.org/officeDocument/2006/relationships/hyperlink" Target="https://www.journalpressindia.com/pragati-journal-of-indian-economy/doi/10.17492/jpi.pragati.v12i1.1212503" TargetMode="External" Id="rId37" /><Relationship Type="http://schemas.openxmlformats.org/officeDocument/2006/relationships/hyperlink" Target="https://www.simplypsychology.org/gibbs-reflective-cycle.html" TargetMode="External" Id="rId40" /><Relationship Type="http://schemas.openxmlformats.org/officeDocument/2006/relationships/hyperlink" Target="https://www.sciencedirect.com/science/article/pii/S0969593123000951" TargetMode="External" Id="rId45" /><Relationship Type="http://schemas.openxmlformats.org/officeDocument/2006/relationships/fontTable" Target="fontTable.xml" Id="rId53"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hyperlink" Target="https://www.pearson.com/en-gb/subject-catalog/p/international-business/P200000010958/9781292741901" TargetMode="External" Id="rId19" /><Relationship Type="http://schemas.openxmlformats.org/officeDocument/2006/relationships/hyperlink" Target="https://www.emerald.com/insight/content/doi/10.1108/EEMCS-05-2021-0145/full/html" TargetMode="External" Id="rId31" /><Relationship Type="http://schemas.openxmlformats.org/officeDocument/2006/relationships/hyperlink" Target="https://www.sciencedirect.com/science/article/abs/pii/S109095162400097X" TargetMode="External" Id="rId44" /><Relationship Type="http://schemas.openxmlformats.org/officeDocument/2006/relationships/footer" Target="footer1.xm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beaconfiling.com/comparisons/single-brand-vs-multi-brand-retail-fdi" TargetMode="External" Id="rId14" /><Relationship Type="http://schemas.openxmlformats.org/officeDocument/2006/relationships/hyperlink" Target="https://www.dpiit.gov.in/documents/acts-and-policies/foreign-direct-investment-policy-cDNwATNtQWa?pageTitle=Foreign-Direct-Investment-Policy" TargetMode="External" Id="rId22" /><Relationship Type="http://schemas.openxmlformats.org/officeDocument/2006/relationships/hyperlink" Target="https://www.mheducation.com/highered/product/international-business-competing-in-the-global-marketplace-hill.html" TargetMode="External" Id="rId27" /><Relationship Type="http://schemas.openxmlformats.org/officeDocument/2006/relationships/hyperlink" Target="https://indianjournals.com/article/aca-15-7-004" TargetMode="External" Id="rId30" /><Relationship Type="http://schemas.openxmlformats.org/officeDocument/2006/relationships/hyperlink" Target="https://onlinelibrary.wiley.com/doi/10.1111/joms.13021" TargetMode="External" Id="rId35" /><Relationship Type="http://schemas.openxmlformats.org/officeDocument/2006/relationships/hyperlink" Target="https://www.sciencedirect.com/science/article/pii/S1090951624000853" TargetMode="External" Id="rId43" /><Relationship Type="http://schemas.openxmlformats.org/officeDocument/2006/relationships/hyperlink" Target="https://www.sciencedirect.com/science/article/pii/S1090951625000286" TargetMode="External" Id="rId48" /><Relationship Type="http://schemas.openxmlformats.org/officeDocument/2006/relationships/image" Target="media/image1.png" Id="rId8" /><Relationship Type="http://schemas.openxmlformats.org/officeDocument/2006/relationships/hyperlink" Target="https://onlinelibrary.wiley.com/doi/10.1002/tie.70007" TargetMode="External" Id="rId51" /><Relationship Type="http://schemas.openxmlformats.org/officeDocument/2006/relationships/styles" Target="styles.xml" Id="rId3" /><Relationship Type="http://schemas.openxmlformats.org/officeDocument/2006/relationships/hyperlink" Target="https://www.sciencedirect.com/science/article/abs/pii/S1075425322000308" TargetMode="External" Id="rId12" /><Relationship Type="http://schemas.openxmlformats.org/officeDocument/2006/relationships/hyperlink" Target="https://journals.sagepub.com/doi/10.1177/00195561211058442" TargetMode="External" Id="rId17" /><Relationship Type="http://schemas.openxmlformats.org/officeDocument/2006/relationships/hyperlink" Target="https://link.springer.com/article/10.1007/s11575-024-00566-0" TargetMode="External" Id="rId25" /><Relationship Type="http://schemas.openxmlformats.org/officeDocument/2006/relationships/hyperlink" Target="https://www.sciencedirect.com/science/article/pii/S096959312500047X" TargetMode="External" Id="rId33" /><Relationship Type="http://schemas.openxmlformats.org/officeDocument/2006/relationships/hyperlink" Target="https://www.emerald.com/insight/content/doi/10.1108/ribs-05-2024-0048/full/html" TargetMode="External" Id="rId38" /><Relationship Type="http://schemas.openxmlformats.org/officeDocument/2006/relationships/hyperlink" Target="https://link.springer.com/article/10.1007/s11575-022-00499-6" TargetMode="External" Id="rId46" /><Relationship Type="http://schemas.openxmlformats.org/officeDocument/2006/relationships/hyperlink" Target="https://www.sciencedirect.com/science/article/pii/S096959312600034X" TargetMode="External" Id="rId20" /><Relationship Type="http://schemas.openxmlformats.org/officeDocument/2006/relationships/hyperlink" Target="https://www.sciencedirect.com/science/article/pii/S096959312600034X" TargetMode="External" Id="rId41" /><Relationship Type="http://schemas.openxmlformats.org/officeDocument/2006/relationships/theme" Target="theme/theme1.xm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onlinelibrary.wiley.com/doi/10.1002/gsj.1464" TargetMode="External" Id="rId15" /><Relationship Type="http://schemas.openxmlformats.org/officeDocument/2006/relationships/hyperlink" Target="https://www.journalpressindia.com/international-journal-of-management-issues-and-research/doi/10.69711/sharda.ijmir.v12i2.2309" TargetMode="External" Id="rId23" /><Relationship Type="http://schemas.openxmlformats.org/officeDocument/2006/relationships/hyperlink" Target="https://www.ibef.org/news/india-s-retail-sector-projected-to-nearly-double-to-rs-1-68-00-650-crore-us-1-93-trillion-by-2030-deloitte-ficci" TargetMode="External" Id="rId28" /><Relationship Type="http://schemas.openxmlformats.org/officeDocument/2006/relationships/hyperlink" Target="https://www.reuters.com/world/india/us-retail-giant-costco-set-up-global-capability-centre-india-employ-1000-people-2025-07-21/" TargetMode="External" Id="rId36" /><Relationship Type="http://schemas.openxmlformats.org/officeDocument/2006/relationships/hyperlink" Target="https://www.sciencedirect.com/science/article/pii/S109095162200075X" TargetMode="External" Id="rId4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EFAAC-36B8-4E2A-AFAE-D1B17044FC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2026-07-27T19:50:00.0000000Z</dcterms:created>
  <dcterms:modified xsi:type="dcterms:W3CDTF">2026-07-31T03:08:56.4895868Z</dcterms:modified>
  <lastModifiedBy>Prahar Sunilbhai Shah (2528026)</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f7224bde-a91e-4d76-97b4-efafa4b05e93</vt:lpwstr>
  </property>
</Properties>
</file>