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D6990" w14:textId="77777777" w:rsidR="00BA7D88" w:rsidRPr="00BE66B1" w:rsidRDefault="00BA7D88" w:rsidP="00BA7D88">
      <w:pPr>
        <w:rPr>
          <w:rFonts w:asciiTheme="majorBidi" w:hAnsiTheme="majorBidi" w:cstheme="majorBidi"/>
        </w:rPr>
      </w:pPr>
    </w:p>
    <w:p w14:paraId="6FC767D7" w14:textId="77777777" w:rsidR="00BA7D88" w:rsidRPr="00BE66B1" w:rsidRDefault="00BA7D88" w:rsidP="00BA7D88">
      <w:pPr>
        <w:rPr>
          <w:rFonts w:asciiTheme="majorBidi" w:hAnsiTheme="majorBidi" w:cstheme="majorBidi"/>
        </w:rPr>
      </w:pPr>
    </w:p>
    <w:p w14:paraId="4FE79B97" w14:textId="77777777" w:rsidR="00CB234B" w:rsidRPr="00CB234B" w:rsidRDefault="00CB234B" w:rsidP="00CB234B">
      <w:pPr>
        <w:rPr>
          <w:rFonts w:asciiTheme="majorBidi" w:hAnsiTheme="majorBidi" w:cstheme="majorBidi"/>
        </w:rPr>
      </w:pPr>
    </w:p>
    <w:p w14:paraId="0348CCB2"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MODULE CODE: ECDE7020  </w:t>
      </w:r>
    </w:p>
    <w:p w14:paraId="1AE17E2A"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ASSESSMENT COMPONENT: 1  </w:t>
      </w:r>
    </w:p>
    <w:p w14:paraId="57B1DF42" w14:textId="77777777" w:rsidR="00CB234B" w:rsidRPr="00CB234B" w:rsidRDefault="00CB234B" w:rsidP="00C479F1">
      <w:pPr>
        <w:rPr>
          <w:rFonts w:asciiTheme="majorBidi" w:hAnsiTheme="majorBidi" w:cstheme="majorBidi"/>
        </w:rPr>
      </w:pPr>
      <w:r w:rsidRPr="00CB234B">
        <w:rPr>
          <w:rFonts w:asciiTheme="majorBidi" w:hAnsiTheme="majorBidi" w:cstheme="majorBidi"/>
        </w:rPr>
        <w:t xml:space="preserve">STUDENT NAME: Akram </w:t>
      </w:r>
      <w:r w:rsidR="00C479F1">
        <w:rPr>
          <w:rFonts w:asciiTheme="majorBidi" w:hAnsiTheme="majorBidi" w:cstheme="majorBidi"/>
        </w:rPr>
        <w:t>Barati</w:t>
      </w:r>
    </w:p>
    <w:p w14:paraId="5DCEDB30" w14:textId="706739EF" w:rsidR="00CB234B" w:rsidRPr="00CB234B" w:rsidRDefault="00CB234B" w:rsidP="00CB234B">
      <w:pPr>
        <w:rPr>
          <w:rFonts w:asciiTheme="majorBidi" w:hAnsiTheme="majorBidi" w:cstheme="majorBidi"/>
        </w:rPr>
      </w:pPr>
      <w:r w:rsidRPr="00CB234B">
        <w:rPr>
          <w:rFonts w:asciiTheme="majorBidi" w:hAnsiTheme="majorBidi" w:cstheme="majorBidi"/>
        </w:rPr>
        <w:t>STUDENT NUMBER:</w:t>
      </w:r>
      <w:r w:rsidR="00622EC9">
        <w:rPr>
          <w:rFonts w:asciiTheme="majorBidi" w:hAnsiTheme="majorBidi" w:cstheme="majorBidi"/>
        </w:rPr>
        <w:t>2403780</w:t>
      </w:r>
    </w:p>
    <w:p w14:paraId="63BBB613" w14:textId="77777777" w:rsidR="00CB234B" w:rsidRPr="00CB234B" w:rsidRDefault="00CB234B" w:rsidP="00CB234B">
      <w:pPr>
        <w:rPr>
          <w:rFonts w:asciiTheme="majorBidi" w:hAnsiTheme="majorBidi" w:cstheme="majorBidi"/>
        </w:rPr>
      </w:pPr>
    </w:p>
    <w:p w14:paraId="3344D77C" w14:textId="074519CC" w:rsidR="00CB234B" w:rsidRPr="00CB234B" w:rsidRDefault="0069513A" w:rsidP="00CB234B">
      <w:pPr>
        <w:rPr>
          <w:rFonts w:asciiTheme="majorBidi" w:hAnsiTheme="majorBidi" w:cstheme="majorBidi"/>
        </w:rPr>
      </w:pPr>
      <w:r w:rsidRPr="00CB234B">
        <w:rPr>
          <w:rFonts w:asciiTheme="majorBidi" w:hAnsiTheme="majorBidi" w:cstheme="majorBidi"/>
        </w:rPr>
        <w:t>Program</w:t>
      </w:r>
      <w:r>
        <w:rPr>
          <w:rFonts w:asciiTheme="majorBidi" w:hAnsiTheme="majorBidi" w:cstheme="majorBidi"/>
        </w:rPr>
        <w:t>:</w:t>
      </w:r>
      <w:r w:rsidR="00CB234B" w:rsidRPr="00CB234B">
        <w:rPr>
          <w:rFonts w:asciiTheme="majorBidi" w:hAnsiTheme="majorBidi" w:cstheme="majorBidi"/>
        </w:rPr>
        <w:t xml:space="preserve"> </w:t>
      </w:r>
      <w:r w:rsidR="00CB234B" w:rsidRPr="00CB234B">
        <w:rPr>
          <w:rFonts w:ascii="Segoe UI Symbol" w:hAnsi="Segoe UI Symbol" w:cs="Segoe UI Symbol"/>
        </w:rPr>
        <w:t>☒</w:t>
      </w:r>
      <w:r w:rsidR="00CB234B" w:rsidRPr="00CB234B">
        <w:rPr>
          <w:rFonts w:asciiTheme="majorBidi" w:hAnsiTheme="majorBidi" w:cstheme="majorBidi"/>
        </w:rPr>
        <w:t xml:space="preserve"> Professional Doctorate (EdD)  </w:t>
      </w:r>
    </w:p>
    <w:p w14:paraId="730B8F0E" w14:textId="77777777" w:rsidR="00CB234B" w:rsidRPr="00CB234B" w:rsidRDefault="00CB234B" w:rsidP="00CB234B">
      <w:pPr>
        <w:rPr>
          <w:rFonts w:asciiTheme="majorBidi" w:hAnsiTheme="majorBidi" w:cstheme="majorBidi"/>
        </w:rPr>
      </w:pPr>
    </w:p>
    <w:p w14:paraId="1D7BF237"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Proposed Research Question and Sub-questions  </w:t>
      </w:r>
    </w:p>
    <w:p w14:paraId="3707F1A3"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Main Research Question:  </w:t>
      </w:r>
    </w:p>
    <w:p w14:paraId="46CDC2E5"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How do healthcare employees experience microlearning-based training in high-pressure professional environments?  </w:t>
      </w:r>
    </w:p>
    <w:p w14:paraId="5EBAAC5F" w14:textId="77777777" w:rsidR="00CB234B" w:rsidRPr="00CB234B" w:rsidRDefault="00CB234B" w:rsidP="00CB234B">
      <w:pPr>
        <w:rPr>
          <w:rFonts w:asciiTheme="majorBidi" w:hAnsiTheme="majorBidi" w:cstheme="majorBidi"/>
        </w:rPr>
      </w:pPr>
    </w:p>
    <w:p w14:paraId="3A73A8E8"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Sub-questions:  </w:t>
      </w:r>
    </w:p>
    <w:p w14:paraId="02239172"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What meanings do healthcare employees attach to microlearning as a form of professional learning and continuous readiness?  </w:t>
      </w:r>
    </w:p>
    <w:p w14:paraId="298F68A1"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What perceived strengths and limitations of microlearning-based training emerge from healthcare employees' lived experiences in high-risk, time-critical contexts?  </w:t>
      </w:r>
    </w:p>
    <w:p w14:paraId="7DADB464" w14:textId="77777777" w:rsidR="00CB234B" w:rsidRPr="00CB234B" w:rsidRDefault="00CB234B" w:rsidP="00CB234B">
      <w:pPr>
        <w:rPr>
          <w:rFonts w:asciiTheme="majorBidi" w:hAnsiTheme="majorBidi" w:cstheme="majorBidi"/>
        </w:rPr>
      </w:pPr>
    </w:p>
    <w:p w14:paraId="0BEE5140" w14:textId="77777777" w:rsidR="00CB234B" w:rsidRPr="00C479F1" w:rsidRDefault="00CB234B" w:rsidP="00CB234B">
      <w:pPr>
        <w:rPr>
          <w:rFonts w:asciiTheme="majorBidi" w:hAnsiTheme="majorBidi" w:cstheme="majorBidi"/>
          <w:b/>
          <w:bCs/>
        </w:rPr>
      </w:pPr>
      <w:r w:rsidRPr="00C479F1">
        <w:rPr>
          <w:rFonts w:asciiTheme="majorBidi" w:hAnsiTheme="majorBidi" w:cstheme="majorBidi"/>
          <w:b/>
          <w:bCs/>
        </w:rPr>
        <w:t xml:space="preserve">Background &amp; Context </w:t>
      </w:r>
    </w:p>
    <w:p w14:paraId="50AFAD89" w14:textId="7FBC1C74" w:rsidR="00CB234B" w:rsidRPr="00BE66B1" w:rsidRDefault="00CB234B" w:rsidP="00CB234B">
      <w:pPr>
        <w:jc w:val="both"/>
        <w:rPr>
          <w:rFonts w:asciiTheme="majorBidi" w:hAnsiTheme="majorBidi" w:cstheme="majorBidi"/>
        </w:rPr>
      </w:pPr>
      <w:r w:rsidRPr="00BE66B1">
        <w:rPr>
          <w:rFonts w:asciiTheme="majorBidi" w:hAnsiTheme="majorBidi" w:cstheme="majorBidi"/>
        </w:rPr>
        <w:t xml:space="preserve">Healthcare employees operate in professional environments </w:t>
      </w:r>
      <w:r w:rsidR="0069513A" w:rsidRPr="00BE66B1">
        <w:rPr>
          <w:rFonts w:asciiTheme="majorBidi" w:hAnsiTheme="majorBidi" w:cstheme="majorBidi"/>
        </w:rPr>
        <w:t>characterized</w:t>
      </w:r>
      <w:r w:rsidRPr="00BE66B1">
        <w:rPr>
          <w:rFonts w:asciiTheme="majorBidi" w:hAnsiTheme="majorBidi" w:cstheme="majorBidi"/>
        </w:rPr>
        <w:t xml:space="preserve"> by high levels of risk, time pressure, emotional intensity, and cognitive demand. In such settings, professional competence depends not only on formal qualifications but also on the ability to recall and apply critical procedural knowledge rapidly and accurately under pressure (Vincent, 2010). Failures in training, knowledge retention, or readiness can have serious consequences for patient safety and </w:t>
      </w:r>
      <w:r w:rsidR="0069513A" w:rsidRPr="00BE66B1">
        <w:rPr>
          <w:rFonts w:asciiTheme="majorBidi" w:hAnsiTheme="majorBidi" w:cstheme="majorBidi"/>
        </w:rPr>
        <w:t>organizational</w:t>
      </w:r>
      <w:r w:rsidRPr="00BE66B1">
        <w:rPr>
          <w:rFonts w:asciiTheme="majorBidi" w:hAnsiTheme="majorBidi" w:cstheme="majorBidi"/>
        </w:rPr>
        <w:t xml:space="preserve"> performance, as evidenced by recurring investigations into preventable clinical errors and delayed emergency responses (Francis, 2013; Kohn et al., 2000). Consequently, healthcare training contexts place particular emphasis on continuous learning, procedural reinforcement, and timely access to relevant knowledge.  </w:t>
      </w:r>
    </w:p>
    <w:p w14:paraId="7EA13DD4" w14:textId="77777777" w:rsidR="00CB234B" w:rsidRPr="00BE66B1" w:rsidRDefault="00CB234B" w:rsidP="00CB234B">
      <w:pPr>
        <w:jc w:val="both"/>
        <w:rPr>
          <w:rFonts w:asciiTheme="majorBidi" w:hAnsiTheme="majorBidi" w:cstheme="majorBidi"/>
        </w:rPr>
      </w:pPr>
    </w:p>
    <w:p w14:paraId="0ACDDEC9" w14:textId="488F578D" w:rsidR="00CB234B" w:rsidRPr="00BE66B1" w:rsidRDefault="00CB234B" w:rsidP="00C479F1">
      <w:pPr>
        <w:jc w:val="both"/>
        <w:rPr>
          <w:rFonts w:asciiTheme="majorBidi" w:hAnsiTheme="majorBidi" w:cstheme="majorBidi"/>
        </w:rPr>
      </w:pPr>
      <w:r w:rsidRPr="00BE66B1">
        <w:rPr>
          <w:rFonts w:asciiTheme="majorBidi" w:hAnsiTheme="majorBidi" w:cstheme="majorBidi"/>
        </w:rPr>
        <w:t xml:space="preserve">Traditional training approaches in healthcare have often relied on extended classroom-based sessions, periodic refresher courses, or mandatory training events that require staff to be abstracted from clinical duties (Bluestone et al., 2013). While such approaches can be effective for foundational knowledge acquisition, they are frequently </w:t>
      </w:r>
      <w:r w:rsidR="0069513A" w:rsidRPr="00BE66B1">
        <w:rPr>
          <w:rFonts w:asciiTheme="majorBidi" w:hAnsiTheme="majorBidi" w:cstheme="majorBidi"/>
        </w:rPr>
        <w:t>criticized</w:t>
      </w:r>
      <w:r w:rsidRPr="00BE66B1">
        <w:rPr>
          <w:rFonts w:asciiTheme="majorBidi" w:hAnsiTheme="majorBidi" w:cstheme="majorBidi"/>
        </w:rPr>
        <w:t xml:space="preserve"> for being inflexible, time-consuming, and poorly aligned with the </w:t>
      </w:r>
      <w:r w:rsidRPr="00BE66B1">
        <w:rPr>
          <w:rFonts w:asciiTheme="majorBidi" w:hAnsiTheme="majorBidi" w:cstheme="majorBidi"/>
        </w:rPr>
        <w:lastRenderedPageBreak/>
        <w:t xml:space="preserve">realities of high-pressure clinical work (Cervero and Daley, 2018). Shift patterns, staffing shortages, and workload intensity can limit opportunities for sustained engagement with lengthy training </w:t>
      </w:r>
      <w:r w:rsidR="0069513A" w:rsidRPr="00BE66B1">
        <w:rPr>
          <w:rFonts w:asciiTheme="majorBidi" w:hAnsiTheme="majorBidi" w:cstheme="majorBidi"/>
        </w:rPr>
        <w:t>programs</w:t>
      </w:r>
      <w:r w:rsidRPr="00BE66B1">
        <w:rPr>
          <w:rFonts w:asciiTheme="majorBidi" w:hAnsiTheme="majorBidi" w:cstheme="majorBidi"/>
        </w:rPr>
        <w:t xml:space="preserve">, leading to gaps between training provision and practice (Melnyk et al., 2016). </w:t>
      </w:r>
    </w:p>
    <w:p w14:paraId="16E886BC" w14:textId="77777777" w:rsidR="00CB234B" w:rsidRPr="00BE66B1" w:rsidRDefault="00CB234B" w:rsidP="00CB234B">
      <w:pPr>
        <w:jc w:val="both"/>
        <w:rPr>
          <w:rFonts w:asciiTheme="majorBidi" w:hAnsiTheme="majorBidi" w:cstheme="majorBidi"/>
        </w:rPr>
      </w:pPr>
      <w:r w:rsidRPr="00BE66B1">
        <w:rPr>
          <w:rFonts w:asciiTheme="majorBidi" w:hAnsiTheme="majorBidi" w:cstheme="majorBidi"/>
        </w:rPr>
        <w:t xml:space="preserve">Within this context, microlearning has emerged as an increasingly prominent approach to professional training. Microlearning typically involves short, focused learning units—often 3–10 minutes in duration—designed to address specific learning objectives and delivered through digital or mobile platforms (Giurgiu, 2017; Kapp and Defelice, 2019). In healthcare settings, microlearning has been associated with continuing professional development (CPD), competency refreshers, and targeted skills reinforcement, particularly where staff require rapid access to information or brief learning interventions that can be integrated into busy workflows (De Gagne et al., 2019). Examples include mobile-based medication safety modules, short video demonstrations of clinical procedures, and bite-sized infection control updates accessible during shift breaks (Taylor and Hung, 2022).  </w:t>
      </w:r>
    </w:p>
    <w:p w14:paraId="7185993C" w14:textId="322EC93D" w:rsidR="00CB234B" w:rsidRPr="00BE66B1" w:rsidRDefault="00CB234B" w:rsidP="00404ED2">
      <w:pPr>
        <w:jc w:val="both"/>
        <w:rPr>
          <w:rFonts w:asciiTheme="majorBidi" w:hAnsiTheme="majorBidi" w:cstheme="majorBidi"/>
        </w:rPr>
      </w:pPr>
      <w:r w:rsidRPr="00BE66B1">
        <w:rPr>
          <w:rFonts w:asciiTheme="majorBidi" w:hAnsiTheme="majorBidi" w:cstheme="majorBidi"/>
        </w:rPr>
        <w:t xml:space="preserve">Despite growing interest in microlearning within healthcare training, much of the existing research has focused on outcome-based measures, such as knowledge retention scores, compliance rates, completion statistics, or efficiency indicators (Leong et al., 2021; Mohammed et al., 2021). While such quantitative studies offer valuable evidence of effectiveness, they provide limited insight into how microlearning is experienced by healthcare employees within the realities of high-pressure professional practice. Training is not experienced as a neutral intervention; rather, it is shaped by professional identity, </w:t>
      </w:r>
      <w:r w:rsidR="0069513A" w:rsidRPr="00BE66B1">
        <w:rPr>
          <w:rFonts w:asciiTheme="majorBidi" w:hAnsiTheme="majorBidi" w:cstheme="majorBidi"/>
        </w:rPr>
        <w:t>organizational</w:t>
      </w:r>
      <w:r w:rsidRPr="00BE66B1">
        <w:rPr>
          <w:rFonts w:asciiTheme="majorBidi" w:hAnsiTheme="majorBidi" w:cstheme="majorBidi"/>
        </w:rPr>
        <w:t xml:space="preserve"> culture, emotional </w:t>
      </w:r>
      <w:r w:rsidR="001F7774" w:rsidRPr="00BE66B1">
        <w:rPr>
          <w:rFonts w:asciiTheme="majorBidi" w:hAnsiTheme="majorBidi" w:cstheme="majorBidi"/>
        </w:rPr>
        <w:t>Laboure</w:t>
      </w:r>
      <w:r w:rsidRPr="00BE66B1">
        <w:rPr>
          <w:rFonts w:asciiTheme="majorBidi" w:hAnsiTheme="majorBidi" w:cstheme="majorBidi"/>
        </w:rPr>
        <w:t xml:space="preserve">, and perceptions of relevance and legitimacy (Webster-Wright, 2009).  </w:t>
      </w:r>
    </w:p>
    <w:p w14:paraId="2D5482D1" w14:textId="1ED33DAE" w:rsidR="00CB234B" w:rsidRPr="00BE66B1" w:rsidRDefault="00CB234B" w:rsidP="00CB234B">
      <w:pPr>
        <w:jc w:val="both"/>
        <w:rPr>
          <w:rFonts w:asciiTheme="majorBidi" w:hAnsiTheme="majorBidi" w:cstheme="majorBidi"/>
        </w:rPr>
      </w:pPr>
      <w:r w:rsidRPr="00BE66B1">
        <w:rPr>
          <w:rFonts w:asciiTheme="majorBidi" w:hAnsiTheme="majorBidi" w:cstheme="majorBidi"/>
        </w:rPr>
        <w:t xml:space="preserve">Learning in high-pressure environments is qualitatively different from learning in low-risk or purely academic settings. Healthcare employees must manage cognitive load, emotional stress, and time constraints simultaneously, raising important questions about how microlearning is perceived and enacted in practice (Cruess et al., 2016). For example, microlearning may be experienced as supportive and empowering—enabling just-in-time knowledge access—or conversely as fragmented, superficial, or burdensome, contributing to information overload or performative compliance (Cervero and Daley, 2018). Understanding these lived experiences is essential for designing training that genuinely supports professional readiness rather than simply meeting </w:t>
      </w:r>
      <w:r w:rsidR="001F7774" w:rsidRPr="00BE66B1">
        <w:rPr>
          <w:rFonts w:asciiTheme="majorBidi" w:hAnsiTheme="majorBidi" w:cstheme="majorBidi"/>
        </w:rPr>
        <w:t>organizational</w:t>
      </w:r>
      <w:r w:rsidRPr="00BE66B1">
        <w:rPr>
          <w:rFonts w:asciiTheme="majorBidi" w:hAnsiTheme="majorBidi" w:cstheme="majorBidi"/>
        </w:rPr>
        <w:t xml:space="preserve"> requirements or regulatory tick-boxes.  </w:t>
      </w:r>
    </w:p>
    <w:p w14:paraId="1E2B54AF" w14:textId="77777777" w:rsidR="00CB234B" w:rsidRDefault="00CB234B" w:rsidP="00CB234B">
      <w:pPr>
        <w:jc w:val="both"/>
        <w:rPr>
          <w:rFonts w:asciiTheme="majorBidi" w:hAnsiTheme="majorBidi" w:cstheme="majorBidi"/>
        </w:rPr>
      </w:pPr>
      <w:r w:rsidRPr="00BE66B1">
        <w:rPr>
          <w:rFonts w:asciiTheme="majorBidi" w:hAnsiTheme="majorBidi" w:cstheme="majorBidi"/>
        </w:rPr>
        <w:t xml:space="preserve">The existing literature therefore highlights a need for qualitative, experience-focused research that foregrounds the perspectives of healthcare employees themselves (De Gagne et al., 2019; Taylor and Hung, 2022). This study responds to that gap by proposing an interpretive investigation into healthcare employees' lived experiences of microlearning-based training in high-pressure professional environments. By focusing on meaning and experience rather than measurable outcomes alone, the study aims to contribute a deeper, more nuanced understanding of how microlearning is understood, valued, and integrated into professional practice—and where tensions, contradictions, or unintended consequences may arise.  </w:t>
      </w:r>
    </w:p>
    <w:p w14:paraId="1C15F30E" w14:textId="77777777" w:rsidR="001F7774" w:rsidRDefault="001F7774" w:rsidP="00CB234B">
      <w:pPr>
        <w:jc w:val="both"/>
        <w:rPr>
          <w:rFonts w:asciiTheme="majorBidi" w:hAnsiTheme="majorBidi" w:cstheme="majorBidi"/>
        </w:rPr>
      </w:pPr>
    </w:p>
    <w:p w14:paraId="325BB6BE" w14:textId="77777777" w:rsidR="001F7774" w:rsidRDefault="001F7774" w:rsidP="00CB234B">
      <w:pPr>
        <w:jc w:val="both"/>
        <w:rPr>
          <w:rFonts w:asciiTheme="majorBidi" w:hAnsiTheme="majorBidi" w:cstheme="majorBidi"/>
        </w:rPr>
      </w:pPr>
    </w:p>
    <w:p w14:paraId="21EE004A" w14:textId="77777777" w:rsidR="001F7774" w:rsidRDefault="001F7774" w:rsidP="00CB234B">
      <w:pPr>
        <w:jc w:val="both"/>
        <w:rPr>
          <w:rFonts w:asciiTheme="majorBidi" w:hAnsiTheme="majorBidi" w:cstheme="majorBidi"/>
        </w:rPr>
      </w:pPr>
    </w:p>
    <w:p w14:paraId="5972C539" w14:textId="77777777" w:rsidR="001F7774" w:rsidRDefault="001F7774" w:rsidP="00CB234B">
      <w:pPr>
        <w:jc w:val="both"/>
        <w:rPr>
          <w:rFonts w:asciiTheme="majorBidi" w:hAnsiTheme="majorBidi" w:cstheme="majorBidi"/>
        </w:rPr>
      </w:pPr>
    </w:p>
    <w:p w14:paraId="13A566FF" w14:textId="77777777" w:rsidR="001F7774" w:rsidRDefault="001F7774" w:rsidP="00CB234B">
      <w:pPr>
        <w:jc w:val="both"/>
        <w:rPr>
          <w:rFonts w:asciiTheme="majorBidi" w:hAnsiTheme="majorBidi" w:cstheme="majorBidi"/>
        </w:rPr>
      </w:pPr>
    </w:p>
    <w:p w14:paraId="2E54C3C3" w14:textId="77777777" w:rsidR="001F7774" w:rsidRPr="00BE66B1" w:rsidRDefault="001F7774" w:rsidP="00CB234B">
      <w:pPr>
        <w:jc w:val="both"/>
        <w:rPr>
          <w:rFonts w:asciiTheme="majorBidi" w:hAnsiTheme="majorBidi" w:cstheme="majorBidi"/>
        </w:rPr>
      </w:pPr>
    </w:p>
    <w:p w14:paraId="7F5C7F5C" w14:textId="77777777" w:rsidR="00CB234B" w:rsidRPr="00CB234B" w:rsidRDefault="00CB234B" w:rsidP="00CB234B">
      <w:pPr>
        <w:rPr>
          <w:rFonts w:asciiTheme="majorBidi" w:hAnsiTheme="majorBidi" w:cstheme="majorBidi"/>
        </w:rPr>
      </w:pPr>
    </w:p>
    <w:p w14:paraId="1A8ED8B2" w14:textId="77777777" w:rsidR="00CB234B" w:rsidRPr="00404ED2" w:rsidRDefault="00CB234B" w:rsidP="00404ED2">
      <w:pPr>
        <w:rPr>
          <w:rFonts w:asciiTheme="majorBidi" w:hAnsiTheme="majorBidi" w:cstheme="majorBidi"/>
          <w:b/>
          <w:bCs/>
        </w:rPr>
      </w:pPr>
      <w:r w:rsidRPr="00404ED2">
        <w:rPr>
          <w:rFonts w:asciiTheme="majorBidi" w:hAnsiTheme="majorBidi" w:cstheme="majorBidi"/>
          <w:b/>
          <w:bCs/>
        </w:rPr>
        <w:lastRenderedPageBreak/>
        <w:t xml:space="preserve">Aims &amp; Objectives </w:t>
      </w:r>
    </w:p>
    <w:p w14:paraId="751BEA45"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Aim  </w:t>
      </w:r>
    </w:p>
    <w:p w14:paraId="4AF74F74"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The aim of this study is to explore healthcare employees' lived experiences of microlearning-based training in high-pressure professional environments, focusing on perceptions of professional readiness, knowledge retention, and learning under pressure.  </w:t>
      </w:r>
    </w:p>
    <w:p w14:paraId="0CAFEEAF" w14:textId="77777777" w:rsidR="00CB234B" w:rsidRPr="00CB234B" w:rsidRDefault="00CB234B" w:rsidP="00CB234B">
      <w:pPr>
        <w:rPr>
          <w:rFonts w:asciiTheme="majorBidi" w:hAnsiTheme="majorBidi" w:cstheme="majorBidi"/>
        </w:rPr>
      </w:pPr>
    </w:p>
    <w:p w14:paraId="5464655F"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Objectives  </w:t>
      </w:r>
    </w:p>
    <w:p w14:paraId="2A91D763"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1. To explore descriptions of engagement with microlearning in workplace settings.  </w:t>
      </w:r>
    </w:p>
    <w:p w14:paraId="3800BDB1"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2. To examine attributed meanings to microlearning for competence maintenance in high-risk contexts.  </w:t>
      </w:r>
    </w:p>
    <w:p w14:paraId="0F7A0925"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3. To identify perceived benefits and limitations from time-critical perspectives.  </w:t>
      </w:r>
    </w:p>
    <w:p w14:paraId="57BD7BC0"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4. To generate practice-informed insights for microlearning design in healthcare.  </w:t>
      </w:r>
    </w:p>
    <w:p w14:paraId="1B414E24" w14:textId="77777777" w:rsidR="00CB234B" w:rsidRPr="00CB234B" w:rsidRDefault="00CB234B" w:rsidP="00CB234B">
      <w:pPr>
        <w:rPr>
          <w:rFonts w:asciiTheme="majorBidi" w:hAnsiTheme="majorBidi" w:cstheme="majorBidi"/>
        </w:rPr>
      </w:pPr>
    </w:p>
    <w:p w14:paraId="335F894E"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Gap in the Literature  </w:t>
      </w:r>
    </w:p>
    <w:p w14:paraId="73234116" w14:textId="77777777" w:rsidR="00CB234B" w:rsidRPr="00CB234B" w:rsidRDefault="00CB234B" w:rsidP="00CB234B">
      <w:pPr>
        <w:rPr>
          <w:rFonts w:asciiTheme="majorBidi" w:hAnsiTheme="majorBidi" w:cstheme="majorBidi"/>
        </w:rPr>
      </w:pPr>
      <w:r w:rsidRPr="00CB234B">
        <w:rPr>
          <w:rFonts w:asciiTheme="majorBidi" w:hAnsiTheme="majorBidi" w:cstheme="majorBidi"/>
        </w:rPr>
        <w:t>Quantitative studies dominate (e.g., retention scores; Leong et al., 2021), with limited qualitative depth on lived experiences (De Gagne et al., 2019; Taylor and Hung, 2022). This hermeneutic phenomenological study addresses this by prioritizing meaning-making in situated practice.</w:t>
      </w:r>
    </w:p>
    <w:p w14:paraId="2A84DB56" w14:textId="77777777" w:rsidR="00CB234B" w:rsidRPr="00CB234B" w:rsidRDefault="00CB234B" w:rsidP="00CB234B">
      <w:pPr>
        <w:rPr>
          <w:rFonts w:asciiTheme="majorBidi" w:hAnsiTheme="majorBidi" w:cstheme="majorBidi"/>
        </w:rPr>
      </w:pPr>
    </w:p>
    <w:p w14:paraId="45DF2CE9"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Proposed Plan of Work  </w:t>
      </w:r>
    </w:p>
    <w:tbl>
      <w:tblPr>
        <w:tblStyle w:val="PlainTable2"/>
        <w:tblW w:w="10276" w:type="dxa"/>
        <w:tblLook w:val="04A0" w:firstRow="1" w:lastRow="0" w:firstColumn="1" w:lastColumn="0" w:noHBand="0" w:noVBand="1"/>
      </w:tblPr>
      <w:tblGrid>
        <w:gridCol w:w="8452"/>
        <w:gridCol w:w="1824"/>
      </w:tblGrid>
      <w:tr w:rsidR="00CB234B" w:rsidRPr="00CB234B" w14:paraId="7C46CBA8" w14:textId="77777777" w:rsidTr="00E43A6D">
        <w:trPr>
          <w:cnfStyle w:val="100000000000" w:firstRow="1" w:lastRow="0" w:firstColumn="0" w:lastColumn="0" w:oddVBand="0" w:evenVBand="0" w:oddHBand="0"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CAC91A"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Planned Development</w:t>
            </w:r>
          </w:p>
        </w:tc>
        <w:tc>
          <w:tcPr>
            <w:tcW w:w="0" w:type="auto"/>
            <w:vAlign w:val="center"/>
            <w:hideMark/>
          </w:tcPr>
          <w:p w14:paraId="0791B7DA" w14:textId="77777777" w:rsidR="00CB234B" w:rsidRPr="00E43A6D" w:rsidRDefault="00CB234B" w:rsidP="00E43A6D">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E43A6D">
              <w:rPr>
                <w:rFonts w:asciiTheme="majorBidi" w:hAnsiTheme="majorBidi" w:cstheme="majorBidi"/>
                <w:b w:val="0"/>
                <w:bCs w:val="0"/>
                <w:sz w:val="18"/>
                <w:szCs w:val="18"/>
              </w:rPr>
              <w:t>Target Date for Completion</w:t>
            </w:r>
          </w:p>
        </w:tc>
      </w:tr>
      <w:tr w:rsidR="00CB234B" w:rsidRPr="00CB234B" w14:paraId="2DA625EA" w14:textId="77777777" w:rsidTr="00E43A6D">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FE557"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Focused literature review on microlearning, healthcare training, high-pressure professional learning, and phenomenological research approaches</w:t>
            </w:r>
          </w:p>
        </w:tc>
        <w:tc>
          <w:tcPr>
            <w:tcW w:w="0" w:type="auto"/>
            <w:vAlign w:val="center"/>
            <w:hideMark/>
          </w:tcPr>
          <w:p w14:paraId="6E0E1770" w14:textId="77777777" w:rsidR="00CB234B" w:rsidRPr="00E43A6D" w:rsidRDefault="00CB234B" w:rsidP="00E43A6D">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1–4 (Feb–Mar 2026)</w:t>
            </w:r>
          </w:p>
        </w:tc>
      </w:tr>
      <w:tr w:rsidR="00CB234B" w:rsidRPr="00CB234B" w14:paraId="00FB5850" w14:textId="77777777" w:rsidTr="00E43A6D">
        <w:trPr>
          <w:trHeight w:val="61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095028"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Refinement of research questions and development of semi-structured interview guide aligned with phenomenological inquiry</w:t>
            </w:r>
          </w:p>
        </w:tc>
        <w:tc>
          <w:tcPr>
            <w:tcW w:w="0" w:type="auto"/>
            <w:vAlign w:val="center"/>
            <w:hideMark/>
          </w:tcPr>
          <w:p w14:paraId="3254F9AE" w14:textId="77777777" w:rsidR="00CB234B" w:rsidRPr="00E43A6D" w:rsidRDefault="00CB234B" w:rsidP="00E43A6D">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5–6 (Mar 2026)</w:t>
            </w:r>
          </w:p>
        </w:tc>
      </w:tr>
      <w:tr w:rsidR="00CB234B" w:rsidRPr="00CB234B" w14:paraId="7FA69EF4" w14:textId="77777777" w:rsidTr="00E43A6D">
        <w:trPr>
          <w:cnfStyle w:val="000000100000" w:firstRow="0" w:lastRow="0" w:firstColumn="0" w:lastColumn="0" w:oddVBand="0" w:evenVBand="0" w:oddHBand="1" w:evenHBand="0" w:firstRowFirstColumn="0" w:firstRowLastColumn="0" w:lastRowFirstColumn="0" w:lastRowLastColumn="0"/>
          <w:trHeight w:val="85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77AF35"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Preparation and submission of ethics application (UWTSD PG2 form), including participant information sheets, consent forms, and data management plan</w:t>
            </w:r>
          </w:p>
        </w:tc>
        <w:tc>
          <w:tcPr>
            <w:tcW w:w="0" w:type="auto"/>
            <w:vAlign w:val="center"/>
            <w:hideMark/>
          </w:tcPr>
          <w:p w14:paraId="1B895C4C" w14:textId="77777777" w:rsidR="00CB234B" w:rsidRPr="00E43A6D" w:rsidRDefault="00CB234B" w:rsidP="00E43A6D">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7–9 (Mar–Apr 2026)</w:t>
            </w:r>
          </w:p>
        </w:tc>
      </w:tr>
      <w:tr w:rsidR="00CB234B" w:rsidRPr="00CB234B" w14:paraId="48E34633" w14:textId="77777777" w:rsidTr="00E43A6D">
        <w:trPr>
          <w:trHeight w:val="61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2D048E"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Recruitment of participants through professional networks and healthcare training coordinators; obtain written informed consent</w:t>
            </w:r>
          </w:p>
        </w:tc>
        <w:tc>
          <w:tcPr>
            <w:tcW w:w="0" w:type="auto"/>
            <w:vAlign w:val="center"/>
            <w:hideMark/>
          </w:tcPr>
          <w:p w14:paraId="7814969F" w14:textId="77777777" w:rsidR="00CB234B" w:rsidRPr="00E43A6D" w:rsidRDefault="00CB234B" w:rsidP="00E43A6D">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10–11 (Apr 2026)</w:t>
            </w:r>
          </w:p>
        </w:tc>
      </w:tr>
      <w:tr w:rsidR="00CB234B" w:rsidRPr="00CB234B" w14:paraId="53FB715F" w14:textId="77777777" w:rsidTr="00E43A6D">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08F6DB"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Data collection through semi-structured interviews (8–12 participants); concurrent transcription using secure transcription software</w:t>
            </w:r>
          </w:p>
        </w:tc>
        <w:tc>
          <w:tcPr>
            <w:tcW w:w="0" w:type="auto"/>
            <w:vAlign w:val="center"/>
            <w:hideMark/>
          </w:tcPr>
          <w:p w14:paraId="3CF311B7" w14:textId="77777777" w:rsidR="00CB234B" w:rsidRPr="00E43A6D" w:rsidRDefault="00CB234B" w:rsidP="00E43A6D">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12–15 (May–Jun 2026)</w:t>
            </w:r>
          </w:p>
        </w:tc>
      </w:tr>
      <w:tr w:rsidR="00CB234B" w:rsidRPr="00CB234B" w14:paraId="7B046700" w14:textId="77777777" w:rsidTr="00E43A6D">
        <w:trPr>
          <w:trHeight w:val="6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925D2" w14:textId="6972EBD5"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 xml:space="preserve">Data analysis using reflexive thematic analysis: </w:t>
            </w:r>
            <w:r w:rsidR="001F7774" w:rsidRPr="00CB234B">
              <w:rPr>
                <w:rFonts w:asciiTheme="majorBidi" w:hAnsiTheme="majorBidi" w:cstheme="majorBidi"/>
                <w:b w:val="0"/>
                <w:bCs w:val="0"/>
              </w:rPr>
              <w:t>familiarization</w:t>
            </w:r>
            <w:r w:rsidRPr="00CB234B">
              <w:rPr>
                <w:rFonts w:asciiTheme="majorBidi" w:hAnsiTheme="majorBidi" w:cstheme="majorBidi"/>
                <w:b w:val="0"/>
                <w:bCs w:val="0"/>
              </w:rPr>
              <w:t>, coding, theme development, review, and interpretive refinement</w:t>
            </w:r>
          </w:p>
        </w:tc>
        <w:tc>
          <w:tcPr>
            <w:tcW w:w="0" w:type="auto"/>
            <w:vAlign w:val="center"/>
            <w:hideMark/>
          </w:tcPr>
          <w:p w14:paraId="5B6CE119" w14:textId="77777777" w:rsidR="00CB234B" w:rsidRPr="00E43A6D" w:rsidRDefault="00CB234B" w:rsidP="00E43A6D">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16–19 (Jun–Jul 2026)</w:t>
            </w:r>
          </w:p>
        </w:tc>
      </w:tr>
      <w:tr w:rsidR="00CB234B" w:rsidRPr="00CB234B" w14:paraId="71E47741" w14:textId="77777777" w:rsidTr="00E43A6D">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F072EB" w14:textId="77777777" w:rsidR="00CB234B" w:rsidRPr="00CB234B" w:rsidRDefault="00CB234B" w:rsidP="00E43A6D">
            <w:pPr>
              <w:spacing w:after="160" w:line="259" w:lineRule="auto"/>
              <w:rPr>
                <w:rFonts w:asciiTheme="majorBidi" w:hAnsiTheme="majorBidi" w:cstheme="majorBidi"/>
                <w:b w:val="0"/>
                <w:bCs w:val="0"/>
              </w:rPr>
            </w:pPr>
            <w:r w:rsidRPr="00CB234B">
              <w:rPr>
                <w:rFonts w:asciiTheme="majorBidi" w:hAnsiTheme="majorBidi" w:cstheme="majorBidi"/>
                <w:b w:val="0"/>
                <w:bCs w:val="0"/>
              </w:rPr>
              <w:t>Writing up findings, discussion, and implications for healthcare training practice; preparing final submission</w:t>
            </w:r>
          </w:p>
        </w:tc>
        <w:tc>
          <w:tcPr>
            <w:tcW w:w="0" w:type="auto"/>
            <w:vAlign w:val="center"/>
            <w:hideMark/>
          </w:tcPr>
          <w:p w14:paraId="0D758E65" w14:textId="77777777" w:rsidR="00CB234B" w:rsidRPr="00E43A6D" w:rsidRDefault="00CB234B" w:rsidP="00E43A6D">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E43A6D">
              <w:rPr>
                <w:rFonts w:asciiTheme="majorBidi" w:hAnsiTheme="majorBidi" w:cstheme="majorBidi"/>
                <w:sz w:val="18"/>
                <w:szCs w:val="18"/>
              </w:rPr>
              <w:t>Weeks 20–22 (Aug–Sep 2026)</w:t>
            </w:r>
          </w:p>
        </w:tc>
      </w:tr>
    </w:tbl>
    <w:p w14:paraId="64BFEC27" w14:textId="77777777" w:rsidR="00CB234B" w:rsidRPr="00CB234B" w:rsidRDefault="00CB234B" w:rsidP="00CB234B">
      <w:pPr>
        <w:rPr>
          <w:rFonts w:asciiTheme="majorBidi" w:hAnsiTheme="majorBidi" w:cstheme="majorBidi"/>
        </w:rPr>
      </w:pPr>
    </w:p>
    <w:p w14:paraId="31D3719B" w14:textId="77777777" w:rsidR="00CB234B" w:rsidRPr="00CB234B" w:rsidRDefault="00CB234B" w:rsidP="00CB234B">
      <w:pPr>
        <w:rPr>
          <w:rFonts w:asciiTheme="majorBidi" w:hAnsiTheme="majorBidi" w:cstheme="majorBidi"/>
          <w:rtl/>
          <w:lang w:bidi="fa-IR"/>
        </w:rPr>
      </w:pPr>
    </w:p>
    <w:p w14:paraId="17BA0E32" w14:textId="77777777" w:rsidR="00CB234B" w:rsidRPr="00CB234B" w:rsidRDefault="00CB234B" w:rsidP="00CB234B">
      <w:pPr>
        <w:rPr>
          <w:rFonts w:asciiTheme="majorBidi" w:hAnsiTheme="majorBidi" w:cstheme="majorBidi"/>
          <w:b/>
          <w:bCs/>
        </w:rPr>
      </w:pPr>
      <w:r w:rsidRPr="00CB234B">
        <w:rPr>
          <w:rFonts w:asciiTheme="majorBidi" w:hAnsiTheme="majorBidi" w:cstheme="majorBidi"/>
          <w:b/>
          <w:bCs/>
        </w:rPr>
        <w:t xml:space="preserve"> Proposed Methodology  </w:t>
      </w:r>
    </w:p>
    <w:p w14:paraId="57BF4132" w14:textId="77777777" w:rsidR="00CB234B" w:rsidRPr="00CB234B" w:rsidRDefault="00CB234B" w:rsidP="00CB234B">
      <w:pPr>
        <w:rPr>
          <w:rFonts w:asciiTheme="majorBidi" w:hAnsiTheme="majorBidi" w:cstheme="majorBidi"/>
        </w:rPr>
      </w:pPr>
    </w:p>
    <w:p w14:paraId="5F34FB5F"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Research Paradigm  </w:t>
      </w:r>
    </w:p>
    <w:p w14:paraId="0E9C4E0C" w14:textId="535DD0F9" w:rsidR="00CB234B" w:rsidRPr="00CB234B" w:rsidRDefault="00CB234B" w:rsidP="00CB234B">
      <w:pPr>
        <w:rPr>
          <w:rFonts w:asciiTheme="majorBidi" w:hAnsiTheme="majorBidi" w:cstheme="majorBidi"/>
        </w:rPr>
      </w:pPr>
      <w:r w:rsidRPr="00CB234B">
        <w:rPr>
          <w:rFonts w:asciiTheme="majorBidi" w:hAnsiTheme="majorBidi" w:cstheme="majorBidi"/>
        </w:rPr>
        <w:t xml:space="preserve">This study is situated within an interpretivist paradigm, which assumes that reality is socially constructed and that understanding emerges through individuals' interpretations of their experiences (Creswell and Poth, 2018). This paradigm is appropriate because the study seeks to understand how healthcare employees experience and make meaning of microlearning-based training, rather than to measure its effectiveness through objective, </w:t>
      </w:r>
      <w:r w:rsidR="001F7774" w:rsidRPr="00CB234B">
        <w:rPr>
          <w:rFonts w:asciiTheme="majorBidi" w:hAnsiTheme="majorBidi" w:cstheme="majorBidi"/>
        </w:rPr>
        <w:t>decontextualized</w:t>
      </w:r>
      <w:r w:rsidRPr="00CB234B">
        <w:rPr>
          <w:rFonts w:asciiTheme="majorBidi" w:hAnsiTheme="majorBidi" w:cstheme="majorBidi"/>
        </w:rPr>
        <w:t xml:space="preserve"> indicators. The interpretivist stance </w:t>
      </w:r>
      <w:r w:rsidR="001F7774" w:rsidRPr="00CB234B">
        <w:rPr>
          <w:rFonts w:asciiTheme="majorBidi" w:hAnsiTheme="majorBidi" w:cstheme="majorBidi"/>
        </w:rPr>
        <w:t>recognizes</w:t>
      </w:r>
      <w:r w:rsidRPr="00CB234B">
        <w:rPr>
          <w:rFonts w:asciiTheme="majorBidi" w:hAnsiTheme="majorBidi" w:cstheme="majorBidi"/>
        </w:rPr>
        <w:t xml:space="preserve"> that knowledge about learning in high-pressure professional environments is inherently shaped by context, professional culture, and individual biography (Cohen et al., 2018).  </w:t>
      </w:r>
    </w:p>
    <w:p w14:paraId="1D6AD05E" w14:textId="77777777" w:rsidR="00CB234B" w:rsidRPr="00CB234B" w:rsidRDefault="00CB234B" w:rsidP="00CB234B">
      <w:pPr>
        <w:rPr>
          <w:rFonts w:asciiTheme="majorBidi" w:hAnsiTheme="majorBidi" w:cstheme="majorBidi"/>
        </w:rPr>
      </w:pPr>
    </w:p>
    <w:p w14:paraId="25C86DDB"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Methodological Approach  </w:t>
      </w:r>
    </w:p>
    <w:p w14:paraId="152B3DE2" w14:textId="59355FB5" w:rsidR="00CB234B" w:rsidRPr="00CB234B" w:rsidRDefault="00CB234B" w:rsidP="00CB234B">
      <w:pPr>
        <w:rPr>
          <w:rFonts w:asciiTheme="majorBidi" w:hAnsiTheme="majorBidi" w:cstheme="majorBidi"/>
        </w:rPr>
      </w:pPr>
      <w:r w:rsidRPr="00CB234B">
        <w:rPr>
          <w:rFonts w:asciiTheme="majorBidi" w:hAnsiTheme="majorBidi" w:cstheme="majorBidi"/>
        </w:rPr>
        <w:t xml:space="preserve">A hermeneutic phenomenological approach is adopted to explore participants' lived experiences and the meanings they attribute to microlearning-based training. Hermeneutic phenomenology, rooted in the work of Heidegger (1962) and developed by van Manen (2016), is concerned with understanding experience as it is lived and interpreted, </w:t>
      </w:r>
      <w:r w:rsidR="001F7774" w:rsidRPr="00CB234B">
        <w:rPr>
          <w:rFonts w:asciiTheme="majorBidi" w:hAnsiTheme="majorBidi" w:cstheme="majorBidi"/>
        </w:rPr>
        <w:t>recognizing</w:t>
      </w:r>
      <w:r w:rsidRPr="00CB234B">
        <w:rPr>
          <w:rFonts w:asciiTheme="majorBidi" w:hAnsiTheme="majorBidi" w:cstheme="majorBidi"/>
        </w:rPr>
        <w:t xml:space="preserve"> that meaning is shaped by context, professional history, language, and the researcher's own interpretive stance. This approach is particularly suited to examining learning in high-pressure professional environments, where experience is complex, situated, emotionally laden, and deeply connected to practice (Dowling and Cooney, 2012). Unlike descriptive phenomenology, hermeneutic phenomenology acknowledges that interpretation is unavoidable and that the researcher brings their own preunderstandings to the inquiry (van Manen, 2016).  </w:t>
      </w:r>
    </w:p>
    <w:p w14:paraId="36F1B9FB" w14:textId="77777777" w:rsidR="00CB234B" w:rsidRPr="00CB234B" w:rsidRDefault="00CB234B" w:rsidP="00CB234B">
      <w:pPr>
        <w:rPr>
          <w:rFonts w:asciiTheme="majorBidi" w:hAnsiTheme="majorBidi" w:cstheme="majorBidi"/>
        </w:rPr>
      </w:pPr>
    </w:p>
    <w:p w14:paraId="72789278"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Research Design and Methods  </w:t>
      </w:r>
    </w:p>
    <w:p w14:paraId="1697FFF4"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The study employs a qualitative research design, using semi-structured interviews as the primary method of data collection. Semi-structured interviews allow participants to articulate their experiences in depth while ensuring alignment with the research questions (Cohen et al., 2018). Interview prompts will focus on:  </w:t>
      </w:r>
    </w:p>
    <w:p w14:paraId="6042FEF1"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Participants' experiences of microlearning-based training (e.g., platforms used, frequency, content types)  </w:t>
      </w:r>
    </w:p>
    <w:p w14:paraId="053B5273"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Perceptions of relevance, usefulness, and fit with clinical workflow  </w:t>
      </w:r>
    </w:p>
    <w:p w14:paraId="4FD6B2A9"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Emotional and cognitive responses (e.g., feelings of support, frustration, overwhelm)  </w:t>
      </w:r>
    </w:p>
    <w:p w14:paraId="7A90CFAA"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Perceived impact on professional readiness, confidence, and practice  </w:t>
      </w:r>
    </w:p>
    <w:p w14:paraId="207B9788"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Comparisons with traditional training approaches  </w:t>
      </w:r>
    </w:p>
    <w:p w14:paraId="4071101A" w14:textId="3B561D22" w:rsidR="00CB234B" w:rsidRPr="00CB234B" w:rsidRDefault="00CB234B" w:rsidP="00CB234B">
      <w:pPr>
        <w:rPr>
          <w:rFonts w:asciiTheme="majorBidi" w:hAnsiTheme="majorBidi" w:cstheme="majorBidi"/>
        </w:rPr>
      </w:pPr>
      <w:r w:rsidRPr="00CB234B">
        <w:rPr>
          <w:rFonts w:asciiTheme="majorBidi" w:hAnsiTheme="majorBidi" w:cstheme="majorBidi"/>
        </w:rPr>
        <w:t xml:space="preserve">Interviews will be audio-recorded (with consent), transcribed verbatim, and </w:t>
      </w:r>
      <w:r w:rsidR="001F7774" w:rsidRPr="00CB234B">
        <w:rPr>
          <w:rFonts w:asciiTheme="majorBidi" w:hAnsiTheme="majorBidi" w:cstheme="majorBidi"/>
        </w:rPr>
        <w:t>anonymized</w:t>
      </w:r>
      <w:r w:rsidRPr="00CB234B">
        <w:rPr>
          <w:rFonts w:asciiTheme="majorBidi" w:hAnsiTheme="majorBidi" w:cstheme="majorBidi"/>
        </w:rPr>
        <w:t xml:space="preserve">.  </w:t>
      </w:r>
    </w:p>
    <w:p w14:paraId="4C838B2A" w14:textId="77777777" w:rsidR="00CB234B" w:rsidRPr="00CB234B" w:rsidRDefault="00CB234B" w:rsidP="00CB234B">
      <w:pPr>
        <w:rPr>
          <w:rFonts w:asciiTheme="majorBidi" w:hAnsiTheme="majorBidi" w:cstheme="majorBidi"/>
        </w:rPr>
      </w:pPr>
    </w:p>
    <w:p w14:paraId="6D7E9C4D" w14:textId="77777777" w:rsidR="00CB234B" w:rsidRPr="00404ED2" w:rsidRDefault="00CB234B" w:rsidP="00CB234B">
      <w:pPr>
        <w:rPr>
          <w:rFonts w:asciiTheme="majorBidi" w:hAnsiTheme="majorBidi" w:cstheme="majorBidi"/>
          <w:b/>
          <w:bCs/>
        </w:rPr>
      </w:pPr>
      <w:r w:rsidRPr="00404ED2">
        <w:rPr>
          <w:rFonts w:asciiTheme="majorBidi" w:hAnsiTheme="majorBidi" w:cstheme="majorBidi"/>
          <w:b/>
          <w:bCs/>
        </w:rPr>
        <w:lastRenderedPageBreak/>
        <w:t xml:space="preserve">Participants and Sampling  </w:t>
      </w:r>
    </w:p>
    <w:p w14:paraId="2D3F3235"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Participants will be healthcare employees (e.g., nurses, paramedics, allied health professionals, junior doctors) who have engaged with microlearning-based training within the last 6–12 months. Purposive sampling will be used to recruit participants who can provide rich, relevant accounts of the phenomenon under investigation (Palinkas et al., 2015). An indicative sample of 8–12 participants is proposed, with final numbers guided by data richness and thematic saturation rather than statistical representativeness (Braun and Clarke, 2019).  </w:t>
      </w:r>
    </w:p>
    <w:p w14:paraId="6C75D505" w14:textId="77777777" w:rsidR="00CB234B" w:rsidRPr="00CB234B" w:rsidRDefault="00CB234B" w:rsidP="00CB234B">
      <w:pPr>
        <w:rPr>
          <w:rFonts w:asciiTheme="majorBidi" w:hAnsiTheme="majorBidi" w:cstheme="majorBidi"/>
        </w:rPr>
      </w:pPr>
    </w:p>
    <w:p w14:paraId="7F7A22BD"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Importantly, microlearning is already used within healthcare contexts in the form of digital CPD modules (e.g., e-learning platforms mandated by NHS Trusts), short online refresher units (e.g., resuscitation updates), mobile learning resources (e.g., clinical apps with procedural videos), and targeted competency updates (e.g., medication safety modules). Existing literature confirms the presence and growing adoption of microlearning approaches in healthcare training (De Gagne et al., 2019; Leong et al., 2021), supporting the feasibility of recruiting participants with relevant experience. This directly addresses concerns regarding participant availability and ensures that the proposed study is both realistic and ethically sound.  </w:t>
      </w:r>
    </w:p>
    <w:p w14:paraId="0B93ABAB" w14:textId="77777777" w:rsidR="00CB234B" w:rsidRPr="00CB234B" w:rsidRDefault="00CB234B" w:rsidP="00CB234B">
      <w:pPr>
        <w:rPr>
          <w:rFonts w:asciiTheme="majorBidi" w:hAnsiTheme="majorBidi" w:cstheme="majorBidi"/>
        </w:rPr>
      </w:pPr>
    </w:p>
    <w:p w14:paraId="3B2D6E1A" w14:textId="77777777" w:rsidR="00CB234B" w:rsidRPr="00404ED2" w:rsidRDefault="00CB234B" w:rsidP="00CB234B">
      <w:pPr>
        <w:rPr>
          <w:rFonts w:asciiTheme="majorBidi" w:hAnsiTheme="majorBidi" w:cstheme="majorBidi"/>
          <w:b/>
          <w:bCs/>
        </w:rPr>
      </w:pPr>
      <w:r w:rsidRPr="00404ED2">
        <w:rPr>
          <w:rFonts w:asciiTheme="majorBidi" w:hAnsiTheme="majorBidi" w:cstheme="majorBidi"/>
          <w:b/>
          <w:bCs/>
        </w:rPr>
        <w:t xml:space="preserve">Feasibility and Participant Availability  </w:t>
      </w:r>
    </w:p>
    <w:p w14:paraId="58E5B103" w14:textId="64CF7CDC" w:rsidR="00CB234B" w:rsidRPr="00CB234B" w:rsidRDefault="00CB234B" w:rsidP="00CB234B">
      <w:pPr>
        <w:rPr>
          <w:rFonts w:asciiTheme="majorBidi" w:hAnsiTheme="majorBidi" w:cstheme="majorBidi"/>
        </w:rPr>
      </w:pPr>
      <w:r w:rsidRPr="00CB234B">
        <w:rPr>
          <w:rFonts w:asciiTheme="majorBidi" w:hAnsiTheme="majorBidi" w:cstheme="majorBidi"/>
        </w:rPr>
        <w:t xml:space="preserve">Microlearning is increasingly adopted in UK healthcare, particularly NHS contexts, for CPD and mandatory training. Platforms include NHS Learning Hub (offering </w:t>
      </w:r>
      <w:r w:rsidR="001F7774" w:rsidRPr="00CB234B">
        <w:rPr>
          <w:rFonts w:asciiTheme="majorBidi" w:hAnsiTheme="majorBidi" w:cstheme="majorBidi"/>
        </w:rPr>
        <w:t>microlearning’s</w:t>
      </w:r>
      <w:r w:rsidRPr="00CB234B">
        <w:rPr>
          <w:rFonts w:asciiTheme="majorBidi" w:hAnsiTheme="majorBidi" w:cstheme="majorBidi"/>
        </w:rPr>
        <w:t xml:space="preserve"> for health and wellbeing), e-</w:t>
      </w:r>
      <w:proofErr w:type="spellStart"/>
      <w:r w:rsidRPr="00CB234B">
        <w:rPr>
          <w:rFonts w:asciiTheme="majorBidi" w:hAnsiTheme="majorBidi" w:cstheme="majorBidi"/>
        </w:rPr>
        <w:t>LfH</w:t>
      </w:r>
      <w:proofErr w:type="spellEnd"/>
      <w:r w:rsidRPr="00CB234B">
        <w:rPr>
          <w:rFonts w:asciiTheme="majorBidi" w:hAnsiTheme="majorBidi" w:cstheme="majorBidi"/>
        </w:rPr>
        <w:t xml:space="preserve"> (Health Education England modules in bite-sized formats), </w:t>
      </w:r>
      <w:proofErr w:type="spellStart"/>
      <w:r w:rsidRPr="00CB234B">
        <w:rPr>
          <w:rFonts w:asciiTheme="majorBidi" w:hAnsiTheme="majorBidi" w:cstheme="majorBidi"/>
        </w:rPr>
        <w:t>Praktiki</w:t>
      </w:r>
      <w:proofErr w:type="spellEnd"/>
      <w:r w:rsidRPr="00CB234B">
        <w:rPr>
          <w:rFonts w:asciiTheme="majorBidi" w:hAnsiTheme="majorBidi" w:cstheme="majorBidi"/>
        </w:rPr>
        <w:t xml:space="preserve"> CPD (mobile-first microlearning for clinicians), and others like Totara LMS used by NHS Trusts (NHS Learning Hub, 2021; </w:t>
      </w:r>
      <w:proofErr w:type="spellStart"/>
      <w:r w:rsidRPr="00CB234B">
        <w:rPr>
          <w:rFonts w:asciiTheme="majorBidi" w:hAnsiTheme="majorBidi" w:cstheme="majorBidi"/>
        </w:rPr>
        <w:t>Praktiki</w:t>
      </w:r>
      <w:proofErr w:type="spellEnd"/>
      <w:r w:rsidRPr="00CB234B">
        <w:rPr>
          <w:rFonts w:asciiTheme="majorBidi" w:hAnsiTheme="majorBidi" w:cstheme="majorBidi"/>
        </w:rPr>
        <w:t xml:space="preserve">, 2025). Recent studies confirm widespread use for just-in-time updates, infection control, and competency refreshers among nurses and doctors (De Gagne et al., 2019; Relias, 2024; Practicing Excellence, 2024). Surveys show high faculty/staff agreement on its suitability (e.g., 95.9% in one study; IJME, 2025). I am confident in recruiting sufficient participants via professional networks, NHS training coordinators, and online communities (e.g., nursing forums, LinkedIn groups), as microlearning is now embedded in many Trusts' CPD requirements.  </w:t>
      </w:r>
    </w:p>
    <w:p w14:paraId="7EC4AA8F" w14:textId="77777777" w:rsidR="00CB234B" w:rsidRPr="00CB234B" w:rsidRDefault="00CB234B" w:rsidP="00CB234B">
      <w:pPr>
        <w:rPr>
          <w:rFonts w:asciiTheme="majorBidi" w:hAnsiTheme="majorBidi" w:cstheme="majorBidi"/>
        </w:rPr>
      </w:pPr>
    </w:p>
    <w:p w14:paraId="59D0346C" w14:textId="77777777" w:rsidR="00CB234B" w:rsidRPr="00404ED2" w:rsidRDefault="00CB234B" w:rsidP="00CB234B">
      <w:pPr>
        <w:rPr>
          <w:rFonts w:asciiTheme="majorBidi" w:hAnsiTheme="majorBidi" w:cstheme="majorBidi"/>
          <w:b/>
          <w:bCs/>
        </w:rPr>
      </w:pPr>
      <w:r w:rsidRPr="00404ED2">
        <w:rPr>
          <w:rFonts w:asciiTheme="majorBidi" w:hAnsiTheme="majorBidi" w:cstheme="majorBidi"/>
          <w:b/>
          <w:bCs/>
        </w:rPr>
        <w:t xml:space="preserve">Data Analysis  </w:t>
      </w:r>
    </w:p>
    <w:p w14:paraId="2377F278" w14:textId="6A7531A9" w:rsidR="00CB234B" w:rsidRPr="00CB234B" w:rsidRDefault="00CB234B" w:rsidP="00CB234B">
      <w:pPr>
        <w:rPr>
          <w:rFonts w:asciiTheme="majorBidi" w:hAnsiTheme="majorBidi" w:cstheme="majorBidi"/>
        </w:rPr>
      </w:pPr>
      <w:r w:rsidRPr="00CB234B">
        <w:rPr>
          <w:rFonts w:asciiTheme="majorBidi" w:hAnsiTheme="majorBidi" w:cstheme="majorBidi"/>
        </w:rPr>
        <w:t xml:space="preserve">Data will be </w:t>
      </w:r>
      <w:r w:rsidR="004356E9" w:rsidRPr="00CB234B">
        <w:rPr>
          <w:rFonts w:asciiTheme="majorBidi" w:hAnsiTheme="majorBidi" w:cstheme="majorBidi"/>
        </w:rPr>
        <w:t>analyzed</w:t>
      </w:r>
      <w:r w:rsidRPr="00CB234B">
        <w:rPr>
          <w:rFonts w:asciiTheme="majorBidi" w:hAnsiTheme="majorBidi" w:cstheme="majorBidi"/>
        </w:rPr>
        <w:t xml:space="preserve"> using reflexive thematic analysis (Braun and Clarke, 2019), which is compatible with interpretivist and phenomenological research. This approach supports the development of meaning-rich themes through iterative, reflexive engagement with the data. The analysis process will involve:  </w:t>
      </w:r>
    </w:p>
    <w:p w14:paraId="4B9DBA43" w14:textId="5047F9A3" w:rsidR="00CB234B" w:rsidRPr="00CB234B" w:rsidRDefault="00CB234B" w:rsidP="00CB234B">
      <w:pPr>
        <w:rPr>
          <w:rFonts w:asciiTheme="majorBidi" w:hAnsiTheme="majorBidi" w:cstheme="majorBidi"/>
        </w:rPr>
      </w:pPr>
      <w:r w:rsidRPr="00CB234B">
        <w:rPr>
          <w:rFonts w:asciiTheme="majorBidi" w:hAnsiTheme="majorBidi" w:cstheme="majorBidi"/>
        </w:rPr>
        <w:t xml:space="preserve">1. </w:t>
      </w:r>
      <w:r w:rsidR="004356E9" w:rsidRPr="00CB234B">
        <w:rPr>
          <w:rFonts w:asciiTheme="majorBidi" w:hAnsiTheme="majorBidi" w:cstheme="majorBidi"/>
        </w:rPr>
        <w:t>Familiarization</w:t>
      </w:r>
      <w:r w:rsidRPr="00CB234B">
        <w:rPr>
          <w:rFonts w:asciiTheme="majorBidi" w:hAnsiTheme="majorBidi" w:cstheme="majorBidi"/>
        </w:rPr>
        <w:t xml:space="preserve">: Repeated reading of transcripts, noting initial impressions  </w:t>
      </w:r>
    </w:p>
    <w:p w14:paraId="7CFF7FEB"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2. Coding: Systematic identification of meaningful units across the dataset  </w:t>
      </w:r>
    </w:p>
    <w:p w14:paraId="70DB4391"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3. Theme development: Grouping codes into candidate themes  </w:t>
      </w:r>
    </w:p>
    <w:p w14:paraId="26BC12C7"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4. Review and refinement: Checking themes against data and research questions  </w:t>
      </w:r>
    </w:p>
    <w:p w14:paraId="182934F0"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5. Interpretive write-up: Developing a coherent narrative with illustrative extracts  </w:t>
      </w:r>
    </w:p>
    <w:p w14:paraId="7FE08A17" w14:textId="77777777" w:rsidR="00CB234B" w:rsidRPr="00CB234B" w:rsidRDefault="00CB234B" w:rsidP="00CB234B">
      <w:pPr>
        <w:rPr>
          <w:rFonts w:asciiTheme="majorBidi" w:hAnsiTheme="majorBidi" w:cstheme="majorBidi"/>
        </w:rPr>
      </w:pPr>
    </w:p>
    <w:p w14:paraId="641E8951" w14:textId="77777777" w:rsidR="00CB234B" w:rsidRPr="00CB234B" w:rsidRDefault="00CB234B" w:rsidP="00CB234B">
      <w:pPr>
        <w:rPr>
          <w:rFonts w:asciiTheme="majorBidi" w:hAnsiTheme="majorBidi" w:cstheme="majorBidi"/>
        </w:rPr>
      </w:pPr>
      <w:r w:rsidRPr="00CB234B">
        <w:rPr>
          <w:rFonts w:asciiTheme="majorBidi" w:hAnsiTheme="majorBidi" w:cstheme="majorBidi"/>
        </w:rPr>
        <w:lastRenderedPageBreak/>
        <w:t xml:space="preserve">Reflexivity will be maintained through research journaling and ongoing critical reflection on the researcher's assumptions and positioning.  </w:t>
      </w:r>
    </w:p>
    <w:p w14:paraId="0286D719" w14:textId="77777777" w:rsidR="00CB234B" w:rsidRPr="00CB234B" w:rsidRDefault="00CB234B" w:rsidP="00CB234B">
      <w:pPr>
        <w:rPr>
          <w:rFonts w:asciiTheme="majorBidi" w:hAnsiTheme="majorBidi" w:cstheme="majorBidi"/>
        </w:rPr>
      </w:pPr>
    </w:p>
    <w:p w14:paraId="09F6986D" w14:textId="77777777" w:rsidR="00CB234B" w:rsidRPr="00404ED2" w:rsidRDefault="00CB234B" w:rsidP="00CB234B">
      <w:pPr>
        <w:rPr>
          <w:rFonts w:asciiTheme="majorBidi" w:hAnsiTheme="majorBidi" w:cstheme="majorBidi"/>
          <w:b/>
          <w:bCs/>
        </w:rPr>
      </w:pPr>
      <w:r w:rsidRPr="00404ED2">
        <w:rPr>
          <w:rFonts w:asciiTheme="majorBidi" w:hAnsiTheme="majorBidi" w:cstheme="majorBidi"/>
          <w:b/>
          <w:bCs/>
        </w:rPr>
        <w:t xml:space="preserve">Ethical Considerations  </w:t>
      </w:r>
    </w:p>
    <w:p w14:paraId="544245DF" w14:textId="71EB7D39" w:rsidR="00CB234B" w:rsidRPr="00CB234B" w:rsidRDefault="00CB234B" w:rsidP="00CB234B">
      <w:pPr>
        <w:rPr>
          <w:rFonts w:asciiTheme="majorBidi" w:hAnsiTheme="majorBidi" w:cstheme="majorBidi"/>
        </w:rPr>
      </w:pPr>
      <w:r w:rsidRPr="00CB234B">
        <w:rPr>
          <w:rFonts w:asciiTheme="majorBidi" w:hAnsiTheme="majorBidi" w:cstheme="majorBidi"/>
        </w:rPr>
        <w:t xml:space="preserve">Approval via UWTSD PG2 form: voluntary participation, informed consent, anonymity, secure data, harm </w:t>
      </w:r>
      <w:r w:rsidR="004356E9" w:rsidRPr="00CB234B">
        <w:rPr>
          <w:rFonts w:asciiTheme="majorBidi" w:hAnsiTheme="majorBidi" w:cstheme="majorBidi"/>
        </w:rPr>
        <w:t>minimization</w:t>
      </w:r>
      <w:r w:rsidRPr="00CB234B">
        <w:rPr>
          <w:rFonts w:asciiTheme="majorBidi" w:hAnsiTheme="majorBidi" w:cstheme="majorBidi"/>
        </w:rPr>
        <w:t xml:space="preserve"> (no workplace coercion).  </w:t>
      </w:r>
    </w:p>
    <w:p w14:paraId="0D7F564B" w14:textId="77777777" w:rsidR="00CB234B" w:rsidRPr="00CB234B" w:rsidRDefault="00CB234B" w:rsidP="00CB234B">
      <w:pPr>
        <w:rPr>
          <w:rFonts w:asciiTheme="majorBidi" w:hAnsiTheme="majorBidi" w:cstheme="majorBidi"/>
        </w:rPr>
      </w:pPr>
    </w:p>
    <w:p w14:paraId="691E4114"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Introductory Bibliography  </w:t>
      </w:r>
    </w:p>
    <w:p w14:paraId="48B38132"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Bluestone, J., Johnson, P., Fullerton, J., Carr, C., Alderman, J. and </w:t>
      </w:r>
      <w:proofErr w:type="spellStart"/>
      <w:r w:rsidRPr="00CB234B">
        <w:rPr>
          <w:rFonts w:asciiTheme="majorBidi" w:hAnsiTheme="majorBidi" w:cstheme="majorBidi"/>
        </w:rPr>
        <w:t>BonTempo</w:t>
      </w:r>
      <w:proofErr w:type="spellEnd"/>
      <w:r w:rsidRPr="00CB234B">
        <w:rPr>
          <w:rFonts w:asciiTheme="majorBidi" w:hAnsiTheme="majorBidi" w:cstheme="majorBidi"/>
        </w:rPr>
        <w:t xml:space="preserve">, J. (2013) 'Effective in-service training design and delivery: Evidence from an integrative literature review', </w:t>
      </w:r>
      <w:r w:rsidRPr="00CB234B">
        <w:rPr>
          <w:rFonts w:asciiTheme="majorBidi" w:hAnsiTheme="majorBidi" w:cstheme="majorBidi"/>
          <w:i/>
          <w:iCs/>
        </w:rPr>
        <w:t>Human Resources for Health</w:t>
      </w:r>
      <w:r w:rsidRPr="00CB234B">
        <w:rPr>
          <w:rFonts w:asciiTheme="majorBidi" w:hAnsiTheme="majorBidi" w:cstheme="majorBidi"/>
        </w:rPr>
        <w:t xml:space="preserve">, 11(1), p. 51. Available at: </w:t>
      </w:r>
      <w:hyperlink r:id="rId5" w:tgtFrame="_blank" w:history="1">
        <w:r w:rsidRPr="00CB234B">
          <w:rPr>
            <w:rStyle w:val="Hyperlink"/>
            <w:rFonts w:asciiTheme="majorBidi" w:hAnsiTheme="majorBidi" w:cstheme="majorBidi"/>
          </w:rPr>
          <w:t>https://doi.org/10.1186/1478-4491-11-51</w:t>
        </w:r>
      </w:hyperlink>
      <w:r w:rsidRPr="00CB234B">
        <w:rPr>
          <w:rFonts w:asciiTheme="majorBidi" w:hAnsiTheme="majorBidi" w:cstheme="majorBidi"/>
        </w:rPr>
        <w:t>.</w:t>
      </w:r>
    </w:p>
    <w:p w14:paraId="29702858"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Braun, V. and Clarke, V. (2019) 'Reflecting on reflexive thematic analysis', </w:t>
      </w:r>
      <w:r w:rsidRPr="00CB234B">
        <w:rPr>
          <w:rFonts w:asciiTheme="majorBidi" w:hAnsiTheme="majorBidi" w:cstheme="majorBidi"/>
          <w:i/>
          <w:iCs/>
        </w:rPr>
        <w:t>Qualitative Research in Sport, Exercise and Health</w:t>
      </w:r>
      <w:r w:rsidRPr="00CB234B">
        <w:rPr>
          <w:rFonts w:asciiTheme="majorBidi" w:hAnsiTheme="majorBidi" w:cstheme="majorBidi"/>
        </w:rPr>
        <w:t xml:space="preserve">, 11(4), pp. 589–597. Available at: </w:t>
      </w:r>
      <w:hyperlink r:id="rId6" w:tgtFrame="_blank" w:history="1">
        <w:r w:rsidRPr="00CB234B">
          <w:rPr>
            <w:rStyle w:val="Hyperlink"/>
            <w:rFonts w:asciiTheme="majorBidi" w:hAnsiTheme="majorBidi" w:cstheme="majorBidi"/>
          </w:rPr>
          <w:t>https://doi.org/10.1080/2159676X.2019.1628806</w:t>
        </w:r>
      </w:hyperlink>
      <w:r w:rsidRPr="00CB234B">
        <w:rPr>
          <w:rFonts w:asciiTheme="majorBidi" w:hAnsiTheme="majorBidi" w:cstheme="majorBidi"/>
        </w:rPr>
        <w:t>.</w:t>
      </w:r>
    </w:p>
    <w:p w14:paraId="4EC86EE4"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Cervero, R. M. and Daley, B. J. (2018) 'The learning that drives performance in professional practice', in Billett, S., Harteis, C. and Gruber, H. (eds.) </w:t>
      </w:r>
      <w:r w:rsidRPr="00CB234B">
        <w:rPr>
          <w:rFonts w:asciiTheme="majorBidi" w:hAnsiTheme="majorBidi" w:cstheme="majorBidi"/>
          <w:i/>
          <w:iCs/>
        </w:rPr>
        <w:t>International Handbook of Research in Professional and Practice-based Learning</w:t>
      </w:r>
      <w:r w:rsidRPr="00CB234B">
        <w:rPr>
          <w:rFonts w:asciiTheme="majorBidi" w:hAnsiTheme="majorBidi" w:cstheme="majorBidi"/>
        </w:rPr>
        <w:t>. Cham: Springer, pp. 561–590.</w:t>
      </w:r>
    </w:p>
    <w:p w14:paraId="7A530022"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Cohen, L., Manion, L. and Morrison, K. (2018) </w:t>
      </w:r>
      <w:r w:rsidRPr="00CB234B">
        <w:rPr>
          <w:rFonts w:asciiTheme="majorBidi" w:hAnsiTheme="majorBidi" w:cstheme="majorBidi"/>
          <w:i/>
          <w:iCs/>
        </w:rPr>
        <w:t>Research Methods in Education</w:t>
      </w:r>
      <w:r w:rsidRPr="00CB234B">
        <w:rPr>
          <w:rFonts w:asciiTheme="majorBidi" w:hAnsiTheme="majorBidi" w:cstheme="majorBidi"/>
        </w:rPr>
        <w:t xml:space="preserve">. 8th </w:t>
      </w:r>
      <w:proofErr w:type="spellStart"/>
      <w:r w:rsidRPr="00CB234B">
        <w:rPr>
          <w:rFonts w:asciiTheme="majorBidi" w:hAnsiTheme="majorBidi" w:cstheme="majorBidi"/>
        </w:rPr>
        <w:t>edn</w:t>
      </w:r>
      <w:proofErr w:type="spellEnd"/>
      <w:r w:rsidRPr="00CB234B">
        <w:rPr>
          <w:rFonts w:asciiTheme="majorBidi" w:hAnsiTheme="majorBidi" w:cstheme="majorBidi"/>
        </w:rPr>
        <w:t>. London: Routledge.</w:t>
      </w:r>
    </w:p>
    <w:p w14:paraId="5D391A5A"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Creswell, J. W. and Poth, C. N. (2018) </w:t>
      </w:r>
      <w:r w:rsidRPr="00CB234B">
        <w:rPr>
          <w:rFonts w:asciiTheme="majorBidi" w:hAnsiTheme="majorBidi" w:cstheme="majorBidi"/>
          <w:i/>
          <w:iCs/>
        </w:rPr>
        <w:t>Qualitative Inquiry and Research Design: Choosing Among Five Approaches</w:t>
      </w:r>
      <w:r w:rsidRPr="00CB234B">
        <w:rPr>
          <w:rFonts w:asciiTheme="majorBidi" w:hAnsiTheme="majorBidi" w:cstheme="majorBidi"/>
        </w:rPr>
        <w:t xml:space="preserve">. 4th </w:t>
      </w:r>
      <w:proofErr w:type="spellStart"/>
      <w:r w:rsidRPr="00CB234B">
        <w:rPr>
          <w:rFonts w:asciiTheme="majorBidi" w:hAnsiTheme="majorBidi" w:cstheme="majorBidi"/>
        </w:rPr>
        <w:t>edn</w:t>
      </w:r>
      <w:proofErr w:type="spellEnd"/>
      <w:r w:rsidRPr="00CB234B">
        <w:rPr>
          <w:rFonts w:asciiTheme="majorBidi" w:hAnsiTheme="majorBidi" w:cstheme="majorBidi"/>
        </w:rPr>
        <w:t>. Thousand Oaks, CA: SAGE.</w:t>
      </w:r>
    </w:p>
    <w:p w14:paraId="72B4CE3A"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Cruess, R. L., Cruess, S. R. and Steinert, Y. (2016) 'Amending Miller's pyramid to include professional identity formation', </w:t>
      </w:r>
      <w:r w:rsidRPr="00CB234B">
        <w:rPr>
          <w:rFonts w:asciiTheme="majorBidi" w:hAnsiTheme="majorBidi" w:cstheme="majorBidi"/>
          <w:i/>
          <w:iCs/>
        </w:rPr>
        <w:t>Academic Medicine</w:t>
      </w:r>
      <w:r w:rsidRPr="00CB234B">
        <w:rPr>
          <w:rFonts w:asciiTheme="majorBidi" w:hAnsiTheme="majorBidi" w:cstheme="majorBidi"/>
        </w:rPr>
        <w:t xml:space="preserve">, 91(2), pp. 180–185. Available at: </w:t>
      </w:r>
      <w:hyperlink r:id="rId7" w:tgtFrame="_blank" w:history="1">
        <w:r w:rsidRPr="00CB234B">
          <w:rPr>
            <w:rStyle w:val="Hyperlink"/>
            <w:rFonts w:asciiTheme="majorBidi" w:hAnsiTheme="majorBidi" w:cstheme="majorBidi"/>
          </w:rPr>
          <w:t>https://doi.org/10.1097/ACM.0000000000000913</w:t>
        </w:r>
      </w:hyperlink>
      <w:r w:rsidRPr="00CB234B">
        <w:rPr>
          <w:rFonts w:asciiTheme="majorBidi" w:hAnsiTheme="majorBidi" w:cstheme="majorBidi"/>
        </w:rPr>
        <w:t>.</w:t>
      </w:r>
    </w:p>
    <w:p w14:paraId="1D58779D"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De Gagne, J. C., Park, H. K., Hall, K., Woodward, A., Yamane, S. and Kim, S. S. (2019) 'Microlearning in health professions education: A scoping review', </w:t>
      </w:r>
      <w:r w:rsidRPr="00CB234B">
        <w:rPr>
          <w:rFonts w:asciiTheme="majorBidi" w:hAnsiTheme="majorBidi" w:cstheme="majorBidi"/>
          <w:i/>
          <w:iCs/>
        </w:rPr>
        <w:t>JMIR Medical Education</w:t>
      </w:r>
      <w:r w:rsidRPr="00CB234B">
        <w:rPr>
          <w:rFonts w:asciiTheme="majorBidi" w:hAnsiTheme="majorBidi" w:cstheme="majorBidi"/>
        </w:rPr>
        <w:t xml:space="preserve">, 5(2), e13997. Available at: </w:t>
      </w:r>
      <w:hyperlink r:id="rId8" w:tgtFrame="_blank" w:history="1">
        <w:r w:rsidRPr="00CB234B">
          <w:rPr>
            <w:rStyle w:val="Hyperlink"/>
            <w:rFonts w:asciiTheme="majorBidi" w:hAnsiTheme="majorBidi" w:cstheme="majorBidi"/>
          </w:rPr>
          <w:t>https://doi.org/10.2196/13997</w:t>
        </w:r>
      </w:hyperlink>
      <w:r w:rsidRPr="00CB234B">
        <w:rPr>
          <w:rFonts w:asciiTheme="majorBidi" w:hAnsiTheme="majorBidi" w:cstheme="majorBidi"/>
        </w:rPr>
        <w:t>.</w:t>
      </w:r>
    </w:p>
    <w:p w14:paraId="65F19547"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Dowling, M. and Cooney, A. (2012) 'Research approaches related to phenomenology: Negotiating a complex landscape', </w:t>
      </w:r>
      <w:r w:rsidRPr="00CB234B">
        <w:rPr>
          <w:rFonts w:asciiTheme="majorBidi" w:hAnsiTheme="majorBidi" w:cstheme="majorBidi"/>
          <w:i/>
          <w:iCs/>
        </w:rPr>
        <w:t>Nurse Researcher</w:t>
      </w:r>
      <w:r w:rsidRPr="00CB234B">
        <w:rPr>
          <w:rFonts w:asciiTheme="majorBidi" w:hAnsiTheme="majorBidi" w:cstheme="majorBidi"/>
        </w:rPr>
        <w:t xml:space="preserve">, 20(2), pp. 21–27. Available at: </w:t>
      </w:r>
      <w:hyperlink r:id="rId9" w:tgtFrame="_blank" w:history="1">
        <w:r w:rsidRPr="00CB234B">
          <w:rPr>
            <w:rStyle w:val="Hyperlink"/>
            <w:rFonts w:asciiTheme="majorBidi" w:hAnsiTheme="majorBidi" w:cstheme="majorBidi"/>
          </w:rPr>
          <w:t>https://doi.org/10.7748/nr2012.11.20.2.21.c9440</w:t>
        </w:r>
      </w:hyperlink>
      <w:r w:rsidRPr="00CB234B">
        <w:rPr>
          <w:rFonts w:asciiTheme="majorBidi" w:hAnsiTheme="majorBidi" w:cstheme="majorBidi"/>
        </w:rPr>
        <w:t>.</w:t>
      </w:r>
    </w:p>
    <w:p w14:paraId="7FF8BD6D"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Francis, R. (2013) </w:t>
      </w:r>
      <w:r w:rsidRPr="00CB234B">
        <w:rPr>
          <w:rFonts w:asciiTheme="majorBidi" w:hAnsiTheme="majorBidi" w:cstheme="majorBidi"/>
          <w:i/>
          <w:iCs/>
        </w:rPr>
        <w:t>Report of the Mid Staffordshire NHS Foundation Trust Public Inquiry</w:t>
      </w:r>
      <w:r w:rsidRPr="00CB234B">
        <w:rPr>
          <w:rFonts w:asciiTheme="majorBidi" w:hAnsiTheme="majorBidi" w:cstheme="majorBidi"/>
        </w:rPr>
        <w:t>. London: The Stationery Office.</w:t>
      </w:r>
    </w:p>
    <w:p w14:paraId="0487E960"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Giurgiu, L. (2017) 'Microlearning: An evolving e-learning trend', </w:t>
      </w:r>
      <w:r w:rsidRPr="00CB234B">
        <w:rPr>
          <w:rFonts w:asciiTheme="majorBidi" w:hAnsiTheme="majorBidi" w:cstheme="majorBidi"/>
          <w:i/>
          <w:iCs/>
        </w:rPr>
        <w:t>Scientific Bulletin</w:t>
      </w:r>
      <w:r w:rsidRPr="00CB234B">
        <w:rPr>
          <w:rFonts w:asciiTheme="majorBidi" w:hAnsiTheme="majorBidi" w:cstheme="majorBidi"/>
        </w:rPr>
        <w:t xml:space="preserve">, 22(1), pp. 18–23. Available at: </w:t>
      </w:r>
      <w:hyperlink r:id="rId10" w:tgtFrame="_blank" w:history="1">
        <w:r w:rsidRPr="00CB234B">
          <w:rPr>
            <w:rStyle w:val="Hyperlink"/>
            <w:rFonts w:asciiTheme="majorBidi" w:hAnsiTheme="majorBidi" w:cstheme="majorBidi"/>
          </w:rPr>
          <w:t>https://doi.org/10.1515/bsaft-2017-0003</w:t>
        </w:r>
      </w:hyperlink>
      <w:r w:rsidRPr="00CB234B">
        <w:rPr>
          <w:rFonts w:asciiTheme="majorBidi" w:hAnsiTheme="majorBidi" w:cstheme="majorBidi"/>
        </w:rPr>
        <w:t>.</w:t>
      </w:r>
    </w:p>
    <w:p w14:paraId="6D10B534"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Heidegger, M. (1962) </w:t>
      </w:r>
      <w:r w:rsidRPr="00CB234B">
        <w:rPr>
          <w:rFonts w:asciiTheme="majorBidi" w:hAnsiTheme="majorBidi" w:cstheme="majorBidi"/>
          <w:i/>
          <w:iCs/>
        </w:rPr>
        <w:t>Being and Time</w:t>
      </w:r>
      <w:r w:rsidRPr="00CB234B">
        <w:rPr>
          <w:rFonts w:asciiTheme="majorBidi" w:hAnsiTheme="majorBidi" w:cstheme="majorBidi"/>
        </w:rPr>
        <w:t xml:space="preserve">. Translated by J. </w:t>
      </w:r>
      <w:proofErr w:type="spellStart"/>
      <w:r w:rsidRPr="00CB234B">
        <w:rPr>
          <w:rFonts w:asciiTheme="majorBidi" w:hAnsiTheme="majorBidi" w:cstheme="majorBidi"/>
        </w:rPr>
        <w:t>Macquarrie</w:t>
      </w:r>
      <w:proofErr w:type="spellEnd"/>
      <w:r w:rsidRPr="00CB234B">
        <w:rPr>
          <w:rFonts w:asciiTheme="majorBidi" w:hAnsiTheme="majorBidi" w:cstheme="majorBidi"/>
        </w:rPr>
        <w:t xml:space="preserve"> and E. Robinson. Oxford: Blackwell. (Original work published 1927).</w:t>
      </w:r>
    </w:p>
    <w:p w14:paraId="350487F9"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Kapp, K. M. and Defelice, R. (2019) </w:t>
      </w:r>
      <w:r w:rsidRPr="00CB234B">
        <w:rPr>
          <w:rFonts w:asciiTheme="majorBidi" w:hAnsiTheme="majorBidi" w:cstheme="majorBidi"/>
          <w:i/>
          <w:iCs/>
        </w:rPr>
        <w:t>Microlearning: Short and Sweet</w:t>
      </w:r>
      <w:r w:rsidRPr="00CB234B">
        <w:rPr>
          <w:rFonts w:asciiTheme="majorBidi" w:hAnsiTheme="majorBidi" w:cstheme="majorBidi"/>
        </w:rPr>
        <w:t>. Alexandria, VA: ATD Press.</w:t>
      </w:r>
    </w:p>
    <w:p w14:paraId="09E12D82" w14:textId="77777777" w:rsidR="00CB234B" w:rsidRPr="00CB234B" w:rsidRDefault="00CB234B" w:rsidP="00CB234B">
      <w:pPr>
        <w:rPr>
          <w:rFonts w:asciiTheme="majorBidi" w:hAnsiTheme="majorBidi" w:cstheme="majorBidi"/>
        </w:rPr>
      </w:pPr>
      <w:r w:rsidRPr="00CB234B">
        <w:rPr>
          <w:rFonts w:asciiTheme="majorBidi" w:hAnsiTheme="majorBidi" w:cstheme="majorBidi"/>
        </w:rPr>
        <w:lastRenderedPageBreak/>
        <w:t xml:space="preserve">Kohn, L. T., Corrigan, J. M. and Donaldson, M. S. (eds.) (2000) </w:t>
      </w:r>
      <w:r w:rsidRPr="00CB234B">
        <w:rPr>
          <w:rFonts w:asciiTheme="majorBidi" w:hAnsiTheme="majorBidi" w:cstheme="majorBidi"/>
          <w:i/>
          <w:iCs/>
        </w:rPr>
        <w:t>To Err is Human: Building a Safer Health System</w:t>
      </w:r>
      <w:r w:rsidRPr="00CB234B">
        <w:rPr>
          <w:rFonts w:asciiTheme="majorBidi" w:hAnsiTheme="majorBidi" w:cstheme="majorBidi"/>
        </w:rPr>
        <w:t>. Washington, DC: National Academy Press.</w:t>
      </w:r>
    </w:p>
    <w:p w14:paraId="1E9B83BC"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Leong, K., Sung, A., Au, D. and Blanchard, C. (2021) 'A review of the trend of microlearning', </w:t>
      </w:r>
      <w:r w:rsidRPr="00CB234B">
        <w:rPr>
          <w:rFonts w:asciiTheme="majorBidi" w:hAnsiTheme="majorBidi" w:cstheme="majorBidi"/>
          <w:i/>
          <w:iCs/>
        </w:rPr>
        <w:t>Journal of Work-Applied Management</w:t>
      </w:r>
      <w:r w:rsidRPr="00CB234B">
        <w:rPr>
          <w:rFonts w:asciiTheme="majorBidi" w:hAnsiTheme="majorBidi" w:cstheme="majorBidi"/>
        </w:rPr>
        <w:t xml:space="preserve">, 13(1), pp. 88–102. Available at: </w:t>
      </w:r>
      <w:hyperlink r:id="rId11" w:tgtFrame="_blank" w:history="1">
        <w:r w:rsidRPr="00CB234B">
          <w:rPr>
            <w:rStyle w:val="Hyperlink"/>
            <w:rFonts w:asciiTheme="majorBidi" w:hAnsiTheme="majorBidi" w:cstheme="majorBidi"/>
          </w:rPr>
          <w:t>https://doi.org/10.1108/JWAM-10-2020-0044</w:t>
        </w:r>
      </w:hyperlink>
      <w:r w:rsidRPr="00CB234B">
        <w:rPr>
          <w:rFonts w:asciiTheme="majorBidi" w:hAnsiTheme="majorBidi" w:cstheme="majorBidi"/>
        </w:rPr>
        <w:t>.</w:t>
      </w:r>
    </w:p>
    <w:p w14:paraId="4F197CEB" w14:textId="77777777" w:rsidR="00CB234B" w:rsidRPr="00CB234B" w:rsidRDefault="00CB234B" w:rsidP="00CB234B">
      <w:pPr>
        <w:rPr>
          <w:rFonts w:asciiTheme="majorBidi" w:hAnsiTheme="majorBidi" w:cstheme="majorBidi"/>
        </w:rPr>
      </w:pPr>
      <w:r w:rsidRPr="00CB234B">
        <w:rPr>
          <w:rFonts w:asciiTheme="majorBidi" w:hAnsiTheme="majorBidi" w:cstheme="majorBidi"/>
        </w:rPr>
        <w:t>Melnyk, B. M., Gallagher</w:t>
      </w:r>
      <w:r w:rsidRPr="00CB234B">
        <w:rPr>
          <w:rFonts w:ascii="Cambria Math" w:hAnsi="Cambria Math" w:cs="Cambria Math"/>
        </w:rPr>
        <w:t>‐</w:t>
      </w:r>
      <w:r w:rsidRPr="00CB234B">
        <w:rPr>
          <w:rFonts w:asciiTheme="majorBidi" w:hAnsiTheme="majorBidi" w:cstheme="majorBidi"/>
        </w:rPr>
        <w:t>Ford, L., Thomas, B. K., Troseth, M., Wyngarden, K. and Szalacha, L. (2016) 'A study of chief nurse executives indicates low prioritization of evidence</w:t>
      </w:r>
      <w:r w:rsidRPr="00CB234B">
        <w:rPr>
          <w:rFonts w:ascii="Cambria Math" w:hAnsi="Cambria Math" w:cs="Cambria Math"/>
        </w:rPr>
        <w:t>‐</w:t>
      </w:r>
      <w:r w:rsidRPr="00CB234B">
        <w:rPr>
          <w:rFonts w:asciiTheme="majorBidi" w:hAnsiTheme="majorBidi" w:cstheme="majorBidi"/>
        </w:rPr>
        <w:t xml:space="preserve">based practice and shortcomings in hospital performance metrics across the United States', </w:t>
      </w:r>
      <w:r w:rsidRPr="00CB234B">
        <w:rPr>
          <w:rFonts w:asciiTheme="majorBidi" w:hAnsiTheme="majorBidi" w:cstheme="majorBidi"/>
          <w:i/>
          <w:iCs/>
        </w:rPr>
        <w:t>Worldviews on Evidence</w:t>
      </w:r>
      <w:r w:rsidRPr="00CB234B">
        <w:rPr>
          <w:rFonts w:ascii="Cambria Math" w:hAnsi="Cambria Math" w:cs="Cambria Math"/>
          <w:i/>
          <w:iCs/>
        </w:rPr>
        <w:t>‐</w:t>
      </w:r>
      <w:r w:rsidRPr="00CB234B">
        <w:rPr>
          <w:rFonts w:asciiTheme="majorBidi" w:hAnsiTheme="majorBidi" w:cstheme="majorBidi"/>
          <w:i/>
          <w:iCs/>
        </w:rPr>
        <w:t>Based Nursing</w:t>
      </w:r>
      <w:r w:rsidRPr="00CB234B">
        <w:rPr>
          <w:rFonts w:asciiTheme="majorBidi" w:hAnsiTheme="majorBidi" w:cstheme="majorBidi"/>
        </w:rPr>
        <w:t xml:space="preserve">, 13(1), pp. 6–14. Available at: </w:t>
      </w:r>
      <w:hyperlink r:id="rId12" w:tgtFrame="_blank" w:history="1">
        <w:r w:rsidRPr="00CB234B">
          <w:rPr>
            <w:rStyle w:val="Hyperlink"/>
            <w:rFonts w:asciiTheme="majorBidi" w:hAnsiTheme="majorBidi" w:cstheme="majorBidi"/>
          </w:rPr>
          <w:t>https://doi.org/10.1111/wvn.12133</w:t>
        </w:r>
      </w:hyperlink>
      <w:r w:rsidRPr="00CB234B">
        <w:rPr>
          <w:rFonts w:asciiTheme="majorBidi" w:hAnsiTheme="majorBidi" w:cstheme="majorBidi"/>
        </w:rPr>
        <w:t>.</w:t>
      </w:r>
    </w:p>
    <w:p w14:paraId="1FDA1100"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Mohammed, G. F., Alias, N. and Zaid, N. M. (2021) 'Microlearning trends and its relationship with learning outcome', </w:t>
      </w:r>
      <w:r w:rsidRPr="00CB234B">
        <w:rPr>
          <w:rFonts w:asciiTheme="majorBidi" w:hAnsiTheme="majorBidi" w:cstheme="majorBidi"/>
          <w:i/>
          <w:iCs/>
        </w:rPr>
        <w:t>Proceedings of the 11th Annual International Conference on Education and e-Learning (</w:t>
      </w:r>
      <w:proofErr w:type="spellStart"/>
      <w:r w:rsidRPr="00CB234B">
        <w:rPr>
          <w:rFonts w:asciiTheme="majorBidi" w:hAnsiTheme="majorBidi" w:cstheme="majorBidi"/>
          <w:i/>
          <w:iCs/>
        </w:rPr>
        <w:t>EeL</w:t>
      </w:r>
      <w:proofErr w:type="spellEnd"/>
      <w:r w:rsidRPr="00CB234B">
        <w:rPr>
          <w:rFonts w:asciiTheme="majorBidi" w:hAnsiTheme="majorBidi" w:cstheme="majorBidi"/>
          <w:i/>
          <w:iCs/>
        </w:rPr>
        <w:t>)</w:t>
      </w:r>
      <w:r w:rsidRPr="00CB234B">
        <w:rPr>
          <w:rFonts w:asciiTheme="majorBidi" w:hAnsiTheme="majorBidi" w:cstheme="majorBidi"/>
        </w:rPr>
        <w:t xml:space="preserve">, pp. 108–116. Available at: </w:t>
      </w:r>
      <w:hyperlink r:id="rId13" w:tgtFrame="_blank" w:history="1">
        <w:r w:rsidRPr="00CB234B">
          <w:rPr>
            <w:rStyle w:val="Hyperlink"/>
            <w:rFonts w:asciiTheme="majorBidi" w:hAnsiTheme="majorBidi" w:cstheme="majorBidi"/>
          </w:rPr>
          <w:t>https://doi.org/10.5176/2251-1814_EeL21.22</w:t>
        </w:r>
      </w:hyperlink>
      <w:r w:rsidRPr="00CB234B">
        <w:rPr>
          <w:rFonts w:asciiTheme="majorBidi" w:hAnsiTheme="majorBidi" w:cstheme="majorBidi"/>
        </w:rPr>
        <w:t>.</w:t>
      </w:r>
    </w:p>
    <w:p w14:paraId="0BCAE75F"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Palinkas, L. A., Horwitz, S. M., Green, C. A., Wisdom, J. P., Duan, N. and Hoagwood, K. (2015) 'Purposeful sampling for qualitative data collection and analysis in mixed method implementation research', </w:t>
      </w:r>
      <w:r w:rsidRPr="00CB234B">
        <w:rPr>
          <w:rFonts w:asciiTheme="majorBidi" w:hAnsiTheme="majorBidi" w:cstheme="majorBidi"/>
          <w:i/>
          <w:iCs/>
        </w:rPr>
        <w:t>Administration and Policy in Mental Health and Mental Health Services Research</w:t>
      </w:r>
      <w:r w:rsidRPr="00CB234B">
        <w:rPr>
          <w:rFonts w:asciiTheme="majorBidi" w:hAnsiTheme="majorBidi" w:cstheme="majorBidi"/>
        </w:rPr>
        <w:t xml:space="preserve">, 42(5), pp. 533–544. Available at: </w:t>
      </w:r>
      <w:hyperlink r:id="rId14" w:tgtFrame="_blank" w:history="1">
        <w:r w:rsidRPr="00CB234B">
          <w:rPr>
            <w:rStyle w:val="Hyperlink"/>
            <w:rFonts w:asciiTheme="majorBidi" w:hAnsiTheme="majorBidi" w:cstheme="majorBidi"/>
          </w:rPr>
          <w:t>https://doi.org/10.1007/s10488-013-0528-y</w:t>
        </w:r>
      </w:hyperlink>
      <w:r w:rsidRPr="00CB234B">
        <w:rPr>
          <w:rFonts w:asciiTheme="majorBidi" w:hAnsiTheme="majorBidi" w:cstheme="majorBidi"/>
        </w:rPr>
        <w:t>.</w:t>
      </w:r>
    </w:p>
    <w:p w14:paraId="021AEE19"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Taylor, A. D. and Hung, W. (2022) 'The effects of microlearning: A scoping review', </w:t>
      </w:r>
      <w:r w:rsidRPr="00CB234B">
        <w:rPr>
          <w:rFonts w:asciiTheme="majorBidi" w:hAnsiTheme="majorBidi" w:cstheme="majorBidi"/>
          <w:i/>
          <w:iCs/>
        </w:rPr>
        <w:t>Educational Technology Research and Development</w:t>
      </w:r>
      <w:r w:rsidRPr="00CB234B">
        <w:rPr>
          <w:rFonts w:asciiTheme="majorBidi" w:hAnsiTheme="majorBidi" w:cstheme="majorBidi"/>
        </w:rPr>
        <w:t xml:space="preserve">, 70(2), pp. 363–395. Available at: </w:t>
      </w:r>
      <w:hyperlink r:id="rId15" w:tgtFrame="_blank" w:history="1">
        <w:r w:rsidRPr="00CB234B">
          <w:rPr>
            <w:rStyle w:val="Hyperlink"/>
            <w:rFonts w:asciiTheme="majorBidi" w:hAnsiTheme="majorBidi" w:cstheme="majorBidi"/>
          </w:rPr>
          <w:t>https://doi.org/10.1007/s11423-022-10084-1</w:t>
        </w:r>
      </w:hyperlink>
      <w:r w:rsidRPr="00CB234B">
        <w:rPr>
          <w:rFonts w:asciiTheme="majorBidi" w:hAnsiTheme="majorBidi" w:cstheme="majorBidi"/>
        </w:rPr>
        <w:t>.</w:t>
      </w:r>
    </w:p>
    <w:p w14:paraId="5E2CEC9A"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van Manen, M. (2016) </w:t>
      </w:r>
      <w:r w:rsidRPr="00CB234B">
        <w:rPr>
          <w:rFonts w:asciiTheme="majorBidi" w:hAnsiTheme="majorBidi" w:cstheme="majorBidi"/>
          <w:i/>
          <w:iCs/>
        </w:rPr>
        <w:t>Phenomenology of Practice: Meaning-Giving Methods in Phenomenological Research and Writing</w:t>
      </w:r>
      <w:r w:rsidRPr="00CB234B">
        <w:rPr>
          <w:rFonts w:asciiTheme="majorBidi" w:hAnsiTheme="majorBidi" w:cstheme="majorBidi"/>
        </w:rPr>
        <w:t>. New York: Routledge.</w:t>
      </w:r>
    </w:p>
    <w:p w14:paraId="7C7DC0A3"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Vincent, C. (2010) </w:t>
      </w:r>
      <w:r w:rsidRPr="00CB234B">
        <w:rPr>
          <w:rFonts w:asciiTheme="majorBidi" w:hAnsiTheme="majorBidi" w:cstheme="majorBidi"/>
          <w:i/>
          <w:iCs/>
        </w:rPr>
        <w:t>Patient Safety</w:t>
      </w:r>
      <w:r w:rsidRPr="00CB234B">
        <w:rPr>
          <w:rFonts w:asciiTheme="majorBidi" w:hAnsiTheme="majorBidi" w:cstheme="majorBidi"/>
        </w:rPr>
        <w:t xml:space="preserve">. 2nd </w:t>
      </w:r>
      <w:proofErr w:type="spellStart"/>
      <w:r w:rsidRPr="00CB234B">
        <w:rPr>
          <w:rFonts w:asciiTheme="majorBidi" w:hAnsiTheme="majorBidi" w:cstheme="majorBidi"/>
        </w:rPr>
        <w:t>edn</w:t>
      </w:r>
      <w:proofErr w:type="spellEnd"/>
      <w:r w:rsidRPr="00CB234B">
        <w:rPr>
          <w:rFonts w:asciiTheme="majorBidi" w:hAnsiTheme="majorBidi" w:cstheme="majorBidi"/>
        </w:rPr>
        <w:t>. Chichester: Wiley-Blackwell.</w:t>
      </w:r>
    </w:p>
    <w:p w14:paraId="7F54253F"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Webster-Wright, A. (2009) 'Reframing professional development through understanding authentic professional learning', </w:t>
      </w:r>
      <w:r w:rsidRPr="00CB234B">
        <w:rPr>
          <w:rFonts w:asciiTheme="majorBidi" w:hAnsiTheme="majorBidi" w:cstheme="majorBidi"/>
          <w:i/>
          <w:iCs/>
        </w:rPr>
        <w:t>Review of Educational Research</w:t>
      </w:r>
      <w:r w:rsidRPr="00CB234B">
        <w:rPr>
          <w:rFonts w:asciiTheme="majorBidi" w:hAnsiTheme="majorBidi" w:cstheme="majorBidi"/>
        </w:rPr>
        <w:t xml:space="preserve">, 79(2), pp. 702–739. Available at: </w:t>
      </w:r>
      <w:hyperlink r:id="rId16" w:tgtFrame="_blank" w:history="1">
        <w:r w:rsidRPr="00CB234B">
          <w:rPr>
            <w:rStyle w:val="Hyperlink"/>
            <w:rFonts w:asciiTheme="majorBidi" w:hAnsiTheme="majorBidi" w:cstheme="majorBidi"/>
          </w:rPr>
          <w:t>https://doi.org/10.3102/0034654308330970</w:t>
        </w:r>
      </w:hyperlink>
      <w:r w:rsidRPr="00CB234B">
        <w:rPr>
          <w:rFonts w:asciiTheme="majorBidi" w:hAnsiTheme="majorBidi" w:cstheme="majorBidi"/>
        </w:rPr>
        <w:t>.</w:t>
      </w:r>
    </w:p>
    <w:p w14:paraId="5A25E1CA" w14:textId="223047A0" w:rsidR="00CB234B" w:rsidRPr="00CB234B" w:rsidRDefault="00CB234B" w:rsidP="00CB234B">
      <w:pPr>
        <w:rPr>
          <w:rFonts w:asciiTheme="majorBidi" w:hAnsiTheme="majorBidi" w:cstheme="majorBidi"/>
        </w:rPr>
      </w:pPr>
      <w:r w:rsidRPr="00CB234B">
        <w:rPr>
          <w:rFonts w:asciiTheme="majorBidi" w:hAnsiTheme="majorBidi" w:cstheme="majorBidi"/>
        </w:rPr>
        <w:t xml:space="preserve">- NHS Learning Hub (2021) IFPP: </w:t>
      </w:r>
      <w:r w:rsidR="004356E9" w:rsidRPr="00CB234B">
        <w:rPr>
          <w:rFonts w:asciiTheme="majorBidi" w:hAnsiTheme="majorBidi" w:cstheme="majorBidi"/>
        </w:rPr>
        <w:t>Microlearning’s</w:t>
      </w:r>
      <w:r w:rsidRPr="00CB234B">
        <w:rPr>
          <w:rFonts w:asciiTheme="majorBidi" w:hAnsiTheme="majorBidi" w:cstheme="majorBidi"/>
        </w:rPr>
        <w:t xml:space="preserve"> Resource. Available at: https://learninghub.nhs.uk/...  </w:t>
      </w:r>
    </w:p>
    <w:p w14:paraId="7A53DE9E" w14:textId="77777777" w:rsidR="00CB234B" w:rsidRPr="00CB234B" w:rsidRDefault="00CB234B" w:rsidP="00CB234B">
      <w:pPr>
        <w:rPr>
          <w:rFonts w:asciiTheme="majorBidi" w:hAnsiTheme="majorBidi" w:cstheme="majorBidi"/>
        </w:rPr>
      </w:pPr>
      <w:r w:rsidRPr="00CB234B">
        <w:rPr>
          <w:rFonts w:asciiTheme="majorBidi" w:hAnsiTheme="majorBidi" w:cstheme="majorBidi"/>
        </w:rPr>
        <w:t xml:space="preserve">- </w:t>
      </w:r>
      <w:proofErr w:type="spellStart"/>
      <w:r w:rsidRPr="00CB234B">
        <w:rPr>
          <w:rFonts w:asciiTheme="majorBidi" w:hAnsiTheme="majorBidi" w:cstheme="majorBidi"/>
        </w:rPr>
        <w:t>Praktiki</w:t>
      </w:r>
      <w:proofErr w:type="spellEnd"/>
      <w:r w:rsidRPr="00CB234B">
        <w:rPr>
          <w:rFonts w:asciiTheme="majorBidi" w:hAnsiTheme="majorBidi" w:cstheme="majorBidi"/>
        </w:rPr>
        <w:t xml:space="preserve"> CPD (2025) Mobile-first microlearning for UK clinicians.  </w:t>
      </w:r>
    </w:p>
    <w:p w14:paraId="7E90443D" w14:textId="77777777" w:rsidR="00CB234B" w:rsidRDefault="00CB234B" w:rsidP="00CB234B">
      <w:pPr>
        <w:rPr>
          <w:rFonts w:asciiTheme="majorBidi" w:hAnsiTheme="majorBidi" w:cstheme="majorBidi"/>
        </w:rPr>
      </w:pPr>
      <w:r w:rsidRPr="00CB234B">
        <w:rPr>
          <w:rFonts w:asciiTheme="majorBidi" w:hAnsiTheme="majorBidi" w:cstheme="majorBidi"/>
        </w:rPr>
        <w:t xml:space="preserve">- Relias (2024) Microlearning in Healthcare Training.  </w:t>
      </w:r>
    </w:p>
    <w:p w14:paraId="61BBF7FB" w14:textId="77777777" w:rsidR="004356E9" w:rsidRDefault="004356E9" w:rsidP="00CB234B">
      <w:pPr>
        <w:rPr>
          <w:rFonts w:asciiTheme="majorBidi" w:hAnsiTheme="majorBidi" w:cstheme="majorBidi"/>
        </w:rPr>
      </w:pPr>
    </w:p>
    <w:p w14:paraId="492D119D" w14:textId="77777777" w:rsidR="004356E9" w:rsidRDefault="004356E9" w:rsidP="00CB234B">
      <w:pPr>
        <w:rPr>
          <w:rFonts w:asciiTheme="majorBidi" w:hAnsiTheme="majorBidi" w:cstheme="majorBidi"/>
        </w:rPr>
      </w:pPr>
    </w:p>
    <w:p w14:paraId="461ED85A" w14:textId="77777777" w:rsidR="004356E9" w:rsidRDefault="004356E9" w:rsidP="00CB234B">
      <w:pPr>
        <w:rPr>
          <w:rFonts w:asciiTheme="majorBidi" w:hAnsiTheme="majorBidi" w:cstheme="majorBidi"/>
        </w:rPr>
      </w:pPr>
    </w:p>
    <w:p w14:paraId="590C2518" w14:textId="77777777" w:rsidR="004356E9" w:rsidRDefault="004356E9" w:rsidP="00CB234B">
      <w:pPr>
        <w:rPr>
          <w:rFonts w:asciiTheme="majorBidi" w:hAnsiTheme="majorBidi" w:cstheme="majorBidi"/>
        </w:rPr>
      </w:pPr>
    </w:p>
    <w:p w14:paraId="60265C7F" w14:textId="77777777" w:rsidR="004356E9" w:rsidRDefault="004356E9" w:rsidP="00CB234B">
      <w:pPr>
        <w:rPr>
          <w:rFonts w:asciiTheme="majorBidi" w:hAnsiTheme="majorBidi" w:cstheme="majorBidi"/>
        </w:rPr>
      </w:pPr>
    </w:p>
    <w:p w14:paraId="26E0AE5B" w14:textId="77777777" w:rsidR="004356E9" w:rsidRDefault="004356E9" w:rsidP="00CB234B">
      <w:pPr>
        <w:rPr>
          <w:rFonts w:asciiTheme="majorBidi" w:hAnsiTheme="majorBidi" w:cstheme="majorBidi"/>
        </w:rPr>
      </w:pPr>
    </w:p>
    <w:p w14:paraId="15D96F7F" w14:textId="77777777" w:rsidR="004356E9" w:rsidRPr="00CB234B" w:rsidRDefault="004356E9" w:rsidP="00CB234B">
      <w:pPr>
        <w:rPr>
          <w:rFonts w:asciiTheme="majorBidi" w:hAnsiTheme="majorBidi" w:cstheme="majorBidi"/>
        </w:rPr>
      </w:pPr>
    </w:p>
    <w:p w14:paraId="7F96C746" w14:textId="77777777" w:rsidR="00CB234B" w:rsidRPr="00CB234B" w:rsidRDefault="00CB234B" w:rsidP="00CB234B">
      <w:pPr>
        <w:rPr>
          <w:rFonts w:asciiTheme="majorBidi" w:hAnsiTheme="majorBidi" w:cstheme="majorBidi"/>
        </w:rPr>
      </w:pPr>
    </w:p>
    <w:p w14:paraId="5667D704" w14:textId="77777777" w:rsidR="00CB234B" w:rsidRPr="00CB234B" w:rsidRDefault="00CB234B" w:rsidP="00CB234B">
      <w:pPr>
        <w:rPr>
          <w:rFonts w:asciiTheme="majorBidi" w:hAnsiTheme="majorBidi" w:cstheme="majorBidi"/>
        </w:rPr>
      </w:pPr>
      <w:r w:rsidRPr="00CB234B">
        <w:rPr>
          <w:rFonts w:asciiTheme="majorBidi" w:hAnsiTheme="majorBidi" w:cstheme="majorBidi"/>
        </w:rPr>
        <w:lastRenderedPageBreak/>
        <w:t xml:space="preserve">AI Acknowledgement  </w:t>
      </w:r>
    </w:p>
    <w:p w14:paraId="68B0A7C4" w14:textId="77777777" w:rsidR="00C479F1" w:rsidRPr="00C479F1" w:rsidRDefault="00C479F1" w:rsidP="00C479F1">
      <w:pPr>
        <w:rPr>
          <w:rFonts w:asciiTheme="majorBidi" w:hAnsiTheme="majorBidi" w:cstheme="majorBidi"/>
        </w:rPr>
      </w:pPr>
      <w:r w:rsidRPr="00C479F1">
        <w:rPr>
          <w:rFonts w:asciiTheme="majorBidi" w:hAnsiTheme="majorBidi" w:cstheme="majorBidi"/>
        </w:rPr>
        <w:t>I acknowledge the use of Claude AI to support drafting and language refinement of this research proposal. The prompts used included:</w:t>
      </w:r>
    </w:p>
    <w:p w14:paraId="5C20F8F2" w14:textId="77777777" w:rsidR="00C479F1" w:rsidRPr="00C479F1" w:rsidRDefault="00C479F1" w:rsidP="00C479F1">
      <w:pPr>
        <w:numPr>
          <w:ilvl w:val="0"/>
          <w:numId w:val="1"/>
        </w:numPr>
        <w:rPr>
          <w:rFonts w:asciiTheme="majorBidi" w:hAnsiTheme="majorBidi" w:cstheme="majorBidi"/>
        </w:rPr>
      </w:pPr>
      <w:r w:rsidRPr="00C479F1">
        <w:rPr>
          <w:rFonts w:asciiTheme="majorBidi" w:hAnsiTheme="majorBidi" w:cstheme="majorBidi"/>
        </w:rPr>
        <w:t>"Review this research proposal for clarity, coherence, and alignment with academic standards."</w:t>
      </w:r>
    </w:p>
    <w:p w14:paraId="77FB4795" w14:textId="77777777" w:rsidR="00C479F1" w:rsidRPr="00C479F1" w:rsidRDefault="00C479F1" w:rsidP="00C479F1">
      <w:pPr>
        <w:numPr>
          <w:ilvl w:val="0"/>
          <w:numId w:val="1"/>
        </w:numPr>
        <w:rPr>
          <w:rFonts w:asciiTheme="majorBidi" w:hAnsiTheme="majorBidi" w:cstheme="majorBidi"/>
        </w:rPr>
      </w:pPr>
      <w:r w:rsidRPr="00C479F1">
        <w:rPr>
          <w:rFonts w:asciiTheme="majorBidi" w:hAnsiTheme="majorBidi" w:cstheme="majorBidi"/>
        </w:rPr>
        <w:t>"Suggest improvements to the methodology section for a phenomenological study."</w:t>
      </w:r>
    </w:p>
    <w:p w14:paraId="7DF62001" w14:textId="77777777" w:rsidR="00C479F1" w:rsidRPr="00C479F1" w:rsidRDefault="00C479F1" w:rsidP="00C479F1">
      <w:pPr>
        <w:numPr>
          <w:ilvl w:val="0"/>
          <w:numId w:val="1"/>
        </w:numPr>
        <w:rPr>
          <w:rFonts w:asciiTheme="majorBidi" w:hAnsiTheme="majorBidi" w:cstheme="majorBidi"/>
        </w:rPr>
      </w:pPr>
      <w:r w:rsidRPr="00C479F1">
        <w:rPr>
          <w:rFonts w:asciiTheme="majorBidi" w:hAnsiTheme="majorBidi" w:cstheme="majorBidi"/>
        </w:rPr>
        <w:t>"Check Harvard referencing format for accuracy."</w:t>
      </w:r>
    </w:p>
    <w:p w14:paraId="6636B063" w14:textId="77777777" w:rsidR="00C479F1" w:rsidRPr="00C479F1" w:rsidRDefault="00C479F1" w:rsidP="00C479F1">
      <w:pPr>
        <w:rPr>
          <w:rFonts w:asciiTheme="majorBidi" w:hAnsiTheme="majorBidi" w:cstheme="majorBidi"/>
        </w:rPr>
      </w:pPr>
      <w:r w:rsidRPr="00C479F1">
        <w:rPr>
          <w:rFonts w:asciiTheme="majorBidi" w:hAnsiTheme="majorBidi" w:cstheme="majorBidi"/>
        </w:rPr>
        <w:t>I confirm that I have not presented any AI-generated text as my own work. All academic judgement, interpretation, critical thinking, and final responsibility for the content remain entirely with me. I confirm that I have copies of my drafts, notes, and other resources used before and after AI consultation, which I may be asked to provide as evidence.</w:t>
      </w:r>
    </w:p>
    <w:p w14:paraId="5B19A0B4" w14:textId="77777777" w:rsidR="00C06579" w:rsidRPr="00BE66B1" w:rsidRDefault="00C479F1" w:rsidP="00CB234B">
      <w:pPr>
        <w:rPr>
          <w:rFonts w:asciiTheme="majorBidi" w:hAnsiTheme="majorBidi" w:cstheme="majorBidi"/>
        </w:rPr>
      </w:pPr>
      <w:r>
        <w:rPr>
          <w:rFonts w:asciiTheme="majorBidi" w:hAnsiTheme="majorBidi" w:cstheme="majorBidi" w:hint="cs"/>
          <w:rtl/>
        </w:rPr>
        <w:t>.</w:t>
      </w:r>
    </w:p>
    <w:sectPr w:rsidR="00C06579" w:rsidRPr="00BE66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A48CE"/>
    <w:multiLevelType w:val="multilevel"/>
    <w:tmpl w:val="8314F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913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D88"/>
    <w:rsid w:val="001F7774"/>
    <w:rsid w:val="003E4F73"/>
    <w:rsid w:val="00404ED2"/>
    <w:rsid w:val="004356E9"/>
    <w:rsid w:val="00622EC9"/>
    <w:rsid w:val="0069513A"/>
    <w:rsid w:val="00A26BA7"/>
    <w:rsid w:val="00AA7117"/>
    <w:rsid w:val="00BA7D88"/>
    <w:rsid w:val="00BE66B1"/>
    <w:rsid w:val="00C06579"/>
    <w:rsid w:val="00C479F1"/>
    <w:rsid w:val="00CB234B"/>
    <w:rsid w:val="00E43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CBCE"/>
  <w15:chartTrackingRefBased/>
  <w15:docId w15:val="{C2DFD8CD-49AE-4DD2-B7E7-2983177B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2">
    <w:name w:val="Plain Table 2"/>
    <w:basedOn w:val="TableNormal"/>
    <w:uiPriority w:val="42"/>
    <w:rsid w:val="00BE66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CB23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68368">
      <w:bodyDiv w:val="1"/>
      <w:marLeft w:val="0"/>
      <w:marRight w:val="0"/>
      <w:marTop w:val="0"/>
      <w:marBottom w:val="0"/>
      <w:divBdr>
        <w:top w:val="none" w:sz="0" w:space="0" w:color="auto"/>
        <w:left w:val="none" w:sz="0" w:space="0" w:color="auto"/>
        <w:bottom w:val="none" w:sz="0" w:space="0" w:color="auto"/>
        <w:right w:val="none" w:sz="0" w:space="0" w:color="auto"/>
      </w:divBdr>
    </w:div>
    <w:div w:id="1155730181">
      <w:bodyDiv w:val="1"/>
      <w:marLeft w:val="0"/>
      <w:marRight w:val="0"/>
      <w:marTop w:val="0"/>
      <w:marBottom w:val="0"/>
      <w:divBdr>
        <w:top w:val="none" w:sz="0" w:space="0" w:color="auto"/>
        <w:left w:val="none" w:sz="0" w:space="0" w:color="auto"/>
        <w:bottom w:val="none" w:sz="0" w:space="0" w:color="auto"/>
        <w:right w:val="none" w:sz="0" w:space="0" w:color="auto"/>
      </w:divBdr>
    </w:div>
    <w:div w:id="185028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13997" TargetMode="External"/><Relationship Id="rId13" Type="http://schemas.openxmlformats.org/officeDocument/2006/relationships/hyperlink" Target="https://doi.org/10.5176/2251-1814_EeL21.2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97/ACM.0000000000000913" TargetMode="External"/><Relationship Id="rId12" Type="http://schemas.openxmlformats.org/officeDocument/2006/relationships/hyperlink" Target="https://doi.org/10.1111/wvn.1213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102/0034654308330970" TargetMode="External"/><Relationship Id="rId1" Type="http://schemas.openxmlformats.org/officeDocument/2006/relationships/numbering" Target="numbering.xml"/><Relationship Id="rId6" Type="http://schemas.openxmlformats.org/officeDocument/2006/relationships/hyperlink" Target="https://doi.org/10.1080/2159676X.2019.1628806" TargetMode="External"/><Relationship Id="rId11" Type="http://schemas.openxmlformats.org/officeDocument/2006/relationships/hyperlink" Target="https://doi.org/10.1108/JWAM-10-2020-0044" TargetMode="External"/><Relationship Id="rId5" Type="http://schemas.openxmlformats.org/officeDocument/2006/relationships/hyperlink" Target="https://doi.org/10.1186/1478-4491-11-51" TargetMode="External"/><Relationship Id="rId15" Type="http://schemas.openxmlformats.org/officeDocument/2006/relationships/hyperlink" Target="https://doi.org/10.1007/s11423-022-10084-1" TargetMode="External"/><Relationship Id="rId10" Type="http://schemas.openxmlformats.org/officeDocument/2006/relationships/hyperlink" Target="https://doi.org/10.1515/bsaft-2017-0003" TargetMode="External"/><Relationship Id="rId4" Type="http://schemas.openxmlformats.org/officeDocument/2006/relationships/webSettings" Target="webSettings.xml"/><Relationship Id="rId9" Type="http://schemas.openxmlformats.org/officeDocument/2006/relationships/hyperlink" Target="https://doi.org/10.7748/nr2012.11.20.2.21.c9440" TargetMode="External"/><Relationship Id="rId14" Type="http://schemas.openxmlformats.org/officeDocument/2006/relationships/hyperlink" Target="https://doi.org/10.1007/s10488-013-0528-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2879</Words>
  <Characters>16414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Vista Gostar</dc:creator>
  <cp:keywords/>
  <dc:description/>
  <cp:lastModifiedBy>roya barati</cp:lastModifiedBy>
  <cp:revision>5</cp:revision>
  <dcterms:created xsi:type="dcterms:W3CDTF">2026-01-27T10:05:00Z</dcterms:created>
  <dcterms:modified xsi:type="dcterms:W3CDTF">2026-01-27T12:48:00Z</dcterms:modified>
</cp:coreProperties>
</file>