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813" w:rsidRDefault="00F25E62">
      <w:pPr>
        <w:rPr>
          <w:sz w:val="28"/>
          <w:szCs w:val="28"/>
        </w:rPr>
      </w:pPr>
      <w:r>
        <w:t xml:space="preserve">        </w:t>
      </w:r>
      <w:r w:rsidR="00F04B5D">
        <w:t xml:space="preserve">                      </w:t>
      </w:r>
      <w:r>
        <w:rPr>
          <w:sz w:val="28"/>
          <w:szCs w:val="28"/>
        </w:rPr>
        <w:t>Document Review of Hammurabi’s laws 137-152:</w:t>
      </w:r>
    </w:p>
    <w:p w:rsidR="00F04B5D" w:rsidRDefault="00F04B5D">
      <w:pPr>
        <w:rPr>
          <w:sz w:val="28"/>
          <w:szCs w:val="28"/>
        </w:rPr>
      </w:pPr>
    </w:p>
    <w:p w:rsidR="00F25E62" w:rsidRDefault="00F37552">
      <w:pPr>
        <w:rPr>
          <w:sz w:val="24"/>
          <w:szCs w:val="28"/>
        </w:rPr>
      </w:pPr>
      <w:r>
        <w:rPr>
          <w:sz w:val="24"/>
          <w:szCs w:val="28"/>
        </w:rPr>
        <w:t>The focus of this</w:t>
      </w:r>
      <w:r w:rsidR="001B4442">
        <w:rPr>
          <w:sz w:val="24"/>
          <w:szCs w:val="28"/>
        </w:rPr>
        <w:t xml:space="preserve"> report is a section of Hammurabi’</w:t>
      </w:r>
      <w:r w:rsidR="00EE5B2E">
        <w:rPr>
          <w:sz w:val="24"/>
          <w:szCs w:val="28"/>
        </w:rPr>
        <w:t xml:space="preserve">s law </w:t>
      </w:r>
      <w:r w:rsidR="00A30B4C">
        <w:rPr>
          <w:sz w:val="24"/>
          <w:szCs w:val="28"/>
        </w:rPr>
        <w:t>which covers the rights of women and the regulation of marriage</w:t>
      </w:r>
      <w:r w:rsidR="001B4442">
        <w:rPr>
          <w:sz w:val="24"/>
          <w:szCs w:val="28"/>
        </w:rPr>
        <w:t xml:space="preserve">, which was put together by Hammurabi during his reign over Mesopotamia from the year 1792 to 1750BC. </w:t>
      </w:r>
      <w:r w:rsidR="007A086F">
        <w:rPr>
          <w:sz w:val="24"/>
          <w:szCs w:val="28"/>
        </w:rPr>
        <w:t xml:space="preserve">This code consisted of </w:t>
      </w:r>
      <w:r w:rsidR="00EE5B2E">
        <w:rPr>
          <w:sz w:val="24"/>
          <w:szCs w:val="28"/>
        </w:rPr>
        <w:t xml:space="preserve">around 275 to 300 laws or decisions which covered parts of life which included property and familial hierarchy as well as crime and punishment. </w:t>
      </w:r>
    </w:p>
    <w:p w:rsidR="004E3C5F" w:rsidRDefault="00607BAD">
      <w:pPr>
        <w:rPr>
          <w:sz w:val="24"/>
          <w:szCs w:val="28"/>
        </w:rPr>
      </w:pPr>
      <w:r>
        <w:rPr>
          <w:sz w:val="24"/>
          <w:szCs w:val="28"/>
        </w:rPr>
        <w:t xml:space="preserve"> </w:t>
      </w:r>
      <w:r w:rsidR="00A76B79">
        <w:rPr>
          <w:sz w:val="24"/>
          <w:szCs w:val="28"/>
        </w:rPr>
        <w:t>Hammu</w:t>
      </w:r>
      <w:r w:rsidR="00757474">
        <w:rPr>
          <w:sz w:val="24"/>
          <w:szCs w:val="28"/>
        </w:rPr>
        <w:t>rabi and other Babylonian kings</w:t>
      </w:r>
      <w:r w:rsidR="00997DB5">
        <w:rPr>
          <w:sz w:val="24"/>
          <w:szCs w:val="28"/>
        </w:rPr>
        <w:t xml:space="preserve"> were known to </w:t>
      </w:r>
      <w:r w:rsidR="001E1A77">
        <w:rPr>
          <w:sz w:val="24"/>
          <w:szCs w:val="28"/>
        </w:rPr>
        <w:t>write and revise their own laws. this may have been some sort of rite of passage for the kings of ancient Mesopotamia</w:t>
      </w:r>
      <w:r w:rsidR="00757474">
        <w:rPr>
          <w:sz w:val="24"/>
          <w:szCs w:val="28"/>
        </w:rPr>
        <w:t>.</w:t>
      </w:r>
      <w:r w:rsidR="00060B74">
        <w:rPr>
          <w:sz w:val="24"/>
          <w:szCs w:val="28"/>
        </w:rPr>
        <w:t xml:space="preserve"> An example of this is that around three hundred years before Hammurabi’s laws, the king of Ur had his own laws scribed on clay tablets (Wasilewska, E. 1998).</w:t>
      </w:r>
      <w:r w:rsidR="00757474">
        <w:rPr>
          <w:sz w:val="24"/>
          <w:szCs w:val="28"/>
        </w:rPr>
        <w:t xml:space="preserve"> </w:t>
      </w:r>
      <w:r w:rsidR="00960922">
        <w:rPr>
          <w:sz w:val="24"/>
          <w:szCs w:val="28"/>
        </w:rPr>
        <w:t>The fact that each king had their own set of laws may have meant that the political system was renewed with each reign, this interpretation means that each king had an individual societal system. Ha</w:t>
      </w:r>
      <w:r w:rsidR="0063631C">
        <w:rPr>
          <w:sz w:val="24"/>
          <w:szCs w:val="28"/>
        </w:rPr>
        <w:t>mmurabi was</w:t>
      </w:r>
      <w:r w:rsidR="00960922">
        <w:rPr>
          <w:sz w:val="24"/>
          <w:szCs w:val="28"/>
        </w:rPr>
        <w:t xml:space="preserve"> very successful </w:t>
      </w:r>
      <w:r w:rsidR="009A3E3E">
        <w:rPr>
          <w:sz w:val="24"/>
          <w:szCs w:val="28"/>
        </w:rPr>
        <w:t>in t</w:t>
      </w:r>
      <w:r w:rsidR="004465BB">
        <w:rPr>
          <w:sz w:val="24"/>
          <w:szCs w:val="28"/>
        </w:rPr>
        <w:t>hat he conquered all of Mesopotamia as well as being</w:t>
      </w:r>
      <w:r w:rsidR="0063631C">
        <w:rPr>
          <w:sz w:val="24"/>
          <w:szCs w:val="28"/>
        </w:rPr>
        <w:t xml:space="preserve"> </w:t>
      </w:r>
      <w:r w:rsidR="004465BB">
        <w:rPr>
          <w:sz w:val="24"/>
          <w:szCs w:val="28"/>
        </w:rPr>
        <w:t>involved in the improvement of the society through things like irrigation during the first thirty years of his rule (Millard, A. 1994).</w:t>
      </w:r>
      <w:r w:rsidR="0063631C">
        <w:rPr>
          <w:sz w:val="24"/>
          <w:szCs w:val="28"/>
        </w:rPr>
        <w:t xml:space="preserve"> This meant that he was revered among</w:t>
      </w:r>
      <w:r w:rsidR="00121EA2">
        <w:rPr>
          <w:sz w:val="24"/>
          <w:szCs w:val="28"/>
        </w:rPr>
        <w:t xml:space="preserve"> the public before and after his death. </w:t>
      </w:r>
      <w:r w:rsidR="00CE0A07">
        <w:rPr>
          <w:sz w:val="24"/>
          <w:szCs w:val="28"/>
        </w:rPr>
        <w:t xml:space="preserve">This was likely part of the reasoning behind the carving </w:t>
      </w:r>
      <w:r w:rsidR="004B3C62">
        <w:rPr>
          <w:sz w:val="24"/>
          <w:szCs w:val="28"/>
        </w:rPr>
        <w:t>of the stone stele which is said to have been added to towards the sixth century.</w:t>
      </w:r>
      <w:r w:rsidR="00424FEF">
        <w:rPr>
          <w:sz w:val="24"/>
          <w:szCs w:val="28"/>
        </w:rPr>
        <w:t xml:space="preserve"> </w:t>
      </w:r>
    </w:p>
    <w:p w:rsidR="00F37552" w:rsidRDefault="00424FEF">
      <w:pPr>
        <w:rPr>
          <w:sz w:val="24"/>
          <w:szCs w:val="28"/>
        </w:rPr>
      </w:pPr>
      <w:r>
        <w:rPr>
          <w:sz w:val="24"/>
          <w:szCs w:val="28"/>
        </w:rPr>
        <w:t xml:space="preserve">The fact that that </w:t>
      </w:r>
      <w:r w:rsidR="0059407D">
        <w:rPr>
          <w:sz w:val="24"/>
          <w:szCs w:val="28"/>
        </w:rPr>
        <w:t xml:space="preserve">‘the law </w:t>
      </w:r>
      <w:r>
        <w:rPr>
          <w:sz w:val="24"/>
          <w:szCs w:val="28"/>
        </w:rPr>
        <w:t>stele</w:t>
      </w:r>
      <w:r w:rsidR="0059407D">
        <w:rPr>
          <w:sz w:val="24"/>
          <w:szCs w:val="28"/>
        </w:rPr>
        <w:t>’</w:t>
      </w:r>
      <w:r>
        <w:rPr>
          <w:sz w:val="24"/>
          <w:szCs w:val="28"/>
        </w:rPr>
        <w:t xml:space="preserve"> was produced over a long period of time and was likely </w:t>
      </w:r>
      <w:r w:rsidR="0059407D">
        <w:rPr>
          <w:sz w:val="24"/>
          <w:szCs w:val="28"/>
        </w:rPr>
        <w:t>displayed in a public place may have had the purpose of marking the settlement of the first dynasty of Babylon as his ancestors are known to be semi-nomadic (Millard, A. 1994).</w:t>
      </w:r>
      <w:r w:rsidR="004E3C5F">
        <w:rPr>
          <w:sz w:val="24"/>
          <w:szCs w:val="28"/>
        </w:rPr>
        <w:t xml:space="preserve"> However</w:t>
      </w:r>
      <w:r w:rsidR="00B33A76">
        <w:rPr>
          <w:sz w:val="24"/>
          <w:szCs w:val="28"/>
        </w:rPr>
        <w:t>,</w:t>
      </w:r>
      <w:r w:rsidR="004E3C5F">
        <w:rPr>
          <w:sz w:val="24"/>
          <w:szCs w:val="28"/>
        </w:rPr>
        <w:t xml:space="preserve"> another reason for the display </w:t>
      </w:r>
      <w:r w:rsidR="00285D4C">
        <w:rPr>
          <w:sz w:val="24"/>
          <w:szCs w:val="28"/>
        </w:rPr>
        <w:t xml:space="preserve">of the stele may have been to set the moral code for the way the people were meant to live (Slanski, K.E. 2012). </w:t>
      </w:r>
      <w:r w:rsidR="00B33A76">
        <w:rPr>
          <w:sz w:val="24"/>
          <w:szCs w:val="28"/>
        </w:rPr>
        <w:t>Using this reasoning, the stele could have been a type of monument that the Mesopotamian public visited to pay h</w:t>
      </w:r>
      <w:r w:rsidR="00875093">
        <w:rPr>
          <w:sz w:val="24"/>
          <w:szCs w:val="28"/>
        </w:rPr>
        <w:t xml:space="preserve">omage to the </w:t>
      </w:r>
      <w:r w:rsidR="00F94481">
        <w:rPr>
          <w:sz w:val="24"/>
          <w:szCs w:val="28"/>
        </w:rPr>
        <w:t>much-admired</w:t>
      </w:r>
      <w:r w:rsidR="00875093">
        <w:rPr>
          <w:sz w:val="24"/>
          <w:szCs w:val="28"/>
        </w:rPr>
        <w:t xml:space="preserve"> king and his successes. </w:t>
      </w:r>
      <w:r w:rsidR="00F94481">
        <w:rPr>
          <w:sz w:val="24"/>
          <w:szCs w:val="28"/>
        </w:rPr>
        <w:t>This is quite unique among the kings Mesopotamia; the great success of Hammurabi was highlighted by the fact that his son and successor, Samsu-iluna</w:t>
      </w:r>
      <w:r w:rsidR="004465BB">
        <w:rPr>
          <w:sz w:val="24"/>
          <w:szCs w:val="28"/>
        </w:rPr>
        <w:t xml:space="preserve"> </w:t>
      </w:r>
      <w:r w:rsidR="00F94481">
        <w:rPr>
          <w:sz w:val="24"/>
          <w:szCs w:val="28"/>
        </w:rPr>
        <w:t>whose kingdom was significantly reduced after the reas</w:t>
      </w:r>
      <w:r w:rsidR="00DA78D0">
        <w:rPr>
          <w:sz w:val="24"/>
          <w:szCs w:val="28"/>
        </w:rPr>
        <w:t>sertion of many of the states within the country (Millard, A. 1994).</w:t>
      </w:r>
      <w:r w:rsidR="00F94481">
        <w:rPr>
          <w:sz w:val="24"/>
          <w:szCs w:val="28"/>
        </w:rPr>
        <w:t xml:space="preserve"> </w:t>
      </w:r>
      <w:r w:rsidR="009A0938">
        <w:rPr>
          <w:sz w:val="24"/>
          <w:szCs w:val="28"/>
        </w:rPr>
        <w:t>This would have made the life of Hammura</w:t>
      </w:r>
      <w:r w:rsidR="00DA78D0">
        <w:rPr>
          <w:sz w:val="24"/>
          <w:szCs w:val="28"/>
        </w:rPr>
        <w:t>bi even more impressive because that the unified Mesopotamia only lasted through the last years of his life.</w:t>
      </w:r>
    </w:p>
    <w:p w:rsidR="002446A5" w:rsidRDefault="00E03EF5">
      <w:pPr>
        <w:rPr>
          <w:sz w:val="24"/>
          <w:szCs w:val="28"/>
        </w:rPr>
      </w:pPr>
      <w:r>
        <w:rPr>
          <w:sz w:val="24"/>
          <w:szCs w:val="28"/>
        </w:rPr>
        <w:t xml:space="preserve">The contents of the stele are separated into sections which focused on different processes such as the regulation of marriage and divorce. The running theme throughout this section is decidedly patriarchal. </w:t>
      </w:r>
      <w:r w:rsidR="0081495A">
        <w:rPr>
          <w:sz w:val="24"/>
          <w:szCs w:val="28"/>
        </w:rPr>
        <w:t xml:space="preserve">This is shown by there being multiple laws concerning the rights of both men and women within a marriage. For example, it is stated multiple times that </w:t>
      </w:r>
      <w:r w:rsidR="00CC6CA7">
        <w:rPr>
          <w:sz w:val="24"/>
          <w:szCs w:val="28"/>
        </w:rPr>
        <w:t xml:space="preserve">“if a woman bears him children” (L.W. King. 1904), </w:t>
      </w:r>
      <w:r w:rsidR="00556D19">
        <w:rPr>
          <w:sz w:val="24"/>
          <w:szCs w:val="28"/>
        </w:rPr>
        <w:t xml:space="preserve">it is shown to be more difficult to ‘cast her aside’. </w:t>
      </w:r>
      <w:r w:rsidR="00EE74BE">
        <w:rPr>
          <w:sz w:val="24"/>
          <w:szCs w:val="28"/>
        </w:rPr>
        <w:t xml:space="preserve">This shows that a woman’s rights </w:t>
      </w:r>
      <w:r w:rsidR="00D350D5">
        <w:rPr>
          <w:sz w:val="24"/>
          <w:szCs w:val="28"/>
        </w:rPr>
        <w:t>are</w:t>
      </w:r>
      <w:r w:rsidR="00EE74BE">
        <w:rPr>
          <w:sz w:val="24"/>
          <w:szCs w:val="28"/>
        </w:rPr>
        <w:t xml:space="preserve"> subject to her ability to have children, this being shown by </w:t>
      </w:r>
      <w:r w:rsidR="00622C7F">
        <w:rPr>
          <w:sz w:val="24"/>
          <w:szCs w:val="28"/>
        </w:rPr>
        <w:t>the woman being entitled to more money should a divorce take place than if she was childless.</w:t>
      </w:r>
      <w:r w:rsidR="00DA6C4B">
        <w:rPr>
          <w:sz w:val="24"/>
          <w:szCs w:val="28"/>
        </w:rPr>
        <w:t xml:space="preserve"> </w:t>
      </w:r>
      <w:r w:rsidR="00C214A4">
        <w:rPr>
          <w:sz w:val="24"/>
          <w:szCs w:val="28"/>
        </w:rPr>
        <w:t>In a contrasting view, it can be reasoned that these laws give women a higher level of power compared to other societies. Evidence for this is that women did possess their own money which would be returned to them after divorce and if there were children, they would receive around thirty silver shekels (Stol, M. 199</w:t>
      </w:r>
      <w:r w:rsidR="006C6C77">
        <w:rPr>
          <w:sz w:val="24"/>
          <w:szCs w:val="28"/>
        </w:rPr>
        <w:t>5</w:t>
      </w:r>
      <w:r w:rsidR="00C214A4">
        <w:rPr>
          <w:sz w:val="24"/>
          <w:szCs w:val="28"/>
        </w:rPr>
        <w:t>).</w:t>
      </w:r>
      <w:r w:rsidR="009E15A5">
        <w:rPr>
          <w:sz w:val="24"/>
          <w:szCs w:val="28"/>
        </w:rPr>
        <w:t xml:space="preserve"> Despite there being </w:t>
      </w:r>
      <w:r w:rsidR="009E15A5">
        <w:rPr>
          <w:sz w:val="24"/>
          <w:szCs w:val="28"/>
        </w:rPr>
        <w:lastRenderedPageBreak/>
        <w:t>some extent of protection of women, it was more of an illusion than a reality because despite having individual wealth, it was owned by the patriarch, either their father or other male family member</w:t>
      </w:r>
      <w:r w:rsidR="00BE0C4B">
        <w:rPr>
          <w:sz w:val="24"/>
          <w:szCs w:val="28"/>
        </w:rPr>
        <w:t xml:space="preserve"> if it was not in the possession of their husband</w:t>
      </w:r>
      <w:r w:rsidR="009E15A5">
        <w:rPr>
          <w:sz w:val="24"/>
          <w:szCs w:val="28"/>
        </w:rPr>
        <w:t xml:space="preserve">. The bias towards the male gender is shown </w:t>
      </w:r>
      <w:r w:rsidR="00F77545">
        <w:rPr>
          <w:sz w:val="24"/>
          <w:szCs w:val="28"/>
        </w:rPr>
        <w:t xml:space="preserve">in both the law code and, for </w:t>
      </w:r>
      <w:r w:rsidR="009E15A5">
        <w:rPr>
          <w:sz w:val="24"/>
          <w:szCs w:val="28"/>
        </w:rPr>
        <w:t xml:space="preserve">example, the age in which men and women were married </w:t>
      </w:r>
      <w:r w:rsidR="00BE0C4B">
        <w:rPr>
          <w:sz w:val="24"/>
          <w:szCs w:val="28"/>
        </w:rPr>
        <w:t>was</w:t>
      </w:r>
      <w:r w:rsidR="009E15A5">
        <w:rPr>
          <w:sz w:val="24"/>
          <w:szCs w:val="28"/>
        </w:rPr>
        <w:t xml:space="preserve"> vastly different. Men marrying in their late twenties at the earliest and women </w:t>
      </w:r>
      <w:r w:rsidR="00F77545">
        <w:rPr>
          <w:sz w:val="24"/>
          <w:szCs w:val="28"/>
        </w:rPr>
        <w:t>usually marrying in their teenage years (Stol, M. 1995). Along with this, it is known that men could have multiple ‘</w:t>
      </w:r>
      <w:r w:rsidR="00BE0C4B">
        <w:rPr>
          <w:sz w:val="24"/>
          <w:szCs w:val="28"/>
        </w:rPr>
        <w:t xml:space="preserve">romantic </w:t>
      </w:r>
      <w:r w:rsidR="00F77545">
        <w:rPr>
          <w:sz w:val="24"/>
          <w:szCs w:val="28"/>
        </w:rPr>
        <w:t>partners’ in the household and women could not.</w:t>
      </w:r>
      <w:r w:rsidR="00472FF4">
        <w:rPr>
          <w:sz w:val="24"/>
          <w:szCs w:val="28"/>
        </w:rPr>
        <w:t xml:space="preserve"> Despite this, </w:t>
      </w:r>
      <w:r w:rsidR="00D350D5">
        <w:rPr>
          <w:sz w:val="24"/>
          <w:szCs w:val="28"/>
        </w:rPr>
        <w:t xml:space="preserve">the Hammurabi text </w:t>
      </w:r>
      <w:r w:rsidR="00472FF4">
        <w:rPr>
          <w:sz w:val="24"/>
          <w:szCs w:val="28"/>
        </w:rPr>
        <w:t>shows</w:t>
      </w:r>
      <w:r w:rsidR="00D350D5">
        <w:rPr>
          <w:sz w:val="24"/>
          <w:szCs w:val="28"/>
        </w:rPr>
        <w:t xml:space="preserve"> a significant regulation on the sexual relations of the society. </w:t>
      </w:r>
      <w:r w:rsidR="00472FF4">
        <w:rPr>
          <w:sz w:val="24"/>
          <w:szCs w:val="28"/>
        </w:rPr>
        <w:t xml:space="preserve">A law states, if a man’s wife gives him a maid-servant “as wife” and the second </w:t>
      </w:r>
      <w:r w:rsidR="00BE0C4B">
        <w:rPr>
          <w:sz w:val="24"/>
          <w:szCs w:val="28"/>
        </w:rPr>
        <w:t xml:space="preserve">given </w:t>
      </w:r>
      <w:r w:rsidR="00472FF4">
        <w:rPr>
          <w:sz w:val="24"/>
          <w:szCs w:val="28"/>
        </w:rPr>
        <w:t xml:space="preserve">wife has children, he can’t choose another wife (L.W. King. 1904). </w:t>
      </w:r>
      <w:r w:rsidR="003B036E">
        <w:rPr>
          <w:sz w:val="24"/>
          <w:szCs w:val="28"/>
        </w:rPr>
        <w:t xml:space="preserve">If the law is to be taken as legitimate then it does show that a woman </w:t>
      </w:r>
      <w:r w:rsidR="00A7501B">
        <w:rPr>
          <w:sz w:val="24"/>
          <w:szCs w:val="28"/>
        </w:rPr>
        <w:t>would</w:t>
      </w:r>
      <w:r w:rsidR="007D3A75">
        <w:rPr>
          <w:sz w:val="24"/>
          <w:szCs w:val="28"/>
        </w:rPr>
        <w:t xml:space="preserve"> hav</w:t>
      </w:r>
      <w:r w:rsidR="00F93D70">
        <w:rPr>
          <w:sz w:val="24"/>
          <w:szCs w:val="28"/>
        </w:rPr>
        <w:t>e control in the marriage, this</w:t>
      </w:r>
      <w:r w:rsidR="007D3A75">
        <w:rPr>
          <w:sz w:val="24"/>
          <w:szCs w:val="28"/>
        </w:rPr>
        <w:t xml:space="preserve"> is shown in the wording of the wife ‘giving’ her husband another woman</w:t>
      </w:r>
      <w:r w:rsidR="00F93D70">
        <w:rPr>
          <w:sz w:val="24"/>
          <w:szCs w:val="28"/>
        </w:rPr>
        <w:t xml:space="preserve"> which means that a woman could choose someone to share the household with. </w:t>
      </w:r>
      <w:r w:rsidR="00F40A65">
        <w:rPr>
          <w:sz w:val="24"/>
          <w:szCs w:val="28"/>
        </w:rPr>
        <w:t xml:space="preserve">Whether </w:t>
      </w:r>
      <w:r w:rsidR="00EE34DF">
        <w:rPr>
          <w:sz w:val="24"/>
          <w:szCs w:val="28"/>
        </w:rPr>
        <w:t>this is true or not; inequality is shown in marriage by the simple fact that where men can have multiple sexual partners, women had no such luxury.</w:t>
      </w:r>
    </w:p>
    <w:p w:rsidR="000A0881" w:rsidRDefault="000A0881">
      <w:pPr>
        <w:rPr>
          <w:sz w:val="24"/>
          <w:szCs w:val="28"/>
        </w:rPr>
      </w:pPr>
      <w:r>
        <w:rPr>
          <w:sz w:val="24"/>
          <w:szCs w:val="28"/>
        </w:rPr>
        <w:t xml:space="preserve">It is also indicated that even though women could instigate divorce, it was considerably more difficult than if </w:t>
      </w:r>
      <w:r w:rsidR="004C2000">
        <w:rPr>
          <w:sz w:val="24"/>
          <w:szCs w:val="28"/>
        </w:rPr>
        <w:t>a man began the proceedings</w:t>
      </w:r>
      <w:r>
        <w:rPr>
          <w:sz w:val="24"/>
          <w:szCs w:val="28"/>
        </w:rPr>
        <w:t xml:space="preserve">. </w:t>
      </w:r>
      <w:r w:rsidR="003A0049">
        <w:rPr>
          <w:sz w:val="24"/>
          <w:szCs w:val="28"/>
        </w:rPr>
        <w:t>Wher</w:t>
      </w:r>
      <w:r w:rsidR="00950990">
        <w:rPr>
          <w:sz w:val="24"/>
          <w:szCs w:val="28"/>
        </w:rPr>
        <w:t xml:space="preserve">e a man could have a divorce if the marriage was childless, if the woman was seriously ill and in the event of adultery, the only reason allowed to a woman was if a man was “not congenial” (L.W. King. 1904). Despite being given this right, a woman would have to prove both her innocence and her </w:t>
      </w:r>
      <w:r w:rsidR="00F64B40">
        <w:rPr>
          <w:sz w:val="24"/>
          <w:szCs w:val="28"/>
        </w:rPr>
        <w:t>husband’s</w:t>
      </w:r>
      <w:r w:rsidR="00950990">
        <w:rPr>
          <w:sz w:val="24"/>
          <w:szCs w:val="28"/>
        </w:rPr>
        <w:t xml:space="preserve"> guilt</w:t>
      </w:r>
      <w:r w:rsidR="005957D0">
        <w:rPr>
          <w:sz w:val="24"/>
          <w:szCs w:val="28"/>
        </w:rPr>
        <w:t xml:space="preserve">. This would have been difficult because there probably would not have been any material evidence of mistreatment </w:t>
      </w:r>
      <w:r w:rsidR="00F64B40">
        <w:rPr>
          <w:sz w:val="24"/>
          <w:szCs w:val="28"/>
        </w:rPr>
        <w:t xml:space="preserve">which meant that the divorce would not take place. but it is shown that </w:t>
      </w:r>
      <w:r w:rsidR="0058554D">
        <w:rPr>
          <w:sz w:val="24"/>
          <w:szCs w:val="28"/>
        </w:rPr>
        <w:t>if</w:t>
      </w:r>
      <w:r w:rsidR="00F64B40">
        <w:rPr>
          <w:sz w:val="24"/>
          <w:szCs w:val="28"/>
        </w:rPr>
        <w:t xml:space="preserve"> they are not divorced in negative circumstances, women would have had protection in either their husband’s house, if they are diseased, or in their </w:t>
      </w:r>
      <w:r w:rsidR="0058554D">
        <w:rPr>
          <w:sz w:val="24"/>
          <w:szCs w:val="28"/>
        </w:rPr>
        <w:t>father’s</w:t>
      </w:r>
      <w:r w:rsidR="00F64B40">
        <w:rPr>
          <w:sz w:val="24"/>
          <w:szCs w:val="28"/>
        </w:rPr>
        <w:t xml:space="preserve"> house.</w:t>
      </w:r>
    </w:p>
    <w:p w:rsidR="0058554D" w:rsidRDefault="00395D5E">
      <w:pPr>
        <w:rPr>
          <w:sz w:val="24"/>
          <w:szCs w:val="28"/>
        </w:rPr>
      </w:pPr>
      <w:r>
        <w:rPr>
          <w:sz w:val="24"/>
          <w:szCs w:val="28"/>
        </w:rPr>
        <w:t xml:space="preserve">Later societies in the ancient world took interest in the marriage practices written in the laws. the prominent Greek writer Herodotus wrote about the lifestyle in his account of history. </w:t>
      </w:r>
      <w:r w:rsidR="00CD0BFC">
        <w:rPr>
          <w:sz w:val="24"/>
          <w:szCs w:val="28"/>
        </w:rPr>
        <w:t>These accounts were slightly skewed in the fact that the history was altered to fit a more Greek ideal</w:t>
      </w:r>
      <w:r w:rsidR="00D21E88">
        <w:rPr>
          <w:sz w:val="24"/>
          <w:szCs w:val="28"/>
        </w:rPr>
        <w:t xml:space="preserve"> (McNeal, R.A. 1988)</w:t>
      </w:r>
      <w:bookmarkStart w:id="0" w:name="_GoBack"/>
      <w:bookmarkEnd w:id="0"/>
      <w:r w:rsidR="00CD0BFC">
        <w:rPr>
          <w:sz w:val="24"/>
          <w:szCs w:val="28"/>
        </w:rPr>
        <w:t xml:space="preserve">. This may have been for a political purpose or his readings of the text were incorrect. As well as this, </w:t>
      </w:r>
      <w:r w:rsidR="00AF107F">
        <w:rPr>
          <w:sz w:val="24"/>
          <w:szCs w:val="28"/>
        </w:rPr>
        <w:t xml:space="preserve">the practice where a childless divorced woman would have </w:t>
      </w:r>
      <w:r w:rsidR="001244EF">
        <w:rPr>
          <w:sz w:val="24"/>
          <w:szCs w:val="28"/>
        </w:rPr>
        <w:t xml:space="preserve">financial </w:t>
      </w:r>
      <w:r w:rsidR="00AF107F">
        <w:rPr>
          <w:sz w:val="24"/>
          <w:szCs w:val="28"/>
        </w:rPr>
        <w:t>protection of her husband</w:t>
      </w:r>
      <w:r w:rsidR="001244EF">
        <w:rPr>
          <w:sz w:val="24"/>
          <w:szCs w:val="28"/>
        </w:rPr>
        <w:t xml:space="preserve"> where “he shall give her purchase money and the dowry which she bought” (L.W. King. 1904)</w:t>
      </w:r>
      <w:r w:rsidR="00AF107F">
        <w:rPr>
          <w:sz w:val="24"/>
          <w:szCs w:val="28"/>
        </w:rPr>
        <w:t xml:space="preserve"> was act</w:t>
      </w:r>
      <w:r w:rsidR="0060492F">
        <w:rPr>
          <w:sz w:val="24"/>
          <w:szCs w:val="28"/>
        </w:rPr>
        <w:t xml:space="preserve">ively </w:t>
      </w:r>
      <w:r w:rsidR="00AF107F">
        <w:rPr>
          <w:sz w:val="24"/>
          <w:szCs w:val="28"/>
        </w:rPr>
        <w:t xml:space="preserve">adopted by the early Athenian society and the close of the Roman republic for a time (Vincent, G.E. 1904). </w:t>
      </w:r>
      <w:r w:rsidR="00BE0676">
        <w:rPr>
          <w:sz w:val="24"/>
          <w:szCs w:val="28"/>
        </w:rPr>
        <w:t xml:space="preserve">The fact that </w:t>
      </w:r>
      <w:r w:rsidR="00020C1F">
        <w:rPr>
          <w:sz w:val="24"/>
          <w:szCs w:val="28"/>
        </w:rPr>
        <w:t xml:space="preserve">parts of the Mesopotamian life-style was </w:t>
      </w:r>
      <w:r w:rsidR="00357B7C">
        <w:rPr>
          <w:sz w:val="24"/>
          <w:szCs w:val="28"/>
        </w:rPr>
        <w:t xml:space="preserve">both documented and used by other, later societies, shows that </w:t>
      </w:r>
      <w:r w:rsidR="005539D6">
        <w:rPr>
          <w:sz w:val="24"/>
          <w:szCs w:val="28"/>
        </w:rPr>
        <w:t>Hammurabi and his laws were likely admired. However</w:t>
      </w:r>
      <w:r w:rsidR="004052DE">
        <w:rPr>
          <w:sz w:val="24"/>
          <w:szCs w:val="28"/>
        </w:rPr>
        <w:t>,</w:t>
      </w:r>
      <w:r w:rsidR="005539D6">
        <w:rPr>
          <w:sz w:val="24"/>
          <w:szCs w:val="28"/>
        </w:rPr>
        <w:t xml:space="preserve"> it is mentioned that the Athenian and Roman societies imitated these practices on a non-permanent basis which indicates that this was not a system that worked </w:t>
      </w:r>
      <w:r w:rsidR="007D2E6B">
        <w:rPr>
          <w:sz w:val="24"/>
          <w:szCs w:val="28"/>
        </w:rPr>
        <w:t>for all states in the ancient world</w:t>
      </w:r>
      <w:r w:rsidR="005539D6">
        <w:rPr>
          <w:sz w:val="24"/>
          <w:szCs w:val="28"/>
        </w:rPr>
        <w:t>.</w:t>
      </w:r>
    </w:p>
    <w:p w:rsidR="00E020EF" w:rsidRDefault="006520CE">
      <w:pPr>
        <w:rPr>
          <w:sz w:val="24"/>
          <w:szCs w:val="28"/>
        </w:rPr>
      </w:pPr>
      <w:r>
        <w:rPr>
          <w:sz w:val="24"/>
          <w:szCs w:val="28"/>
        </w:rPr>
        <w:t>The law stele can be analysed to see how written texts were produced during the first dynasty. Because of the significant size of the law code carving would mean that it would have taken a long period of time to complete.</w:t>
      </w:r>
      <w:r w:rsidR="00FB4380">
        <w:rPr>
          <w:sz w:val="24"/>
          <w:szCs w:val="28"/>
        </w:rPr>
        <w:t xml:space="preserve"> There is evidence from around </w:t>
      </w:r>
      <w:r w:rsidR="00D65D35">
        <w:rPr>
          <w:sz w:val="24"/>
          <w:szCs w:val="28"/>
        </w:rPr>
        <w:t>2000-1500BC</w:t>
      </w:r>
      <w:r w:rsidR="00FB4380">
        <w:rPr>
          <w:sz w:val="24"/>
          <w:szCs w:val="28"/>
        </w:rPr>
        <w:t xml:space="preserve"> </w:t>
      </w:r>
      <w:r w:rsidR="00DA552C">
        <w:rPr>
          <w:sz w:val="24"/>
          <w:szCs w:val="28"/>
        </w:rPr>
        <w:t>which shows the existence of schools for scribes where they were taught to write the cuneiform script through copying gradually more complex texts</w:t>
      </w:r>
      <w:r w:rsidR="00DF3B52">
        <w:rPr>
          <w:sz w:val="24"/>
          <w:szCs w:val="28"/>
        </w:rPr>
        <w:t xml:space="preserve"> (Tinney, S. 1998)</w:t>
      </w:r>
      <w:r w:rsidR="00DA552C">
        <w:rPr>
          <w:sz w:val="24"/>
          <w:szCs w:val="28"/>
        </w:rPr>
        <w:t xml:space="preserve">. </w:t>
      </w:r>
      <w:r w:rsidR="00842667">
        <w:rPr>
          <w:sz w:val="24"/>
          <w:szCs w:val="28"/>
        </w:rPr>
        <w:lastRenderedPageBreak/>
        <w:t>Knowledge that can be derived from this is that scribes were trained using the same technique for at least five hundred years. This shows that there may have been some element of tradition in how the writings of law and other texts were produced. However</w:t>
      </w:r>
      <w:r w:rsidR="003A63C4">
        <w:rPr>
          <w:sz w:val="24"/>
          <w:szCs w:val="28"/>
        </w:rPr>
        <w:t>,</w:t>
      </w:r>
      <w:r w:rsidR="00842667">
        <w:rPr>
          <w:sz w:val="24"/>
          <w:szCs w:val="28"/>
        </w:rPr>
        <w:t xml:space="preserve"> there may be issues </w:t>
      </w:r>
      <w:r w:rsidR="00D32749">
        <w:rPr>
          <w:sz w:val="24"/>
          <w:szCs w:val="28"/>
        </w:rPr>
        <w:t xml:space="preserve">with the </w:t>
      </w:r>
      <w:r w:rsidR="003A63C4">
        <w:rPr>
          <w:sz w:val="24"/>
          <w:szCs w:val="28"/>
        </w:rPr>
        <w:t xml:space="preserve">training technique of copying because it is unclear who produced the inscriptions on the tablets. This means that archaeologists can usually deduce who the information is about but not much is known about scribes. </w:t>
      </w:r>
      <w:r w:rsidR="00B27E2F">
        <w:rPr>
          <w:sz w:val="24"/>
          <w:szCs w:val="28"/>
        </w:rPr>
        <w:t xml:space="preserve">But </w:t>
      </w:r>
      <w:r w:rsidR="008D1EEE">
        <w:rPr>
          <w:sz w:val="24"/>
          <w:szCs w:val="28"/>
        </w:rPr>
        <w:t>it is likely that there is a high degree of accuracy in the recording of texts like the law codes. As scribes were trained by copying, the grammar and structure of the information would be standardised, though there is still a chance that mistakes were made.</w:t>
      </w:r>
    </w:p>
    <w:p w:rsidR="00B32F5D" w:rsidRDefault="00D62745">
      <w:pPr>
        <w:rPr>
          <w:sz w:val="24"/>
          <w:szCs w:val="28"/>
        </w:rPr>
      </w:pPr>
      <w:r>
        <w:rPr>
          <w:sz w:val="24"/>
          <w:szCs w:val="28"/>
        </w:rPr>
        <w:t xml:space="preserve">Much like the training techniques, the structure of the cuneiform writing in the law stele is that the text is using similar sentence </w:t>
      </w:r>
      <w:r w:rsidR="00631C34">
        <w:rPr>
          <w:sz w:val="24"/>
          <w:szCs w:val="28"/>
        </w:rPr>
        <w:t>order</w:t>
      </w:r>
      <w:r>
        <w:rPr>
          <w:sz w:val="24"/>
          <w:szCs w:val="28"/>
        </w:rPr>
        <w:t xml:space="preserve"> for each law. </w:t>
      </w:r>
      <w:r w:rsidR="00315FA6">
        <w:rPr>
          <w:sz w:val="24"/>
          <w:szCs w:val="28"/>
        </w:rPr>
        <w:t>This was, ‘if’ something occurred, then the result would be summarised</w:t>
      </w:r>
      <w:r w:rsidR="00936593">
        <w:rPr>
          <w:sz w:val="24"/>
          <w:szCs w:val="28"/>
        </w:rPr>
        <w:t xml:space="preserve"> (Slanski, K.E. 2012)</w:t>
      </w:r>
      <w:r w:rsidR="00315FA6">
        <w:rPr>
          <w:sz w:val="24"/>
          <w:szCs w:val="28"/>
        </w:rPr>
        <w:t xml:space="preserve">. </w:t>
      </w:r>
      <w:r w:rsidR="00F40A65">
        <w:rPr>
          <w:sz w:val="24"/>
          <w:szCs w:val="28"/>
        </w:rPr>
        <w:t>In the case of the marriage laws, this is usually shown by the presence of children and multip</w:t>
      </w:r>
      <w:r w:rsidR="003439AC">
        <w:rPr>
          <w:sz w:val="24"/>
          <w:szCs w:val="28"/>
        </w:rPr>
        <w:t>le sexual partners for the husband</w:t>
      </w:r>
      <w:r w:rsidR="00B32F5D">
        <w:rPr>
          <w:sz w:val="24"/>
          <w:szCs w:val="28"/>
        </w:rPr>
        <w:t xml:space="preserve"> and the results of this would usually be the amount of money the woman was entitled to</w:t>
      </w:r>
      <w:r w:rsidR="003439AC">
        <w:rPr>
          <w:sz w:val="24"/>
          <w:szCs w:val="28"/>
        </w:rPr>
        <w:t>.</w:t>
      </w:r>
      <w:r w:rsidR="00B32F5D">
        <w:rPr>
          <w:sz w:val="24"/>
          <w:szCs w:val="28"/>
        </w:rPr>
        <w:t xml:space="preserve"> </w:t>
      </w:r>
      <w:r w:rsidR="003439AC">
        <w:rPr>
          <w:sz w:val="24"/>
          <w:szCs w:val="28"/>
        </w:rPr>
        <w:t xml:space="preserve"> </w:t>
      </w:r>
      <w:r w:rsidR="00684ADC">
        <w:rPr>
          <w:sz w:val="24"/>
          <w:szCs w:val="28"/>
        </w:rPr>
        <w:t xml:space="preserve">This relatively simple sentence structure means that there was a higher probability of more people being able to understand and therefore follow the </w:t>
      </w:r>
      <w:r w:rsidR="005A2CF6">
        <w:rPr>
          <w:sz w:val="24"/>
          <w:szCs w:val="28"/>
        </w:rPr>
        <w:t xml:space="preserve">laws. </w:t>
      </w:r>
      <w:r w:rsidR="00B32F5D">
        <w:rPr>
          <w:sz w:val="24"/>
          <w:szCs w:val="28"/>
        </w:rPr>
        <w:t xml:space="preserve"> </w:t>
      </w:r>
    </w:p>
    <w:p w:rsidR="00852F9C" w:rsidRDefault="00852F9C">
      <w:pPr>
        <w:rPr>
          <w:sz w:val="24"/>
          <w:szCs w:val="28"/>
        </w:rPr>
      </w:pPr>
      <w:r>
        <w:rPr>
          <w:sz w:val="24"/>
          <w:szCs w:val="28"/>
        </w:rPr>
        <w:t xml:space="preserve">Despite this, it </w:t>
      </w:r>
      <w:r w:rsidR="006B5CF3">
        <w:rPr>
          <w:sz w:val="24"/>
          <w:szCs w:val="28"/>
        </w:rPr>
        <w:t>must</w:t>
      </w:r>
      <w:r>
        <w:rPr>
          <w:sz w:val="24"/>
          <w:szCs w:val="28"/>
        </w:rPr>
        <w:t xml:space="preserve"> be said that it is debatable as to whether these laws were enforced in the modern sense. </w:t>
      </w:r>
      <w:r w:rsidR="006B5CF3">
        <w:rPr>
          <w:sz w:val="24"/>
          <w:szCs w:val="28"/>
        </w:rPr>
        <w:t xml:space="preserve">There is </w:t>
      </w:r>
      <w:r w:rsidR="000611F4">
        <w:rPr>
          <w:sz w:val="24"/>
          <w:szCs w:val="28"/>
        </w:rPr>
        <w:t>little evidence of the law code being regulated in a type of court. It is possible that the records of the cases have been lost or were recorded on more degradable materials. But, it is just as possible that they weren’t intended to be enforced by</w:t>
      </w:r>
      <w:r w:rsidR="003F10AF">
        <w:rPr>
          <w:sz w:val="24"/>
          <w:szCs w:val="28"/>
        </w:rPr>
        <w:t xml:space="preserve"> </w:t>
      </w:r>
      <w:r w:rsidR="000611F4">
        <w:rPr>
          <w:sz w:val="24"/>
          <w:szCs w:val="28"/>
        </w:rPr>
        <w:t xml:space="preserve">a higher power at all, rather </w:t>
      </w:r>
      <w:r w:rsidR="003F10AF">
        <w:rPr>
          <w:sz w:val="24"/>
          <w:szCs w:val="28"/>
        </w:rPr>
        <w:t xml:space="preserve">they were meant to be a moral code that individuals were meant to follow in a more religious sense. Evidence supporting this is that </w:t>
      </w:r>
      <w:r w:rsidR="008A729F">
        <w:rPr>
          <w:sz w:val="24"/>
          <w:szCs w:val="28"/>
        </w:rPr>
        <w:t xml:space="preserve">a comparison can be made to religious texts. </w:t>
      </w:r>
      <w:r w:rsidR="00EC40FF">
        <w:rPr>
          <w:sz w:val="24"/>
          <w:szCs w:val="28"/>
        </w:rPr>
        <w:t xml:space="preserve">For example, the laws </w:t>
      </w:r>
      <w:r w:rsidR="00F629DC">
        <w:rPr>
          <w:sz w:val="24"/>
          <w:szCs w:val="28"/>
        </w:rPr>
        <w:t>usually use words like ‘give’ and when it comes to divorce the term “gift of release” (L.W. King. 1904) is used multiple times. The term itself does not give the impression to a modern mind that it is compulsory. There is also no mention of there being consequences for those who do not follow the laws.</w:t>
      </w:r>
      <w:r w:rsidR="0015355E">
        <w:rPr>
          <w:sz w:val="24"/>
          <w:szCs w:val="28"/>
        </w:rPr>
        <w:t xml:space="preserve"> </w:t>
      </w:r>
      <w:r w:rsidR="003E22BE">
        <w:rPr>
          <w:sz w:val="24"/>
          <w:szCs w:val="28"/>
        </w:rPr>
        <w:t>religious texts use words like ‘shall’ and also do not state any direct consequences.</w:t>
      </w:r>
      <w:r w:rsidR="00F629DC">
        <w:rPr>
          <w:sz w:val="24"/>
          <w:szCs w:val="28"/>
        </w:rPr>
        <w:t xml:space="preserve"> </w:t>
      </w:r>
      <w:r w:rsidR="003E22BE">
        <w:rPr>
          <w:sz w:val="24"/>
          <w:szCs w:val="28"/>
        </w:rPr>
        <w:t>However</w:t>
      </w:r>
      <w:r w:rsidR="008E5EE9">
        <w:rPr>
          <w:sz w:val="24"/>
          <w:szCs w:val="28"/>
        </w:rPr>
        <w:t>,</w:t>
      </w:r>
      <w:r w:rsidR="003E22BE">
        <w:rPr>
          <w:sz w:val="24"/>
          <w:szCs w:val="28"/>
        </w:rPr>
        <w:t xml:space="preserve"> the similarities </w:t>
      </w:r>
      <w:r w:rsidR="000261CB">
        <w:rPr>
          <w:sz w:val="24"/>
          <w:szCs w:val="28"/>
        </w:rPr>
        <w:t xml:space="preserve">seem to be in the wording and the concise length of the sentences. The content </w:t>
      </w:r>
      <w:r w:rsidR="00C606AE">
        <w:rPr>
          <w:sz w:val="24"/>
          <w:szCs w:val="28"/>
        </w:rPr>
        <w:t>is</w:t>
      </w:r>
      <w:r w:rsidR="000261CB">
        <w:rPr>
          <w:sz w:val="24"/>
          <w:szCs w:val="28"/>
        </w:rPr>
        <w:t xml:space="preserve"> almost completely </w:t>
      </w:r>
      <w:r w:rsidR="009D0679">
        <w:rPr>
          <w:sz w:val="24"/>
          <w:szCs w:val="28"/>
        </w:rPr>
        <w:t>different,</w:t>
      </w:r>
      <w:r w:rsidR="000261CB">
        <w:rPr>
          <w:sz w:val="24"/>
          <w:szCs w:val="28"/>
        </w:rPr>
        <w:t xml:space="preserve"> and this theory is opposed in the academic and religious communities.</w:t>
      </w:r>
    </w:p>
    <w:p w:rsidR="0059534E" w:rsidRDefault="00F65D83">
      <w:pPr>
        <w:rPr>
          <w:sz w:val="24"/>
          <w:szCs w:val="28"/>
        </w:rPr>
      </w:pPr>
      <w:r>
        <w:rPr>
          <w:sz w:val="24"/>
          <w:szCs w:val="28"/>
        </w:rPr>
        <w:t>Overall</w:t>
      </w:r>
      <w:r w:rsidR="00773EA7">
        <w:rPr>
          <w:sz w:val="24"/>
          <w:szCs w:val="28"/>
        </w:rPr>
        <w:t xml:space="preserve">, both the content of the text and the stele as a piece of archaeology can be analysed to see what life would have been like for the Mesopotamians during the first dynasty. </w:t>
      </w:r>
      <w:r w:rsidR="0059534E">
        <w:rPr>
          <w:sz w:val="24"/>
          <w:szCs w:val="28"/>
        </w:rPr>
        <w:t xml:space="preserve">Social and political history can be assumed from the presence of the carving like the one of Hammurabi and earlier, the king of Ur, that the </w:t>
      </w:r>
      <w:r w:rsidR="004643AA">
        <w:rPr>
          <w:sz w:val="24"/>
          <w:szCs w:val="28"/>
        </w:rPr>
        <w:t>law codes of each king were a</w:t>
      </w:r>
      <w:r w:rsidR="008E449B">
        <w:rPr>
          <w:sz w:val="24"/>
          <w:szCs w:val="28"/>
        </w:rPr>
        <w:t>n</w:t>
      </w:r>
      <w:r w:rsidR="004643AA">
        <w:rPr>
          <w:sz w:val="24"/>
          <w:szCs w:val="28"/>
        </w:rPr>
        <w:t xml:space="preserve"> important part of their reign.</w:t>
      </w:r>
      <w:r w:rsidR="00B8783A">
        <w:rPr>
          <w:sz w:val="24"/>
          <w:szCs w:val="28"/>
        </w:rPr>
        <w:t xml:space="preserve"> </w:t>
      </w:r>
      <w:r w:rsidR="008E449B">
        <w:rPr>
          <w:sz w:val="24"/>
          <w:szCs w:val="28"/>
        </w:rPr>
        <w:t>The importance being that there would be a physical record of their views on a</w:t>
      </w:r>
      <w:r w:rsidR="00AF35A1">
        <w:rPr>
          <w:sz w:val="24"/>
          <w:szCs w:val="28"/>
        </w:rPr>
        <w:t>n economic and to some extent a</w:t>
      </w:r>
      <w:r w:rsidR="008E449B">
        <w:rPr>
          <w:sz w:val="24"/>
          <w:szCs w:val="28"/>
        </w:rPr>
        <w:t xml:space="preserve"> political level, </w:t>
      </w:r>
      <w:r w:rsidR="00E328F7">
        <w:rPr>
          <w:sz w:val="24"/>
          <w:szCs w:val="28"/>
        </w:rPr>
        <w:t>since</w:t>
      </w:r>
      <w:r w:rsidR="008E449B">
        <w:rPr>
          <w:sz w:val="24"/>
          <w:szCs w:val="28"/>
        </w:rPr>
        <w:t xml:space="preserve"> </w:t>
      </w:r>
      <w:r w:rsidR="00D74082">
        <w:rPr>
          <w:sz w:val="24"/>
          <w:szCs w:val="28"/>
        </w:rPr>
        <w:t xml:space="preserve">property and money being a focal point in the laws. </w:t>
      </w:r>
      <w:r w:rsidR="00847319">
        <w:rPr>
          <w:sz w:val="24"/>
          <w:szCs w:val="28"/>
        </w:rPr>
        <w:t>T</w:t>
      </w:r>
      <w:r w:rsidR="00E328F7">
        <w:rPr>
          <w:sz w:val="24"/>
          <w:szCs w:val="28"/>
        </w:rPr>
        <w:t>he record would also show social</w:t>
      </w:r>
      <w:r w:rsidR="00AF35A1">
        <w:rPr>
          <w:sz w:val="24"/>
          <w:szCs w:val="28"/>
        </w:rPr>
        <w:t xml:space="preserve"> standpoint as well because the size of the stele alone is enough to </w:t>
      </w:r>
      <w:r>
        <w:rPr>
          <w:sz w:val="24"/>
          <w:szCs w:val="28"/>
        </w:rPr>
        <w:t>assume</w:t>
      </w:r>
      <w:r w:rsidR="00AF35A1">
        <w:rPr>
          <w:sz w:val="24"/>
          <w:szCs w:val="28"/>
        </w:rPr>
        <w:t xml:space="preserve"> that it was intended to be a monument of Hammurabi’s reign. </w:t>
      </w:r>
      <w:r>
        <w:rPr>
          <w:sz w:val="24"/>
          <w:szCs w:val="28"/>
        </w:rPr>
        <w:t xml:space="preserve">Along with this, it can be concluded that the section of the laws concerning marriage had strong patriarchal values because despite the illusion of power was given to a woman, </w:t>
      </w:r>
      <w:r w:rsidR="00F060F5">
        <w:rPr>
          <w:sz w:val="24"/>
          <w:szCs w:val="28"/>
        </w:rPr>
        <w:t xml:space="preserve">most of the control belonged to a man. Although it can be argued that women did have their own individual wealth and property which equals power, no matter </w:t>
      </w:r>
      <w:r w:rsidR="00F060F5">
        <w:rPr>
          <w:sz w:val="24"/>
          <w:szCs w:val="28"/>
        </w:rPr>
        <w:lastRenderedPageBreak/>
        <w:t>that the woman’s husband or father possessed them.</w:t>
      </w:r>
      <w:r w:rsidR="006D4EF0">
        <w:rPr>
          <w:sz w:val="24"/>
          <w:szCs w:val="28"/>
        </w:rPr>
        <w:t xml:space="preserve"> </w:t>
      </w:r>
      <w:r w:rsidR="00847319">
        <w:rPr>
          <w:sz w:val="24"/>
          <w:szCs w:val="28"/>
        </w:rPr>
        <w:t xml:space="preserve">The production of the cuneiform system can also be studied as to what writing techniques were used. </w:t>
      </w:r>
      <w:r w:rsidR="006D4EF0">
        <w:rPr>
          <w:sz w:val="24"/>
          <w:szCs w:val="28"/>
        </w:rPr>
        <w:t>The issue surrounding this is that there is not a lot of proof that the law being carried out in a legal sense</w:t>
      </w:r>
      <w:r w:rsidR="00582080">
        <w:rPr>
          <w:sz w:val="24"/>
          <w:szCs w:val="28"/>
        </w:rPr>
        <w:t xml:space="preserve"> but was intended to be moral rule like those in a religious text</w:t>
      </w:r>
      <w:r w:rsidR="006D4EF0">
        <w:rPr>
          <w:sz w:val="24"/>
          <w:szCs w:val="28"/>
        </w:rPr>
        <w:t xml:space="preserve">. </w:t>
      </w:r>
      <w:r w:rsidR="00582080">
        <w:rPr>
          <w:sz w:val="24"/>
          <w:szCs w:val="28"/>
        </w:rPr>
        <w:t>Another would be the problems with the reliability of the text, this being that it was likely an individual choice whether these laws were followed. It is also possible that the writings have been translated or interpreted incorrectly,</w:t>
      </w:r>
      <w:r w:rsidR="00235A46">
        <w:rPr>
          <w:sz w:val="24"/>
          <w:szCs w:val="28"/>
        </w:rPr>
        <w:t xml:space="preserve"> for example many technical terms may no longer have the same meaning because of the progression of language (Vincent, G.E. 1904).</w:t>
      </w:r>
      <w:r w:rsidR="00847319">
        <w:rPr>
          <w:sz w:val="24"/>
          <w:szCs w:val="28"/>
        </w:rPr>
        <w:t xml:space="preserve"> </w:t>
      </w: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p>
    <w:p w:rsidR="00A36F4F" w:rsidRDefault="00A36F4F">
      <w:pPr>
        <w:rPr>
          <w:sz w:val="24"/>
          <w:szCs w:val="28"/>
        </w:rPr>
      </w:pPr>
      <w:r>
        <w:rPr>
          <w:sz w:val="24"/>
          <w:szCs w:val="28"/>
        </w:rPr>
        <w:lastRenderedPageBreak/>
        <w:t>Reference list:</w:t>
      </w:r>
    </w:p>
    <w:p w:rsidR="00384F43" w:rsidRDefault="00384F43" w:rsidP="00A36F4F">
      <w:pPr>
        <w:spacing w:before="240"/>
        <w:rPr>
          <w:rFonts w:ascii="Segoe UI" w:hAnsi="Segoe UI" w:cs="Segoe UI"/>
          <w:color w:val="000000"/>
          <w:sz w:val="20"/>
          <w:szCs w:val="20"/>
        </w:rPr>
      </w:pPr>
      <w:r>
        <w:rPr>
          <w:rFonts w:ascii="Segoe UI" w:hAnsi="Segoe UI" w:cs="Segoe UI"/>
          <w:color w:val="000000"/>
          <w:sz w:val="20"/>
          <w:szCs w:val="20"/>
        </w:rPr>
        <w:t xml:space="preserve">Hammurabi 1915. </w:t>
      </w:r>
      <w:r>
        <w:rPr>
          <w:rFonts w:ascii="Segoe UI" w:hAnsi="Segoe UI" w:cs="Segoe UI"/>
          <w:i/>
          <w:color w:val="000000"/>
          <w:sz w:val="20"/>
          <w:szCs w:val="20"/>
        </w:rPr>
        <w:t xml:space="preserve">The code of Hammurabi. </w:t>
      </w:r>
      <w:r>
        <w:rPr>
          <w:rFonts w:ascii="Segoe UI" w:hAnsi="Segoe UI" w:cs="Segoe UI"/>
          <w:color w:val="000000"/>
          <w:sz w:val="20"/>
          <w:szCs w:val="20"/>
        </w:rPr>
        <w:t xml:space="preserve">Translated by L.W. King. Yale University. Yale law school Lillian Goldman Law library. Available at </w:t>
      </w:r>
      <w:hyperlink r:id="rId4" w:history="1">
        <w:r w:rsidRPr="009A1AEA">
          <w:rPr>
            <w:rStyle w:val="Hyperlink"/>
            <w:rFonts w:ascii="Segoe UI" w:hAnsi="Segoe UI" w:cs="Segoe UI"/>
            <w:sz w:val="20"/>
            <w:szCs w:val="20"/>
          </w:rPr>
          <w:t>http://avalon.law.yale.edu/ancient/hamframe.asp</w:t>
        </w:r>
      </w:hyperlink>
      <w:r>
        <w:rPr>
          <w:rFonts w:ascii="Segoe UI" w:hAnsi="Segoe UI" w:cs="Segoe UI"/>
          <w:color w:val="000000"/>
          <w:sz w:val="20"/>
          <w:szCs w:val="20"/>
        </w:rPr>
        <w:t>. [Accessed: 28</w:t>
      </w:r>
      <w:r w:rsidRPr="00413057">
        <w:rPr>
          <w:rFonts w:ascii="Segoe UI" w:hAnsi="Segoe UI" w:cs="Segoe UI"/>
          <w:color w:val="000000"/>
          <w:sz w:val="20"/>
          <w:szCs w:val="20"/>
          <w:vertAlign w:val="superscript"/>
        </w:rPr>
        <w:t>th</w:t>
      </w:r>
      <w:r>
        <w:rPr>
          <w:rFonts w:ascii="Segoe UI" w:hAnsi="Segoe UI" w:cs="Segoe UI"/>
          <w:color w:val="000000"/>
          <w:sz w:val="20"/>
          <w:szCs w:val="20"/>
        </w:rPr>
        <w:t xml:space="preserve"> October 2017]</w:t>
      </w:r>
    </w:p>
    <w:p w:rsidR="00384F43" w:rsidRPr="0012188E" w:rsidRDefault="00384F43" w:rsidP="00A36F4F">
      <w:pPr>
        <w:spacing w:before="240"/>
        <w:rPr>
          <w:rFonts w:cs="Segoe UI"/>
          <w:i/>
          <w:color w:val="000000"/>
          <w:sz w:val="20"/>
          <w:szCs w:val="20"/>
        </w:rPr>
      </w:pPr>
      <w:r w:rsidRPr="0012188E">
        <w:rPr>
          <w:rFonts w:cs="Segoe UI"/>
          <w:color w:val="000000"/>
          <w:sz w:val="20"/>
          <w:szCs w:val="20"/>
        </w:rPr>
        <w:t xml:space="preserve">M, Stol. 1995. </w:t>
      </w:r>
      <w:r w:rsidRPr="00B43960">
        <w:rPr>
          <w:rFonts w:cs="Segoe UI"/>
          <w:color w:val="000000"/>
          <w:sz w:val="20"/>
          <w:szCs w:val="20"/>
        </w:rPr>
        <w:t>Women in Mesopotamia</w:t>
      </w:r>
      <w:r w:rsidRPr="0012188E">
        <w:rPr>
          <w:rFonts w:cs="Segoe UI"/>
          <w:i/>
          <w:color w:val="000000"/>
          <w:sz w:val="20"/>
          <w:szCs w:val="20"/>
        </w:rPr>
        <w:t>.</w:t>
      </w:r>
      <w:r w:rsidRPr="003F32EC">
        <w:rPr>
          <w:rFonts w:cs="Segoe UI"/>
          <w:color w:val="000000"/>
          <w:sz w:val="20"/>
          <w:szCs w:val="20"/>
        </w:rPr>
        <w:t xml:space="preserve"> </w:t>
      </w:r>
      <w:r w:rsidRPr="00B43960">
        <w:rPr>
          <w:rFonts w:cs="Segoe UI"/>
          <w:i/>
          <w:color w:val="000000"/>
          <w:sz w:val="20"/>
          <w:szCs w:val="20"/>
        </w:rPr>
        <w:t>Journal of the Economic and Social History of the Orient</w:t>
      </w:r>
      <w:r w:rsidRPr="003F32EC">
        <w:rPr>
          <w:rFonts w:cs="Segoe UI"/>
          <w:color w:val="000000"/>
          <w:sz w:val="20"/>
          <w:szCs w:val="20"/>
        </w:rPr>
        <w:t>, Vol. 38, No. 2, Women's History (1995), pp. 123-144</w:t>
      </w:r>
      <w:r>
        <w:rPr>
          <w:rFonts w:cs="Segoe UI"/>
          <w:color w:val="000000"/>
          <w:sz w:val="20"/>
          <w:szCs w:val="20"/>
        </w:rPr>
        <w:t xml:space="preserve">. Brill. Available at </w:t>
      </w:r>
      <w:hyperlink r:id="rId5" w:history="1">
        <w:r w:rsidRPr="009A1AEA">
          <w:rPr>
            <w:rStyle w:val="Hyperlink"/>
            <w:rFonts w:cs="Segoe UI"/>
            <w:sz w:val="20"/>
            <w:szCs w:val="20"/>
          </w:rPr>
          <w:t>http://www.jstor.org/stable/3632512</w:t>
        </w:r>
      </w:hyperlink>
      <w:r>
        <w:rPr>
          <w:rFonts w:cs="Segoe UI"/>
          <w:color w:val="000000"/>
          <w:sz w:val="20"/>
          <w:szCs w:val="20"/>
        </w:rPr>
        <w:t>. [Accessed: 7</w:t>
      </w:r>
      <w:r w:rsidRPr="003F32EC">
        <w:rPr>
          <w:rFonts w:cs="Segoe UI"/>
          <w:color w:val="000000"/>
          <w:sz w:val="20"/>
          <w:szCs w:val="20"/>
          <w:vertAlign w:val="superscript"/>
        </w:rPr>
        <w:t>th</w:t>
      </w:r>
      <w:r>
        <w:rPr>
          <w:rFonts w:cs="Segoe UI"/>
          <w:color w:val="000000"/>
          <w:sz w:val="20"/>
          <w:szCs w:val="20"/>
        </w:rPr>
        <w:t xml:space="preserve"> November 2017].</w:t>
      </w:r>
    </w:p>
    <w:p w:rsidR="00384F43" w:rsidRDefault="00384F43" w:rsidP="00A36F4F">
      <w:pPr>
        <w:spacing w:before="240"/>
        <w:rPr>
          <w:rFonts w:cs="Segoe UI"/>
          <w:color w:val="000000"/>
          <w:sz w:val="20"/>
          <w:szCs w:val="20"/>
        </w:rPr>
      </w:pPr>
      <w:r w:rsidRPr="0012188E">
        <w:rPr>
          <w:rFonts w:cs="Segoe UI"/>
          <w:color w:val="000000"/>
          <w:sz w:val="20"/>
          <w:szCs w:val="20"/>
        </w:rPr>
        <w:t xml:space="preserve">McNeal, R A. 1988. </w:t>
      </w:r>
      <w:r w:rsidRPr="0012188E">
        <w:rPr>
          <w:rFonts w:cs="Segoe UI"/>
          <w:i/>
          <w:color w:val="000000"/>
          <w:sz w:val="20"/>
          <w:szCs w:val="20"/>
        </w:rPr>
        <w:t xml:space="preserve"> The brides of Babylon: Herodotus 1.196. </w:t>
      </w:r>
      <w:r w:rsidRPr="0012188E">
        <w:rPr>
          <w:rFonts w:cs="Segoe UI"/>
          <w:color w:val="000000"/>
          <w:sz w:val="20"/>
          <w:szCs w:val="20"/>
        </w:rPr>
        <w:t>Historia: Zeitschrift für Alte Geschichte, Bd. 37, H</w:t>
      </w:r>
      <w:r w:rsidRPr="0012188E">
        <w:rPr>
          <w:rFonts w:cs="Segoe UI"/>
          <w:i/>
          <w:color w:val="000000"/>
          <w:sz w:val="20"/>
          <w:szCs w:val="20"/>
        </w:rPr>
        <w:t xml:space="preserve">. </w:t>
      </w:r>
      <w:r w:rsidRPr="0012188E">
        <w:rPr>
          <w:rFonts w:cs="Segoe UI"/>
          <w:color w:val="000000"/>
          <w:sz w:val="20"/>
          <w:szCs w:val="20"/>
        </w:rPr>
        <w:t>1. Franz Steiner Verlag</w:t>
      </w:r>
      <w:r>
        <w:rPr>
          <w:rFonts w:cs="Segoe UI"/>
          <w:color w:val="000000"/>
          <w:sz w:val="20"/>
          <w:szCs w:val="20"/>
        </w:rPr>
        <w:t xml:space="preserve">. Available at </w:t>
      </w:r>
      <w:hyperlink r:id="rId6" w:history="1">
        <w:r w:rsidRPr="009A1AEA">
          <w:rPr>
            <w:rStyle w:val="Hyperlink"/>
            <w:rFonts w:cs="Segoe UI"/>
            <w:sz w:val="20"/>
            <w:szCs w:val="20"/>
          </w:rPr>
          <w:t>http://www.jstor.org/stable/44360</w:t>
        </w:r>
      </w:hyperlink>
      <w:r>
        <w:rPr>
          <w:rFonts w:cs="Segoe UI"/>
          <w:color w:val="000000"/>
          <w:sz w:val="20"/>
          <w:szCs w:val="20"/>
        </w:rPr>
        <w:t>. [Accessed: 9</w:t>
      </w:r>
      <w:r w:rsidRPr="0012188E">
        <w:rPr>
          <w:rFonts w:cs="Segoe UI"/>
          <w:color w:val="000000"/>
          <w:sz w:val="20"/>
          <w:szCs w:val="20"/>
          <w:vertAlign w:val="superscript"/>
        </w:rPr>
        <w:t>th</w:t>
      </w:r>
      <w:r>
        <w:rPr>
          <w:rFonts w:cs="Segoe UI"/>
          <w:color w:val="000000"/>
          <w:sz w:val="20"/>
          <w:szCs w:val="20"/>
        </w:rPr>
        <w:t xml:space="preserve"> November 2017]</w:t>
      </w:r>
    </w:p>
    <w:p w:rsidR="00384F43" w:rsidRDefault="00384F43" w:rsidP="00A36F4F">
      <w:pPr>
        <w:spacing w:before="240"/>
        <w:rPr>
          <w:rFonts w:ascii="Segoe UI" w:hAnsi="Segoe UI" w:cs="Segoe UI"/>
          <w:color w:val="000000"/>
          <w:sz w:val="20"/>
          <w:szCs w:val="20"/>
        </w:rPr>
      </w:pPr>
      <w:r>
        <w:rPr>
          <w:rFonts w:cs="Segoe UI"/>
          <w:color w:val="000000"/>
          <w:sz w:val="20"/>
          <w:szCs w:val="20"/>
        </w:rPr>
        <w:t xml:space="preserve">Millard, A. </w:t>
      </w:r>
      <w:r>
        <w:rPr>
          <w:rFonts w:cs="Segoe UI"/>
          <w:color w:val="000000"/>
          <w:sz w:val="20"/>
          <w:szCs w:val="20"/>
        </w:rPr>
        <w:t xml:space="preserve">(ed.) </w:t>
      </w:r>
      <w:r>
        <w:rPr>
          <w:rFonts w:cs="Segoe UI"/>
          <w:color w:val="000000"/>
          <w:sz w:val="20"/>
          <w:szCs w:val="20"/>
        </w:rPr>
        <w:t xml:space="preserve">1994 (online version 2004). </w:t>
      </w:r>
      <w:r>
        <w:rPr>
          <w:rFonts w:cs="Segoe UI"/>
          <w:i/>
          <w:color w:val="000000"/>
          <w:sz w:val="20"/>
          <w:szCs w:val="20"/>
        </w:rPr>
        <w:t xml:space="preserve">The Oxford Companion to the Bible. </w:t>
      </w:r>
      <w:r>
        <w:rPr>
          <w:rFonts w:cs="Segoe UI"/>
          <w:color w:val="000000"/>
          <w:sz w:val="20"/>
          <w:szCs w:val="20"/>
        </w:rPr>
        <w:t xml:space="preserve">Oxford, Oxford University Press. Available at </w:t>
      </w:r>
      <w:hyperlink r:id="rId7" w:history="1">
        <w:r w:rsidRPr="009A1AEA">
          <w:rPr>
            <w:rStyle w:val="Hyperlink"/>
            <w:rFonts w:ascii="Segoe UI" w:hAnsi="Segoe UI" w:cs="Segoe UI"/>
            <w:sz w:val="20"/>
            <w:szCs w:val="20"/>
          </w:rPr>
          <w:t>http://www.oxfordreference.com.ezproxy.uwtsd.ac.uk/view/10.1093/acref/9780195046458.001.0001/acref-9780195046458-e-0309?rskey=SBVnrK&amp;result=17</w:t>
        </w:r>
      </w:hyperlink>
      <w:r>
        <w:rPr>
          <w:rFonts w:ascii="Segoe UI" w:hAnsi="Segoe UI" w:cs="Segoe UI"/>
          <w:color w:val="000000"/>
          <w:sz w:val="20"/>
          <w:szCs w:val="20"/>
        </w:rPr>
        <w:t>. [Accessed:9</w:t>
      </w:r>
      <w:r w:rsidRPr="00251CE3">
        <w:rPr>
          <w:rFonts w:ascii="Segoe UI" w:hAnsi="Segoe UI" w:cs="Segoe UI"/>
          <w:color w:val="000000"/>
          <w:sz w:val="20"/>
          <w:szCs w:val="20"/>
          <w:vertAlign w:val="superscript"/>
        </w:rPr>
        <w:t>th</w:t>
      </w:r>
      <w:r>
        <w:rPr>
          <w:rFonts w:ascii="Segoe UI" w:hAnsi="Segoe UI" w:cs="Segoe UI"/>
          <w:color w:val="000000"/>
          <w:sz w:val="20"/>
          <w:szCs w:val="20"/>
        </w:rPr>
        <w:t xml:space="preserve"> November 2017]</w:t>
      </w:r>
    </w:p>
    <w:p w:rsidR="00384F43" w:rsidRPr="00C22A8F" w:rsidRDefault="00384F43" w:rsidP="00A36F4F">
      <w:pPr>
        <w:spacing w:before="240"/>
      </w:pPr>
      <w:r w:rsidRPr="00C22A8F">
        <w:t>Tinney, S.</w:t>
      </w:r>
      <w:r>
        <w:t xml:space="preserve"> </w:t>
      </w:r>
      <w:r w:rsidRPr="00C22A8F">
        <w:t xml:space="preserve"> 1998. </w:t>
      </w:r>
      <w:r w:rsidRPr="001D4A4A">
        <w:t xml:space="preserve">Texts, </w:t>
      </w:r>
      <w:r w:rsidR="00EC6779" w:rsidRPr="001D4A4A">
        <w:t>Tablets,</w:t>
      </w:r>
      <w:r w:rsidRPr="001D4A4A">
        <w:t xml:space="preserve"> and Teaching: Scribal Education in Nippur and Ur</w:t>
      </w:r>
      <w:r w:rsidRPr="001D4A4A">
        <w:rPr>
          <w:i/>
        </w:rPr>
        <w:t xml:space="preserve">. </w:t>
      </w:r>
      <w:r w:rsidRPr="001D4A4A">
        <w:rPr>
          <w:rStyle w:val="exldetailsdisplayval"/>
          <w:rFonts w:cs="Arial"/>
          <w:i/>
        </w:rPr>
        <w:t xml:space="preserve">Expedition, </w:t>
      </w:r>
      <w:r w:rsidRPr="00220B9F">
        <w:rPr>
          <w:rStyle w:val="exldetailsdisplayval"/>
          <w:rFonts w:cs="Arial"/>
        </w:rPr>
        <w:t>Vol.40(2), pp.40-50</w:t>
      </w:r>
      <w:r w:rsidRPr="001D4A4A">
        <w:rPr>
          <w:rStyle w:val="exldetailsdisplayval"/>
          <w:rFonts w:cs="Arial"/>
          <w:i/>
        </w:rPr>
        <w:t>.</w:t>
      </w:r>
      <w:r>
        <w:rPr>
          <w:rStyle w:val="exldetailsdisplayval"/>
          <w:rFonts w:cs="Arial"/>
        </w:rPr>
        <w:t xml:space="preserve"> University of Pennsylvania. Available at </w:t>
      </w:r>
      <w:hyperlink r:id="rId8" w:history="1">
        <w:r w:rsidRPr="000673F6">
          <w:rPr>
            <w:rStyle w:val="Hyperlink"/>
            <w:rFonts w:ascii="Segoe UI" w:hAnsi="Segoe UI" w:cs="Segoe UI"/>
            <w:sz w:val="20"/>
            <w:szCs w:val="20"/>
          </w:rPr>
          <w:t>http://web.a.ebscohost.com.ezproxy.uwtsd.ac.uk/ehost/detail/detail?vid=1&amp;sid=22d3301d-f92a-481a-9f4f-6960bf29bf88%40sessionmg</w:t>
        </w:r>
      </w:hyperlink>
      <w:r>
        <w:rPr>
          <w:rFonts w:ascii="Segoe UI" w:hAnsi="Segoe UI" w:cs="Segoe UI"/>
          <w:color w:val="000000"/>
          <w:sz w:val="20"/>
          <w:szCs w:val="20"/>
        </w:rPr>
        <w:t>. [Accessed 10</w:t>
      </w:r>
      <w:r w:rsidRPr="00C22A8F">
        <w:rPr>
          <w:rFonts w:ascii="Segoe UI" w:hAnsi="Segoe UI" w:cs="Segoe UI"/>
          <w:color w:val="000000"/>
          <w:sz w:val="20"/>
          <w:szCs w:val="20"/>
          <w:vertAlign w:val="superscript"/>
        </w:rPr>
        <w:t>th</w:t>
      </w:r>
      <w:r>
        <w:rPr>
          <w:rFonts w:ascii="Segoe UI" w:hAnsi="Segoe UI" w:cs="Segoe UI"/>
          <w:color w:val="000000"/>
          <w:sz w:val="20"/>
          <w:szCs w:val="20"/>
        </w:rPr>
        <w:t xml:space="preserve"> November 2017]</w:t>
      </w:r>
      <w:r>
        <w:rPr>
          <w:rStyle w:val="exldetailsdisplayval"/>
          <w:rFonts w:cs="Arial"/>
        </w:rPr>
        <w:t xml:space="preserve"> </w:t>
      </w:r>
    </w:p>
    <w:p w:rsidR="00384F43" w:rsidRPr="000C689F" w:rsidRDefault="00384F43" w:rsidP="00A36F4F">
      <w:pPr>
        <w:spacing w:before="240"/>
        <w:rPr>
          <w:rFonts w:cs="Segoe UI"/>
          <w:color w:val="000000"/>
          <w:sz w:val="20"/>
          <w:szCs w:val="20"/>
        </w:rPr>
      </w:pPr>
      <w:r>
        <w:rPr>
          <w:rFonts w:cs="Segoe UI"/>
          <w:color w:val="000000"/>
          <w:sz w:val="20"/>
          <w:szCs w:val="20"/>
        </w:rPr>
        <w:t xml:space="preserve">Vincent, G, E. 1904. </w:t>
      </w:r>
      <w:r w:rsidRPr="001D4A4A">
        <w:rPr>
          <w:rFonts w:cs="Segoe UI"/>
          <w:color w:val="000000"/>
          <w:sz w:val="20"/>
          <w:szCs w:val="20"/>
        </w:rPr>
        <w:t>The laws of Hammurabi.</w:t>
      </w:r>
      <w:r>
        <w:rPr>
          <w:rFonts w:cs="Segoe UI"/>
          <w:i/>
          <w:color w:val="000000"/>
          <w:sz w:val="20"/>
          <w:szCs w:val="20"/>
        </w:rPr>
        <w:t xml:space="preserve"> </w:t>
      </w:r>
      <w:r w:rsidRPr="001D4A4A">
        <w:rPr>
          <w:rFonts w:cs="Segoe UI"/>
          <w:i/>
          <w:color w:val="000000"/>
          <w:sz w:val="20"/>
          <w:szCs w:val="20"/>
        </w:rPr>
        <w:t xml:space="preserve">American Journal of Sociology, </w:t>
      </w:r>
      <w:r w:rsidRPr="00220B9F">
        <w:rPr>
          <w:rFonts w:cs="Segoe UI"/>
          <w:color w:val="000000"/>
          <w:sz w:val="20"/>
          <w:szCs w:val="20"/>
        </w:rPr>
        <w:t>Vol. 9, No. 6, pp737-754.</w:t>
      </w:r>
      <w:r>
        <w:rPr>
          <w:rFonts w:cs="Segoe UI"/>
          <w:color w:val="000000"/>
          <w:sz w:val="20"/>
          <w:szCs w:val="20"/>
        </w:rPr>
        <w:t xml:space="preserve"> Chicago, The University of Chicago Press. Available at </w:t>
      </w:r>
      <w:hyperlink r:id="rId9" w:history="1">
        <w:r w:rsidRPr="009A1AEA">
          <w:rPr>
            <w:rStyle w:val="Hyperlink"/>
            <w:rFonts w:cs="Segoe UI"/>
            <w:sz w:val="20"/>
            <w:szCs w:val="20"/>
          </w:rPr>
          <w:t>http://www.jstor.org/stable/276208</w:t>
        </w:r>
      </w:hyperlink>
      <w:r>
        <w:rPr>
          <w:rFonts w:cs="Segoe UI"/>
          <w:color w:val="000000"/>
          <w:sz w:val="20"/>
          <w:szCs w:val="20"/>
        </w:rPr>
        <w:t>. [Accessed: 9</w:t>
      </w:r>
      <w:r w:rsidRPr="00490E91">
        <w:rPr>
          <w:rFonts w:cs="Segoe UI"/>
          <w:color w:val="000000"/>
          <w:sz w:val="20"/>
          <w:szCs w:val="20"/>
          <w:vertAlign w:val="superscript"/>
        </w:rPr>
        <w:t>th</w:t>
      </w:r>
      <w:r>
        <w:rPr>
          <w:rFonts w:cs="Segoe UI"/>
          <w:color w:val="000000"/>
          <w:sz w:val="20"/>
          <w:szCs w:val="20"/>
          <w:vertAlign w:val="superscript"/>
        </w:rPr>
        <w:t xml:space="preserve"> </w:t>
      </w:r>
      <w:r>
        <w:rPr>
          <w:rFonts w:cs="Segoe UI"/>
          <w:color w:val="000000"/>
          <w:sz w:val="20"/>
          <w:szCs w:val="20"/>
        </w:rPr>
        <w:t xml:space="preserve">November 2017] </w:t>
      </w:r>
    </w:p>
    <w:p w:rsidR="00384F43" w:rsidRPr="005D5D7D" w:rsidRDefault="00384F43" w:rsidP="00A36F4F">
      <w:pPr>
        <w:spacing w:before="240"/>
        <w:rPr>
          <w:rStyle w:val="subjectfield-postprocessinghook"/>
          <w:lang w:val="en"/>
        </w:rPr>
      </w:pPr>
      <w:r w:rsidRPr="005D5D7D">
        <w:t>Wasilewska, E.</w:t>
      </w:r>
      <w:r>
        <w:t xml:space="preserve"> </w:t>
      </w:r>
      <w:r w:rsidRPr="005D5D7D">
        <w:t xml:space="preserve"> 1998. </w:t>
      </w:r>
      <w:r w:rsidRPr="001D4A4A">
        <w:t>Ancient laws for payment</w:t>
      </w:r>
      <w:r w:rsidRPr="005D5D7D">
        <w:rPr>
          <w:i/>
        </w:rPr>
        <w:t xml:space="preserve">. </w:t>
      </w:r>
      <w:r w:rsidRPr="001D4A4A">
        <w:rPr>
          <w:rStyle w:val="exlresultdetails"/>
          <w:rFonts w:cs="Arial"/>
          <w:i/>
        </w:rPr>
        <w:t xml:space="preserve">The World &amp; I, Nov 1998, </w:t>
      </w:r>
      <w:r w:rsidRPr="00220B9F">
        <w:rPr>
          <w:rStyle w:val="exlresultdetails"/>
          <w:rFonts w:cs="Arial"/>
        </w:rPr>
        <w:t>Vol.13(11), p.230</w:t>
      </w:r>
      <w:r w:rsidRPr="001D4A4A">
        <w:rPr>
          <w:rStyle w:val="exlresultdetails"/>
          <w:rFonts w:cs="Arial"/>
          <w:i/>
        </w:rPr>
        <w:t>.</w:t>
      </w:r>
      <w:r w:rsidRPr="005D5D7D">
        <w:rPr>
          <w:rStyle w:val="exlresultdetails"/>
          <w:rFonts w:cs="Arial"/>
        </w:rPr>
        <w:t xml:space="preserve"> Washington. Washington times publication. Available at </w:t>
      </w:r>
      <w:hyperlink r:id="rId10" w:history="1">
        <w:r w:rsidRPr="005D5D7D">
          <w:rPr>
            <w:rStyle w:val="Hyperlink"/>
            <w:color w:val="auto"/>
            <w:lang w:val="en"/>
          </w:rPr>
          <w:t>https://search.proquest.com/docview/235784901?accountid=130472</w:t>
        </w:r>
      </w:hyperlink>
      <w:r w:rsidRPr="005D5D7D">
        <w:rPr>
          <w:rStyle w:val="subjectfield-postprocessinghook"/>
          <w:lang w:val="en"/>
        </w:rPr>
        <w:t>. [Accessed: 9</w:t>
      </w:r>
      <w:r w:rsidRPr="005D5D7D">
        <w:rPr>
          <w:rStyle w:val="subjectfield-postprocessinghook"/>
          <w:vertAlign w:val="superscript"/>
          <w:lang w:val="en"/>
        </w:rPr>
        <w:t>th</w:t>
      </w:r>
      <w:r w:rsidRPr="005D5D7D">
        <w:rPr>
          <w:rStyle w:val="subjectfield-postprocessinghook"/>
          <w:lang w:val="en"/>
        </w:rPr>
        <w:t xml:space="preserve"> November 2017]</w:t>
      </w:r>
    </w:p>
    <w:p w:rsidR="00A36F4F" w:rsidRDefault="00A36F4F">
      <w:pPr>
        <w:rPr>
          <w:sz w:val="24"/>
          <w:szCs w:val="28"/>
        </w:rPr>
      </w:pPr>
    </w:p>
    <w:p w:rsidR="004052DE" w:rsidRDefault="004052DE">
      <w:pPr>
        <w:rPr>
          <w:sz w:val="24"/>
          <w:szCs w:val="28"/>
        </w:rPr>
      </w:pPr>
    </w:p>
    <w:p w:rsidR="004052DE" w:rsidRDefault="004052DE">
      <w:pPr>
        <w:rPr>
          <w:sz w:val="24"/>
          <w:szCs w:val="28"/>
        </w:rPr>
      </w:pPr>
    </w:p>
    <w:p w:rsidR="009125E1" w:rsidRDefault="009125E1">
      <w:pPr>
        <w:rPr>
          <w:sz w:val="24"/>
          <w:szCs w:val="28"/>
        </w:rPr>
      </w:pPr>
    </w:p>
    <w:p w:rsidR="0058554D" w:rsidRDefault="0058554D">
      <w:pPr>
        <w:rPr>
          <w:sz w:val="24"/>
          <w:szCs w:val="28"/>
        </w:rPr>
      </w:pPr>
    </w:p>
    <w:p w:rsidR="0058554D" w:rsidRDefault="0058554D">
      <w:pPr>
        <w:rPr>
          <w:sz w:val="24"/>
          <w:szCs w:val="28"/>
        </w:rPr>
      </w:pPr>
    </w:p>
    <w:p w:rsidR="00DA78D0" w:rsidRDefault="00DA78D0">
      <w:pPr>
        <w:rPr>
          <w:sz w:val="28"/>
          <w:szCs w:val="28"/>
        </w:rPr>
      </w:pPr>
    </w:p>
    <w:p w:rsidR="00F25E62" w:rsidRPr="00F25E62" w:rsidRDefault="00F25E62">
      <w:pPr>
        <w:rPr>
          <w:sz w:val="24"/>
          <w:szCs w:val="24"/>
        </w:rPr>
      </w:pPr>
    </w:p>
    <w:sectPr w:rsidR="00F25E62" w:rsidRPr="00F25E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6C"/>
    <w:rsid w:val="00020C1F"/>
    <w:rsid w:val="000261CB"/>
    <w:rsid w:val="00060B74"/>
    <w:rsid w:val="000611F4"/>
    <w:rsid w:val="00084180"/>
    <w:rsid w:val="00091D7D"/>
    <w:rsid w:val="000A0881"/>
    <w:rsid w:val="00121EA2"/>
    <w:rsid w:val="001244EF"/>
    <w:rsid w:val="001276EF"/>
    <w:rsid w:val="0015355E"/>
    <w:rsid w:val="001B4442"/>
    <w:rsid w:val="001B64AC"/>
    <w:rsid w:val="001D4A4A"/>
    <w:rsid w:val="001E1A77"/>
    <w:rsid w:val="00220B9F"/>
    <w:rsid w:val="00235A46"/>
    <w:rsid w:val="00236220"/>
    <w:rsid w:val="002444D9"/>
    <w:rsid w:val="002446A5"/>
    <w:rsid w:val="00285D4C"/>
    <w:rsid w:val="002B2266"/>
    <w:rsid w:val="002D7260"/>
    <w:rsid w:val="002F6C3A"/>
    <w:rsid w:val="00315FA6"/>
    <w:rsid w:val="003439AC"/>
    <w:rsid w:val="00357B7C"/>
    <w:rsid w:val="00357D0E"/>
    <w:rsid w:val="00384F43"/>
    <w:rsid w:val="00395D5E"/>
    <w:rsid w:val="003A0049"/>
    <w:rsid w:val="003A63C4"/>
    <w:rsid w:val="003B036E"/>
    <w:rsid w:val="003E22BE"/>
    <w:rsid w:val="003F10AF"/>
    <w:rsid w:val="004052DE"/>
    <w:rsid w:val="00424FEF"/>
    <w:rsid w:val="004465BB"/>
    <w:rsid w:val="004643AA"/>
    <w:rsid w:val="00472FF4"/>
    <w:rsid w:val="004A5B7C"/>
    <w:rsid w:val="004B3C62"/>
    <w:rsid w:val="004C2000"/>
    <w:rsid w:val="004E3C5F"/>
    <w:rsid w:val="005539D6"/>
    <w:rsid w:val="00556D19"/>
    <w:rsid w:val="00582080"/>
    <w:rsid w:val="0058554D"/>
    <w:rsid w:val="0059407D"/>
    <w:rsid w:val="0059534E"/>
    <w:rsid w:val="005957D0"/>
    <w:rsid w:val="005A2CF6"/>
    <w:rsid w:val="005D5D7D"/>
    <w:rsid w:val="0060492F"/>
    <w:rsid w:val="00607BAD"/>
    <w:rsid w:val="00622C7F"/>
    <w:rsid w:val="00631C34"/>
    <w:rsid w:val="0063631C"/>
    <w:rsid w:val="006520CE"/>
    <w:rsid w:val="00684ADC"/>
    <w:rsid w:val="006A0894"/>
    <w:rsid w:val="006B5CF3"/>
    <w:rsid w:val="006C6C77"/>
    <w:rsid w:val="006D4EF0"/>
    <w:rsid w:val="00713F9A"/>
    <w:rsid w:val="00757474"/>
    <w:rsid w:val="00773B55"/>
    <w:rsid w:val="00773EA7"/>
    <w:rsid w:val="00785F54"/>
    <w:rsid w:val="007A086F"/>
    <w:rsid w:val="007C186C"/>
    <w:rsid w:val="007D2E6B"/>
    <w:rsid w:val="007D3A75"/>
    <w:rsid w:val="007F3628"/>
    <w:rsid w:val="0081495A"/>
    <w:rsid w:val="00842667"/>
    <w:rsid w:val="008432B9"/>
    <w:rsid w:val="00847319"/>
    <w:rsid w:val="00852F9C"/>
    <w:rsid w:val="00875093"/>
    <w:rsid w:val="008A729F"/>
    <w:rsid w:val="008C2F6D"/>
    <w:rsid w:val="008D1EEE"/>
    <w:rsid w:val="008E449B"/>
    <w:rsid w:val="008E5EE9"/>
    <w:rsid w:val="00906813"/>
    <w:rsid w:val="009125E1"/>
    <w:rsid w:val="00920B93"/>
    <w:rsid w:val="00936593"/>
    <w:rsid w:val="00950990"/>
    <w:rsid w:val="00960922"/>
    <w:rsid w:val="00997DB5"/>
    <w:rsid w:val="009A0938"/>
    <w:rsid w:val="009A3E3E"/>
    <w:rsid w:val="009B2AD4"/>
    <w:rsid w:val="009D0679"/>
    <w:rsid w:val="009E15A5"/>
    <w:rsid w:val="00A30B4C"/>
    <w:rsid w:val="00A36F4F"/>
    <w:rsid w:val="00A6263C"/>
    <w:rsid w:val="00A7501B"/>
    <w:rsid w:val="00A76B79"/>
    <w:rsid w:val="00AE3972"/>
    <w:rsid w:val="00AF107F"/>
    <w:rsid w:val="00AF35A1"/>
    <w:rsid w:val="00B27E2F"/>
    <w:rsid w:val="00B32F5D"/>
    <w:rsid w:val="00B33A76"/>
    <w:rsid w:val="00B43960"/>
    <w:rsid w:val="00B57FD5"/>
    <w:rsid w:val="00B8783A"/>
    <w:rsid w:val="00BE0676"/>
    <w:rsid w:val="00BE0C4B"/>
    <w:rsid w:val="00C214A4"/>
    <w:rsid w:val="00C606AE"/>
    <w:rsid w:val="00CC6CA7"/>
    <w:rsid w:val="00CD0BFC"/>
    <w:rsid w:val="00CE0A07"/>
    <w:rsid w:val="00D21E88"/>
    <w:rsid w:val="00D32749"/>
    <w:rsid w:val="00D350D5"/>
    <w:rsid w:val="00D62745"/>
    <w:rsid w:val="00D65D35"/>
    <w:rsid w:val="00D74082"/>
    <w:rsid w:val="00DA552C"/>
    <w:rsid w:val="00DA6C4B"/>
    <w:rsid w:val="00DA78D0"/>
    <w:rsid w:val="00DF3B52"/>
    <w:rsid w:val="00E020EF"/>
    <w:rsid w:val="00E03EF5"/>
    <w:rsid w:val="00E328F7"/>
    <w:rsid w:val="00E4194E"/>
    <w:rsid w:val="00EC0476"/>
    <w:rsid w:val="00EC40FF"/>
    <w:rsid w:val="00EC6779"/>
    <w:rsid w:val="00EE34DF"/>
    <w:rsid w:val="00EE5B2E"/>
    <w:rsid w:val="00EE74BE"/>
    <w:rsid w:val="00F04B5D"/>
    <w:rsid w:val="00F060F5"/>
    <w:rsid w:val="00F25E62"/>
    <w:rsid w:val="00F37552"/>
    <w:rsid w:val="00F40A65"/>
    <w:rsid w:val="00F629DC"/>
    <w:rsid w:val="00F64B40"/>
    <w:rsid w:val="00F65D83"/>
    <w:rsid w:val="00F77545"/>
    <w:rsid w:val="00F93D70"/>
    <w:rsid w:val="00F94481"/>
    <w:rsid w:val="00FB411E"/>
    <w:rsid w:val="00FB4380"/>
    <w:rsid w:val="00FD1B58"/>
    <w:rsid w:val="00FE78C1"/>
    <w:rsid w:val="00FF1930"/>
    <w:rsid w:val="00FF4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134C7"/>
  <w15:chartTrackingRefBased/>
  <w15:docId w15:val="{039EE1E8-8FBA-4CC7-9466-1913D8B8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6F4F"/>
    <w:rPr>
      <w:color w:val="0563C1" w:themeColor="hyperlink"/>
      <w:u w:val="single"/>
    </w:rPr>
  </w:style>
  <w:style w:type="character" w:customStyle="1" w:styleId="exlresultdetails">
    <w:name w:val="exlresultdetails"/>
    <w:basedOn w:val="DefaultParagraphFont"/>
    <w:rsid w:val="00A36F4F"/>
  </w:style>
  <w:style w:type="character" w:customStyle="1" w:styleId="subjectfield-postprocessinghook">
    <w:name w:val="subjectfield-postprocessinghook"/>
    <w:basedOn w:val="DefaultParagraphFont"/>
    <w:rsid w:val="00A36F4F"/>
  </w:style>
  <w:style w:type="character" w:customStyle="1" w:styleId="exldetailsdisplayval">
    <w:name w:val="exldetailsdisplayval"/>
    <w:basedOn w:val="DefaultParagraphFont"/>
    <w:rsid w:val="00A36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ebscohost.com.ezproxy.uwtsd.ac.uk/ehost/detail/detail?vid=1&amp;sid=22d3301d-f92a-481a-9f4f-6960bf29bf88%40sessionmg" TargetMode="External"/><Relationship Id="rId3" Type="http://schemas.openxmlformats.org/officeDocument/2006/relationships/webSettings" Target="webSettings.xml"/><Relationship Id="rId7" Type="http://schemas.openxmlformats.org/officeDocument/2006/relationships/hyperlink" Target="http://www.oxfordreference.com.ezproxy.uwtsd.ac.uk/view/10.1093/acref/9780195046458.001.0001/acref-9780195046458-e-0309?rskey=SBVnrK&amp;result=1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44360" TargetMode="External"/><Relationship Id="rId11" Type="http://schemas.openxmlformats.org/officeDocument/2006/relationships/fontTable" Target="fontTable.xml"/><Relationship Id="rId5" Type="http://schemas.openxmlformats.org/officeDocument/2006/relationships/hyperlink" Target="http://www.jstor.org/stable/3632512" TargetMode="External"/><Relationship Id="rId10" Type="http://schemas.openxmlformats.org/officeDocument/2006/relationships/hyperlink" Target="https://search.proquest.com/docview/235784901?accountid=130472" TargetMode="External"/><Relationship Id="rId4" Type="http://schemas.openxmlformats.org/officeDocument/2006/relationships/hyperlink" Target="http://avalon.law.yale.edu/ancient/hamframe.asp" TargetMode="External"/><Relationship Id="rId9" Type="http://schemas.openxmlformats.org/officeDocument/2006/relationships/hyperlink" Target="http://www.jstor.org/stable/276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Keddie</dc:creator>
  <cp:keywords/>
  <dc:description/>
  <cp:lastModifiedBy>Sofie Keddie</cp:lastModifiedBy>
  <cp:revision>2</cp:revision>
  <dcterms:created xsi:type="dcterms:W3CDTF">2017-11-14T16:23:00Z</dcterms:created>
  <dcterms:modified xsi:type="dcterms:W3CDTF">2017-11-14T16:23:00Z</dcterms:modified>
</cp:coreProperties>
</file>