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AB722" w14:textId="7101543C" w:rsidR="0085496E" w:rsidRDefault="0068542E">
      <w:pPr>
        <w:rPr>
          <w:rFonts w:ascii="Times New Roman" w:hAnsi="Times New Roman" w:cs="Times New Roman"/>
          <w:sz w:val="28"/>
          <w:szCs w:val="28"/>
        </w:rPr>
      </w:pPr>
      <w:r>
        <w:rPr>
          <w:rFonts w:ascii="Times New Roman" w:hAnsi="Times New Roman" w:cs="Times New Roman"/>
          <w:sz w:val="28"/>
          <w:szCs w:val="28"/>
        </w:rPr>
        <w:t xml:space="preserve">This critical review is based on a journal article relating to the Risk-need-Responsivity (RNR) model. Does adding the Good lives model (GLM) contribute to effective crime prevention? Written by Andrews, D, </w:t>
      </w:r>
      <w:proofErr w:type="spellStart"/>
      <w:r>
        <w:rPr>
          <w:rFonts w:ascii="Times New Roman" w:hAnsi="Times New Roman" w:cs="Times New Roman"/>
          <w:sz w:val="28"/>
          <w:szCs w:val="28"/>
        </w:rPr>
        <w:t>Bonta</w:t>
      </w:r>
      <w:proofErr w:type="spellEnd"/>
      <w:r>
        <w:rPr>
          <w:rFonts w:ascii="Times New Roman" w:hAnsi="Times New Roman" w:cs="Times New Roman"/>
          <w:sz w:val="28"/>
          <w:szCs w:val="28"/>
        </w:rPr>
        <w:t xml:space="preserve">, J and </w:t>
      </w:r>
      <w:proofErr w:type="spellStart"/>
      <w:r>
        <w:rPr>
          <w:rFonts w:ascii="Times New Roman" w:hAnsi="Times New Roman" w:cs="Times New Roman"/>
          <w:sz w:val="28"/>
          <w:szCs w:val="28"/>
        </w:rPr>
        <w:t>Wormwith</w:t>
      </w:r>
      <w:proofErr w:type="spellEnd"/>
      <w:r>
        <w:rPr>
          <w:rFonts w:ascii="Times New Roman" w:hAnsi="Times New Roman" w:cs="Times New Roman"/>
          <w:sz w:val="28"/>
          <w:szCs w:val="28"/>
        </w:rPr>
        <w:t xml:space="preserve">, J (2011). RNR is a method widely used to identify the risk-needs of an offender during rehabilitation. Its purpose is to attempt to match the level of a rehabilitation program to the offender’s risk level to increase the success rate of rehabilitation. The process of RNR allows the needs of the offender to be identified in relation to research suggesting that needs are functionally related to criminal behaviour. The responsivity aspect of the RNR model </w:t>
      </w:r>
      <w:r w:rsidR="004418CA">
        <w:rPr>
          <w:rFonts w:ascii="Times New Roman" w:hAnsi="Times New Roman" w:cs="Times New Roman"/>
          <w:sz w:val="28"/>
          <w:szCs w:val="28"/>
        </w:rPr>
        <w:t xml:space="preserve">relates to matching the style of rehabilitation to their abilities and learning styles. </w:t>
      </w:r>
      <w:r w:rsidR="00E12855">
        <w:rPr>
          <w:rFonts w:ascii="Times New Roman" w:hAnsi="Times New Roman" w:cs="Times New Roman"/>
          <w:sz w:val="28"/>
          <w:szCs w:val="28"/>
        </w:rPr>
        <w:t xml:space="preserve">(Andrews et al,2011) </w:t>
      </w:r>
      <w:r w:rsidR="004418CA">
        <w:rPr>
          <w:rFonts w:ascii="Times New Roman" w:hAnsi="Times New Roman" w:cs="Times New Roman"/>
          <w:sz w:val="28"/>
          <w:szCs w:val="28"/>
        </w:rPr>
        <w:t>It has been suggested that GLM is an alternative to RNR as it focuses more on the positive strengths of an offender.</w:t>
      </w:r>
      <w:r w:rsidR="00E12855">
        <w:rPr>
          <w:rFonts w:ascii="Times New Roman" w:hAnsi="Times New Roman" w:cs="Times New Roman"/>
          <w:sz w:val="28"/>
          <w:szCs w:val="28"/>
        </w:rPr>
        <w:t xml:space="preserve"> (Andrews et al,2011)</w:t>
      </w:r>
      <w:r w:rsidR="004418CA">
        <w:rPr>
          <w:rFonts w:ascii="Times New Roman" w:hAnsi="Times New Roman" w:cs="Times New Roman"/>
          <w:sz w:val="28"/>
          <w:szCs w:val="28"/>
        </w:rPr>
        <w:t xml:space="preserve"> Although, it has always remained of great interest within research if the GLM model could be an enhancement of the RNR model. </w:t>
      </w:r>
      <w:proofErr w:type="spellStart"/>
      <w:r w:rsidR="004418CA">
        <w:rPr>
          <w:rFonts w:ascii="Times New Roman" w:hAnsi="Times New Roman" w:cs="Times New Roman"/>
          <w:sz w:val="28"/>
          <w:szCs w:val="28"/>
        </w:rPr>
        <w:t>McMurran</w:t>
      </w:r>
      <w:proofErr w:type="spellEnd"/>
      <w:r w:rsidR="004418CA">
        <w:rPr>
          <w:rFonts w:ascii="Times New Roman" w:hAnsi="Times New Roman" w:cs="Times New Roman"/>
          <w:sz w:val="28"/>
          <w:szCs w:val="28"/>
        </w:rPr>
        <w:t>, (200</w:t>
      </w:r>
      <w:r w:rsidR="00347F0E">
        <w:rPr>
          <w:rFonts w:ascii="Times New Roman" w:hAnsi="Times New Roman" w:cs="Times New Roman"/>
          <w:sz w:val="28"/>
          <w:szCs w:val="28"/>
        </w:rPr>
        <w:t>8</w:t>
      </w:r>
      <w:r w:rsidR="004418CA">
        <w:rPr>
          <w:rFonts w:ascii="Times New Roman" w:hAnsi="Times New Roman" w:cs="Times New Roman"/>
          <w:sz w:val="28"/>
          <w:szCs w:val="28"/>
        </w:rPr>
        <w:t>) suggested that a positive approach</w:t>
      </w:r>
      <w:r w:rsidR="00E12855">
        <w:rPr>
          <w:rFonts w:ascii="Times New Roman" w:hAnsi="Times New Roman" w:cs="Times New Roman"/>
          <w:sz w:val="28"/>
          <w:szCs w:val="28"/>
        </w:rPr>
        <w:t xml:space="preserve"> such as the GLM</w:t>
      </w:r>
      <w:r w:rsidR="004418CA">
        <w:rPr>
          <w:rFonts w:ascii="Times New Roman" w:hAnsi="Times New Roman" w:cs="Times New Roman"/>
          <w:sz w:val="28"/>
          <w:szCs w:val="28"/>
        </w:rPr>
        <w:t xml:space="preserve"> can see a more successful treatment as delivering more positive goals in comparison to implementing rehabilitation programs based on risks and weaknesses</w:t>
      </w:r>
      <w:r w:rsidR="00E12855">
        <w:rPr>
          <w:rFonts w:ascii="Times New Roman" w:hAnsi="Times New Roman" w:cs="Times New Roman"/>
          <w:sz w:val="28"/>
          <w:szCs w:val="28"/>
        </w:rPr>
        <w:t xml:space="preserve"> like the RNR,</w:t>
      </w:r>
      <w:r w:rsidR="004418CA">
        <w:rPr>
          <w:rFonts w:ascii="Times New Roman" w:hAnsi="Times New Roman" w:cs="Times New Roman"/>
          <w:sz w:val="28"/>
          <w:szCs w:val="28"/>
        </w:rPr>
        <w:t xml:space="preserve"> which can be viewed in a negative manner by the offender. However, </w:t>
      </w:r>
      <w:r w:rsidR="00032DC6">
        <w:rPr>
          <w:rFonts w:ascii="Times New Roman" w:hAnsi="Times New Roman" w:cs="Times New Roman"/>
          <w:sz w:val="28"/>
          <w:szCs w:val="28"/>
        </w:rPr>
        <w:t>there is extensive research to suggest that the RNR model has been a powerful tool used within rehabilitation research with a continued impressive success rate. (Ward</w:t>
      </w:r>
      <w:r w:rsidR="00C4689C">
        <w:rPr>
          <w:rFonts w:ascii="Times New Roman" w:hAnsi="Times New Roman" w:cs="Times New Roman"/>
          <w:sz w:val="28"/>
          <w:szCs w:val="28"/>
        </w:rPr>
        <w:t>,</w:t>
      </w:r>
      <w:r w:rsidR="00032DC6">
        <w:rPr>
          <w:rFonts w:ascii="Times New Roman" w:hAnsi="Times New Roman" w:cs="Times New Roman"/>
          <w:sz w:val="28"/>
          <w:szCs w:val="28"/>
        </w:rPr>
        <w:t xml:space="preserve"> 2007)</w:t>
      </w:r>
    </w:p>
    <w:p w14:paraId="1439A9A0" w14:textId="67FA1AA6" w:rsidR="00032DC6" w:rsidRDefault="00032DC6">
      <w:pPr>
        <w:rPr>
          <w:rFonts w:ascii="Times New Roman" w:hAnsi="Times New Roman" w:cs="Times New Roman"/>
          <w:sz w:val="28"/>
          <w:szCs w:val="28"/>
        </w:rPr>
      </w:pPr>
      <w:r>
        <w:rPr>
          <w:rFonts w:ascii="Times New Roman" w:hAnsi="Times New Roman" w:cs="Times New Roman"/>
          <w:sz w:val="28"/>
          <w:szCs w:val="28"/>
        </w:rPr>
        <w:t>Andrew</w:t>
      </w:r>
      <w:r w:rsidR="002D259D">
        <w:rPr>
          <w:rFonts w:ascii="Times New Roman" w:hAnsi="Times New Roman" w:cs="Times New Roman"/>
          <w:sz w:val="28"/>
          <w:szCs w:val="28"/>
        </w:rPr>
        <w:t>s</w:t>
      </w:r>
      <w:r w:rsidR="00626FE4">
        <w:rPr>
          <w:rFonts w:ascii="Times New Roman" w:hAnsi="Times New Roman" w:cs="Times New Roman"/>
          <w:sz w:val="28"/>
          <w:szCs w:val="28"/>
        </w:rPr>
        <w:t xml:space="preserve"> et al</w:t>
      </w:r>
      <w:r>
        <w:rPr>
          <w:rFonts w:ascii="Times New Roman" w:hAnsi="Times New Roman" w:cs="Times New Roman"/>
          <w:sz w:val="28"/>
          <w:szCs w:val="28"/>
        </w:rPr>
        <w:t xml:space="preserve"> (2011) discussed how rehabilitation programs including the RNR have seen significant reductions in recidivism, Hanson et al</w:t>
      </w:r>
      <w:r w:rsidR="00347F0E">
        <w:rPr>
          <w:rFonts w:ascii="Times New Roman" w:hAnsi="Times New Roman" w:cs="Times New Roman"/>
          <w:sz w:val="28"/>
          <w:szCs w:val="28"/>
        </w:rPr>
        <w:t xml:space="preserve"> </w:t>
      </w:r>
      <w:r>
        <w:rPr>
          <w:rFonts w:ascii="Times New Roman" w:hAnsi="Times New Roman" w:cs="Times New Roman"/>
          <w:sz w:val="28"/>
          <w:szCs w:val="28"/>
        </w:rPr>
        <w:t xml:space="preserve">(2002) also supported this opinion. However, </w:t>
      </w:r>
      <w:r w:rsidR="008D7B28">
        <w:rPr>
          <w:rFonts w:ascii="Times New Roman" w:hAnsi="Times New Roman" w:cs="Times New Roman"/>
          <w:sz w:val="28"/>
          <w:szCs w:val="28"/>
        </w:rPr>
        <w:t>Andrews suggests</w:t>
      </w:r>
      <w:r w:rsidR="00E12855">
        <w:rPr>
          <w:rFonts w:ascii="Times New Roman" w:hAnsi="Times New Roman" w:cs="Times New Roman"/>
          <w:sz w:val="28"/>
          <w:szCs w:val="28"/>
        </w:rPr>
        <w:t xml:space="preserve"> in this article</w:t>
      </w:r>
      <w:r w:rsidR="008D7B28">
        <w:rPr>
          <w:rFonts w:ascii="Times New Roman" w:hAnsi="Times New Roman" w:cs="Times New Roman"/>
          <w:sz w:val="28"/>
          <w:szCs w:val="28"/>
        </w:rPr>
        <w:t xml:space="preserve"> that the recidivism rate success is gender neutral and the tools involved in the model should show success in both genders. Research has suggested that the RNR model has more success with males </w:t>
      </w:r>
      <w:r w:rsidR="003A166E">
        <w:rPr>
          <w:rFonts w:ascii="Times New Roman" w:hAnsi="Times New Roman" w:cs="Times New Roman"/>
          <w:sz w:val="28"/>
          <w:szCs w:val="28"/>
        </w:rPr>
        <w:t>than</w:t>
      </w:r>
      <w:r w:rsidR="008D7B28">
        <w:rPr>
          <w:rFonts w:ascii="Times New Roman" w:hAnsi="Times New Roman" w:cs="Times New Roman"/>
          <w:sz w:val="28"/>
          <w:szCs w:val="28"/>
        </w:rPr>
        <w:t xml:space="preserve"> female</w:t>
      </w:r>
      <w:r w:rsidR="003A166E">
        <w:rPr>
          <w:rFonts w:ascii="Times New Roman" w:hAnsi="Times New Roman" w:cs="Times New Roman"/>
          <w:sz w:val="28"/>
          <w:szCs w:val="28"/>
        </w:rPr>
        <w:t>s. A</w:t>
      </w:r>
      <w:r w:rsidR="008D7B28">
        <w:rPr>
          <w:rFonts w:ascii="Times New Roman" w:hAnsi="Times New Roman" w:cs="Times New Roman"/>
          <w:sz w:val="28"/>
          <w:szCs w:val="28"/>
        </w:rPr>
        <w:t xml:space="preserve"> study carried out by </w:t>
      </w:r>
      <w:proofErr w:type="spellStart"/>
      <w:r w:rsidR="008D7B28">
        <w:rPr>
          <w:rFonts w:ascii="Times New Roman" w:hAnsi="Times New Roman" w:cs="Times New Roman"/>
          <w:sz w:val="28"/>
          <w:szCs w:val="28"/>
        </w:rPr>
        <w:t>Vitopoulos</w:t>
      </w:r>
      <w:proofErr w:type="spellEnd"/>
      <w:r w:rsidR="008D7B28">
        <w:rPr>
          <w:rFonts w:ascii="Times New Roman" w:hAnsi="Times New Roman" w:cs="Times New Roman"/>
          <w:sz w:val="28"/>
          <w:szCs w:val="28"/>
        </w:rPr>
        <w:t xml:space="preserve"> (</w:t>
      </w:r>
      <w:r w:rsidR="00347F0E">
        <w:rPr>
          <w:rFonts w:ascii="Times New Roman" w:hAnsi="Times New Roman" w:cs="Times New Roman"/>
          <w:sz w:val="28"/>
          <w:szCs w:val="28"/>
        </w:rPr>
        <w:t>2012</w:t>
      </w:r>
      <w:r w:rsidR="008D7B28">
        <w:rPr>
          <w:rFonts w:ascii="Times New Roman" w:hAnsi="Times New Roman" w:cs="Times New Roman"/>
          <w:sz w:val="28"/>
          <w:szCs w:val="28"/>
        </w:rPr>
        <w:t xml:space="preserve">) investigated this theory with youth offenders and this study found that there was a significant reduction in recidivism for boys </w:t>
      </w:r>
      <w:r w:rsidR="00B446CD">
        <w:rPr>
          <w:rFonts w:ascii="Times New Roman" w:hAnsi="Times New Roman" w:cs="Times New Roman"/>
          <w:sz w:val="28"/>
          <w:szCs w:val="28"/>
        </w:rPr>
        <w:t>but</w:t>
      </w:r>
      <w:r w:rsidR="008D7B28">
        <w:rPr>
          <w:rFonts w:ascii="Times New Roman" w:hAnsi="Times New Roman" w:cs="Times New Roman"/>
          <w:sz w:val="28"/>
          <w:szCs w:val="28"/>
        </w:rPr>
        <w:t xml:space="preserve"> not girls. </w:t>
      </w:r>
      <w:r w:rsidR="007476ED">
        <w:rPr>
          <w:rFonts w:ascii="Times New Roman" w:hAnsi="Times New Roman" w:cs="Times New Roman"/>
          <w:sz w:val="28"/>
          <w:szCs w:val="28"/>
        </w:rPr>
        <w:t>Andrew</w:t>
      </w:r>
      <w:r w:rsidR="003A166E">
        <w:rPr>
          <w:rFonts w:ascii="Times New Roman" w:hAnsi="Times New Roman" w:cs="Times New Roman"/>
          <w:sz w:val="28"/>
          <w:szCs w:val="28"/>
        </w:rPr>
        <w:t xml:space="preserve">s </w:t>
      </w:r>
      <w:r w:rsidR="007476ED">
        <w:rPr>
          <w:rFonts w:ascii="Times New Roman" w:hAnsi="Times New Roman" w:cs="Times New Roman"/>
          <w:sz w:val="28"/>
          <w:szCs w:val="28"/>
        </w:rPr>
        <w:t xml:space="preserve">(2011) refers to the RNR as adaptable and discusses how the model has been revised many times to ensure its sustainability. This is supported by </w:t>
      </w:r>
      <w:proofErr w:type="spellStart"/>
      <w:r w:rsidR="007476ED">
        <w:rPr>
          <w:rFonts w:ascii="Times New Roman" w:hAnsi="Times New Roman" w:cs="Times New Roman"/>
          <w:sz w:val="28"/>
          <w:szCs w:val="28"/>
        </w:rPr>
        <w:t>Polaschek</w:t>
      </w:r>
      <w:proofErr w:type="spellEnd"/>
      <w:r w:rsidR="007476ED">
        <w:rPr>
          <w:rFonts w:ascii="Times New Roman" w:hAnsi="Times New Roman" w:cs="Times New Roman"/>
          <w:sz w:val="28"/>
          <w:szCs w:val="28"/>
        </w:rPr>
        <w:t xml:space="preserve"> (2012) who suggests that the original theory has now been revised to include ‘strengths’ giving more emphasis on positive motivation. However, </w:t>
      </w:r>
      <w:proofErr w:type="spellStart"/>
      <w:r w:rsidR="007476ED">
        <w:rPr>
          <w:rFonts w:ascii="Times New Roman" w:hAnsi="Times New Roman" w:cs="Times New Roman"/>
          <w:sz w:val="28"/>
          <w:szCs w:val="28"/>
        </w:rPr>
        <w:t>Polaschek</w:t>
      </w:r>
      <w:proofErr w:type="spellEnd"/>
      <w:r w:rsidR="007476ED">
        <w:rPr>
          <w:rFonts w:ascii="Times New Roman" w:hAnsi="Times New Roman" w:cs="Times New Roman"/>
          <w:sz w:val="28"/>
          <w:szCs w:val="28"/>
        </w:rPr>
        <w:t xml:space="preserve"> also discussed how even when being acceptive of the strengths associated with the RNR model, it should be considered that there is always </w:t>
      </w:r>
      <w:proofErr w:type="gramStart"/>
      <w:r w:rsidR="007476ED">
        <w:rPr>
          <w:rFonts w:ascii="Times New Roman" w:hAnsi="Times New Roman" w:cs="Times New Roman"/>
          <w:sz w:val="28"/>
          <w:szCs w:val="28"/>
        </w:rPr>
        <w:t>scope</w:t>
      </w:r>
      <w:proofErr w:type="gramEnd"/>
      <w:r w:rsidR="007476ED">
        <w:rPr>
          <w:rFonts w:ascii="Times New Roman" w:hAnsi="Times New Roman" w:cs="Times New Roman"/>
          <w:sz w:val="28"/>
          <w:szCs w:val="28"/>
        </w:rPr>
        <w:t xml:space="preserve"> to enhance a theory as no matter how successful and well put together a theory is</w:t>
      </w:r>
      <w:r w:rsidR="00B446CD">
        <w:rPr>
          <w:rFonts w:ascii="Times New Roman" w:hAnsi="Times New Roman" w:cs="Times New Roman"/>
          <w:sz w:val="28"/>
          <w:szCs w:val="28"/>
        </w:rPr>
        <w:t xml:space="preserve">, it </w:t>
      </w:r>
      <w:r w:rsidR="007476ED">
        <w:rPr>
          <w:rFonts w:ascii="Times New Roman" w:hAnsi="Times New Roman" w:cs="Times New Roman"/>
          <w:sz w:val="28"/>
          <w:szCs w:val="28"/>
        </w:rPr>
        <w:t xml:space="preserve">does not mean it will be effective for all people due to individual differences. </w:t>
      </w:r>
    </w:p>
    <w:p w14:paraId="53DBBA7F" w14:textId="35EB952C" w:rsidR="00B446CD" w:rsidRDefault="00032DC6">
      <w:pPr>
        <w:rPr>
          <w:rFonts w:ascii="Times New Roman" w:hAnsi="Times New Roman" w:cs="Times New Roman"/>
          <w:sz w:val="28"/>
          <w:szCs w:val="28"/>
        </w:rPr>
      </w:pPr>
      <w:r>
        <w:rPr>
          <w:rFonts w:ascii="Times New Roman" w:hAnsi="Times New Roman" w:cs="Times New Roman"/>
          <w:sz w:val="28"/>
          <w:szCs w:val="28"/>
        </w:rPr>
        <w:t>It is suggested that the GLM is successful due to an offender striving towards positive goals, (Ward</w:t>
      </w:r>
      <w:r w:rsidR="00986469">
        <w:rPr>
          <w:rFonts w:ascii="Times New Roman" w:hAnsi="Times New Roman" w:cs="Times New Roman"/>
          <w:sz w:val="28"/>
          <w:szCs w:val="28"/>
        </w:rPr>
        <w:t xml:space="preserve"> et al</w:t>
      </w:r>
      <w:r>
        <w:rPr>
          <w:rFonts w:ascii="Times New Roman" w:hAnsi="Times New Roman" w:cs="Times New Roman"/>
          <w:sz w:val="28"/>
          <w:szCs w:val="28"/>
        </w:rPr>
        <w:t xml:space="preserve">, 2007) associated with a human’s automatic process </w:t>
      </w:r>
      <w:r>
        <w:rPr>
          <w:rFonts w:ascii="Times New Roman" w:hAnsi="Times New Roman" w:cs="Times New Roman"/>
          <w:sz w:val="28"/>
          <w:szCs w:val="28"/>
        </w:rPr>
        <w:lastRenderedPageBreak/>
        <w:t xml:space="preserve">of taking care of themselves and increasing their well-being. However, Andrews </w:t>
      </w:r>
      <w:r w:rsidR="002D259D">
        <w:rPr>
          <w:rFonts w:ascii="Times New Roman" w:hAnsi="Times New Roman" w:cs="Times New Roman"/>
          <w:sz w:val="28"/>
          <w:szCs w:val="28"/>
        </w:rPr>
        <w:t xml:space="preserve">et al </w:t>
      </w:r>
      <w:r>
        <w:rPr>
          <w:rFonts w:ascii="Times New Roman" w:hAnsi="Times New Roman" w:cs="Times New Roman"/>
          <w:sz w:val="28"/>
          <w:szCs w:val="28"/>
        </w:rPr>
        <w:t xml:space="preserve">(2011) suggests in this article that the GLM seems to assume that all people are working with their core </w:t>
      </w:r>
      <w:r w:rsidR="00DD0A78">
        <w:rPr>
          <w:rFonts w:ascii="Times New Roman" w:hAnsi="Times New Roman" w:cs="Times New Roman"/>
          <w:sz w:val="28"/>
          <w:szCs w:val="28"/>
        </w:rPr>
        <w:t xml:space="preserve">values in mind whilst disregarding environmental issues such as being under the influence of alcohol or illegal substances when a crime was committed. This </w:t>
      </w:r>
      <w:r w:rsidR="003A166E">
        <w:rPr>
          <w:rFonts w:ascii="Times New Roman" w:hAnsi="Times New Roman" w:cs="Times New Roman"/>
          <w:sz w:val="28"/>
          <w:szCs w:val="28"/>
        </w:rPr>
        <w:t>also raises the question</w:t>
      </w:r>
      <w:r w:rsidR="00DD0A78">
        <w:rPr>
          <w:rFonts w:ascii="Times New Roman" w:hAnsi="Times New Roman" w:cs="Times New Roman"/>
          <w:sz w:val="28"/>
          <w:szCs w:val="28"/>
        </w:rPr>
        <w:t xml:space="preserve"> if the RNR and GLM rehabilitation programs have the same success rates when rehabilitating an individual with mental health issues</w:t>
      </w:r>
      <w:r w:rsidR="003A166E">
        <w:rPr>
          <w:rFonts w:ascii="Times New Roman" w:hAnsi="Times New Roman" w:cs="Times New Roman"/>
          <w:sz w:val="28"/>
          <w:szCs w:val="28"/>
        </w:rPr>
        <w:t xml:space="preserve"> (Lord,2016) or another form of vulnerability. </w:t>
      </w:r>
      <w:r w:rsidR="00AE0355">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sidR="00AE0355">
        <w:rPr>
          <w:rFonts w:ascii="Times New Roman" w:hAnsi="Times New Roman" w:cs="Times New Roman"/>
          <w:sz w:val="28"/>
          <w:szCs w:val="28"/>
        </w:rPr>
        <w:t xml:space="preserve"> (2011) seemed to lack enthusiasm for the motivating nature of the GLM </w:t>
      </w:r>
      <w:r w:rsidR="008717C8">
        <w:rPr>
          <w:rFonts w:ascii="Times New Roman" w:hAnsi="Times New Roman" w:cs="Times New Roman"/>
          <w:sz w:val="28"/>
          <w:szCs w:val="28"/>
        </w:rPr>
        <w:t xml:space="preserve">with his many critiques of the methods used within the framework. However, </w:t>
      </w:r>
      <w:proofErr w:type="spellStart"/>
      <w:proofErr w:type="gramStart"/>
      <w:r w:rsidR="008717C8">
        <w:rPr>
          <w:rFonts w:ascii="Times New Roman" w:hAnsi="Times New Roman" w:cs="Times New Roman"/>
          <w:sz w:val="28"/>
          <w:szCs w:val="28"/>
        </w:rPr>
        <w:t>Ward</w:t>
      </w:r>
      <w:r w:rsidR="00C4689C">
        <w:rPr>
          <w:rFonts w:ascii="Times New Roman" w:hAnsi="Times New Roman" w:cs="Times New Roman"/>
          <w:sz w:val="28"/>
          <w:szCs w:val="28"/>
        </w:rPr>
        <w:t>,Yates</w:t>
      </w:r>
      <w:proofErr w:type="gramEnd"/>
      <w:r w:rsidR="00C4689C">
        <w:rPr>
          <w:rFonts w:ascii="Times New Roman" w:hAnsi="Times New Roman" w:cs="Times New Roman"/>
          <w:sz w:val="28"/>
          <w:szCs w:val="28"/>
        </w:rPr>
        <w:t>,Willis</w:t>
      </w:r>
      <w:proofErr w:type="spellEnd"/>
      <w:r w:rsidR="008717C8">
        <w:rPr>
          <w:rFonts w:ascii="Times New Roman" w:hAnsi="Times New Roman" w:cs="Times New Roman"/>
          <w:sz w:val="28"/>
          <w:szCs w:val="28"/>
        </w:rPr>
        <w:t xml:space="preserve"> (</w:t>
      </w:r>
      <w:r w:rsidR="00EC29A0">
        <w:rPr>
          <w:rFonts w:ascii="Times New Roman" w:hAnsi="Times New Roman" w:cs="Times New Roman"/>
          <w:sz w:val="28"/>
          <w:szCs w:val="28"/>
        </w:rPr>
        <w:t>2012</w:t>
      </w:r>
      <w:r w:rsidR="008717C8">
        <w:rPr>
          <w:rFonts w:ascii="Times New Roman" w:hAnsi="Times New Roman" w:cs="Times New Roman"/>
          <w:sz w:val="28"/>
          <w:szCs w:val="28"/>
        </w:rPr>
        <w:t>)</w:t>
      </w:r>
      <w:r w:rsidR="00C4689C">
        <w:rPr>
          <w:rFonts w:ascii="Times New Roman" w:hAnsi="Times New Roman" w:cs="Times New Roman"/>
          <w:sz w:val="28"/>
          <w:szCs w:val="28"/>
        </w:rPr>
        <w:t xml:space="preserve"> &amp;</w:t>
      </w:r>
      <w:r w:rsidR="008717C8">
        <w:rPr>
          <w:rFonts w:ascii="Times New Roman" w:hAnsi="Times New Roman" w:cs="Times New Roman"/>
          <w:sz w:val="28"/>
          <w:szCs w:val="28"/>
        </w:rPr>
        <w:t xml:space="preserve"> Yates (2009) </w:t>
      </w:r>
      <w:r w:rsidR="00C4689C">
        <w:rPr>
          <w:rFonts w:ascii="Times New Roman" w:hAnsi="Times New Roman" w:cs="Times New Roman"/>
          <w:sz w:val="28"/>
          <w:szCs w:val="28"/>
        </w:rPr>
        <w:t xml:space="preserve">suggested </w:t>
      </w:r>
      <w:r w:rsidR="008717C8">
        <w:rPr>
          <w:rFonts w:ascii="Times New Roman" w:hAnsi="Times New Roman" w:cs="Times New Roman"/>
          <w:sz w:val="28"/>
          <w:szCs w:val="28"/>
        </w:rPr>
        <w:t>that offenders are far more motivated by positive goals involved within the primary and secondary goods process than when an offender focuses solely on risks and avoidance as put forward by the RNR model</w:t>
      </w:r>
      <w:r w:rsidR="00B446CD">
        <w:rPr>
          <w:rFonts w:ascii="Times New Roman" w:hAnsi="Times New Roman" w:cs="Times New Roman"/>
          <w:sz w:val="28"/>
          <w:szCs w:val="28"/>
        </w:rPr>
        <w:t>.</w:t>
      </w:r>
      <w:r w:rsidR="00B32B15">
        <w:rPr>
          <w:rFonts w:ascii="Times New Roman" w:hAnsi="Times New Roman" w:cs="Times New Roman"/>
          <w:sz w:val="28"/>
          <w:szCs w:val="28"/>
        </w:rPr>
        <w:t xml:space="preserve"> </w:t>
      </w:r>
    </w:p>
    <w:p w14:paraId="4D569C3D" w14:textId="66F779A4" w:rsidR="00FB1A94" w:rsidRDefault="00B446CD">
      <w:pPr>
        <w:rPr>
          <w:rFonts w:ascii="Times New Roman" w:hAnsi="Times New Roman" w:cs="Times New Roman"/>
          <w:sz w:val="28"/>
          <w:szCs w:val="28"/>
        </w:rPr>
      </w:pPr>
      <w:r>
        <w:rPr>
          <w:rFonts w:ascii="Times New Roman" w:hAnsi="Times New Roman" w:cs="Times New Roman"/>
          <w:caps/>
          <w:sz w:val="28"/>
          <w:szCs w:val="28"/>
        </w:rPr>
        <w:t>A</w:t>
      </w:r>
      <w:r w:rsidR="00B32B15">
        <w:rPr>
          <w:rFonts w:ascii="Times New Roman" w:hAnsi="Times New Roman" w:cs="Times New Roman"/>
          <w:sz w:val="28"/>
          <w:szCs w:val="28"/>
        </w:rPr>
        <w:t xml:space="preserve"> major weakness with this article is the inaccuracy of the title as it suggests that Andrew</w:t>
      </w:r>
      <w:r w:rsidR="002D259D">
        <w:rPr>
          <w:rFonts w:ascii="Times New Roman" w:hAnsi="Times New Roman" w:cs="Times New Roman"/>
          <w:sz w:val="28"/>
          <w:szCs w:val="28"/>
        </w:rPr>
        <w:t xml:space="preserve"> et al</w:t>
      </w:r>
      <w:r w:rsidR="003A166E">
        <w:rPr>
          <w:rFonts w:ascii="Times New Roman" w:hAnsi="Times New Roman" w:cs="Times New Roman"/>
          <w:sz w:val="28"/>
          <w:szCs w:val="28"/>
        </w:rPr>
        <w:t xml:space="preserve"> (2011)</w:t>
      </w:r>
      <w:r w:rsidR="002D259D">
        <w:rPr>
          <w:rFonts w:ascii="Times New Roman" w:hAnsi="Times New Roman" w:cs="Times New Roman"/>
          <w:sz w:val="28"/>
          <w:szCs w:val="28"/>
        </w:rPr>
        <w:t xml:space="preserve"> </w:t>
      </w:r>
      <w:r w:rsidR="00B32B15">
        <w:rPr>
          <w:rFonts w:ascii="Times New Roman" w:hAnsi="Times New Roman" w:cs="Times New Roman"/>
          <w:sz w:val="28"/>
          <w:szCs w:val="28"/>
        </w:rPr>
        <w:t>intended to investigate if the GLM could be an enhancement of the RNR model. However, Andrew</w:t>
      </w:r>
      <w:r w:rsidR="002D259D">
        <w:rPr>
          <w:rFonts w:ascii="Times New Roman" w:hAnsi="Times New Roman" w:cs="Times New Roman"/>
          <w:sz w:val="28"/>
          <w:szCs w:val="28"/>
        </w:rPr>
        <w:t xml:space="preserve"> et al</w:t>
      </w:r>
      <w:r w:rsidR="003A166E">
        <w:rPr>
          <w:rFonts w:ascii="Times New Roman" w:hAnsi="Times New Roman" w:cs="Times New Roman"/>
          <w:sz w:val="28"/>
          <w:szCs w:val="28"/>
        </w:rPr>
        <w:t xml:space="preserve"> (2011)</w:t>
      </w:r>
      <w:r w:rsidR="002D259D">
        <w:rPr>
          <w:rFonts w:ascii="Times New Roman" w:hAnsi="Times New Roman" w:cs="Times New Roman"/>
          <w:sz w:val="28"/>
          <w:szCs w:val="28"/>
        </w:rPr>
        <w:t xml:space="preserve"> </w:t>
      </w:r>
      <w:r w:rsidR="00B32B15">
        <w:rPr>
          <w:rFonts w:ascii="Times New Roman" w:hAnsi="Times New Roman" w:cs="Times New Roman"/>
          <w:sz w:val="28"/>
          <w:szCs w:val="28"/>
        </w:rPr>
        <w:t>seems to compare the models and not without biased, the matter o</w:t>
      </w:r>
      <w:r>
        <w:rPr>
          <w:rFonts w:ascii="Times New Roman" w:hAnsi="Times New Roman" w:cs="Times New Roman"/>
          <w:sz w:val="28"/>
          <w:szCs w:val="28"/>
        </w:rPr>
        <w:t>n</w:t>
      </w:r>
      <w:r w:rsidR="00B32B15">
        <w:rPr>
          <w:rFonts w:ascii="Times New Roman" w:hAnsi="Times New Roman" w:cs="Times New Roman"/>
          <w:sz w:val="28"/>
          <w:szCs w:val="28"/>
        </w:rPr>
        <w:t xml:space="preserve"> if the GLM could enhance the RNR is not adequately discussed. (Ward</w:t>
      </w:r>
      <w:r w:rsidR="00986469">
        <w:rPr>
          <w:rFonts w:ascii="Times New Roman" w:hAnsi="Times New Roman" w:cs="Times New Roman"/>
          <w:sz w:val="28"/>
          <w:szCs w:val="28"/>
        </w:rPr>
        <w:t xml:space="preserve"> et al</w:t>
      </w:r>
      <w:r w:rsidR="00B32B15">
        <w:rPr>
          <w:rFonts w:ascii="Times New Roman" w:hAnsi="Times New Roman" w:cs="Times New Roman"/>
          <w:sz w:val="28"/>
          <w:szCs w:val="28"/>
        </w:rPr>
        <w:t>,</w:t>
      </w:r>
      <w:r w:rsidR="00EC29A0">
        <w:rPr>
          <w:rFonts w:ascii="Times New Roman" w:hAnsi="Times New Roman" w:cs="Times New Roman"/>
          <w:sz w:val="28"/>
          <w:szCs w:val="28"/>
        </w:rPr>
        <w:t xml:space="preserve"> 2012</w:t>
      </w:r>
      <w:r w:rsidR="00B32B15">
        <w:rPr>
          <w:rFonts w:ascii="Times New Roman" w:hAnsi="Times New Roman" w:cs="Times New Roman"/>
          <w:sz w:val="28"/>
          <w:szCs w:val="28"/>
        </w:rPr>
        <w:t>)</w:t>
      </w:r>
      <w:r w:rsidR="003A166E">
        <w:rPr>
          <w:rFonts w:ascii="Times New Roman" w:hAnsi="Times New Roman" w:cs="Times New Roman"/>
          <w:sz w:val="28"/>
          <w:szCs w:val="28"/>
        </w:rPr>
        <w:t xml:space="preserve"> </w:t>
      </w:r>
      <w:r w:rsidR="00E13D5A">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sidR="00E13D5A">
        <w:rPr>
          <w:rFonts w:ascii="Times New Roman" w:hAnsi="Times New Roman" w:cs="Times New Roman"/>
          <w:sz w:val="28"/>
          <w:szCs w:val="28"/>
        </w:rPr>
        <w:t xml:space="preserve"> (2011) discussed human behaviour in this article in relation to how a person should be intrinsically motivated and does</w:t>
      </w:r>
      <w:r w:rsidR="003A166E">
        <w:rPr>
          <w:rFonts w:ascii="Times New Roman" w:hAnsi="Times New Roman" w:cs="Times New Roman"/>
          <w:sz w:val="28"/>
          <w:szCs w:val="28"/>
        </w:rPr>
        <w:t xml:space="preserve"> not</w:t>
      </w:r>
      <w:r w:rsidR="00E13D5A">
        <w:rPr>
          <w:rFonts w:ascii="Times New Roman" w:hAnsi="Times New Roman" w:cs="Times New Roman"/>
          <w:sz w:val="28"/>
          <w:szCs w:val="28"/>
        </w:rPr>
        <w:t xml:space="preserve"> believe that human behaviour can be accurately reflected through rewards. However, Ward</w:t>
      </w:r>
      <w:r w:rsidR="00986469">
        <w:rPr>
          <w:rFonts w:ascii="Times New Roman" w:hAnsi="Times New Roman" w:cs="Times New Roman"/>
          <w:sz w:val="28"/>
          <w:szCs w:val="28"/>
        </w:rPr>
        <w:t xml:space="preserve"> et al</w:t>
      </w:r>
      <w:r w:rsidR="00E13D5A">
        <w:rPr>
          <w:rFonts w:ascii="Times New Roman" w:hAnsi="Times New Roman" w:cs="Times New Roman"/>
          <w:sz w:val="28"/>
          <w:szCs w:val="28"/>
        </w:rPr>
        <w:t xml:space="preserve"> (</w:t>
      </w:r>
      <w:r w:rsidR="00EC29A0">
        <w:rPr>
          <w:rFonts w:ascii="Times New Roman" w:hAnsi="Times New Roman" w:cs="Times New Roman"/>
          <w:sz w:val="28"/>
          <w:szCs w:val="28"/>
        </w:rPr>
        <w:t>2012</w:t>
      </w:r>
      <w:r w:rsidR="00E13D5A">
        <w:rPr>
          <w:rFonts w:ascii="Times New Roman" w:hAnsi="Times New Roman" w:cs="Times New Roman"/>
          <w:sz w:val="28"/>
          <w:szCs w:val="28"/>
        </w:rPr>
        <w:t>) suggested that Andrews</w:t>
      </w:r>
      <w:r w:rsidR="002D259D">
        <w:rPr>
          <w:rFonts w:ascii="Times New Roman" w:hAnsi="Times New Roman" w:cs="Times New Roman"/>
          <w:sz w:val="28"/>
          <w:szCs w:val="28"/>
        </w:rPr>
        <w:t xml:space="preserve"> et al</w:t>
      </w:r>
      <w:r w:rsidR="00E13D5A">
        <w:rPr>
          <w:rFonts w:ascii="Times New Roman" w:hAnsi="Times New Roman" w:cs="Times New Roman"/>
          <w:sz w:val="28"/>
          <w:szCs w:val="28"/>
        </w:rPr>
        <w:t xml:space="preserve"> (2011) had neglected to express the link between intrinsic motivation and behavioural change which is the crucial goal of implementing primary and secondary goods into the offender</w:t>
      </w:r>
      <w:r w:rsidR="00693C5C">
        <w:rPr>
          <w:rFonts w:ascii="Times New Roman" w:hAnsi="Times New Roman" w:cs="Times New Roman"/>
          <w:sz w:val="28"/>
          <w:szCs w:val="28"/>
        </w:rPr>
        <w:t>’</w:t>
      </w:r>
      <w:r w:rsidR="00E13D5A">
        <w:rPr>
          <w:rFonts w:ascii="Times New Roman" w:hAnsi="Times New Roman" w:cs="Times New Roman"/>
          <w:sz w:val="28"/>
          <w:szCs w:val="28"/>
        </w:rPr>
        <w:t>s rehabilitation.</w:t>
      </w:r>
      <w:r w:rsidR="00AE0355">
        <w:rPr>
          <w:rFonts w:ascii="Times New Roman" w:hAnsi="Times New Roman" w:cs="Times New Roman"/>
          <w:sz w:val="28"/>
          <w:szCs w:val="28"/>
        </w:rPr>
        <w:t xml:space="preserve"> </w:t>
      </w:r>
    </w:p>
    <w:p w14:paraId="5F8E6658" w14:textId="266124CD" w:rsidR="00994AD7" w:rsidRDefault="00DD0A78">
      <w:pPr>
        <w:rPr>
          <w:rFonts w:ascii="Times New Roman" w:hAnsi="Times New Roman" w:cs="Times New Roman"/>
          <w:sz w:val="28"/>
          <w:szCs w:val="28"/>
        </w:rPr>
      </w:pPr>
      <w:r>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Pr>
          <w:rFonts w:ascii="Times New Roman" w:hAnsi="Times New Roman" w:cs="Times New Roman"/>
          <w:sz w:val="28"/>
          <w:szCs w:val="28"/>
        </w:rPr>
        <w:t xml:space="preserve"> (2011) also suggested that another weakness with GLM relates to individual differences and how people can have a varied opinion on what constitutes living a good life.</w:t>
      </w:r>
      <w:r w:rsidR="00862E89">
        <w:rPr>
          <w:rFonts w:ascii="Times New Roman" w:hAnsi="Times New Roman" w:cs="Times New Roman"/>
          <w:sz w:val="28"/>
          <w:szCs w:val="28"/>
        </w:rPr>
        <w:t xml:space="preserve"> For </w:t>
      </w:r>
      <w:r w:rsidR="0002610A">
        <w:rPr>
          <w:rFonts w:ascii="Times New Roman" w:hAnsi="Times New Roman" w:cs="Times New Roman"/>
          <w:sz w:val="28"/>
          <w:szCs w:val="28"/>
        </w:rPr>
        <w:t>instance,</w:t>
      </w:r>
      <w:r w:rsidR="00862E89">
        <w:rPr>
          <w:rFonts w:ascii="Times New Roman" w:hAnsi="Times New Roman" w:cs="Times New Roman"/>
          <w:sz w:val="28"/>
          <w:szCs w:val="28"/>
        </w:rPr>
        <w:t xml:space="preserve"> a certain type of offender could believe that the criminal acts they commit or taking illegal substances with their friends to increase their happiness could be viewed as a positive good by the individual</w:t>
      </w:r>
      <w:r w:rsidR="00B446CD">
        <w:rPr>
          <w:rFonts w:ascii="Times New Roman" w:hAnsi="Times New Roman" w:cs="Times New Roman"/>
          <w:sz w:val="28"/>
          <w:szCs w:val="28"/>
        </w:rPr>
        <w:t>,</w:t>
      </w:r>
      <w:r w:rsidR="00862E89">
        <w:rPr>
          <w:rFonts w:ascii="Times New Roman" w:hAnsi="Times New Roman" w:cs="Times New Roman"/>
          <w:sz w:val="28"/>
          <w:szCs w:val="28"/>
        </w:rPr>
        <w:t xml:space="preserve"> Andrew</w:t>
      </w:r>
      <w:r w:rsidR="00B446CD">
        <w:rPr>
          <w:rFonts w:ascii="Times New Roman" w:hAnsi="Times New Roman" w:cs="Times New Roman"/>
          <w:sz w:val="28"/>
          <w:szCs w:val="28"/>
        </w:rPr>
        <w:t>’s</w:t>
      </w:r>
      <w:r w:rsidR="002D259D">
        <w:rPr>
          <w:rFonts w:ascii="Times New Roman" w:hAnsi="Times New Roman" w:cs="Times New Roman"/>
          <w:sz w:val="28"/>
          <w:szCs w:val="28"/>
        </w:rPr>
        <w:t xml:space="preserve"> et al</w:t>
      </w:r>
      <w:r w:rsidR="00862E89">
        <w:rPr>
          <w:rFonts w:ascii="Times New Roman" w:hAnsi="Times New Roman" w:cs="Times New Roman"/>
          <w:sz w:val="28"/>
          <w:szCs w:val="28"/>
        </w:rPr>
        <w:t xml:space="preserve"> </w:t>
      </w:r>
      <w:r w:rsidR="0002610A">
        <w:rPr>
          <w:rFonts w:ascii="Times New Roman" w:hAnsi="Times New Roman" w:cs="Times New Roman"/>
          <w:sz w:val="28"/>
          <w:szCs w:val="28"/>
        </w:rPr>
        <w:t xml:space="preserve">(2011) expressed how this critique had been used frequently </w:t>
      </w:r>
      <w:proofErr w:type="gramStart"/>
      <w:r w:rsidR="0002610A">
        <w:rPr>
          <w:rFonts w:ascii="Times New Roman" w:hAnsi="Times New Roman" w:cs="Times New Roman"/>
          <w:sz w:val="28"/>
          <w:szCs w:val="28"/>
        </w:rPr>
        <w:t>in reference to</w:t>
      </w:r>
      <w:proofErr w:type="gramEnd"/>
      <w:r w:rsidR="0002610A">
        <w:rPr>
          <w:rFonts w:ascii="Times New Roman" w:hAnsi="Times New Roman" w:cs="Times New Roman"/>
          <w:sz w:val="28"/>
          <w:szCs w:val="28"/>
        </w:rPr>
        <w:t xml:space="preserve"> the GLM. However, Ward</w:t>
      </w:r>
      <w:r w:rsidR="00986469">
        <w:rPr>
          <w:rFonts w:ascii="Times New Roman" w:hAnsi="Times New Roman" w:cs="Times New Roman"/>
          <w:sz w:val="28"/>
          <w:szCs w:val="28"/>
        </w:rPr>
        <w:t xml:space="preserve"> et al</w:t>
      </w:r>
      <w:r w:rsidR="0002610A">
        <w:rPr>
          <w:rFonts w:ascii="Times New Roman" w:hAnsi="Times New Roman" w:cs="Times New Roman"/>
          <w:sz w:val="28"/>
          <w:szCs w:val="28"/>
        </w:rPr>
        <w:t xml:space="preserve"> (</w:t>
      </w:r>
      <w:r w:rsidR="00EC29A0">
        <w:rPr>
          <w:rFonts w:ascii="Times New Roman" w:hAnsi="Times New Roman" w:cs="Times New Roman"/>
          <w:sz w:val="28"/>
          <w:szCs w:val="28"/>
        </w:rPr>
        <w:t>2012</w:t>
      </w:r>
      <w:r w:rsidR="0002610A">
        <w:rPr>
          <w:rFonts w:ascii="Times New Roman" w:hAnsi="Times New Roman" w:cs="Times New Roman"/>
          <w:sz w:val="28"/>
          <w:szCs w:val="28"/>
        </w:rPr>
        <w:t>) discussed that the GLM model uses assessment to analyse the offender’s perception of primary and secondary goods, by investigating what the offender enjoys? Or what satisfies them? Creating primary goods and allowing the rehabilitation programme to affirm suitable secondary goals based on this information. Andrews</w:t>
      </w:r>
      <w:r w:rsidR="002D259D">
        <w:rPr>
          <w:rFonts w:ascii="Times New Roman" w:hAnsi="Times New Roman" w:cs="Times New Roman"/>
          <w:sz w:val="28"/>
          <w:szCs w:val="28"/>
        </w:rPr>
        <w:t xml:space="preserve"> et al</w:t>
      </w:r>
      <w:r w:rsidR="0002610A">
        <w:rPr>
          <w:rFonts w:ascii="Times New Roman" w:hAnsi="Times New Roman" w:cs="Times New Roman"/>
          <w:sz w:val="28"/>
          <w:szCs w:val="28"/>
        </w:rPr>
        <w:t xml:space="preserve"> (2011) article places a big emphasis on the risks of the offender however, Ward</w:t>
      </w:r>
      <w:r w:rsidR="00986469">
        <w:rPr>
          <w:rFonts w:ascii="Times New Roman" w:hAnsi="Times New Roman" w:cs="Times New Roman"/>
          <w:sz w:val="28"/>
          <w:szCs w:val="28"/>
        </w:rPr>
        <w:t xml:space="preserve"> et al</w:t>
      </w:r>
      <w:r w:rsidR="0002610A">
        <w:rPr>
          <w:rFonts w:ascii="Times New Roman" w:hAnsi="Times New Roman" w:cs="Times New Roman"/>
          <w:sz w:val="28"/>
          <w:szCs w:val="28"/>
        </w:rPr>
        <w:t xml:space="preserve"> (</w:t>
      </w:r>
      <w:r w:rsidR="005A6006">
        <w:rPr>
          <w:rFonts w:ascii="Times New Roman" w:hAnsi="Times New Roman" w:cs="Times New Roman"/>
          <w:sz w:val="28"/>
          <w:szCs w:val="28"/>
        </w:rPr>
        <w:t>2012</w:t>
      </w:r>
      <w:r w:rsidR="0002610A">
        <w:rPr>
          <w:rFonts w:ascii="Times New Roman" w:hAnsi="Times New Roman" w:cs="Times New Roman"/>
          <w:sz w:val="28"/>
          <w:szCs w:val="28"/>
        </w:rPr>
        <w:t>) suggested that creating goods rather than just recording the risks for the offender to avoid</w:t>
      </w:r>
      <w:r w:rsidR="003A166E">
        <w:rPr>
          <w:rFonts w:ascii="Times New Roman" w:hAnsi="Times New Roman" w:cs="Times New Roman"/>
          <w:sz w:val="28"/>
          <w:szCs w:val="28"/>
        </w:rPr>
        <w:t>,</w:t>
      </w:r>
      <w:r w:rsidR="0002610A">
        <w:rPr>
          <w:rFonts w:ascii="Times New Roman" w:hAnsi="Times New Roman" w:cs="Times New Roman"/>
          <w:sz w:val="28"/>
          <w:szCs w:val="28"/>
        </w:rPr>
        <w:t xml:space="preserve"> allows the offender to gravitate into a more positive direction with clear indications of what they can and would </w:t>
      </w:r>
      <w:r w:rsidR="0002610A">
        <w:rPr>
          <w:rFonts w:ascii="Times New Roman" w:hAnsi="Times New Roman" w:cs="Times New Roman"/>
          <w:sz w:val="28"/>
          <w:szCs w:val="28"/>
        </w:rPr>
        <w:lastRenderedPageBreak/>
        <w:t xml:space="preserve">like to achieve. </w:t>
      </w:r>
      <w:r w:rsidR="00FB1A94">
        <w:rPr>
          <w:rFonts w:ascii="Times New Roman" w:hAnsi="Times New Roman" w:cs="Times New Roman"/>
          <w:sz w:val="28"/>
          <w:szCs w:val="28"/>
        </w:rPr>
        <w:t>Due to Andrews</w:t>
      </w:r>
      <w:r w:rsidR="002D259D">
        <w:rPr>
          <w:rFonts w:ascii="Times New Roman" w:hAnsi="Times New Roman" w:cs="Times New Roman"/>
          <w:sz w:val="28"/>
          <w:szCs w:val="28"/>
        </w:rPr>
        <w:t xml:space="preserve"> et al</w:t>
      </w:r>
      <w:r w:rsidR="00FB1A94">
        <w:rPr>
          <w:rFonts w:ascii="Times New Roman" w:hAnsi="Times New Roman" w:cs="Times New Roman"/>
          <w:sz w:val="28"/>
          <w:szCs w:val="28"/>
        </w:rPr>
        <w:t xml:space="preserve"> (2011) n</w:t>
      </w:r>
      <w:r w:rsidR="00B446CD">
        <w:rPr>
          <w:rFonts w:ascii="Times New Roman" w:hAnsi="Times New Roman" w:cs="Times New Roman"/>
          <w:sz w:val="28"/>
          <w:szCs w:val="28"/>
        </w:rPr>
        <w:t>oting</w:t>
      </w:r>
      <w:r w:rsidR="00FB1A94">
        <w:rPr>
          <w:rFonts w:ascii="Times New Roman" w:hAnsi="Times New Roman" w:cs="Times New Roman"/>
          <w:sz w:val="28"/>
          <w:szCs w:val="28"/>
        </w:rPr>
        <w:t xml:space="preserve"> the importance of identifying risks of the offender for successful rehabilitation he discussed in this article how he felt that concentrating mainly on the strengths of the offender was a flaw of the GLM. Although, Ward</w:t>
      </w:r>
      <w:r w:rsidR="00986469">
        <w:rPr>
          <w:rFonts w:ascii="Times New Roman" w:hAnsi="Times New Roman" w:cs="Times New Roman"/>
          <w:sz w:val="28"/>
          <w:szCs w:val="28"/>
        </w:rPr>
        <w:t xml:space="preserve"> et al</w:t>
      </w:r>
      <w:r w:rsidR="00FB1A94">
        <w:rPr>
          <w:rFonts w:ascii="Times New Roman" w:hAnsi="Times New Roman" w:cs="Times New Roman"/>
          <w:sz w:val="28"/>
          <w:szCs w:val="28"/>
        </w:rPr>
        <w:t xml:space="preserve"> (</w:t>
      </w:r>
      <w:r w:rsidR="00EC29A0">
        <w:rPr>
          <w:rFonts w:ascii="Times New Roman" w:hAnsi="Times New Roman" w:cs="Times New Roman"/>
          <w:sz w:val="28"/>
          <w:szCs w:val="28"/>
        </w:rPr>
        <w:t>2012</w:t>
      </w:r>
      <w:r w:rsidR="00FB1A94">
        <w:rPr>
          <w:rFonts w:ascii="Times New Roman" w:hAnsi="Times New Roman" w:cs="Times New Roman"/>
          <w:sz w:val="28"/>
          <w:szCs w:val="28"/>
        </w:rPr>
        <w:t xml:space="preserve">) felt this was an inaccurate description of the model as part of the GLM framework is to assess the risks of the offender, they are in no way overlooked whilst identifying primary and secondary goods. </w:t>
      </w:r>
      <w:r w:rsidR="00994AD7">
        <w:rPr>
          <w:rFonts w:ascii="Times New Roman" w:hAnsi="Times New Roman" w:cs="Times New Roman"/>
          <w:sz w:val="28"/>
          <w:szCs w:val="28"/>
        </w:rPr>
        <w:t>In this article Andrews</w:t>
      </w:r>
      <w:r w:rsidR="002D259D">
        <w:rPr>
          <w:rFonts w:ascii="Times New Roman" w:hAnsi="Times New Roman" w:cs="Times New Roman"/>
          <w:sz w:val="28"/>
          <w:szCs w:val="28"/>
        </w:rPr>
        <w:t xml:space="preserve"> et al</w:t>
      </w:r>
      <w:r w:rsidR="00994AD7">
        <w:rPr>
          <w:rFonts w:ascii="Times New Roman" w:hAnsi="Times New Roman" w:cs="Times New Roman"/>
          <w:sz w:val="28"/>
          <w:szCs w:val="28"/>
        </w:rPr>
        <w:t xml:space="preserve"> (2011) failed to explain the difference between primary and secondary goods whilst describing the GLM</w:t>
      </w:r>
      <w:r w:rsidR="00260E6E">
        <w:rPr>
          <w:rFonts w:ascii="Times New Roman" w:hAnsi="Times New Roman" w:cs="Times New Roman"/>
          <w:sz w:val="28"/>
          <w:szCs w:val="28"/>
        </w:rPr>
        <w:t>,</w:t>
      </w:r>
      <w:r w:rsidR="00B446CD">
        <w:rPr>
          <w:rFonts w:ascii="Times New Roman" w:hAnsi="Times New Roman" w:cs="Times New Roman"/>
          <w:sz w:val="28"/>
          <w:szCs w:val="28"/>
        </w:rPr>
        <w:t xml:space="preserve"> which is an integral part of the</w:t>
      </w:r>
      <w:r w:rsidR="00260E6E">
        <w:rPr>
          <w:rFonts w:ascii="Times New Roman" w:hAnsi="Times New Roman" w:cs="Times New Roman"/>
          <w:sz w:val="28"/>
          <w:szCs w:val="28"/>
        </w:rPr>
        <w:t xml:space="preserve"> GLM</w:t>
      </w:r>
      <w:r w:rsidR="00B446CD">
        <w:rPr>
          <w:rFonts w:ascii="Times New Roman" w:hAnsi="Times New Roman" w:cs="Times New Roman"/>
          <w:sz w:val="28"/>
          <w:szCs w:val="28"/>
        </w:rPr>
        <w:t xml:space="preserve"> framework.</w:t>
      </w:r>
      <w:r w:rsidR="00994AD7">
        <w:rPr>
          <w:rFonts w:ascii="Times New Roman" w:hAnsi="Times New Roman" w:cs="Times New Roman"/>
          <w:sz w:val="28"/>
          <w:szCs w:val="28"/>
        </w:rPr>
        <w:t xml:space="preserve"> </w:t>
      </w:r>
      <w:bookmarkStart w:id="0" w:name="_Hlk529626265"/>
    </w:p>
    <w:bookmarkEnd w:id="0"/>
    <w:p w14:paraId="63759740" w14:textId="6EE00DBA" w:rsidR="00DD0A78" w:rsidRDefault="00DD0A78">
      <w:pPr>
        <w:rPr>
          <w:rFonts w:ascii="Times New Roman" w:hAnsi="Times New Roman" w:cs="Times New Roman"/>
          <w:sz w:val="28"/>
          <w:szCs w:val="28"/>
        </w:rPr>
      </w:pPr>
      <w:r>
        <w:rPr>
          <w:rFonts w:ascii="Times New Roman" w:hAnsi="Times New Roman" w:cs="Times New Roman"/>
          <w:sz w:val="28"/>
          <w:szCs w:val="28"/>
        </w:rPr>
        <w:t>A weakness of the Andrews</w:t>
      </w:r>
      <w:r w:rsidR="002D259D">
        <w:rPr>
          <w:rFonts w:ascii="Times New Roman" w:hAnsi="Times New Roman" w:cs="Times New Roman"/>
          <w:sz w:val="28"/>
          <w:szCs w:val="28"/>
        </w:rPr>
        <w:t xml:space="preserve"> et al</w:t>
      </w:r>
      <w:r>
        <w:rPr>
          <w:rFonts w:ascii="Times New Roman" w:hAnsi="Times New Roman" w:cs="Times New Roman"/>
          <w:sz w:val="28"/>
          <w:szCs w:val="28"/>
        </w:rPr>
        <w:t xml:space="preserve"> (2011) article is the lack of success of rehabilitation rates based on the type of crime that has been committed. A comparison</w:t>
      </w:r>
      <w:r w:rsidR="00862E89">
        <w:rPr>
          <w:rFonts w:ascii="Times New Roman" w:hAnsi="Times New Roman" w:cs="Times New Roman"/>
          <w:sz w:val="28"/>
          <w:szCs w:val="28"/>
        </w:rPr>
        <w:t xml:space="preserve"> on the individual differences of an offender and the type of crime committed </w:t>
      </w:r>
      <w:r>
        <w:rPr>
          <w:rFonts w:ascii="Times New Roman" w:hAnsi="Times New Roman" w:cs="Times New Roman"/>
          <w:sz w:val="28"/>
          <w:szCs w:val="28"/>
        </w:rPr>
        <w:t>is needed</w:t>
      </w:r>
      <w:r w:rsidR="00862E89">
        <w:rPr>
          <w:rFonts w:ascii="Times New Roman" w:hAnsi="Times New Roman" w:cs="Times New Roman"/>
          <w:sz w:val="28"/>
          <w:szCs w:val="28"/>
        </w:rPr>
        <w:t>,</w:t>
      </w:r>
      <w:r>
        <w:rPr>
          <w:rFonts w:ascii="Times New Roman" w:hAnsi="Times New Roman" w:cs="Times New Roman"/>
          <w:sz w:val="28"/>
          <w:szCs w:val="28"/>
        </w:rPr>
        <w:t xml:space="preserve"> for the success</w:t>
      </w:r>
      <w:r w:rsidR="00862E89">
        <w:rPr>
          <w:rFonts w:ascii="Times New Roman" w:hAnsi="Times New Roman" w:cs="Times New Roman"/>
          <w:sz w:val="28"/>
          <w:szCs w:val="28"/>
        </w:rPr>
        <w:t xml:space="preserve"> rat</w:t>
      </w:r>
      <w:r w:rsidR="002D6768">
        <w:rPr>
          <w:rFonts w:ascii="Times New Roman" w:hAnsi="Times New Roman" w:cs="Times New Roman"/>
          <w:sz w:val="28"/>
          <w:szCs w:val="28"/>
        </w:rPr>
        <w:t xml:space="preserve">e </w:t>
      </w:r>
      <w:r w:rsidR="00017049">
        <w:rPr>
          <w:rFonts w:ascii="Times New Roman" w:hAnsi="Times New Roman" w:cs="Times New Roman"/>
          <w:sz w:val="28"/>
          <w:szCs w:val="28"/>
        </w:rPr>
        <w:t xml:space="preserve">to be investigated </w:t>
      </w:r>
      <w:r w:rsidR="00260E6E">
        <w:rPr>
          <w:rFonts w:ascii="Times New Roman" w:hAnsi="Times New Roman" w:cs="Times New Roman"/>
          <w:sz w:val="28"/>
          <w:szCs w:val="28"/>
        </w:rPr>
        <w:t>thoroughly for the RNR and f</w:t>
      </w:r>
      <w:r w:rsidR="00862E89">
        <w:rPr>
          <w:rFonts w:ascii="Times New Roman" w:hAnsi="Times New Roman" w:cs="Times New Roman"/>
          <w:sz w:val="28"/>
          <w:szCs w:val="28"/>
        </w:rPr>
        <w:t>or</w:t>
      </w:r>
      <w:r w:rsidR="00260E6E">
        <w:rPr>
          <w:rFonts w:ascii="Times New Roman" w:hAnsi="Times New Roman" w:cs="Times New Roman"/>
          <w:sz w:val="28"/>
          <w:szCs w:val="28"/>
        </w:rPr>
        <w:t xml:space="preserve"> future</w:t>
      </w:r>
      <w:r w:rsidR="00862E89">
        <w:rPr>
          <w:rFonts w:ascii="Times New Roman" w:hAnsi="Times New Roman" w:cs="Times New Roman"/>
          <w:sz w:val="28"/>
          <w:szCs w:val="28"/>
        </w:rPr>
        <w:t xml:space="preserve"> research to be able</w:t>
      </w:r>
      <w:r>
        <w:rPr>
          <w:rFonts w:ascii="Times New Roman" w:hAnsi="Times New Roman" w:cs="Times New Roman"/>
          <w:sz w:val="28"/>
          <w:szCs w:val="28"/>
        </w:rPr>
        <w:t xml:space="preserve"> to </w:t>
      </w:r>
      <w:r w:rsidR="00780842">
        <w:rPr>
          <w:rFonts w:ascii="Times New Roman" w:hAnsi="Times New Roman" w:cs="Times New Roman"/>
          <w:sz w:val="28"/>
          <w:szCs w:val="28"/>
        </w:rPr>
        <w:t>determine the success rate of</w:t>
      </w:r>
      <w:r w:rsidR="00260E6E">
        <w:rPr>
          <w:rFonts w:ascii="Times New Roman" w:hAnsi="Times New Roman" w:cs="Times New Roman"/>
          <w:sz w:val="28"/>
          <w:szCs w:val="28"/>
        </w:rPr>
        <w:t xml:space="preserve"> both models</w:t>
      </w:r>
      <w:r w:rsidR="00780842">
        <w:rPr>
          <w:rFonts w:ascii="Times New Roman" w:hAnsi="Times New Roman" w:cs="Times New Roman"/>
          <w:sz w:val="28"/>
          <w:szCs w:val="28"/>
        </w:rPr>
        <w:t xml:space="preserve"> working toget</w:t>
      </w:r>
      <w:r w:rsidR="00862E89">
        <w:rPr>
          <w:rFonts w:ascii="Times New Roman" w:hAnsi="Times New Roman" w:cs="Times New Roman"/>
          <w:sz w:val="28"/>
          <w:szCs w:val="28"/>
        </w:rPr>
        <w:t>her</w:t>
      </w:r>
      <w:r w:rsidR="00FB1A94">
        <w:rPr>
          <w:rFonts w:ascii="Times New Roman" w:hAnsi="Times New Roman" w:cs="Times New Roman"/>
          <w:sz w:val="28"/>
          <w:szCs w:val="28"/>
        </w:rPr>
        <w:t xml:space="preserve"> in all areas of </w:t>
      </w:r>
      <w:r w:rsidR="00686B9A">
        <w:rPr>
          <w:rFonts w:ascii="Times New Roman" w:hAnsi="Times New Roman" w:cs="Times New Roman"/>
          <w:sz w:val="28"/>
          <w:szCs w:val="28"/>
        </w:rPr>
        <w:t>rehabilitation. (</w:t>
      </w:r>
      <w:r w:rsidR="00EC29A0">
        <w:rPr>
          <w:rFonts w:ascii="Times New Roman" w:hAnsi="Times New Roman" w:cs="Times New Roman"/>
          <w:sz w:val="28"/>
          <w:szCs w:val="28"/>
        </w:rPr>
        <w:t>Yates,2009</w:t>
      </w:r>
      <w:r w:rsidR="001671A7">
        <w:rPr>
          <w:rFonts w:ascii="Times New Roman" w:hAnsi="Times New Roman" w:cs="Times New Roman"/>
          <w:sz w:val="28"/>
          <w:szCs w:val="28"/>
        </w:rPr>
        <w:t>)</w:t>
      </w:r>
    </w:p>
    <w:p w14:paraId="54C0F61E" w14:textId="0924D210" w:rsidR="008E0D01" w:rsidRDefault="00086E3A" w:rsidP="008E0D01">
      <w:pPr>
        <w:rPr>
          <w:rFonts w:ascii="Times New Roman" w:hAnsi="Times New Roman" w:cs="Times New Roman"/>
          <w:sz w:val="28"/>
          <w:szCs w:val="28"/>
        </w:rPr>
      </w:pPr>
      <w:r>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Pr>
          <w:rFonts w:ascii="Times New Roman" w:hAnsi="Times New Roman" w:cs="Times New Roman"/>
          <w:sz w:val="28"/>
          <w:szCs w:val="28"/>
        </w:rPr>
        <w:t xml:space="preserve"> (2011) </w:t>
      </w:r>
      <w:r w:rsidR="00D765C1">
        <w:rPr>
          <w:rFonts w:ascii="Times New Roman" w:hAnsi="Times New Roman" w:cs="Times New Roman"/>
          <w:sz w:val="28"/>
          <w:szCs w:val="28"/>
        </w:rPr>
        <w:t>suggested that the GLM promotes the needs of the offender above criminogenic needs. However, Ward</w:t>
      </w:r>
      <w:r w:rsidR="00986469">
        <w:rPr>
          <w:rFonts w:ascii="Times New Roman" w:hAnsi="Times New Roman" w:cs="Times New Roman"/>
          <w:sz w:val="28"/>
          <w:szCs w:val="28"/>
        </w:rPr>
        <w:t xml:space="preserve"> et al</w:t>
      </w:r>
      <w:r w:rsidR="00D765C1">
        <w:rPr>
          <w:rFonts w:ascii="Times New Roman" w:hAnsi="Times New Roman" w:cs="Times New Roman"/>
          <w:sz w:val="28"/>
          <w:szCs w:val="28"/>
        </w:rPr>
        <w:t xml:space="preserve"> (</w:t>
      </w:r>
      <w:r w:rsidR="00EC29A0">
        <w:rPr>
          <w:rFonts w:ascii="Times New Roman" w:hAnsi="Times New Roman" w:cs="Times New Roman"/>
          <w:sz w:val="28"/>
          <w:szCs w:val="28"/>
        </w:rPr>
        <w:t>2012</w:t>
      </w:r>
      <w:r w:rsidR="00D765C1">
        <w:rPr>
          <w:rFonts w:ascii="Times New Roman" w:hAnsi="Times New Roman" w:cs="Times New Roman"/>
          <w:sz w:val="28"/>
          <w:szCs w:val="28"/>
        </w:rPr>
        <w:t>) stated the G</w:t>
      </w:r>
      <w:r w:rsidR="00260E6E">
        <w:rPr>
          <w:rFonts w:ascii="Times New Roman" w:hAnsi="Times New Roman" w:cs="Times New Roman"/>
          <w:sz w:val="28"/>
          <w:szCs w:val="28"/>
        </w:rPr>
        <w:t>LM</w:t>
      </w:r>
      <w:r w:rsidR="00D765C1">
        <w:rPr>
          <w:rFonts w:ascii="Times New Roman" w:hAnsi="Times New Roman" w:cs="Times New Roman"/>
          <w:sz w:val="28"/>
          <w:szCs w:val="28"/>
        </w:rPr>
        <w:t xml:space="preserve"> views human needs and criminogenic needs with equal importance. </w:t>
      </w:r>
      <w:r w:rsidR="008E0D01">
        <w:rPr>
          <w:rFonts w:ascii="Times New Roman" w:hAnsi="Times New Roman" w:cs="Times New Roman"/>
          <w:sz w:val="28"/>
          <w:szCs w:val="28"/>
        </w:rPr>
        <w:t>Andrews suggested that when an offender is aiming towards their own personal sense of well-being this does not mean that their action</w:t>
      </w:r>
      <w:r w:rsidR="00260E6E">
        <w:rPr>
          <w:rFonts w:ascii="Times New Roman" w:hAnsi="Times New Roman" w:cs="Times New Roman"/>
          <w:sz w:val="28"/>
          <w:szCs w:val="28"/>
        </w:rPr>
        <w:t>s</w:t>
      </w:r>
      <w:r w:rsidR="008E0D01">
        <w:rPr>
          <w:rFonts w:ascii="Times New Roman" w:hAnsi="Times New Roman" w:cs="Times New Roman"/>
          <w:sz w:val="28"/>
          <w:szCs w:val="28"/>
        </w:rPr>
        <w:t xml:space="preserve"> could not be harmful to society. Ward</w:t>
      </w:r>
      <w:r w:rsidR="00260E6E">
        <w:rPr>
          <w:rFonts w:ascii="Times New Roman" w:hAnsi="Times New Roman" w:cs="Times New Roman"/>
          <w:sz w:val="28"/>
          <w:szCs w:val="28"/>
        </w:rPr>
        <w:t xml:space="preserve"> et al (2012)</w:t>
      </w:r>
      <w:r w:rsidR="008E0D01">
        <w:rPr>
          <w:rFonts w:ascii="Times New Roman" w:hAnsi="Times New Roman" w:cs="Times New Roman"/>
          <w:sz w:val="28"/>
          <w:szCs w:val="28"/>
        </w:rPr>
        <w:t xml:space="preserve"> suggested this was an inaccurate method of describing the good strategy within the framework of the GLM</w:t>
      </w:r>
      <w:r w:rsidR="00260E6E">
        <w:rPr>
          <w:rFonts w:ascii="Times New Roman" w:hAnsi="Times New Roman" w:cs="Times New Roman"/>
          <w:sz w:val="28"/>
          <w:szCs w:val="28"/>
        </w:rPr>
        <w:t>.</w:t>
      </w:r>
      <w:r w:rsidR="008E0D01">
        <w:rPr>
          <w:rFonts w:ascii="Times New Roman" w:hAnsi="Times New Roman" w:cs="Times New Roman"/>
          <w:sz w:val="28"/>
          <w:szCs w:val="28"/>
        </w:rPr>
        <w:t xml:space="preserve"> </w:t>
      </w:r>
      <w:r w:rsidR="00260E6E">
        <w:rPr>
          <w:rFonts w:ascii="Times New Roman" w:hAnsi="Times New Roman" w:cs="Times New Roman"/>
          <w:sz w:val="28"/>
          <w:szCs w:val="28"/>
        </w:rPr>
        <w:t>I</w:t>
      </w:r>
      <w:r w:rsidR="008E0D01">
        <w:rPr>
          <w:rFonts w:ascii="Times New Roman" w:hAnsi="Times New Roman" w:cs="Times New Roman"/>
          <w:sz w:val="28"/>
          <w:szCs w:val="28"/>
        </w:rPr>
        <w:t>t is made clear that during the process of assessment, goals will be set for primary and secondary goods that adhere to the safety of the offender and society. Andrews</w:t>
      </w:r>
      <w:r w:rsidR="002D259D">
        <w:rPr>
          <w:rFonts w:ascii="Times New Roman" w:hAnsi="Times New Roman" w:cs="Times New Roman"/>
          <w:sz w:val="28"/>
          <w:szCs w:val="28"/>
        </w:rPr>
        <w:t xml:space="preserve"> et al</w:t>
      </w:r>
      <w:r w:rsidR="00260E6E">
        <w:rPr>
          <w:rFonts w:ascii="Times New Roman" w:hAnsi="Times New Roman" w:cs="Times New Roman"/>
          <w:sz w:val="28"/>
          <w:szCs w:val="28"/>
        </w:rPr>
        <w:t xml:space="preserve"> (2011)</w:t>
      </w:r>
      <w:r w:rsidR="008E0D01">
        <w:rPr>
          <w:rFonts w:ascii="Times New Roman" w:hAnsi="Times New Roman" w:cs="Times New Roman"/>
          <w:sz w:val="28"/>
          <w:szCs w:val="28"/>
        </w:rPr>
        <w:t xml:space="preserve"> further suggested this when discus</w:t>
      </w:r>
      <w:r w:rsidR="006F054A">
        <w:rPr>
          <w:rFonts w:ascii="Times New Roman" w:hAnsi="Times New Roman" w:cs="Times New Roman"/>
          <w:sz w:val="28"/>
          <w:szCs w:val="28"/>
        </w:rPr>
        <w:t>sing</w:t>
      </w:r>
      <w:r w:rsidR="008E0D01">
        <w:rPr>
          <w:rFonts w:ascii="Times New Roman" w:hAnsi="Times New Roman" w:cs="Times New Roman"/>
          <w:sz w:val="28"/>
          <w:szCs w:val="28"/>
        </w:rPr>
        <w:t xml:space="preserve"> how the goods promotion will ‘supersede criminogenic needs’ within the GLM framework. However, Ward</w:t>
      </w:r>
      <w:r w:rsidR="00986469">
        <w:rPr>
          <w:rFonts w:ascii="Times New Roman" w:hAnsi="Times New Roman" w:cs="Times New Roman"/>
          <w:sz w:val="28"/>
          <w:szCs w:val="28"/>
        </w:rPr>
        <w:t xml:space="preserve"> et al</w:t>
      </w:r>
      <w:r w:rsidR="008E0D01">
        <w:rPr>
          <w:rFonts w:ascii="Times New Roman" w:hAnsi="Times New Roman" w:cs="Times New Roman"/>
          <w:sz w:val="28"/>
          <w:szCs w:val="28"/>
        </w:rPr>
        <w:t xml:space="preserve"> (</w:t>
      </w:r>
      <w:r w:rsidR="00EC29A0">
        <w:rPr>
          <w:rFonts w:ascii="Times New Roman" w:hAnsi="Times New Roman" w:cs="Times New Roman"/>
          <w:sz w:val="28"/>
          <w:szCs w:val="28"/>
        </w:rPr>
        <w:t>2012</w:t>
      </w:r>
      <w:r w:rsidR="008E0D01">
        <w:rPr>
          <w:rFonts w:ascii="Times New Roman" w:hAnsi="Times New Roman" w:cs="Times New Roman"/>
          <w:sz w:val="28"/>
          <w:szCs w:val="28"/>
        </w:rPr>
        <w:t xml:space="preserve">) made it clear in the theory of GLM that the goods process will promote pro social behaviour. </w:t>
      </w:r>
      <w:proofErr w:type="spellStart"/>
      <w:r w:rsidR="002D6768">
        <w:rPr>
          <w:rFonts w:ascii="Times New Roman" w:hAnsi="Times New Roman" w:cs="Times New Roman"/>
          <w:sz w:val="28"/>
          <w:szCs w:val="28"/>
        </w:rPr>
        <w:t>Bonta</w:t>
      </w:r>
      <w:proofErr w:type="spellEnd"/>
      <w:r w:rsidR="00260E6E">
        <w:rPr>
          <w:rFonts w:ascii="Times New Roman" w:hAnsi="Times New Roman" w:cs="Times New Roman"/>
          <w:sz w:val="28"/>
          <w:szCs w:val="28"/>
        </w:rPr>
        <w:t xml:space="preserve"> &amp; </w:t>
      </w:r>
      <w:r w:rsidR="002D6768">
        <w:rPr>
          <w:rFonts w:ascii="Times New Roman" w:hAnsi="Times New Roman" w:cs="Times New Roman"/>
          <w:sz w:val="28"/>
          <w:szCs w:val="28"/>
        </w:rPr>
        <w:t xml:space="preserve">Andrews (2003) did not completely disregard a possible link between criminogenic needs and primary goods. Although maintained the argument that GLM needs to be operationalised and tested extensively for research to have a </w:t>
      </w:r>
      <w:r w:rsidR="00EC29A0">
        <w:rPr>
          <w:rFonts w:ascii="Times New Roman" w:hAnsi="Times New Roman" w:cs="Times New Roman"/>
          <w:sz w:val="28"/>
          <w:szCs w:val="28"/>
        </w:rPr>
        <w:t>clearer</w:t>
      </w:r>
      <w:r w:rsidR="002D6768">
        <w:rPr>
          <w:rFonts w:ascii="Times New Roman" w:hAnsi="Times New Roman" w:cs="Times New Roman"/>
          <w:sz w:val="28"/>
          <w:szCs w:val="28"/>
        </w:rPr>
        <w:t xml:space="preserve"> view on this.</w:t>
      </w:r>
    </w:p>
    <w:p w14:paraId="2D1F32C3" w14:textId="4BCB426E" w:rsidR="00E13D5A" w:rsidRDefault="00D765C1">
      <w:pPr>
        <w:rPr>
          <w:rFonts w:ascii="Times New Roman" w:hAnsi="Times New Roman" w:cs="Times New Roman"/>
          <w:sz w:val="28"/>
          <w:szCs w:val="28"/>
        </w:rPr>
      </w:pPr>
      <w:r>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sidR="00260E6E">
        <w:rPr>
          <w:rFonts w:ascii="Times New Roman" w:hAnsi="Times New Roman" w:cs="Times New Roman"/>
          <w:sz w:val="28"/>
          <w:szCs w:val="28"/>
        </w:rPr>
        <w:t xml:space="preserve"> (2011)</w:t>
      </w:r>
      <w:r>
        <w:rPr>
          <w:rFonts w:ascii="Times New Roman" w:hAnsi="Times New Roman" w:cs="Times New Roman"/>
          <w:sz w:val="28"/>
          <w:szCs w:val="28"/>
        </w:rPr>
        <w:t xml:space="preserve"> discussed how GLM suggests the need to hav</w:t>
      </w:r>
      <w:r w:rsidR="006F054A">
        <w:rPr>
          <w:rFonts w:ascii="Times New Roman" w:hAnsi="Times New Roman" w:cs="Times New Roman"/>
          <w:sz w:val="28"/>
          <w:szCs w:val="28"/>
        </w:rPr>
        <w:t>e respect for the offender whilst recognising the harm they may cause</w:t>
      </w:r>
      <w:r>
        <w:rPr>
          <w:rFonts w:ascii="Times New Roman" w:hAnsi="Times New Roman" w:cs="Times New Roman"/>
          <w:sz w:val="28"/>
          <w:szCs w:val="28"/>
        </w:rPr>
        <w:t>.</w:t>
      </w:r>
      <w:r w:rsidR="00260E6E">
        <w:rPr>
          <w:rFonts w:ascii="Times New Roman" w:hAnsi="Times New Roman" w:cs="Times New Roman"/>
          <w:sz w:val="28"/>
          <w:szCs w:val="28"/>
        </w:rPr>
        <w:t xml:space="preserve"> It was suggested by Ward et al (2012) that Andrews et al (2011) </w:t>
      </w:r>
      <w:r>
        <w:rPr>
          <w:rFonts w:ascii="Times New Roman" w:hAnsi="Times New Roman" w:cs="Times New Roman"/>
          <w:sz w:val="28"/>
          <w:szCs w:val="28"/>
        </w:rPr>
        <w:t>seemed to view having respect for offenders in a negative manner. Whereas, Ward</w:t>
      </w:r>
      <w:r w:rsidR="00986469">
        <w:rPr>
          <w:rFonts w:ascii="Times New Roman" w:hAnsi="Times New Roman" w:cs="Times New Roman"/>
          <w:sz w:val="28"/>
          <w:szCs w:val="28"/>
        </w:rPr>
        <w:t xml:space="preserve"> et al</w:t>
      </w:r>
      <w:r>
        <w:rPr>
          <w:rFonts w:ascii="Times New Roman" w:hAnsi="Times New Roman" w:cs="Times New Roman"/>
          <w:sz w:val="28"/>
          <w:szCs w:val="28"/>
        </w:rPr>
        <w:t xml:space="preserve"> (</w:t>
      </w:r>
      <w:r w:rsidR="00EC29A0">
        <w:rPr>
          <w:rFonts w:ascii="Times New Roman" w:hAnsi="Times New Roman" w:cs="Times New Roman"/>
          <w:sz w:val="28"/>
          <w:szCs w:val="28"/>
        </w:rPr>
        <w:t>2012</w:t>
      </w:r>
      <w:r>
        <w:rPr>
          <w:rFonts w:ascii="Times New Roman" w:hAnsi="Times New Roman" w:cs="Times New Roman"/>
          <w:sz w:val="28"/>
          <w:szCs w:val="28"/>
        </w:rPr>
        <w:t>) argued that this point needed clarification as respect is present within the GLM frame work as offenders need to be treated as human beings</w:t>
      </w:r>
      <w:r w:rsidR="006F054A">
        <w:rPr>
          <w:rFonts w:ascii="Times New Roman" w:hAnsi="Times New Roman" w:cs="Times New Roman"/>
          <w:sz w:val="28"/>
          <w:szCs w:val="28"/>
        </w:rPr>
        <w:t xml:space="preserve"> of equal matter</w:t>
      </w:r>
      <w:r>
        <w:rPr>
          <w:rFonts w:ascii="Times New Roman" w:hAnsi="Times New Roman" w:cs="Times New Roman"/>
          <w:sz w:val="28"/>
          <w:szCs w:val="28"/>
        </w:rPr>
        <w:t xml:space="preserve"> and not as less of a person due to offending</w:t>
      </w:r>
      <w:r w:rsidR="00260E6E">
        <w:rPr>
          <w:rFonts w:ascii="Times New Roman" w:hAnsi="Times New Roman" w:cs="Times New Roman"/>
          <w:sz w:val="28"/>
          <w:szCs w:val="28"/>
        </w:rPr>
        <w:t>.</w:t>
      </w:r>
      <w:r>
        <w:rPr>
          <w:rFonts w:ascii="Times New Roman" w:hAnsi="Times New Roman" w:cs="Times New Roman"/>
          <w:sz w:val="28"/>
          <w:szCs w:val="28"/>
        </w:rPr>
        <w:t xml:space="preserve"> </w:t>
      </w:r>
      <w:r w:rsidR="00260E6E">
        <w:rPr>
          <w:rFonts w:ascii="Times New Roman" w:hAnsi="Times New Roman" w:cs="Times New Roman"/>
          <w:sz w:val="28"/>
          <w:szCs w:val="28"/>
        </w:rPr>
        <w:t>A</w:t>
      </w:r>
      <w:r>
        <w:rPr>
          <w:rFonts w:ascii="Times New Roman" w:hAnsi="Times New Roman" w:cs="Times New Roman"/>
          <w:sz w:val="28"/>
          <w:szCs w:val="28"/>
        </w:rPr>
        <w:t xml:space="preserve">lthough this statement does not come without </w:t>
      </w:r>
      <w:r>
        <w:rPr>
          <w:rFonts w:ascii="Times New Roman" w:hAnsi="Times New Roman" w:cs="Times New Roman"/>
          <w:sz w:val="28"/>
          <w:szCs w:val="28"/>
        </w:rPr>
        <w:lastRenderedPageBreak/>
        <w:t>controversy it should still be noted that to manage an offender in this way allows the scope for positive behavioural change in the offender developing a positive view of their self</w:t>
      </w:r>
      <w:r w:rsidR="00E13D5A">
        <w:rPr>
          <w:rFonts w:ascii="Times New Roman" w:hAnsi="Times New Roman" w:cs="Times New Roman"/>
          <w:sz w:val="28"/>
          <w:szCs w:val="28"/>
        </w:rPr>
        <w:t>-</w:t>
      </w:r>
      <w:r>
        <w:rPr>
          <w:rFonts w:ascii="Times New Roman" w:hAnsi="Times New Roman" w:cs="Times New Roman"/>
          <w:sz w:val="28"/>
          <w:szCs w:val="28"/>
        </w:rPr>
        <w:t>worth</w:t>
      </w:r>
      <w:r w:rsidR="00E13D5A">
        <w:rPr>
          <w:rFonts w:ascii="Times New Roman" w:hAnsi="Times New Roman" w:cs="Times New Roman"/>
          <w:sz w:val="28"/>
          <w:szCs w:val="28"/>
        </w:rPr>
        <w:t>, instead of viewing themselves as a risk which can lead to a detrimental negative self-perception. Previous research has suggested that when the positivity route is taken the success rate of rehabilitation will rise. (</w:t>
      </w:r>
      <w:r w:rsidR="00EC29A0">
        <w:rPr>
          <w:rFonts w:ascii="Times New Roman" w:hAnsi="Times New Roman" w:cs="Times New Roman"/>
          <w:sz w:val="28"/>
          <w:szCs w:val="28"/>
        </w:rPr>
        <w:t>Ziv,2016</w:t>
      </w:r>
      <w:r w:rsidR="00E13D5A">
        <w:rPr>
          <w:rFonts w:ascii="Times New Roman" w:hAnsi="Times New Roman" w:cs="Times New Roman"/>
          <w:sz w:val="28"/>
          <w:szCs w:val="28"/>
        </w:rPr>
        <w:t>)</w:t>
      </w:r>
    </w:p>
    <w:p w14:paraId="3D637C35" w14:textId="26A62E5F" w:rsidR="00CB5B6F" w:rsidRDefault="00CB5B6F">
      <w:pPr>
        <w:rPr>
          <w:rFonts w:ascii="Times New Roman" w:hAnsi="Times New Roman" w:cs="Times New Roman"/>
          <w:sz w:val="28"/>
          <w:szCs w:val="28"/>
        </w:rPr>
      </w:pPr>
      <w:r>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Pr>
          <w:rFonts w:ascii="Times New Roman" w:hAnsi="Times New Roman" w:cs="Times New Roman"/>
          <w:sz w:val="28"/>
          <w:szCs w:val="28"/>
        </w:rPr>
        <w:t xml:space="preserve"> (2011) discussed issues with </w:t>
      </w:r>
      <w:r w:rsidR="00AD2A78">
        <w:rPr>
          <w:rFonts w:ascii="Times New Roman" w:hAnsi="Times New Roman" w:cs="Times New Roman"/>
          <w:sz w:val="28"/>
          <w:szCs w:val="28"/>
        </w:rPr>
        <w:t xml:space="preserve">integrating the RNR and GLM as a rehabilitation framework, suggesting that the RNR did not have a lot to gain by implementing the GLM. </w:t>
      </w:r>
      <w:r w:rsidR="00693C5C">
        <w:rPr>
          <w:rFonts w:ascii="Times New Roman" w:hAnsi="Times New Roman" w:cs="Times New Roman"/>
          <w:sz w:val="28"/>
          <w:szCs w:val="28"/>
        </w:rPr>
        <w:t xml:space="preserve">Extensive </w:t>
      </w:r>
      <w:r w:rsidR="00AD2A78">
        <w:rPr>
          <w:rFonts w:ascii="Times New Roman" w:hAnsi="Times New Roman" w:cs="Times New Roman"/>
          <w:sz w:val="28"/>
          <w:szCs w:val="28"/>
        </w:rPr>
        <w:t xml:space="preserve">research suggests that the strength of </w:t>
      </w:r>
      <w:r w:rsidR="00DD3087">
        <w:rPr>
          <w:rFonts w:ascii="Times New Roman" w:hAnsi="Times New Roman" w:cs="Times New Roman"/>
          <w:sz w:val="28"/>
          <w:szCs w:val="28"/>
        </w:rPr>
        <w:t>success for</w:t>
      </w:r>
      <w:r w:rsidR="00AD2A78">
        <w:rPr>
          <w:rFonts w:ascii="Times New Roman" w:hAnsi="Times New Roman" w:cs="Times New Roman"/>
          <w:sz w:val="28"/>
          <w:szCs w:val="28"/>
        </w:rPr>
        <w:t xml:space="preserve"> RNR outweighs the GLM. (</w:t>
      </w:r>
      <w:r w:rsidR="003C2433">
        <w:rPr>
          <w:rFonts w:ascii="Times New Roman" w:hAnsi="Times New Roman" w:cs="Times New Roman"/>
          <w:sz w:val="28"/>
          <w:szCs w:val="28"/>
        </w:rPr>
        <w:t>Bonta,2003</w:t>
      </w:r>
      <w:r w:rsidR="00AD2A78">
        <w:rPr>
          <w:rFonts w:ascii="Times New Roman" w:hAnsi="Times New Roman" w:cs="Times New Roman"/>
          <w:sz w:val="28"/>
          <w:szCs w:val="28"/>
        </w:rPr>
        <w:t>)</w:t>
      </w:r>
      <w:r w:rsidR="00DD3087">
        <w:rPr>
          <w:rFonts w:ascii="Times New Roman" w:hAnsi="Times New Roman" w:cs="Times New Roman"/>
          <w:sz w:val="28"/>
          <w:szCs w:val="28"/>
        </w:rPr>
        <w:t xml:space="preserve"> As Andrews</w:t>
      </w:r>
      <w:r w:rsidR="002D259D">
        <w:rPr>
          <w:rFonts w:ascii="Times New Roman" w:hAnsi="Times New Roman" w:cs="Times New Roman"/>
          <w:sz w:val="28"/>
          <w:szCs w:val="28"/>
        </w:rPr>
        <w:t xml:space="preserve"> </w:t>
      </w:r>
      <w:r w:rsidR="00986469">
        <w:rPr>
          <w:rFonts w:ascii="Times New Roman" w:hAnsi="Times New Roman" w:cs="Times New Roman"/>
          <w:sz w:val="28"/>
          <w:szCs w:val="28"/>
        </w:rPr>
        <w:t>et</w:t>
      </w:r>
      <w:r w:rsidR="002D259D">
        <w:rPr>
          <w:rFonts w:ascii="Times New Roman" w:hAnsi="Times New Roman" w:cs="Times New Roman"/>
          <w:sz w:val="28"/>
          <w:szCs w:val="28"/>
        </w:rPr>
        <w:t xml:space="preserve"> al</w:t>
      </w:r>
      <w:r w:rsidR="00DD3087">
        <w:rPr>
          <w:rFonts w:ascii="Times New Roman" w:hAnsi="Times New Roman" w:cs="Times New Roman"/>
          <w:sz w:val="28"/>
          <w:szCs w:val="28"/>
        </w:rPr>
        <w:t xml:space="preserve"> (2011) commented that there was nothing unique to be found in the GLM, Ward</w:t>
      </w:r>
      <w:r w:rsidR="00986469">
        <w:rPr>
          <w:rFonts w:ascii="Times New Roman" w:hAnsi="Times New Roman" w:cs="Times New Roman"/>
          <w:sz w:val="28"/>
          <w:szCs w:val="28"/>
        </w:rPr>
        <w:t xml:space="preserve"> et al</w:t>
      </w:r>
      <w:r w:rsidR="00DD3087">
        <w:rPr>
          <w:rFonts w:ascii="Times New Roman" w:hAnsi="Times New Roman" w:cs="Times New Roman"/>
          <w:sz w:val="28"/>
          <w:szCs w:val="28"/>
        </w:rPr>
        <w:t xml:space="preserve"> (</w:t>
      </w:r>
      <w:r w:rsidR="00EC29A0">
        <w:rPr>
          <w:rFonts w:ascii="Times New Roman" w:hAnsi="Times New Roman" w:cs="Times New Roman"/>
          <w:sz w:val="28"/>
          <w:szCs w:val="28"/>
        </w:rPr>
        <w:t>2012</w:t>
      </w:r>
      <w:r w:rsidR="00DD3087">
        <w:rPr>
          <w:rFonts w:ascii="Times New Roman" w:hAnsi="Times New Roman" w:cs="Times New Roman"/>
          <w:sz w:val="28"/>
          <w:szCs w:val="28"/>
        </w:rPr>
        <w:t>) retaliated to this comment expressing that the GLM is based on and can accommodate important aspects of the RNR</w:t>
      </w:r>
      <w:r w:rsidR="00260E6E">
        <w:rPr>
          <w:rFonts w:ascii="Times New Roman" w:hAnsi="Times New Roman" w:cs="Times New Roman"/>
          <w:sz w:val="28"/>
          <w:szCs w:val="28"/>
        </w:rPr>
        <w:t>.</w:t>
      </w:r>
      <w:r w:rsidR="00DD3087">
        <w:rPr>
          <w:rFonts w:ascii="Times New Roman" w:hAnsi="Times New Roman" w:cs="Times New Roman"/>
          <w:sz w:val="28"/>
          <w:szCs w:val="28"/>
        </w:rPr>
        <w:t xml:space="preserve"> </w:t>
      </w:r>
      <w:r w:rsidR="00260E6E">
        <w:rPr>
          <w:rFonts w:ascii="Times New Roman" w:hAnsi="Times New Roman" w:cs="Times New Roman"/>
          <w:sz w:val="28"/>
          <w:szCs w:val="28"/>
        </w:rPr>
        <w:t>H</w:t>
      </w:r>
      <w:r w:rsidR="00DD3087">
        <w:rPr>
          <w:rFonts w:ascii="Times New Roman" w:hAnsi="Times New Roman" w:cs="Times New Roman"/>
          <w:sz w:val="28"/>
          <w:szCs w:val="28"/>
        </w:rPr>
        <w:t>owever, the same cannot be said in reverse. This suggesting that there are levels of treatment for rehabilitation missing from the RNR framework. (</w:t>
      </w:r>
      <w:r w:rsidR="006409C0">
        <w:rPr>
          <w:rFonts w:ascii="Times New Roman" w:hAnsi="Times New Roman" w:cs="Times New Roman"/>
          <w:sz w:val="28"/>
          <w:szCs w:val="28"/>
        </w:rPr>
        <w:t>Z</w:t>
      </w:r>
      <w:r w:rsidR="00DD3087">
        <w:rPr>
          <w:rFonts w:ascii="Times New Roman" w:hAnsi="Times New Roman" w:cs="Times New Roman"/>
          <w:sz w:val="28"/>
          <w:szCs w:val="28"/>
        </w:rPr>
        <w:t>iv,2016) C</w:t>
      </w:r>
      <w:r w:rsidR="00AD2A78">
        <w:rPr>
          <w:rFonts w:ascii="Times New Roman" w:hAnsi="Times New Roman" w:cs="Times New Roman"/>
          <w:sz w:val="28"/>
          <w:szCs w:val="28"/>
        </w:rPr>
        <w:t>onsideration</w:t>
      </w:r>
      <w:r w:rsidR="00DD3087">
        <w:rPr>
          <w:rFonts w:ascii="Times New Roman" w:hAnsi="Times New Roman" w:cs="Times New Roman"/>
          <w:sz w:val="28"/>
          <w:szCs w:val="28"/>
        </w:rPr>
        <w:t xml:space="preserve"> also</w:t>
      </w:r>
      <w:r w:rsidR="00AD2A78">
        <w:rPr>
          <w:rFonts w:ascii="Times New Roman" w:hAnsi="Times New Roman" w:cs="Times New Roman"/>
          <w:sz w:val="28"/>
          <w:szCs w:val="28"/>
        </w:rPr>
        <w:t xml:space="preserve"> needs to be given to the time difference and research undertaken for each model</w:t>
      </w:r>
      <w:r w:rsidR="00DD3087">
        <w:rPr>
          <w:rFonts w:ascii="Times New Roman" w:hAnsi="Times New Roman" w:cs="Times New Roman"/>
          <w:sz w:val="28"/>
          <w:szCs w:val="28"/>
        </w:rPr>
        <w:t xml:space="preserve"> up until this point.</w:t>
      </w:r>
      <w:r w:rsidR="00693C5C">
        <w:rPr>
          <w:rFonts w:ascii="Times New Roman" w:hAnsi="Times New Roman" w:cs="Times New Roman"/>
          <w:sz w:val="28"/>
          <w:szCs w:val="28"/>
        </w:rPr>
        <w:t xml:space="preserve"> Ward</w:t>
      </w:r>
      <w:r w:rsidR="00986469">
        <w:rPr>
          <w:rFonts w:ascii="Times New Roman" w:hAnsi="Times New Roman" w:cs="Times New Roman"/>
          <w:sz w:val="28"/>
          <w:szCs w:val="28"/>
        </w:rPr>
        <w:t xml:space="preserve"> et al</w:t>
      </w:r>
      <w:r w:rsidR="00693C5C">
        <w:rPr>
          <w:rFonts w:ascii="Times New Roman" w:hAnsi="Times New Roman" w:cs="Times New Roman"/>
          <w:sz w:val="28"/>
          <w:szCs w:val="28"/>
        </w:rPr>
        <w:t xml:space="preserve"> (</w:t>
      </w:r>
      <w:r w:rsidR="00EC29A0">
        <w:rPr>
          <w:rFonts w:ascii="Times New Roman" w:hAnsi="Times New Roman" w:cs="Times New Roman"/>
          <w:sz w:val="28"/>
          <w:szCs w:val="28"/>
        </w:rPr>
        <w:t>2012</w:t>
      </w:r>
      <w:r w:rsidR="00693C5C">
        <w:rPr>
          <w:rFonts w:ascii="Times New Roman" w:hAnsi="Times New Roman" w:cs="Times New Roman"/>
          <w:sz w:val="28"/>
          <w:szCs w:val="28"/>
        </w:rPr>
        <w:t>) suggested</w:t>
      </w:r>
      <w:r w:rsidR="00AD2A78">
        <w:rPr>
          <w:rFonts w:ascii="Times New Roman" w:hAnsi="Times New Roman" w:cs="Times New Roman"/>
          <w:sz w:val="28"/>
          <w:szCs w:val="28"/>
        </w:rPr>
        <w:t xml:space="preserve"> </w:t>
      </w:r>
      <w:r w:rsidR="00693C5C">
        <w:rPr>
          <w:rFonts w:ascii="Times New Roman" w:hAnsi="Times New Roman" w:cs="Times New Roman"/>
          <w:sz w:val="28"/>
          <w:szCs w:val="28"/>
        </w:rPr>
        <w:t>that future research will identify over time that the GLM is not weaker than the RNR.</w:t>
      </w:r>
    </w:p>
    <w:p w14:paraId="0E6ABBEF" w14:textId="0D0E57F0" w:rsidR="008717C8" w:rsidRDefault="00AD2A78">
      <w:pPr>
        <w:rPr>
          <w:rFonts w:ascii="Times New Roman" w:hAnsi="Times New Roman" w:cs="Times New Roman"/>
          <w:sz w:val="28"/>
          <w:szCs w:val="28"/>
        </w:rPr>
      </w:pPr>
      <w:r>
        <w:rPr>
          <w:rFonts w:ascii="Times New Roman" w:hAnsi="Times New Roman" w:cs="Times New Roman"/>
          <w:sz w:val="28"/>
          <w:szCs w:val="28"/>
        </w:rPr>
        <w:t>Yates et al (2010) have conducted extensive research on sex offenders that fully integrated the RNR and GLM model</w:t>
      </w:r>
      <w:r w:rsidR="00002FEB">
        <w:rPr>
          <w:rFonts w:ascii="Times New Roman" w:hAnsi="Times New Roman" w:cs="Times New Roman"/>
          <w:sz w:val="28"/>
          <w:szCs w:val="28"/>
        </w:rPr>
        <w:t xml:space="preserve"> and found the results to be promising. Ward (2003) suggested that the GLM was a competent treatment when it came to sex offenders as it adopts a more self-regulating style of treatment, when treatment is based on the offender’s personal goals re</w:t>
      </w:r>
      <w:r w:rsidR="00701C5F">
        <w:rPr>
          <w:rFonts w:ascii="Times New Roman" w:hAnsi="Times New Roman" w:cs="Times New Roman"/>
          <w:sz w:val="28"/>
          <w:szCs w:val="28"/>
        </w:rPr>
        <w:t>garding</w:t>
      </w:r>
      <w:r w:rsidR="00002FEB">
        <w:rPr>
          <w:rFonts w:ascii="Times New Roman" w:hAnsi="Times New Roman" w:cs="Times New Roman"/>
          <w:sz w:val="28"/>
          <w:szCs w:val="28"/>
        </w:rPr>
        <w:t xml:space="preserve"> to which path they would like their life to take. </w:t>
      </w:r>
      <w:r w:rsidR="00701C5F">
        <w:rPr>
          <w:rFonts w:ascii="Times New Roman" w:hAnsi="Times New Roman" w:cs="Times New Roman"/>
          <w:sz w:val="28"/>
          <w:szCs w:val="28"/>
        </w:rPr>
        <w:t xml:space="preserve">The </w:t>
      </w:r>
      <w:r w:rsidR="00002FEB">
        <w:rPr>
          <w:rFonts w:ascii="Times New Roman" w:hAnsi="Times New Roman" w:cs="Times New Roman"/>
          <w:sz w:val="28"/>
          <w:szCs w:val="28"/>
        </w:rPr>
        <w:t>Primary and secondary goods w</w:t>
      </w:r>
      <w:r w:rsidR="00701C5F">
        <w:rPr>
          <w:rFonts w:ascii="Times New Roman" w:hAnsi="Times New Roman" w:cs="Times New Roman"/>
          <w:sz w:val="28"/>
          <w:szCs w:val="28"/>
        </w:rPr>
        <w:t xml:space="preserve">hich are put in place during </w:t>
      </w:r>
      <w:r w:rsidR="00002FEB">
        <w:rPr>
          <w:rFonts w:ascii="Times New Roman" w:hAnsi="Times New Roman" w:cs="Times New Roman"/>
          <w:sz w:val="28"/>
          <w:szCs w:val="28"/>
        </w:rPr>
        <w:t>assessment</w:t>
      </w:r>
      <w:r w:rsidR="00701C5F">
        <w:rPr>
          <w:rFonts w:ascii="Times New Roman" w:hAnsi="Times New Roman" w:cs="Times New Roman"/>
          <w:sz w:val="28"/>
          <w:szCs w:val="28"/>
        </w:rPr>
        <w:t xml:space="preserve"> ensures</w:t>
      </w:r>
      <w:r w:rsidR="00002FEB">
        <w:rPr>
          <w:rFonts w:ascii="Times New Roman" w:hAnsi="Times New Roman" w:cs="Times New Roman"/>
          <w:sz w:val="28"/>
          <w:szCs w:val="28"/>
        </w:rPr>
        <w:t xml:space="preserve"> that the offender’s goals are fulfilling to </w:t>
      </w:r>
      <w:r w:rsidR="00A92425">
        <w:rPr>
          <w:rFonts w:ascii="Times New Roman" w:hAnsi="Times New Roman" w:cs="Times New Roman"/>
          <w:sz w:val="28"/>
          <w:szCs w:val="28"/>
        </w:rPr>
        <w:t>them yet</w:t>
      </w:r>
      <w:r w:rsidR="00002FEB">
        <w:rPr>
          <w:rFonts w:ascii="Times New Roman" w:hAnsi="Times New Roman" w:cs="Times New Roman"/>
          <w:sz w:val="28"/>
          <w:szCs w:val="28"/>
        </w:rPr>
        <w:t xml:space="preserve"> are not a risk regarding harm to others. It is said to be successful according to Ward (2003) due to humans having a pre-disposed desire to want to fulfil their goals. This is one of the areas that Ward</w:t>
      </w:r>
      <w:r w:rsidR="00701C5F">
        <w:rPr>
          <w:rFonts w:ascii="Times New Roman" w:hAnsi="Times New Roman" w:cs="Times New Roman"/>
          <w:sz w:val="28"/>
          <w:szCs w:val="28"/>
        </w:rPr>
        <w:t xml:space="preserve"> et al (2012)</w:t>
      </w:r>
      <w:r w:rsidR="00002FEB">
        <w:rPr>
          <w:rFonts w:ascii="Times New Roman" w:hAnsi="Times New Roman" w:cs="Times New Roman"/>
          <w:sz w:val="28"/>
          <w:szCs w:val="28"/>
        </w:rPr>
        <w:t xml:space="preserve"> felt that the GLM expressed strength above the RNR model</w:t>
      </w:r>
      <w:r w:rsidR="00701C5F">
        <w:rPr>
          <w:rFonts w:ascii="Times New Roman" w:hAnsi="Times New Roman" w:cs="Times New Roman"/>
          <w:sz w:val="28"/>
          <w:szCs w:val="28"/>
        </w:rPr>
        <w:t>.</w:t>
      </w:r>
      <w:r w:rsidR="00002FEB">
        <w:rPr>
          <w:rFonts w:ascii="Times New Roman" w:hAnsi="Times New Roman" w:cs="Times New Roman"/>
          <w:sz w:val="28"/>
          <w:szCs w:val="28"/>
        </w:rPr>
        <w:t xml:space="preserve"> </w:t>
      </w:r>
      <w:r w:rsidR="00701C5F">
        <w:rPr>
          <w:rFonts w:ascii="Times New Roman" w:hAnsi="Times New Roman" w:cs="Times New Roman"/>
          <w:sz w:val="28"/>
          <w:szCs w:val="28"/>
        </w:rPr>
        <w:t>T</w:t>
      </w:r>
      <w:r w:rsidR="00002FEB">
        <w:rPr>
          <w:rFonts w:ascii="Times New Roman" w:hAnsi="Times New Roman" w:cs="Times New Roman"/>
          <w:sz w:val="28"/>
          <w:szCs w:val="28"/>
        </w:rPr>
        <w:t xml:space="preserve">o keep an offender motivated and on track throughout their rehabilitation </w:t>
      </w:r>
      <w:r w:rsidR="00701C5F">
        <w:rPr>
          <w:rFonts w:ascii="Times New Roman" w:hAnsi="Times New Roman" w:cs="Times New Roman"/>
          <w:sz w:val="28"/>
          <w:szCs w:val="28"/>
        </w:rPr>
        <w:t>program, whilst</w:t>
      </w:r>
      <w:r w:rsidR="00002FEB">
        <w:rPr>
          <w:rFonts w:ascii="Times New Roman" w:hAnsi="Times New Roman" w:cs="Times New Roman"/>
          <w:sz w:val="28"/>
          <w:szCs w:val="28"/>
        </w:rPr>
        <w:t xml:space="preserve"> not overlooking the risk needs of the offender. </w:t>
      </w:r>
      <w:r w:rsidR="0086276C">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sidR="0086276C">
        <w:rPr>
          <w:rFonts w:ascii="Times New Roman" w:hAnsi="Times New Roman" w:cs="Times New Roman"/>
          <w:sz w:val="28"/>
          <w:szCs w:val="28"/>
        </w:rPr>
        <w:t xml:space="preserve"> (2011) argued how the GLM with its emphasis on positivity is the reason it is appealing to clinicians especially those dealing with sex offenders due to the lack of success that has been observed in these area’s regarding avoidance of re-offending. </w:t>
      </w:r>
      <w:r w:rsidR="001C6F89">
        <w:rPr>
          <w:rFonts w:ascii="Times New Roman" w:hAnsi="Times New Roman" w:cs="Times New Roman"/>
          <w:sz w:val="28"/>
          <w:szCs w:val="28"/>
        </w:rPr>
        <w:t>R</w:t>
      </w:r>
      <w:r w:rsidR="008717C8">
        <w:rPr>
          <w:rFonts w:ascii="Times New Roman" w:hAnsi="Times New Roman" w:cs="Times New Roman"/>
          <w:sz w:val="28"/>
          <w:szCs w:val="28"/>
        </w:rPr>
        <w:t>esearch has suggested that the addition of the GLM along with the RNR model does increase motivation in offenders and one of the findings were reduced drop out rates</w:t>
      </w:r>
      <w:r w:rsidR="00215B6D">
        <w:rPr>
          <w:rFonts w:ascii="Times New Roman" w:hAnsi="Times New Roman" w:cs="Times New Roman"/>
          <w:sz w:val="28"/>
          <w:szCs w:val="28"/>
        </w:rPr>
        <w:t>. (</w:t>
      </w:r>
      <w:r w:rsidR="00DE6B96">
        <w:rPr>
          <w:rFonts w:ascii="Times New Roman" w:hAnsi="Times New Roman" w:cs="Times New Roman"/>
          <w:sz w:val="28"/>
          <w:szCs w:val="28"/>
        </w:rPr>
        <w:t>Kingston et al</w:t>
      </w:r>
      <w:r w:rsidR="00215B6D">
        <w:rPr>
          <w:rFonts w:ascii="Times New Roman" w:hAnsi="Times New Roman" w:cs="Times New Roman"/>
          <w:sz w:val="28"/>
          <w:szCs w:val="28"/>
        </w:rPr>
        <w:t xml:space="preserve"> 2010)</w:t>
      </w:r>
      <w:r w:rsidR="00F231D4">
        <w:rPr>
          <w:rFonts w:ascii="Times New Roman" w:hAnsi="Times New Roman" w:cs="Times New Roman"/>
          <w:sz w:val="28"/>
          <w:szCs w:val="28"/>
        </w:rPr>
        <w:t xml:space="preserve"> </w:t>
      </w:r>
    </w:p>
    <w:p w14:paraId="5502CAE9" w14:textId="6F4977E6" w:rsidR="005D5A58" w:rsidRDefault="00AD2A78">
      <w:pPr>
        <w:rPr>
          <w:rFonts w:ascii="Times New Roman" w:hAnsi="Times New Roman" w:cs="Times New Roman"/>
          <w:sz w:val="28"/>
          <w:szCs w:val="28"/>
        </w:rPr>
      </w:pPr>
      <w:r>
        <w:rPr>
          <w:rFonts w:ascii="Times New Roman" w:hAnsi="Times New Roman" w:cs="Times New Roman"/>
          <w:sz w:val="28"/>
          <w:szCs w:val="28"/>
        </w:rPr>
        <w:lastRenderedPageBreak/>
        <w:t>Andrews</w:t>
      </w:r>
      <w:r w:rsidR="002D259D">
        <w:rPr>
          <w:rFonts w:ascii="Times New Roman" w:hAnsi="Times New Roman" w:cs="Times New Roman"/>
          <w:sz w:val="28"/>
          <w:szCs w:val="28"/>
        </w:rPr>
        <w:t xml:space="preserve"> et al</w:t>
      </w:r>
      <w:r>
        <w:rPr>
          <w:rFonts w:ascii="Times New Roman" w:hAnsi="Times New Roman" w:cs="Times New Roman"/>
          <w:sz w:val="28"/>
          <w:szCs w:val="28"/>
        </w:rPr>
        <w:t xml:space="preserve"> (2011) categorised the RNR and GLM into tables when comparing them in the article. Two different types of tables were used, and it was suggested by Ward</w:t>
      </w:r>
      <w:r w:rsidR="00986469">
        <w:rPr>
          <w:rFonts w:ascii="Times New Roman" w:hAnsi="Times New Roman" w:cs="Times New Roman"/>
          <w:sz w:val="28"/>
          <w:szCs w:val="28"/>
        </w:rPr>
        <w:t xml:space="preserve"> et al</w:t>
      </w:r>
      <w:r>
        <w:rPr>
          <w:rFonts w:ascii="Times New Roman" w:hAnsi="Times New Roman" w:cs="Times New Roman"/>
          <w:sz w:val="28"/>
          <w:szCs w:val="28"/>
        </w:rPr>
        <w:t xml:space="preserve"> (</w:t>
      </w:r>
      <w:r w:rsidR="005A6006">
        <w:rPr>
          <w:rFonts w:ascii="Times New Roman" w:hAnsi="Times New Roman" w:cs="Times New Roman"/>
          <w:sz w:val="28"/>
          <w:szCs w:val="28"/>
        </w:rPr>
        <w:t>2012</w:t>
      </w:r>
      <w:r>
        <w:rPr>
          <w:rFonts w:ascii="Times New Roman" w:hAnsi="Times New Roman" w:cs="Times New Roman"/>
          <w:sz w:val="28"/>
          <w:szCs w:val="28"/>
        </w:rPr>
        <w:t>) that the article had a more favourable layout and description of the RNR than the GLM. Ward</w:t>
      </w:r>
      <w:r w:rsidR="00986469">
        <w:rPr>
          <w:rFonts w:ascii="Times New Roman" w:hAnsi="Times New Roman" w:cs="Times New Roman"/>
          <w:sz w:val="28"/>
          <w:szCs w:val="28"/>
        </w:rPr>
        <w:t xml:space="preserve"> et al</w:t>
      </w:r>
      <w:r>
        <w:rPr>
          <w:rFonts w:ascii="Times New Roman" w:hAnsi="Times New Roman" w:cs="Times New Roman"/>
          <w:sz w:val="28"/>
          <w:szCs w:val="28"/>
        </w:rPr>
        <w:t xml:space="preserve"> (</w:t>
      </w:r>
      <w:r w:rsidR="00EC29A0">
        <w:rPr>
          <w:rFonts w:ascii="Times New Roman" w:hAnsi="Times New Roman" w:cs="Times New Roman"/>
          <w:sz w:val="28"/>
          <w:szCs w:val="28"/>
        </w:rPr>
        <w:t>2012</w:t>
      </w:r>
      <w:r>
        <w:rPr>
          <w:rFonts w:ascii="Times New Roman" w:hAnsi="Times New Roman" w:cs="Times New Roman"/>
          <w:sz w:val="28"/>
          <w:szCs w:val="28"/>
        </w:rPr>
        <w:t>) also suggested that Andrews did not give an accurate representation of how the GLM also a</w:t>
      </w:r>
      <w:r w:rsidR="00701C5F">
        <w:rPr>
          <w:rFonts w:ascii="Times New Roman" w:hAnsi="Times New Roman" w:cs="Times New Roman"/>
          <w:sz w:val="28"/>
          <w:szCs w:val="28"/>
        </w:rPr>
        <w:t>ss</w:t>
      </w:r>
      <w:r>
        <w:rPr>
          <w:rFonts w:ascii="Times New Roman" w:hAnsi="Times New Roman" w:cs="Times New Roman"/>
          <w:sz w:val="28"/>
          <w:szCs w:val="28"/>
        </w:rPr>
        <w:t xml:space="preserve">esses the risk factors of an offender as well as attempting to enhance well-being. </w:t>
      </w:r>
      <w:r w:rsidR="00905D0C">
        <w:rPr>
          <w:rFonts w:ascii="Times New Roman" w:hAnsi="Times New Roman" w:cs="Times New Roman"/>
          <w:sz w:val="28"/>
          <w:szCs w:val="28"/>
        </w:rPr>
        <w:t xml:space="preserve">Due to this Ward </w:t>
      </w:r>
      <w:r w:rsidR="00701C5F">
        <w:rPr>
          <w:rFonts w:ascii="Times New Roman" w:hAnsi="Times New Roman" w:cs="Times New Roman"/>
          <w:sz w:val="28"/>
          <w:szCs w:val="28"/>
        </w:rPr>
        <w:t xml:space="preserve">et al (2012) </w:t>
      </w:r>
      <w:r w:rsidR="00905D0C">
        <w:rPr>
          <w:rFonts w:ascii="Times New Roman" w:hAnsi="Times New Roman" w:cs="Times New Roman"/>
          <w:sz w:val="28"/>
          <w:szCs w:val="28"/>
        </w:rPr>
        <w:t>felt that Andrews had neglected important information about the process of the GLM and had not portrayed it as a complete rehabilitation theory.</w:t>
      </w:r>
      <w:r w:rsidR="00215B6D">
        <w:rPr>
          <w:rFonts w:ascii="Times New Roman" w:hAnsi="Times New Roman" w:cs="Times New Roman"/>
          <w:sz w:val="28"/>
          <w:szCs w:val="28"/>
        </w:rPr>
        <w:t xml:space="preserve"> Ward et al (2006), Yates et al (2010), Ward</w:t>
      </w:r>
      <w:r w:rsidR="00986469">
        <w:rPr>
          <w:rFonts w:ascii="Times New Roman" w:hAnsi="Times New Roman" w:cs="Times New Roman"/>
          <w:sz w:val="28"/>
          <w:szCs w:val="28"/>
        </w:rPr>
        <w:t xml:space="preserve"> et al</w:t>
      </w:r>
      <w:r w:rsidR="00215B6D">
        <w:rPr>
          <w:rFonts w:ascii="Times New Roman" w:hAnsi="Times New Roman" w:cs="Times New Roman"/>
          <w:sz w:val="28"/>
          <w:szCs w:val="28"/>
        </w:rPr>
        <w:t xml:space="preserve"> (2007) all suggest how the GLM still focuses and fully assesses the risk of an offender before any primary and secondary goods are put in place. </w:t>
      </w:r>
      <w:r w:rsidR="00EE704B">
        <w:rPr>
          <w:rFonts w:ascii="Times New Roman" w:hAnsi="Times New Roman" w:cs="Times New Roman"/>
          <w:sz w:val="28"/>
          <w:szCs w:val="28"/>
        </w:rPr>
        <w:t>In the description Andrews</w:t>
      </w:r>
      <w:r w:rsidR="002D259D">
        <w:rPr>
          <w:rFonts w:ascii="Times New Roman" w:hAnsi="Times New Roman" w:cs="Times New Roman"/>
          <w:sz w:val="28"/>
          <w:szCs w:val="28"/>
        </w:rPr>
        <w:t xml:space="preserve"> et al</w:t>
      </w:r>
      <w:r w:rsidR="00EE704B">
        <w:rPr>
          <w:rFonts w:ascii="Times New Roman" w:hAnsi="Times New Roman" w:cs="Times New Roman"/>
          <w:sz w:val="28"/>
          <w:szCs w:val="28"/>
        </w:rPr>
        <w:t xml:space="preserve"> (2011) gives of the GLM assessment process, the details again are said to be somewhat inaccurate as although Andrews</w:t>
      </w:r>
      <w:r w:rsidR="00701C5F">
        <w:rPr>
          <w:rFonts w:ascii="Times New Roman" w:hAnsi="Times New Roman" w:cs="Times New Roman"/>
          <w:sz w:val="28"/>
          <w:szCs w:val="28"/>
        </w:rPr>
        <w:t xml:space="preserve"> et al (2011)</w:t>
      </w:r>
      <w:r w:rsidR="00EE704B">
        <w:rPr>
          <w:rFonts w:ascii="Times New Roman" w:hAnsi="Times New Roman" w:cs="Times New Roman"/>
          <w:sz w:val="28"/>
          <w:szCs w:val="28"/>
        </w:rPr>
        <w:t xml:space="preserve"> describes the initial process as being interview based, it is made to sound very simplistic with no mention of the verified assessment measure tools used or the structured interview guides that need to be adhered to. (Ward</w:t>
      </w:r>
      <w:r w:rsidR="00986469">
        <w:rPr>
          <w:rFonts w:ascii="Times New Roman" w:hAnsi="Times New Roman" w:cs="Times New Roman"/>
          <w:sz w:val="28"/>
          <w:szCs w:val="28"/>
        </w:rPr>
        <w:t xml:space="preserve"> et al,</w:t>
      </w:r>
      <w:r w:rsidR="00EE704B">
        <w:rPr>
          <w:rFonts w:ascii="Times New Roman" w:hAnsi="Times New Roman" w:cs="Times New Roman"/>
          <w:sz w:val="28"/>
          <w:szCs w:val="28"/>
        </w:rPr>
        <w:t xml:space="preserve"> </w:t>
      </w:r>
      <w:r w:rsidR="00EC29A0">
        <w:rPr>
          <w:rFonts w:ascii="Times New Roman" w:hAnsi="Times New Roman" w:cs="Times New Roman"/>
          <w:sz w:val="28"/>
          <w:szCs w:val="28"/>
        </w:rPr>
        <w:t>2012</w:t>
      </w:r>
      <w:r w:rsidR="00EE704B">
        <w:rPr>
          <w:rFonts w:ascii="Times New Roman" w:hAnsi="Times New Roman" w:cs="Times New Roman"/>
          <w:sz w:val="28"/>
          <w:szCs w:val="28"/>
        </w:rPr>
        <w:t>)</w:t>
      </w:r>
      <w:r w:rsidR="007A72A7">
        <w:rPr>
          <w:rFonts w:ascii="Times New Roman" w:hAnsi="Times New Roman" w:cs="Times New Roman"/>
          <w:sz w:val="28"/>
          <w:szCs w:val="28"/>
        </w:rPr>
        <w:t xml:space="preserve"> Andrew’s does not seem to pay attention to how the GLM and RNR frameworks overlap by doing this it gives the impression that the GLM is not as </w:t>
      </w:r>
      <w:r w:rsidR="00577DF7">
        <w:rPr>
          <w:rFonts w:ascii="Times New Roman" w:hAnsi="Times New Roman" w:cs="Times New Roman"/>
          <w:sz w:val="28"/>
          <w:szCs w:val="28"/>
        </w:rPr>
        <w:t>competent as the RNR as a rehabilitation programme.</w:t>
      </w:r>
      <w:r w:rsidR="00701C5F">
        <w:rPr>
          <w:rFonts w:ascii="Times New Roman" w:hAnsi="Times New Roman" w:cs="Times New Roman"/>
          <w:sz w:val="28"/>
          <w:szCs w:val="28"/>
        </w:rPr>
        <w:t>(Ward et al,2012)</w:t>
      </w:r>
      <w:r w:rsidR="00577DF7">
        <w:rPr>
          <w:rFonts w:ascii="Times New Roman" w:hAnsi="Times New Roman" w:cs="Times New Roman"/>
          <w:sz w:val="28"/>
          <w:szCs w:val="28"/>
        </w:rPr>
        <w:t xml:space="preserve"> Andrew</w:t>
      </w:r>
      <w:r w:rsidR="00701C5F">
        <w:rPr>
          <w:rFonts w:ascii="Times New Roman" w:hAnsi="Times New Roman" w:cs="Times New Roman"/>
          <w:sz w:val="28"/>
          <w:szCs w:val="28"/>
        </w:rPr>
        <w:t xml:space="preserve">s et al, (2011) </w:t>
      </w:r>
      <w:r w:rsidR="00577DF7">
        <w:rPr>
          <w:rFonts w:ascii="Times New Roman" w:hAnsi="Times New Roman" w:cs="Times New Roman"/>
          <w:sz w:val="28"/>
          <w:szCs w:val="28"/>
        </w:rPr>
        <w:t>consistently emphasises how the GLM focuses heavily on the positive aspects of the offender and persistently reiterates the lack of consideration and importance of assessing risks. Although, it is made clear in the research of the GLM that risks are not disregarded at all.</w:t>
      </w:r>
      <w:r w:rsidR="00701C5F">
        <w:rPr>
          <w:rFonts w:ascii="Times New Roman" w:hAnsi="Times New Roman" w:cs="Times New Roman"/>
          <w:sz w:val="28"/>
          <w:szCs w:val="28"/>
        </w:rPr>
        <w:t xml:space="preserve"> (Ward et al,2012)</w:t>
      </w:r>
    </w:p>
    <w:p w14:paraId="5303BD4C" w14:textId="06E769B0" w:rsidR="00EE704B" w:rsidRDefault="005D5A58">
      <w:pPr>
        <w:rPr>
          <w:rFonts w:ascii="Times New Roman" w:hAnsi="Times New Roman" w:cs="Times New Roman"/>
          <w:sz w:val="28"/>
          <w:szCs w:val="28"/>
        </w:rPr>
      </w:pPr>
      <w:r>
        <w:rPr>
          <w:rFonts w:ascii="Times New Roman" w:hAnsi="Times New Roman" w:cs="Times New Roman"/>
          <w:sz w:val="28"/>
          <w:szCs w:val="28"/>
        </w:rPr>
        <w:t>Willis (2013) investigated the enhancement of the RNR when the GLM is added. Willis suggested that the GLM was an exciting innovation. However, also suggested that GLM needs to be applied from the beginning of the offender’s assessment and not as an add on of positivity later in the offender’s treatment. Although Andrew</w:t>
      </w:r>
      <w:r w:rsidR="002D259D">
        <w:rPr>
          <w:rFonts w:ascii="Times New Roman" w:hAnsi="Times New Roman" w:cs="Times New Roman"/>
          <w:sz w:val="28"/>
          <w:szCs w:val="28"/>
        </w:rPr>
        <w:t xml:space="preserve">s et al </w:t>
      </w:r>
      <w:r>
        <w:rPr>
          <w:rFonts w:ascii="Times New Roman" w:hAnsi="Times New Roman" w:cs="Times New Roman"/>
          <w:sz w:val="28"/>
          <w:szCs w:val="28"/>
        </w:rPr>
        <w:t xml:space="preserve">(2011) suggested in his article that </w:t>
      </w:r>
      <w:r w:rsidR="00D3728D">
        <w:rPr>
          <w:rFonts w:ascii="Times New Roman" w:hAnsi="Times New Roman" w:cs="Times New Roman"/>
          <w:sz w:val="28"/>
          <w:szCs w:val="28"/>
        </w:rPr>
        <w:t xml:space="preserve">the RNR model was more competent that the GLM, </w:t>
      </w:r>
      <w:r w:rsidR="00057F73">
        <w:rPr>
          <w:rFonts w:ascii="Times New Roman" w:hAnsi="Times New Roman" w:cs="Times New Roman"/>
          <w:sz w:val="28"/>
          <w:szCs w:val="28"/>
        </w:rPr>
        <w:t xml:space="preserve">mainly </w:t>
      </w:r>
      <w:r w:rsidR="00D3728D">
        <w:rPr>
          <w:rFonts w:ascii="Times New Roman" w:hAnsi="Times New Roman" w:cs="Times New Roman"/>
          <w:sz w:val="28"/>
          <w:szCs w:val="28"/>
        </w:rPr>
        <w:t>due to its focus on criminogenic needs. However, research has suggested that to not consider the needs of the offender in all areas</w:t>
      </w:r>
      <w:r w:rsidR="00057F73">
        <w:rPr>
          <w:rFonts w:ascii="Times New Roman" w:hAnsi="Times New Roman" w:cs="Times New Roman"/>
          <w:sz w:val="28"/>
          <w:szCs w:val="28"/>
        </w:rPr>
        <w:t xml:space="preserve"> including the positive aspects/goals</w:t>
      </w:r>
      <w:r w:rsidR="00683042">
        <w:rPr>
          <w:rFonts w:ascii="Times New Roman" w:hAnsi="Times New Roman" w:cs="Times New Roman"/>
          <w:sz w:val="28"/>
          <w:szCs w:val="28"/>
        </w:rPr>
        <w:t xml:space="preserve"> they may have,</w:t>
      </w:r>
      <w:r w:rsidR="00D3728D">
        <w:rPr>
          <w:rFonts w:ascii="Times New Roman" w:hAnsi="Times New Roman" w:cs="Times New Roman"/>
          <w:sz w:val="28"/>
          <w:szCs w:val="28"/>
        </w:rPr>
        <w:t xml:space="preserve"> could mean that the RNR alone is not </w:t>
      </w:r>
      <w:proofErr w:type="gramStart"/>
      <w:r w:rsidR="00D3728D">
        <w:rPr>
          <w:rFonts w:ascii="Times New Roman" w:hAnsi="Times New Roman" w:cs="Times New Roman"/>
          <w:sz w:val="28"/>
          <w:szCs w:val="28"/>
        </w:rPr>
        <w:t>sufficient enough</w:t>
      </w:r>
      <w:proofErr w:type="gramEnd"/>
      <w:r w:rsidR="00D3728D">
        <w:rPr>
          <w:rFonts w:ascii="Times New Roman" w:hAnsi="Times New Roman" w:cs="Times New Roman"/>
          <w:sz w:val="28"/>
          <w:szCs w:val="28"/>
        </w:rPr>
        <w:t xml:space="preserve"> to be an effective rehabilitation treatment. (</w:t>
      </w:r>
      <w:r w:rsidR="00047286">
        <w:rPr>
          <w:rFonts w:ascii="Times New Roman" w:hAnsi="Times New Roman" w:cs="Times New Roman"/>
          <w:sz w:val="28"/>
          <w:szCs w:val="28"/>
        </w:rPr>
        <w:t>Wilson, Yates</w:t>
      </w:r>
      <w:r w:rsidR="00D3728D">
        <w:rPr>
          <w:rFonts w:ascii="Times New Roman" w:hAnsi="Times New Roman" w:cs="Times New Roman"/>
          <w:sz w:val="28"/>
          <w:szCs w:val="28"/>
        </w:rPr>
        <w:t>,2009)</w:t>
      </w:r>
      <w:r w:rsidR="00686B9A">
        <w:rPr>
          <w:rFonts w:ascii="Times New Roman" w:hAnsi="Times New Roman" w:cs="Times New Roman"/>
          <w:sz w:val="28"/>
          <w:szCs w:val="28"/>
        </w:rPr>
        <w:t xml:space="preserve"> </w:t>
      </w:r>
      <w:r w:rsidR="00683042">
        <w:rPr>
          <w:rFonts w:ascii="Times New Roman" w:hAnsi="Times New Roman" w:cs="Times New Roman"/>
          <w:sz w:val="28"/>
          <w:szCs w:val="28"/>
        </w:rPr>
        <w:t>There has been some r</w:t>
      </w:r>
      <w:r w:rsidR="00686B9A">
        <w:rPr>
          <w:rFonts w:ascii="Times New Roman" w:hAnsi="Times New Roman" w:cs="Times New Roman"/>
          <w:sz w:val="28"/>
          <w:szCs w:val="28"/>
        </w:rPr>
        <w:t xml:space="preserve">esearch </w:t>
      </w:r>
      <w:r w:rsidR="00683042">
        <w:rPr>
          <w:rFonts w:ascii="Times New Roman" w:hAnsi="Times New Roman" w:cs="Times New Roman"/>
          <w:sz w:val="28"/>
          <w:szCs w:val="28"/>
        </w:rPr>
        <w:t>to</w:t>
      </w:r>
      <w:r w:rsidR="00686B9A">
        <w:rPr>
          <w:rFonts w:ascii="Times New Roman" w:hAnsi="Times New Roman" w:cs="Times New Roman"/>
          <w:sz w:val="28"/>
          <w:szCs w:val="28"/>
        </w:rPr>
        <w:t xml:space="preserve"> sugges</w:t>
      </w:r>
      <w:r w:rsidR="00683042">
        <w:rPr>
          <w:rFonts w:ascii="Times New Roman" w:hAnsi="Times New Roman" w:cs="Times New Roman"/>
          <w:sz w:val="28"/>
          <w:szCs w:val="28"/>
        </w:rPr>
        <w:t>t</w:t>
      </w:r>
      <w:r w:rsidR="00686B9A">
        <w:rPr>
          <w:rFonts w:ascii="Times New Roman" w:hAnsi="Times New Roman" w:cs="Times New Roman"/>
          <w:sz w:val="28"/>
          <w:szCs w:val="28"/>
        </w:rPr>
        <w:t xml:space="preserve"> that the GLM will display more success as a rehabilitation program as it allows therapists to create more positive relationships with</w:t>
      </w:r>
      <w:r w:rsidR="00047286">
        <w:rPr>
          <w:rFonts w:ascii="Times New Roman" w:hAnsi="Times New Roman" w:cs="Times New Roman"/>
          <w:sz w:val="28"/>
          <w:szCs w:val="28"/>
        </w:rPr>
        <w:t xml:space="preserve"> the offenders they are treating, this should then lead to a higher rate of rehabilitation programme completion and a decrease in re-offending. (Ziv,2016) Andrew</w:t>
      </w:r>
      <w:r w:rsidR="002D259D">
        <w:rPr>
          <w:rFonts w:ascii="Times New Roman" w:hAnsi="Times New Roman" w:cs="Times New Roman"/>
          <w:sz w:val="28"/>
          <w:szCs w:val="28"/>
        </w:rPr>
        <w:t>s et al</w:t>
      </w:r>
      <w:r w:rsidR="00047286">
        <w:rPr>
          <w:rFonts w:ascii="Times New Roman" w:hAnsi="Times New Roman" w:cs="Times New Roman"/>
          <w:sz w:val="28"/>
          <w:szCs w:val="28"/>
        </w:rPr>
        <w:t xml:space="preserve"> (2011) discussed that therapists need to be fully capable of delivering a rehabilitation </w:t>
      </w:r>
      <w:r w:rsidR="00047286">
        <w:rPr>
          <w:rFonts w:ascii="Times New Roman" w:hAnsi="Times New Roman" w:cs="Times New Roman"/>
          <w:sz w:val="28"/>
          <w:szCs w:val="28"/>
        </w:rPr>
        <w:lastRenderedPageBreak/>
        <w:t>program on this level as failure to do this correctly could lead to an increased re-offending risk.</w:t>
      </w:r>
    </w:p>
    <w:p w14:paraId="6EE848E2" w14:textId="558B2400" w:rsidR="00017049" w:rsidRDefault="006E66CA" w:rsidP="00451943">
      <w:pPr>
        <w:rPr>
          <w:rFonts w:ascii="Times New Roman" w:hAnsi="Times New Roman" w:cs="Times New Roman"/>
          <w:sz w:val="28"/>
          <w:szCs w:val="28"/>
        </w:rPr>
      </w:pPr>
      <w:r>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Pr>
          <w:rFonts w:ascii="Times New Roman" w:hAnsi="Times New Roman" w:cs="Times New Roman"/>
          <w:sz w:val="28"/>
          <w:szCs w:val="28"/>
        </w:rPr>
        <w:t xml:space="preserve"> 2011 discusses how the RNR is considerably more established than the GLM and not just because of the time </w:t>
      </w:r>
      <w:r w:rsidR="00285F5B">
        <w:rPr>
          <w:rFonts w:ascii="Times New Roman" w:hAnsi="Times New Roman" w:cs="Times New Roman"/>
          <w:sz w:val="28"/>
          <w:szCs w:val="28"/>
        </w:rPr>
        <w:t xml:space="preserve">difference in the development of the models. </w:t>
      </w:r>
      <w:proofErr w:type="spellStart"/>
      <w:r w:rsidR="00285F5B">
        <w:rPr>
          <w:rFonts w:ascii="Times New Roman" w:hAnsi="Times New Roman" w:cs="Times New Roman"/>
          <w:sz w:val="28"/>
          <w:szCs w:val="28"/>
        </w:rPr>
        <w:t>Wormith</w:t>
      </w:r>
      <w:proofErr w:type="spellEnd"/>
      <w:r w:rsidR="00285F5B">
        <w:rPr>
          <w:rFonts w:ascii="Times New Roman" w:hAnsi="Times New Roman" w:cs="Times New Roman"/>
          <w:sz w:val="28"/>
          <w:szCs w:val="28"/>
        </w:rPr>
        <w:t xml:space="preserve"> (2012) agreed with this suggesting that an important difference between the two models is that the RNR was established based on previous strong empirical research to support the framework of the model. </w:t>
      </w:r>
      <w:proofErr w:type="spellStart"/>
      <w:r w:rsidR="00285F5B">
        <w:rPr>
          <w:rFonts w:ascii="Times New Roman" w:hAnsi="Times New Roman" w:cs="Times New Roman"/>
          <w:sz w:val="28"/>
          <w:szCs w:val="28"/>
        </w:rPr>
        <w:t>Wormith</w:t>
      </w:r>
      <w:proofErr w:type="spellEnd"/>
      <w:r w:rsidR="00285F5B">
        <w:rPr>
          <w:rFonts w:ascii="Times New Roman" w:hAnsi="Times New Roman" w:cs="Times New Roman"/>
          <w:sz w:val="28"/>
          <w:szCs w:val="28"/>
        </w:rPr>
        <w:t xml:space="preserve"> discussed that the foundation of the GLM could not be compared to th</w:t>
      </w:r>
      <w:r w:rsidR="006F054A">
        <w:rPr>
          <w:rFonts w:ascii="Times New Roman" w:hAnsi="Times New Roman" w:cs="Times New Roman"/>
          <w:sz w:val="28"/>
          <w:szCs w:val="28"/>
        </w:rPr>
        <w:t>e RNR.</w:t>
      </w:r>
      <w:r w:rsidR="00B91CE4">
        <w:rPr>
          <w:rFonts w:ascii="Times New Roman" w:hAnsi="Times New Roman" w:cs="Times New Roman"/>
          <w:sz w:val="28"/>
          <w:szCs w:val="28"/>
        </w:rPr>
        <w:t xml:space="preserve"> Andrew</w:t>
      </w:r>
      <w:r w:rsidR="002D259D">
        <w:rPr>
          <w:rFonts w:ascii="Times New Roman" w:hAnsi="Times New Roman" w:cs="Times New Roman"/>
          <w:sz w:val="28"/>
          <w:szCs w:val="28"/>
        </w:rPr>
        <w:t xml:space="preserve">s et al </w:t>
      </w:r>
      <w:r w:rsidR="00B91CE4">
        <w:rPr>
          <w:rFonts w:ascii="Times New Roman" w:hAnsi="Times New Roman" w:cs="Times New Roman"/>
          <w:sz w:val="28"/>
          <w:szCs w:val="28"/>
        </w:rPr>
        <w:t>(2011) seemed determined to compare the RNR and GLM throughout the article while consistently comm</w:t>
      </w:r>
      <w:r w:rsidR="00683042">
        <w:rPr>
          <w:rFonts w:ascii="Times New Roman" w:hAnsi="Times New Roman" w:cs="Times New Roman"/>
          <w:sz w:val="28"/>
          <w:szCs w:val="28"/>
        </w:rPr>
        <w:t>enting</w:t>
      </w:r>
      <w:r w:rsidR="00B91CE4">
        <w:rPr>
          <w:rFonts w:ascii="Times New Roman" w:hAnsi="Times New Roman" w:cs="Times New Roman"/>
          <w:sz w:val="28"/>
          <w:szCs w:val="28"/>
        </w:rPr>
        <w:t xml:space="preserve"> on the strength of the RNR as a stand-alone framework. Although Ward</w:t>
      </w:r>
      <w:r w:rsidR="00986469">
        <w:rPr>
          <w:rFonts w:ascii="Times New Roman" w:hAnsi="Times New Roman" w:cs="Times New Roman"/>
          <w:sz w:val="28"/>
          <w:szCs w:val="28"/>
        </w:rPr>
        <w:t xml:space="preserve"> et al</w:t>
      </w:r>
      <w:r w:rsidR="00B91CE4">
        <w:rPr>
          <w:rFonts w:ascii="Times New Roman" w:hAnsi="Times New Roman" w:cs="Times New Roman"/>
          <w:sz w:val="28"/>
          <w:szCs w:val="28"/>
        </w:rPr>
        <w:t xml:space="preserve"> (</w:t>
      </w:r>
      <w:r w:rsidR="00EC29A0">
        <w:rPr>
          <w:rFonts w:ascii="Times New Roman" w:hAnsi="Times New Roman" w:cs="Times New Roman"/>
          <w:sz w:val="28"/>
          <w:szCs w:val="28"/>
        </w:rPr>
        <w:t>2012</w:t>
      </w:r>
      <w:r w:rsidR="00B91CE4">
        <w:rPr>
          <w:rFonts w:ascii="Times New Roman" w:hAnsi="Times New Roman" w:cs="Times New Roman"/>
          <w:sz w:val="28"/>
          <w:szCs w:val="28"/>
        </w:rPr>
        <w:t xml:space="preserve">) has frequently discussed </w:t>
      </w:r>
      <w:r w:rsidR="002C4193">
        <w:rPr>
          <w:rFonts w:ascii="Times New Roman" w:hAnsi="Times New Roman" w:cs="Times New Roman"/>
          <w:sz w:val="28"/>
          <w:szCs w:val="28"/>
        </w:rPr>
        <w:t>how the GLM is an enhancement to current rehabilitation programs. It was created to add motivation and positivity into methods currently used and Ward</w:t>
      </w:r>
      <w:r w:rsidR="00986469">
        <w:rPr>
          <w:rFonts w:ascii="Times New Roman" w:hAnsi="Times New Roman" w:cs="Times New Roman"/>
          <w:sz w:val="28"/>
          <w:szCs w:val="28"/>
        </w:rPr>
        <w:t xml:space="preserve"> et al</w:t>
      </w:r>
      <w:r w:rsidR="002C4193">
        <w:rPr>
          <w:rFonts w:ascii="Times New Roman" w:hAnsi="Times New Roman" w:cs="Times New Roman"/>
          <w:sz w:val="28"/>
          <w:szCs w:val="28"/>
        </w:rPr>
        <w:t xml:space="preserve"> (</w:t>
      </w:r>
      <w:r w:rsidR="00EC29A0">
        <w:rPr>
          <w:rFonts w:ascii="Times New Roman" w:hAnsi="Times New Roman" w:cs="Times New Roman"/>
          <w:sz w:val="28"/>
          <w:szCs w:val="28"/>
        </w:rPr>
        <w:t>2012</w:t>
      </w:r>
      <w:r w:rsidR="002C4193">
        <w:rPr>
          <w:rFonts w:ascii="Times New Roman" w:hAnsi="Times New Roman" w:cs="Times New Roman"/>
          <w:sz w:val="28"/>
          <w:szCs w:val="28"/>
        </w:rPr>
        <w:t>) suggested there are aspects of the GLM that were lacking in the RNR.</w:t>
      </w:r>
      <w:r w:rsidR="00451943">
        <w:rPr>
          <w:rFonts w:ascii="Times New Roman" w:hAnsi="Times New Roman" w:cs="Times New Roman"/>
          <w:sz w:val="28"/>
          <w:szCs w:val="28"/>
        </w:rPr>
        <w:t xml:space="preserve"> </w:t>
      </w:r>
      <w:r w:rsidR="00017049">
        <w:rPr>
          <w:rFonts w:ascii="Times New Roman" w:hAnsi="Times New Roman" w:cs="Times New Roman"/>
          <w:sz w:val="28"/>
          <w:szCs w:val="28"/>
        </w:rPr>
        <w:t>Andrews</w:t>
      </w:r>
      <w:r w:rsidR="002D259D">
        <w:rPr>
          <w:rFonts w:ascii="Times New Roman" w:hAnsi="Times New Roman" w:cs="Times New Roman"/>
          <w:sz w:val="28"/>
          <w:szCs w:val="28"/>
        </w:rPr>
        <w:t xml:space="preserve"> et al</w:t>
      </w:r>
      <w:r w:rsidR="00017049">
        <w:rPr>
          <w:rFonts w:ascii="Times New Roman" w:hAnsi="Times New Roman" w:cs="Times New Roman"/>
          <w:sz w:val="28"/>
          <w:szCs w:val="28"/>
        </w:rPr>
        <w:t xml:space="preserve"> (2011) discusses how the RNR is based on empirical research from the areas of biology, personality, environmental and attitude. Whereas, </w:t>
      </w:r>
      <w:proofErr w:type="spellStart"/>
      <w:r w:rsidR="00017049">
        <w:rPr>
          <w:rFonts w:ascii="Times New Roman" w:hAnsi="Times New Roman" w:cs="Times New Roman"/>
          <w:sz w:val="28"/>
          <w:szCs w:val="28"/>
        </w:rPr>
        <w:t>Ziv</w:t>
      </w:r>
      <w:proofErr w:type="spellEnd"/>
      <w:r w:rsidR="00017049">
        <w:rPr>
          <w:rFonts w:ascii="Times New Roman" w:hAnsi="Times New Roman" w:cs="Times New Roman"/>
          <w:sz w:val="28"/>
          <w:szCs w:val="28"/>
        </w:rPr>
        <w:t xml:space="preserve"> (2016) suggests that the GLM is based more on a holistic approach, which explains why the foundation of the RNR is seen as more solid. However, the advocates </w:t>
      </w:r>
      <w:r w:rsidR="007360A7">
        <w:rPr>
          <w:rFonts w:ascii="Times New Roman" w:hAnsi="Times New Roman" w:cs="Times New Roman"/>
          <w:sz w:val="28"/>
          <w:szCs w:val="28"/>
        </w:rPr>
        <w:t xml:space="preserve">for the GLM </w:t>
      </w:r>
      <w:r w:rsidR="009F2E6E">
        <w:rPr>
          <w:rFonts w:ascii="Times New Roman" w:hAnsi="Times New Roman" w:cs="Times New Roman"/>
          <w:sz w:val="28"/>
          <w:szCs w:val="28"/>
        </w:rPr>
        <w:t xml:space="preserve">will consistently insist that although the holistic aspect of the GLM relates to positive psychology, it </w:t>
      </w:r>
      <w:proofErr w:type="gramStart"/>
      <w:r w:rsidR="009F2E6E">
        <w:rPr>
          <w:rFonts w:ascii="Times New Roman" w:hAnsi="Times New Roman" w:cs="Times New Roman"/>
          <w:sz w:val="28"/>
          <w:szCs w:val="28"/>
        </w:rPr>
        <w:t>still remains</w:t>
      </w:r>
      <w:proofErr w:type="gramEnd"/>
      <w:r w:rsidR="009F2E6E">
        <w:rPr>
          <w:rFonts w:ascii="Times New Roman" w:hAnsi="Times New Roman" w:cs="Times New Roman"/>
          <w:sz w:val="28"/>
          <w:szCs w:val="28"/>
        </w:rPr>
        <w:t xml:space="preserve"> that the GLM was based in creation on the existing rehabilitation theories and programmes already in place, (Ziv,2016) </w:t>
      </w:r>
    </w:p>
    <w:p w14:paraId="0D2B943B" w14:textId="3043731D" w:rsidR="00B67806" w:rsidRDefault="004C3752" w:rsidP="00683042">
      <w:pPr>
        <w:spacing w:before="240"/>
        <w:rPr>
          <w:rFonts w:ascii="Times New Roman" w:hAnsi="Times New Roman" w:cs="Times New Roman"/>
          <w:sz w:val="28"/>
          <w:szCs w:val="28"/>
        </w:rPr>
      </w:pPr>
      <w:proofErr w:type="spellStart"/>
      <w:r>
        <w:rPr>
          <w:rFonts w:ascii="Times New Roman" w:hAnsi="Times New Roman" w:cs="Times New Roman"/>
          <w:sz w:val="28"/>
          <w:szCs w:val="28"/>
        </w:rPr>
        <w:t>Looman</w:t>
      </w:r>
      <w:proofErr w:type="spellEnd"/>
      <w:r w:rsidR="007D4329">
        <w:rPr>
          <w:rFonts w:ascii="Times New Roman" w:hAnsi="Times New Roman" w:cs="Times New Roman"/>
          <w:sz w:val="28"/>
          <w:szCs w:val="28"/>
        </w:rPr>
        <w:t xml:space="preserve"> (2013) discussed the integration of the RNR with GLM and the strength of the research behind the RNR compared to the lack of empirical research for the GLM. </w:t>
      </w:r>
      <w:proofErr w:type="spellStart"/>
      <w:r w:rsidR="007D4329">
        <w:rPr>
          <w:rFonts w:ascii="Times New Roman" w:hAnsi="Times New Roman" w:cs="Times New Roman"/>
          <w:sz w:val="28"/>
          <w:szCs w:val="28"/>
        </w:rPr>
        <w:t>Looman</w:t>
      </w:r>
      <w:proofErr w:type="spellEnd"/>
      <w:r w:rsidR="007D4329">
        <w:rPr>
          <w:rFonts w:ascii="Times New Roman" w:hAnsi="Times New Roman" w:cs="Times New Roman"/>
          <w:sz w:val="28"/>
          <w:szCs w:val="28"/>
        </w:rPr>
        <w:t xml:space="preserve"> discussed how more research would have to be conducted regarding the GLM before considering if it should be added to the RNR </w:t>
      </w:r>
      <w:proofErr w:type="gramStart"/>
      <w:r w:rsidR="007D4329">
        <w:rPr>
          <w:rFonts w:ascii="Times New Roman" w:hAnsi="Times New Roman" w:cs="Times New Roman"/>
          <w:sz w:val="28"/>
          <w:szCs w:val="28"/>
        </w:rPr>
        <w:t>and</w:t>
      </w:r>
      <w:r w:rsidR="00683042">
        <w:rPr>
          <w:rFonts w:ascii="Times New Roman" w:hAnsi="Times New Roman" w:cs="Times New Roman"/>
          <w:sz w:val="28"/>
          <w:szCs w:val="28"/>
        </w:rPr>
        <w:t xml:space="preserve"> also</w:t>
      </w:r>
      <w:proofErr w:type="gramEnd"/>
      <w:r w:rsidR="00683042">
        <w:rPr>
          <w:rFonts w:ascii="Times New Roman" w:hAnsi="Times New Roman" w:cs="Times New Roman"/>
          <w:sz w:val="28"/>
          <w:szCs w:val="28"/>
        </w:rPr>
        <w:t xml:space="preserve"> suggested that</w:t>
      </w:r>
      <w:r w:rsidR="007D4329">
        <w:rPr>
          <w:rFonts w:ascii="Times New Roman" w:hAnsi="Times New Roman" w:cs="Times New Roman"/>
          <w:sz w:val="28"/>
          <w:szCs w:val="28"/>
        </w:rPr>
        <w:t xml:space="preserve"> extensive empirical research would need to be carried out on its benefits before the GLM could be considered as a replacement for the RNR model.</w:t>
      </w:r>
      <w:r w:rsidR="00683042">
        <w:rPr>
          <w:rFonts w:ascii="Times New Roman" w:hAnsi="Times New Roman" w:cs="Times New Roman"/>
          <w:sz w:val="28"/>
          <w:szCs w:val="28"/>
        </w:rPr>
        <w:t xml:space="preserve"> </w:t>
      </w:r>
      <w:r w:rsidR="00B67806">
        <w:rPr>
          <w:rFonts w:ascii="Times New Roman" w:hAnsi="Times New Roman" w:cs="Times New Roman"/>
          <w:sz w:val="28"/>
          <w:szCs w:val="28"/>
        </w:rPr>
        <w:t xml:space="preserve">Further research is needed to adequately discuss if the GLM can enhance the RNR model. RNR appears to have a solid foundation of empirical research that it is built on </w:t>
      </w:r>
      <w:r w:rsidR="001B4A77">
        <w:rPr>
          <w:rFonts w:ascii="Times New Roman" w:hAnsi="Times New Roman" w:cs="Times New Roman"/>
          <w:sz w:val="28"/>
          <w:szCs w:val="28"/>
        </w:rPr>
        <w:t>and has been investigated numerous times to positively examine its effectiveness</w:t>
      </w:r>
      <w:r w:rsidR="00683042">
        <w:rPr>
          <w:rFonts w:ascii="Times New Roman" w:hAnsi="Times New Roman" w:cs="Times New Roman"/>
          <w:sz w:val="28"/>
          <w:szCs w:val="28"/>
        </w:rPr>
        <w:t xml:space="preserve">. </w:t>
      </w:r>
      <w:proofErr w:type="gramStart"/>
      <w:r w:rsidR="00683042">
        <w:rPr>
          <w:rFonts w:ascii="Times New Roman" w:hAnsi="Times New Roman" w:cs="Times New Roman"/>
          <w:sz w:val="28"/>
          <w:szCs w:val="28"/>
        </w:rPr>
        <w:t xml:space="preserve">This </w:t>
      </w:r>
      <w:r w:rsidR="001B4A77">
        <w:rPr>
          <w:rFonts w:ascii="Times New Roman" w:hAnsi="Times New Roman" w:cs="Times New Roman"/>
          <w:sz w:val="28"/>
          <w:szCs w:val="28"/>
        </w:rPr>
        <w:t>being said</w:t>
      </w:r>
      <w:r w:rsidR="00683042">
        <w:rPr>
          <w:rFonts w:ascii="Times New Roman" w:hAnsi="Times New Roman" w:cs="Times New Roman"/>
          <w:sz w:val="28"/>
          <w:szCs w:val="28"/>
        </w:rPr>
        <w:t>,</w:t>
      </w:r>
      <w:r w:rsidR="001B4A77">
        <w:rPr>
          <w:rFonts w:ascii="Times New Roman" w:hAnsi="Times New Roman" w:cs="Times New Roman"/>
          <w:sz w:val="28"/>
          <w:szCs w:val="28"/>
        </w:rPr>
        <w:t xml:space="preserve"> GLM</w:t>
      </w:r>
      <w:proofErr w:type="gramEnd"/>
      <w:r w:rsidR="001B4A77">
        <w:rPr>
          <w:rFonts w:ascii="Times New Roman" w:hAnsi="Times New Roman" w:cs="Times New Roman"/>
          <w:sz w:val="28"/>
          <w:szCs w:val="28"/>
        </w:rPr>
        <w:t xml:space="preserve"> does have promising research starting to emerge for its success rate with re-offending. In the hope of finding significant evidence that the combination of the RNR and GLM are </w:t>
      </w:r>
      <w:r w:rsidR="00683042">
        <w:rPr>
          <w:rFonts w:ascii="Times New Roman" w:hAnsi="Times New Roman" w:cs="Times New Roman"/>
          <w:sz w:val="28"/>
          <w:szCs w:val="28"/>
        </w:rPr>
        <w:t xml:space="preserve">more successful, </w:t>
      </w:r>
      <w:r w:rsidR="001B4A77">
        <w:rPr>
          <w:rFonts w:ascii="Times New Roman" w:hAnsi="Times New Roman" w:cs="Times New Roman"/>
          <w:sz w:val="28"/>
          <w:szCs w:val="28"/>
        </w:rPr>
        <w:t xml:space="preserve">research will need to be carried out with offenders who have committed different crimes and in various environments </w:t>
      </w:r>
      <w:r w:rsidR="00322365">
        <w:rPr>
          <w:rFonts w:ascii="Times New Roman" w:hAnsi="Times New Roman" w:cs="Times New Roman"/>
          <w:sz w:val="28"/>
          <w:szCs w:val="28"/>
        </w:rPr>
        <w:t>and then compared to the models when they are working alone, to get a more consistent overview of any enhancement that is present when the models are combined and how this reflects in the success rate of rehabilitation.</w:t>
      </w:r>
    </w:p>
    <w:p w14:paraId="5AF632A4" w14:textId="77777777" w:rsidR="00565169" w:rsidRDefault="00565169" w:rsidP="00565169">
      <w:pPr>
        <w:rPr>
          <w:rFonts w:ascii="Times New Roman" w:hAnsi="Times New Roman" w:cs="Times New Roman"/>
          <w:sz w:val="28"/>
          <w:szCs w:val="28"/>
          <w:u w:val="single"/>
        </w:rPr>
      </w:pPr>
      <w:r w:rsidRPr="00680953">
        <w:rPr>
          <w:rFonts w:ascii="Times New Roman" w:hAnsi="Times New Roman" w:cs="Times New Roman"/>
          <w:sz w:val="28"/>
          <w:szCs w:val="28"/>
          <w:u w:val="single"/>
        </w:rPr>
        <w:lastRenderedPageBreak/>
        <w:t xml:space="preserve">References </w:t>
      </w:r>
    </w:p>
    <w:p w14:paraId="32019B3D"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Andrews, D. A., </w:t>
      </w:r>
      <w:proofErr w:type="spellStart"/>
      <w:r>
        <w:rPr>
          <w:rFonts w:ascii="Arial" w:hAnsi="Arial" w:cs="Arial"/>
          <w:color w:val="222222"/>
          <w:sz w:val="20"/>
          <w:szCs w:val="20"/>
          <w:shd w:val="clear" w:color="auto" w:fill="FFFFFF"/>
        </w:rPr>
        <w:t>Bonta</w:t>
      </w:r>
      <w:proofErr w:type="spellEnd"/>
      <w:r>
        <w:rPr>
          <w:rFonts w:ascii="Arial" w:hAnsi="Arial" w:cs="Arial"/>
          <w:color w:val="222222"/>
          <w:sz w:val="20"/>
          <w:szCs w:val="20"/>
          <w:shd w:val="clear" w:color="auto" w:fill="FFFFFF"/>
        </w:rPr>
        <w:t xml:space="preserve">, J., &amp; </w:t>
      </w:r>
      <w:proofErr w:type="spellStart"/>
      <w:r>
        <w:rPr>
          <w:rFonts w:ascii="Arial" w:hAnsi="Arial" w:cs="Arial"/>
          <w:color w:val="222222"/>
          <w:sz w:val="20"/>
          <w:szCs w:val="20"/>
          <w:shd w:val="clear" w:color="auto" w:fill="FFFFFF"/>
        </w:rPr>
        <w:t>Wormith</w:t>
      </w:r>
      <w:proofErr w:type="spellEnd"/>
      <w:r>
        <w:rPr>
          <w:rFonts w:ascii="Arial" w:hAnsi="Arial" w:cs="Arial"/>
          <w:color w:val="222222"/>
          <w:sz w:val="20"/>
          <w:szCs w:val="20"/>
          <w:shd w:val="clear" w:color="auto" w:fill="FFFFFF"/>
        </w:rPr>
        <w:t xml:space="preserve">, J. S. (2011). The risk-need-responsivity (RNR) model: Does adding the good lives model contribute to effective crime </w:t>
      </w:r>
      <w:proofErr w:type="gramStart"/>
      <w:r>
        <w:rPr>
          <w:rFonts w:ascii="Arial" w:hAnsi="Arial" w:cs="Arial"/>
          <w:color w:val="222222"/>
          <w:sz w:val="20"/>
          <w:szCs w:val="20"/>
          <w:shd w:val="clear" w:color="auto" w:fill="FFFFFF"/>
        </w:rPr>
        <w:t>prevention?.</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Criminal Justice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(7), 735-755.</w:t>
      </w:r>
    </w:p>
    <w:p w14:paraId="02AD4EF4" w14:textId="77777777" w:rsidR="00565169" w:rsidRDefault="00565169" w:rsidP="0056516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Bonta</w:t>
      </w:r>
      <w:proofErr w:type="spellEnd"/>
      <w:r>
        <w:rPr>
          <w:rFonts w:ascii="Arial" w:hAnsi="Arial" w:cs="Arial"/>
          <w:color w:val="222222"/>
          <w:sz w:val="20"/>
          <w:szCs w:val="20"/>
          <w:shd w:val="clear" w:color="auto" w:fill="FFFFFF"/>
        </w:rPr>
        <w:t>, J., &amp; Andrews, D. A. (2003). A commentary on Ward and Stewart's model of human needs. </w:t>
      </w:r>
      <w:r>
        <w:rPr>
          <w:rFonts w:ascii="Arial" w:hAnsi="Arial" w:cs="Arial"/>
          <w:i/>
          <w:iCs/>
          <w:color w:val="222222"/>
          <w:sz w:val="20"/>
          <w:szCs w:val="20"/>
          <w:shd w:val="clear" w:color="auto" w:fill="FFFFFF"/>
        </w:rPr>
        <w:t>Psychology Crime and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 215-218.</w:t>
      </w:r>
    </w:p>
    <w:p w14:paraId="4DBA874F"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Hanson, R. K., Gordon, A., Harris, A. J., Marques, J. K., Murphy, W., </w:t>
      </w:r>
      <w:proofErr w:type="spellStart"/>
      <w:r>
        <w:rPr>
          <w:rFonts w:ascii="Arial" w:hAnsi="Arial" w:cs="Arial"/>
          <w:color w:val="222222"/>
          <w:sz w:val="20"/>
          <w:szCs w:val="20"/>
          <w:shd w:val="clear" w:color="auto" w:fill="FFFFFF"/>
        </w:rPr>
        <w:t>Quinsey</w:t>
      </w:r>
      <w:proofErr w:type="spellEnd"/>
      <w:r>
        <w:rPr>
          <w:rFonts w:ascii="Arial" w:hAnsi="Arial" w:cs="Arial"/>
          <w:color w:val="222222"/>
          <w:sz w:val="20"/>
          <w:szCs w:val="20"/>
          <w:shd w:val="clear" w:color="auto" w:fill="FFFFFF"/>
        </w:rPr>
        <w:t xml:space="preserve">, V. L., &amp; </w:t>
      </w:r>
      <w:proofErr w:type="spellStart"/>
      <w:r>
        <w:rPr>
          <w:rFonts w:ascii="Arial" w:hAnsi="Arial" w:cs="Arial"/>
          <w:color w:val="222222"/>
          <w:sz w:val="20"/>
          <w:szCs w:val="20"/>
          <w:shd w:val="clear" w:color="auto" w:fill="FFFFFF"/>
        </w:rPr>
        <w:t>Seto</w:t>
      </w:r>
      <w:proofErr w:type="spellEnd"/>
      <w:r>
        <w:rPr>
          <w:rFonts w:ascii="Arial" w:hAnsi="Arial" w:cs="Arial"/>
          <w:color w:val="222222"/>
          <w:sz w:val="20"/>
          <w:szCs w:val="20"/>
          <w:shd w:val="clear" w:color="auto" w:fill="FFFFFF"/>
        </w:rPr>
        <w:t>, M. C. (2002). First report of the collaborative outcome data project on the effectiveness of psychological treatment for sex offenders. </w:t>
      </w:r>
      <w:r>
        <w:rPr>
          <w:rFonts w:ascii="Arial" w:hAnsi="Arial" w:cs="Arial"/>
          <w:i/>
          <w:iCs/>
          <w:color w:val="222222"/>
          <w:sz w:val="20"/>
          <w:szCs w:val="20"/>
          <w:shd w:val="clear" w:color="auto" w:fill="FFFFFF"/>
        </w:rPr>
        <w:t>Sexual Abuse: A journal of research and treatment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(2), 169-194.</w:t>
      </w:r>
    </w:p>
    <w:p w14:paraId="07E5C30A"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Kingston, D. A., Yates, P. M., Simons, D. A., &amp; Tyler, C. (2009). The self-regulation model of sexual offender treatment: Relationship to risk and the good lives model. In </w:t>
      </w:r>
      <w:r>
        <w:rPr>
          <w:rFonts w:ascii="Arial" w:hAnsi="Arial" w:cs="Arial"/>
          <w:i/>
          <w:iCs/>
          <w:color w:val="222222"/>
          <w:sz w:val="20"/>
          <w:szCs w:val="20"/>
          <w:shd w:val="clear" w:color="auto" w:fill="FFFFFF"/>
        </w:rPr>
        <w:t>28th Annual Convention of the Association for the Treatment of Sexual Abusers (ATSA), Dallas, TX</w:t>
      </w:r>
      <w:r>
        <w:rPr>
          <w:rFonts w:ascii="Arial" w:hAnsi="Arial" w:cs="Arial"/>
          <w:color w:val="222222"/>
          <w:sz w:val="20"/>
          <w:szCs w:val="20"/>
          <w:shd w:val="clear" w:color="auto" w:fill="FFFFFF"/>
        </w:rPr>
        <w:t>.</w:t>
      </w:r>
    </w:p>
    <w:p w14:paraId="1477F8E1" w14:textId="77777777" w:rsidR="00565169" w:rsidRDefault="00565169" w:rsidP="0056516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Looman</w:t>
      </w:r>
      <w:proofErr w:type="spellEnd"/>
      <w:r>
        <w:rPr>
          <w:rFonts w:ascii="Arial" w:hAnsi="Arial" w:cs="Arial"/>
          <w:color w:val="222222"/>
          <w:sz w:val="20"/>
          <w:szCs w:val="20"/>
          <w:shd w:val="clear" w:color="auto" w:fill="FFFFFF"/>
        </w:rPr>
        <w:t xml:space="preserve">, J., &amp; </w:t>
      </w:r>
      <w:proofErr w:type="spellStart"/>
      <w:r>
        <w:rPr>
          <w:rFonts w:ascii="Arial" w:hAnsi="Arial" w:cs="Arial"/>
          <w:color w:val="222222"/>
          <w:sz w:val="20"/>
          <w:szCs w:val="20"/>
          <w:shd w:val="clear" w:color="auto" w:fill="FFFFFF"/>
        </w:rPr>
        <w:t>Abracen</w:t>
      </w:r>
      <w:proofErr w:type="spellEnd"/>
      <w:r>
        <w:rPr>
          <w:rFonts w:ascii="Arial" w:hAnsi="Arial" w:cs="Arial"/>
          <w:color w:val="222222"/>
          <w:sz w:val="20"/>
          <w:szCs w:val="20"/>
          <w:shd w:val="clear" w:color="auto" w:fill="FFFFFF"/>
        </w:rPr>
        <w:t xml:space="preserve">, J. (2013). The risk need responsivity model of offender rehabilitation: Is there really a need for a paradigm </w:t>
      </w:r>
      <w:proofErr w:type="gramStart"/>
      <w:r>
        <w:rPr>
          <w:rFonts w:ascii="Arial" w:hAnsi="Arial" w:cs="Arial"/>
          <w:color w:val="222222"/>
          <w:sz w:val="20"/>
          <w:szCs w:val="20"/>
          <w:shd w:val="clear" w:color="auto" w:fill="FFFFFF"/>
        </w:rPr>
        <w:t>shift?.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International Journal of </w:t>
      </w:r>
      <w:proofErr w:type="spellStart"/>
      <w:r>
        <w:rPr>
          <w:rFonts w:ascii="Arial" w:hAnsi="Arial" w:cs="Arial"/>
          <w:i/>
          <w:iCs/>
          <w:color w:val="222222"/>
          <w:sz w:val="20"/>
          <w:szCs w:val="20"/>
          <w:shd w:val="clear" w:color="auto" w:fill="FFFFFF"/>
        </w:rPr>
        <w:t>Behavioral</w:t>
      </w:r>
      <w:proofErr w:type="spellEnd"/>
      <w:r>
        <w:rPr>
          <w:rFonts w:ascii="Arial" w:hAnsi="Arial" w:cs="Arial"/>
          <w:i/>
          <w:iCs/>
          <w:color w:val="222222"/>
          <w:sz w:val="20"/>
          <w:szCs w:val="20"/>
          <w:shd w:val="clear" w:color="auto" w:fill="FFFFFF"/>
        </w:rPr>
        <w:t xml:space="preserve"> Consultation and Therapy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(3-4), 30.</w:t>
      </w:r>
    </w:p>
    <w:p w14:paraId="59938396"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Lord, A. (2016). Integrating risk, the Good Lives Model and recovery for mentally disordered sexual offenders. </w:t>
      </w:r>
      <w:r>
        <w:rPr>
          <w:rFonts w:ascii="Arial" w:hAnsi="Arial" w:cs="Arial"/>
          <w:i/>
          <w:iCs/>
          <w:color w:val="222222"/>
          <w:sz w:val="20"/>
          <w:szCs w:val="20"/>
          <w:shd w:val="clear" w:color="auto" w:fill="FFFFFF"/>
        </w:rPr>
        <w:t>Journal of Sexual Aggression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(1), 107-122.</w:t>
      </w:r>
    </w:p>
    <w:p w14:paraId="0B2C0602" w14:textId="77777777" w:rsidR="00565169" w:rsidRDefault="00565169" w:rsidP="0056516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McMurran</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Theodosi</w:t>
      </w:r>
      <w:proofErr w:type="spellEnd"/>
      <w:r>
        <w:rPr>
          <w:rFonts w:ascii="Arial" w:hAnsi="Arial" w:cs="Arial"/>
          <w:color w:val="222222"/>
          <w:sz w:val="20"/>
          <w:szCs w:val="20"/>
          <w:shd w:val="clear" w:color="auto" w:fill="FFFFFF"/>
        </w:rPr>
        <w:t xml:space="preserve">, E., Sweeney, A., &amp; </w:t>
      </w:r>
      <w:proofErr w:type="spellStart"/>
      <w:r>
        <w:rPr>
          <w:rFonts w:ascii="Arial" w:hAnsi="Arial" w:cs="Arial"/>
          <w:color w:val="222222"/>
          <w:sz w:val="20"/>
          <w:szCs w:val="20"/>
          <w:shd w:val="clear" w:color="auto" w:fill="FFFFFF"/>
        </w:rPr>
        <w:t>Sellen</w:t>
      </w:r>
      <w:proofErr w:type="spellEnd"/>
      <w:r>
        <w:rPr>
          <w:rFonts w:ascii="Arial" w:hAnsi="Arial" w:cs="Arial"/>
          <w:color w:val="222222"/>
          <w:sz w:val="20"/>
          <w:szCs w:val="20"/>
          <w:shd w:val="clear" w:color="auto" w:fill="FFFFFF"/>
        </w:rPr>
        <w:t>, J. (2008). What do prisoners want? Current concerns of adult male prisoners. </w:t>
      </w:r>
      <w:r>
        <w:rPr>
          <w:rFonts w:ascii="Arial" w:hAnsi="Arial" w:cs="Arial"/>
          <w:i/>
          <w:iCs/>
          <w:color w:val="222222"/>
          <w:sz w:val="20"/>
          <w:szCs w:val="20"/>
          <w:shd w:val="clear" w:color="auto" w:fill="FFFFFF"/>
        </w:rPr>
        <w:t>Psychology, Crime &amp; Law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267-274.</w:t>
      </w:r>
    </w:p>
    <w:p w14:paraId="32EF3F83" w14:textId="77777777" w:rsidR="00565169" w:rsidRDefault="00565169" w:rsidP="0056516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Polaschek</w:t>
      </w:r>
      <w:proofErr w:type="spellEnd"/>
      <w:r>
        <w:rPr>
          <w:rFonts w:ascii="Arial" w:hAnsi="Arial" w:cs="Arial"/>
          <w:color w:val="222222"/>
          <w:sz w:val="20"/>
          <w:szCs w:val="20"/>
          <w:shd w:val="clear" w:color="auto" w:fill="FFFFFF"/>
        </w:rPr>
        <w:t>, D. L. (2012). An appraisal of the risk–need–responsivity (RNR) model of offender rehabilitation and its application in correctional treatment. </w:t>
      </w:r>
      <w:r>
        <w:rPr>
          <w:rFonts w:ascii="Arial" w:hAnsi="Arial" w:cs="Arial"/>
          <w:i/>
          <w:iCs/>
          <w:color w:val="222222"/>
          <w:sz w:val="20"/>
          <w:szCs w:val="20"/>
          <w:shd w:val="clear" w:color="auto" w:fill="FFFFFF"/>
        </w:rPr>
        <w:t>Legal and criminological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(1),1-17.</w:t>
      </w:r>
    </w:p>
    <w:p w14:paraId="1F6454B1" w14:textId="77777777" w:rsidR="00565169" w:rsidRDefault="00565169" w:rsidP="0056516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Vitopoulos</w:t>
      </w:r>
      <w:proofErr w:type="spellEnd"/>
      <w:r>
        <w:rPr>
          <w:rFonts w:ascii="Arial" w:hAnsi="Arial" w:cs="Arial"/>
          <w:color w:val="222222"/>
          <w:sz w:val="20"/>
          <w:szCs w:val="20"/>
          <w:shd w:val="clear" w:color="auto" w:fill="FFFFFF"/>
        </w:rPr>
        <w:t>, N. A., Peterson-</w:t>
      </w:r>
      <w:proofErr w:type="spellStart"/>
      <w:r>
        <w:rPr>
          <w:rFonts w:ascii="Arial" w:hAnsi="Arial" w:cs="Arial"/>
          <w:color w:val="222222"/>
          <w:sz w:val="20"/>
          <w:szCs w:val="20"/>
          <w:shd w:val="clear" w:color="auto" w:fill="FFFFFF"/>
        </w:rPr>
        <w:t>Badali</w:t>
      </w:r>
      <w:proofErr w:type="spellEnd"/>
      <w:r>
        <w:rPr>
          <w:rFonts w:ascii="Arial" w:hAnsi="Arial" w:cs="Arial"/>
          <w:color w:val="222222"/>
          <w:sz w:val="20"/>
          <w:szCs w:val="20"/>
          <w:shd w:val="clear" w:color="auto" w:fill="FFFFFF"/>
        </w:rPr>
        <w:t>, M., &amp; Skilling, T. A. (2012). The relationship between matching service to criminogenic need and recidivism in male and female youth: Examining the RNR principles in practice. </w:t>
      </w:r>
      <w:r>
        <w:rPr>
          <w:rFonts w:ascii="Arial" w:hAnsi="Arial" w:cs="Arial"/>
          <w:i/>
          <w:iCs/>
          <w:color w:val="222222"/>
          <w:sz w:val="20"/>
          <w:szCs w:val="20"/>
          <w:shd w:val="clear" w:color="auto" w:fill="FFFFFF"/>
        </w:rPr>
        <w:t xml:space="preserve">Criminal Justice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(8), 1025-1041.</w:t>
      </w:r>
    </w:p>
    <w:p w14:paraId="6711C471"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Ward, T., &amp; Gannon, T. A. (2006). Rehabilitation, </w:t>
      </w:r>
      <w:proofErr w:type="spellStart"/>
      <w:r>
        <w:rPr>
          <w:rFonts w:ascii="Arial" w:hAnsi="Arial" w:cs="Arial"/>
          <w:color w:val="222222"/>
          <w:sz w:val="20"/>
          <w:szCs w:val="20"/>
          <w:shd w:val="clear" w:color="auto" w:fill="FFFFFF"/>
        </w:rPr>
        <w:t>etiology</w:t>
      </w:r>
      <w:proofErr w:type="spellEnd"/>
      <w:r>
        <w:rPr>
          <w:rFonts w:ascii="Arial" w:hAnsi="Arial" w:cs="Arial"/>
          <w:color w:val="222222"/>
          <w:sz w:val="20"/>
          <w:szCs w:val="20"/>
          <w:shd w:val="clear" w:color="auto" w:fill="FFFFFF"/>
        </w:rPr>
        <w:t>, and self-regulation: The comprehensive good lives model of treatment for sexual offenders. </w:t>
      </w:r>
      <w:r>
        <w:rPr>
          <w:rFonts w:ascii="Arial" w:hAnsi="Arial" w:cs="Arial"/>
          <w:i/>
          <w:iCs/>
          <w:color w:val="222222"/>
          <w:sz w:val="20"/>
          <w:szCs w:val="20"/>
          <w:shd w:val="clear" w:color="auto" w:fill="FFFFFF"/>
        </w:rPr>
        <w:t xml:space="preserve">Aggression and violent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77-94.</w:t>
      </w:r>
    </w:p>
    <w:p w14:paraId="2FAA2175"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Ward, T., Mann, R. E., &amp; Gannon, T. A. (2007). The good lives model of offender rehabilitation: Clinical implications. </w:t>
      </w:r>
      <w:r>
        <w:rPr>
          <w:rFonts w:ascii="Arial" w:hAnsi="Arial" w:cs="Arial"/>
          <w:i/>
          <w:iCs/>
          <w:color w:val="222222"/>
          <w:sz w:val="20"/>
          <w:szCs w:val="20"/>
          <w:shd w:val="clear" w:color="auto" w:fill="FFFFFF"/>
        </w:rPr>
        <w:t xml:space="preserve">Aggression and violent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87-107.</w:t>
      </w:r>
    </w:p>
    <w:p w14:paraId="2CD24964"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Ward, T., Yates, P. M., &amp; Willis, G. M. (2012). The good lives model and the risk need responsivity model: A critical response to Andrews, </w:t>
      </w:r>
      <w:proofErr w:type="spellStart"/>
      <w:r>
        <w:rPr>
          <w:rFonts w:ascii="Arial" w:hAnsi="Arial" w:cs="Arial"/>
          <w:color w:val="222222"/>
          <w:sz w:val="20"/>
          <w:szCs w:val="20"/>
          <w:shd w:val="clear" w:color="auto" w:fill="FFFFFF"/>
        </w:rPr>
        <w:t>Bonta</w:t>
      </w:r>
      <w:proofErr w:type="spellEnd"/>
      <w:r>
        <w:rPr>
          <w:rFonts w:ascii="Arial" w:hAnsi="Arial" w:cs="Arial"/>
          <w:color w:val="222222"/>
          <w:sz w:val="20"/>
          <w:szCs w:val="20"/>
          <w:shd w:val="clear" w:color="auto" w:fill="FFFFFF"/>
        </w:rPr>
        <w:t xml:space="preserve">, and </w:t>
      </w:r>
      <w:proofErr w:type="spellStart"/>
      <w:r>
        <w:rPr>
          <w:rFonts w:ascii="Arial" w:hAnsi="Arial" w:cs="Arial"/>
          <w:color w:val="222222"/>
          <w:sz w:val="20"/>
          <w:szCs w:val="20"/>
          <w:shd w:val="clear" w:color="auto" w:fill="FFFFFF"/>
        </w:rPr>
        <w:t>Wormith</w:t>
      </w:r>
      <w:proofErr w:type="spellEnd"/>
      <w:r>
        <w:rPr>
          <w:rFonts w:ascii="Arial" w:hAnsi="Arial" w:cs="Arial"/>
          <w:color w:val="222222"/>
          <w:sz w:val="20"/>
          <w:szCs w:val="20"/>
          <w:shd w:val="clear" w:color="auto" w:fill="FFFFFF"/>
        </w:rPr>
        <w:t xml:space="preserve"> (2011). </w:t>
      </w:r>
      <w:r>
        <w:rPr>
          <w:rFonts w:ascii="Arial" w:hAnsi="Arial" w:cs="Arial"/>
          <w:i/>
          <w:iCs/>
          <w:color w:val="222222"/>
          <w:sz w:val="20"/>
          <w:szCs w:val="20"/>
          <w:shd w:val="clear" w:color="auto" w:fill="FFFFFF"/>
        </w:rPr>
        <w:t xml:space="preserve">Criminal Justice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94-110.</w:t>
      </w:r>
    </w:p>
    <w:p w14:paraId="48BDBE56" w14:textId="37DB3370" w:rsidR="00FC70B0" w:rsidRDefault="00606ED6"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Ward, T., &amp; Stewart, C. A. (2003). The treatment of sex offenders: Risk management and good lives. </w:t>
      </w:r>
      <w:r>
        <w:rPr>
          <w:rFonts w:ascii="Arial" w:hAnsi="Arial" w:cs="Arial"/>
          <w:i/>
          <w:iCs/>
          <w:color w:val="222222"/>
          <w:sz w:val="20"/>
          <w:szCs w:val="20"/>
          <w:shd w:val="clear" w:color="auto" w:fill="FFFFFF"/>
        </w:rPr>
        <w:t>Professional Psychology: Research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(4), 353.</w:t>
      </w:r>
    </w:p>
    <w:p w14:paraId="1A564A89" w14:textId="66A88476" w:rsidR="00565169" w:rsidRDefault="00565169" w:rsidP="00565169">
      <w:pPr>
        <w:rPr>
          <w:rFonts w:ascii="Arial" w:hAnsi="Arial" w:cs="Arial"/>
          <w:color w:val="222222"/>
          <w:sz w:val="20"/>
          <w:szCs w:val="20"/>
          <w:shd w:val="clear" w:color="auto" w:fill="FFFFFF"/>
        </w:rPr>
      </w:pPr>
      <w:bookmarkStart w:id="1" w:name="_GoBack"/>
      <w:bookmarkEnd w:id="1"/>
      <w:r>
        <w:rPr>
          <w:rFonts w:ascii="Arial" w:hAnsi="Arial" w:cs="Arial"/>
          <w:color w:val="222222"/>
          <w:sz w:val="20"/>
          <w:szCs w:val="20"/>
          <w:shd w:val="clear" w:color="auto" w:fill="FFFFFF"/>
        </w:rPr>
        <w:t>Willis, G. M., Yates, P. M., Gannon, T. A., &amp; Ward, T. (2013). How to integrate the Good Lives Model into treatment programs for sexual offending: An introduction and overview. </w:t>
      </w:r>
      <w:r>
        <w:rPr>
          <w:rFonts w:ascii="Arial" w:hAnsi="Arial" w:cs="Arial"/>
          <w:i/>
          <w:iCs/>
          <w:color w:val="222222"/>
          <w:sz w:val="20"/>
          <w:szCs w:val="20"/>
          <w:shd w:val="clear" w:color="auto" w:fill="FFFFFF"/>
        </w:rPr>
        <w:t>Sexual Abuse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(2), 123-142.</w:t>
      </w:r>
    </w:p>
    <w:p w14:paraId="7B762F00"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Wilson, R. J., &amp; Yates, P. M. (2009). Effective interventions and the Good Lives Model: Maximizing treatment gains for sexual offenders. </w:t>
      </w:r>
      <w:r>
        <w:rPr>
          <w:rFonts w:ascii="Arial" w:hAnsi="Arial" w:cs="Arial"/>
          <w:i/>
          <w:iCs/>
          <w:color w:val="222222"/>
          <w:sz w:val="20"/>
          <w:szCs w:val="20"/>
          <w:shd w:val="clear" w:color="auto" w:fill="FFFFFF"/>
        </w:rPr>
        <w:t xml:space="preserve">Aggression and violent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157-161.</w:t>
      </w:r>
    </w:p>
    <w:p w14:paraId="7FF60CE8" w14:textId="77777777" w:rsidR="00565169" w:rsidRDefault="00565169" w:rsidP="0056516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Wormith</w:t>
      </w:r>
      <w:proofErr w:type="spellEnd"/>
      <w:r>
        <w:rPr>
          <w:rFonts w:ascii="Arial" w:hAnsi="Arial" w:cs="Arial"/>
          <w:color w:val="222222"/>
          <w:sz w:val="20"/>
          <w:szCs w:val="20"/>
          <w:shd w:val="clear" w:color="auto" w:fill="FFFFFF"/>
        </w:rPr>
        <w:t xml:space="preserve">, J. S., </w:t>
      </w:r>
      <w:proofErr w:type="spellStart"/>
      <w:r>
        <w:rPr>
          <w:rFonts w:ascii="Arial" w:hAnsi="Arial" w:cs="Arial"/>
          <w:color w:val="222222"/>
          <w:sz w:val="20"/>
          <w:szCs w:val="20"/>
          <w:shd w:val="clear" w:color="auto" w:fill="FFFFFF"/>
        </w:rPr>
        <w:t>Gendreau</w:t>
      </w:r>
      <w:proofErr w:type="spellEnd"/>
      <w:r>
        <w:rPr>
          <w:rFonts w:ascii="Arial" w:hAnsi="Arial" w:cs="Arial"/>
          <w:color w:val="222222"/>
          <w:sz w:val="20"/>
          <w:szCs w:val="20"/>
          <w:shd w:val="clear" w:color="auto" w:fill="FFFFFF"/>
        </w:rPr>
        <w:t xml:space="preserve">, P., &amp; </w:t>
      </w:r>
      <w:proofErr w:type="spellStart"/>
      <w:r>
        <w:rPr>
          <w:rFonts w:ascii="Arial" w:hAnsi="Arial" w:cs="Arial"/>
          <w:color w:val="222222"/>
          <w:sz w:val="20"/>
          <w:szCs w:val="20"/>
          <w:shd w:val="clear" w:color="auto" w:fill="FFFFFF"/>
        </w:rPr>
        <w:t>Bonta</w:t>
      </w:r>
      <w:proofErr w:type="spellEnd"/>
      <w:r>
        <w:rPr>
          <w:rFonts w:ascii="Arial" w:hAnsi="Arial" w:cs="Arial"/>
          <w:color w:val="222222"/>
          <w:sz w:val="20"/>
          <w:szCs w:val="20"/>
          <w:shd w:val="clear" w:color="auto" w:fill="FFFFFF"/>
        </w:rPr>
        <w:t>, J. (2012). Deferring to clarity, parsimony, and evidence in reply to Ward, Yates, and Willis. </w:t>
      </w:r>
      <w:r>
        <w:rPr>
          <w:rFonts w:ascii="Arial" w:hAnsi="Arial" w:cs="Arial"/>
          <w:i/>
          <w:iCs/>
          <w:color w:val="222222"/>
          <w:sz w:val="20"/>
          <w:szCs w:val="20"/>
          <w:shd w:val="clear" w:color="auto" w:fill="FFFFFF"/>
        </w:rPr>
        <w:t xml:space="preserve">Criminal Justice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111-120.</w:t>
      </w:r>
    </w:p>
    <w:p w14:paraId="1D5A0E81"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t>Yates, P. M. (2009). Using the good lives model to motivate sexual offenders to participate in treatment.</w:t>
      </w:r>
    </w:p>
    <w:p w14:paraId="22EB25D5" w14:textId="77777777" w:rsidR="00565169" w:rsidRDefault="00565169" w:rsidP="00565169">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Yates, P. M., Prescott, D., &amp; Ward, T. (2010). Applying the good lives and self-regulation models to sex offender treatment. </w:t>
      </w:r>
      <w:r>
        <w:rPr>
          <w:rFonts w:ascii="Arial" w:hAnsi="Arial" w:cs="Arial"/>
          <w:i/>
          <w:iCs/>
          <w:color w:val="222222"/>
          <w:sz w:val="20"/>
          <w:szCs w:val="20"/>
          <w:shd w:val="clear" w:color="auto" w:fill="FFFFFF"/>
        </w:rPr>
        <w:t>Brandon: Safer Society</w:t>
      </w:r>
      <w:r>
        <w:rPr>
          <w:rFonts w:ascii="Arial" w:hAnsi="Arial" w:cs="Arial"/>
          <w:color w:val="222222"/>
          <w:sz w:val="20"/>
          <w:szCs w:val="20"/>
          <w:shd w:val="clear" w:color="auto" w:fill="FFFFFF"/>
        </w:rPr>
        <w:t>.</w:t>
      </w:r>
    </w:p>
    <w:p w14:paraId="333312F7" w14:textId="418E2596" w:rsidR="00693C5C" w:rsidRDefault="00693C5C">
      <w:pPr>
        <w:rPr>
          <w:rFonts w:ascii="Times New Roman" w:hAnsi="Times New Roman" w:cs="Times New Roman"/>
          <w:sz w:val="28"/>
          <w:szCs w:val="28"/>
        </w:rPr>
      </w:pPr>
    </w:p>
    <w:p w14:paraId="6FEC4A8B" w14:textId="77777777" w:rsidR="00AD2A78" w:rsidRDefault="00AD2A78">
      <w:pPr>
        <w:rPr>
          <w:rFonts w:ascii="Times New Roman" w:hAnsi="Times New Roman" w:cs="Times New Roman"/>
          <w:sz w:val="28"/>
          <w:szCs w:val="28"/>
        </w:rPr>
      </w:pPr>
    </w:p>
    <w:p w14:paraId="6E0EFAA0" w14:textId="373CA8A9" w:rsidR="00086E3A" w:rsidRPr="0068542E" w:rsidRDefault="00E13D5A">
      <w:pPr>
        <w:rPr>
          <w:rFonts w:ascii="Times New Roman" w:hAnsi="Times New Roman" w:cs="Times New Roman"/>
          <w:sz w:val="28"/>
          <w:szCs w:val="28"/>
        </w:rPr>
      </w:pPr>
      <w:r>
        <w:rPr>
          <w:rFonts w:ascii="Times New Roman" w:hAnsi="Times New Roman" w:cs="Times New Roman"/>
          <w:sz w:val="28"/>
          <w:szCs w:val="28"/>
        </w:rPr>
        <w:t xml:space="preserve"> </w:t>
      </w:r>
    </w:p>
    <w:sectPr w:rsidR="00086E3A" w:rsidRPr="006854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2E"/>
    <w:rsid w:val="00002FEB"/>
    <w:rsid w:val="00017049"/>
    <w:rsid w:val="0002610A"/>
    <w:rsid w:val="00032DC6"/>
    <w:rsid w:val="00047286"/>
    <w:rsid w:val="00057F73"/>
    <w:rsid w:val="0007743C"/>
    <w:rsid w:val="00086E3A"/>
    <w:rsid w:val="001328D5"/>
    <w:rsid w:val="001671A7"/>
    <w:rsid w:val="001B4A77"/>
    <w:rsid w:val="001C6F89"/>
    <w:rsid w:val="00215B6D"/>
    <w:rsid w:val="00260E6E"/>
    <w:rsid w:val="00285F5B"/>
    <w:rsid w:val="00286A7F"/>
    <w:rsid w:val="002C4193"/>
    <w:rsid w:val="002D259D"/>
    <w:rsid w:val="002D6768"/>
    <w:rsid w:val="00322365"/>
    <w:rsid w:val="00335904"/>
    <w:rsid w:val="00347F0E"/>
    <w:rsid w:val="003A166E"/>
    <w:rsid w:val="003C2433"/>
    <w:rsid w:val="004418CA"/>
    <w:rsid w:val="00451943"/>
    <w:rsid w:val="004C3752"/>
    <w:rsid w:val="00565169"/>
    <w:rsid w:val="00577DF7"/>
    <w:rsid w:val="00591A36"/>
    <w:rsid w:val="005A6006"/>
    <w:rsid w:val="005D5A58"/>
    <w:rsid w:val="00606ED6"/>
    <w:rsid w:val="006254A7"/>
    <w:rsid w:val="00626FE4"/>
    <w:rsid w:val="00632CF2"/>
    <w:rsid w:val="006409C0"/>
    <w:rsid w:val="00683042"/>
    <w:rsid w:val="0068542E"/>
    <w:rsid w:val="00686B9A"/>
    <w:rsid w:val="00693C5C"/>
    <w:rsid w:val="006E66CA"/>
    <w:rsid w:val="006F054A"/>
    <w:rsid w:val="00701C5F"/>
    <w:rsid w:val="00732170"/>
    <w:rsid w:val="007360A7"/>
    <w:rsid w:val="007476ED"/>
    <w:rsid w:val="00780842"/>
    <w:rsid w:val="007A72A7"/>
    <w:rsid w:val="007D4329"/>
    <w:rsid w:val="0085496E"/>
    <w:rsid w:val="0086276C"/>
    <w:rsid w:val="00862E89"/>
    <w:rsid w:val="008717C8"/>
    <w:rsid w:val="008D7B28"/>
    <w:rsid w:val="008E0D01"/>
    <w:rsid w:val="00905D0C"/>
    <w:rsid w:val="00951D0D"/>
    <w:rsid w:val="00986469"/>
    <w:rsid w:val="00994AD7"/>
    <w:rsid w:val="009F2E6E"/>
    <w:rsid w:val="00A92425"/>
    <w:rsid w:val="00AD2A78"/>
    <w:rsid w:val="00AE0355"/>
    <w:rsid w:val="00B32B15"/>
    <w:rsid w:val="00B446CD"/>
    <w:rsid w:val="00B67806"/>
    <w:rsid w:val="00B91CE4"/>
    <w:rsid w:val="00C4689C"/>
    <w:rsid w:val="00CA192F"/>
    <w:rsid w:val="00CB5B6F"/>
    <w:rsid w:val="00D1749C"/>
    <w:rsid w:val="00D32931"/>
    <w:rsid w:val="00D3728D"/>
    <w:rsid w:val="00D751AF"/>
    <w:rsid w:val="00D765C1"/>
    <w:rsid w:val="00DD0A78"/>
    <w:rsid w:val="00DD3087"/>
    <w:rsid w:val="00DE6B96"/>
    <w:rsid w:val="00E12855"/>
    <w:rsid w:val="00E13D5A"/>
    <w:rsid w:val="00EC29A0"/>
    <w:rsid w:val="00EE704B"/>
    <w:rsid w:val="00F231D4"/>
    <w:rsid w:val="00F54DE6"/>
    <w:rsid w:val="00FB1A94"/>
    <w:rsid w:val="00FC1117"/>
    <w:rsid w:val="00FC70B0"/>
    <w:rsid w:val="00FD10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BBA24"/>
  <w15:chartTrackingRefBased/>
  <w15:docId w15:val="{284F2AA8-F191-422F-9AA5-C05A0AB58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3088</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thomas</dc:creator>
  <cp:keywords/>
  <dc:description/>
  <cp:lastModifiedBy>emma thomas</cp:lastModifiedBy>
  <cp:revision>2</cp:revision>
  <dcterms:created xsi:type="dcterms:W3CDTF">2018-11-15T23:56:00Z</dcterms:created>
  <dcterms:modified xsi:type="dcterms:W3CDTF">2018-11-15T23:56:00Z</dcterms:modified>
</cp:coreProperties>
</file>