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55A03F" w14:textId="77777777" w:rsidR="002F7D75" w:rsidRPr="009D531E" w:rsidRDefault="002F7D75" w:rsidP="009D531E">
      <w:pPr>
        <w:spacing w:line="360" w:lineRule="auto"/>
        <w:rPr>
          <w:rFonts w:ascii="Arial" w:hAnsi="Arial" w:cs="Arial"/>
          <w:bCs/>
        </w:rPr>
      </w:pPr>
      <w:r w:rsidRPr="009D531E">
        <w:rPr>
          <w:rFonts w:ascii="Arial" w:hAnsi="Arial" w:cs="Arial"/>
          <w:bCs/>
        </w:rPr>
        <w:t xml:space="preserve">IN THE HIGH COURT OF ENGLAND AND WALES </w:t>
      </w:r>
    </w:p>
    <w:p w14:paraId="14530606" w14:textId="1671083C" w:rsidR="002F7D75" w:rsidRPr="009D531E" w:rsidRDefault="002F7D75" w:rsidP="009D531E">
      <w:pPr>
        <w:spacing w:line="360" w:lineRule="auto"/>
        <w:rPr>
          <w:rFonts w:ascii="Arial" w:hAnsi="Arial" w:cs="Arial"/>
          <w:bCs/>
        </w:rPr>
      </w:pPr>
      <w:r w:rsidRPr="009D531E">
        <w:rPr>
          <w:rFonts w:ascii="Arial" w:hAnsi="Arial" w:cs="Arial"/>
          <w:bCs/>
        </w:rPr>
        <w:t>(CHANCERY DIVISION)</w:t>
      </w:r>
    </w:p>
    <w:p w14:paraId="21FD89D9" w14:textId="55306B45" w:rsidR="002F7D75" w:rsidRPr="009D531E" w:rsidRDefault="002F7D75" w:rsidP="009D531E">
      <w:pPr>
        <w:spacing w:line="360" w:lineRule="auto"/>
        <w:jc w:val="right"/>
        <w:rPr>
          <w:rFonts w:ascii="Arial" w:hAnsi="Arial" w:cs="Arial"/>
          <w:bCs/>
        </w:rPr>
      </w:pPr>
      <w:r w:rsidRPr="009D531E">
        <w:rPr>
          <w:rFonts w:ascii="Arial" w:hAnsi="Arial" w:cs="Arial"/>
          <w:bCs/>
        </w:rPr>
        <w:t>CLAIM NUMBER:</w:t>
      </w:r>
      <w:r w:rsidR="00BA0A8D" w:rsidRPr="009D531E">
        <w:rPr>
          <w:rFonts w:ascii="Arial" w:hAnsi="Arial" w:cs="Arial"/>
          <w:bCs/>
        </w:rPr>
        <w:t xml:space="preserve"> 2024/840A3</w:t>
      </w:r>
    </w:p>
    <w:p w14:paraId="501AC0D6" w14:textId="324DE21F" w:rsidR="002F7D75" w:rsidRPr="009D531E" w:rsidRDefault="002F7D75" w:rsidP="009D531E">
      <w:pPr>
        <w:spacing w:line="360" w:lineRule="auto"/>
        <w:rPr>
          <w:rFonts w:ascii="Arial" w:hAnsi="Arial" w:cs="Arial"/>
          <w:bCs/>
        </w:rPr>
      </w:pPr>
      <w:r w:rsidRPr="009D531E">
        <w:rPr>
          <w:rFonts w:ascii="Arial" w:hAnsi="Arial" w:cs="Arial"/>
          <w:bCs/>
        </w:rPr>
        <w:t>BETWEEN:</w:t>
      </w:r>
    </w:p>
    <w:tbl>
      <w:tblPr>
        <w:tblW w:w="9035" w:type="dxa"/>
        <w:tblLayout w:type="fixed"/>
        <w:tblLook w:val="04A0" w:firstRow="1" w:lastRow="0" w:firstColumn="1" w:lastColumn="0" w:noHBand="0" w:noVBand="1"/>
      </w:tblPr>
      <w:tblGrid>
        <w:gridCol w:w="1418"/>
        <w:gridCol w:w="6237"/>
        <w:gridCol w:w="1380"/>
      </w:tblGrid>
      <w:tr w:rsidR="002F7D75" w:rsidRPr="009D531E" w14:paraId="2783C3B8" w14:textId="77777777" w:rsidTr="002F7D75">
        <w:trPr>
          <w:trHeight w:val="757"/>
        </w:trPr>
        <w:tc>
          <w:tcPr>
            <w:tcW w:w="1418" w:type="dxa"/>
          </w:tcPr>
          <w:p w14:paraId="3B29174A" w14:textId="2CF2EDC5"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590905B3" w14:textId="6C2B9224"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SARAH MORGAN</w:t>
            </w:r>
          </w:p>
        </w:tc>
        <w:tc>
          <w:tcPr>
            <w:tcW w:w="1380" w:type="dxa"/>
            <w:shd w:val="clear" w:color="auto" w:fill="auto"/>
          </w:tcPr>
          <w:p w14:paraId="4A2C7B52" w14:textId="77777777" w:rsidR="002F7D75" w:rsidRPr="009D531E" w:rsidRDefault="002F7D75" w:rsidP="009D531E">
            <w:pPr>
              <w:spacing w:line="360" w:lineRule="auto"/>
              <w:jc w:val="right"/>
              <w:rPr>
                <w:rFonts w:ascii="Arial" w:eastAsia="PMingLiU" w:hAnsi="Arial" w:cs="Arial"/>
                <w:u w:val="single"/>
                <w:lang w:eastAsia="zh-CN" w:bidi="ta-IN"/>
              </w:rPr>
            </w:pPr>
            <w:r w:rsidRPr="009D531E">
              <w:rPr>
                <w:rFonts w:ascii="Arial" w:eastAsia="PMingLiU" w:hAnsi="Arial" w:cs="Arial"/>
                <w:u w:val="single"/>
                <w:lang w:eastAsia="zh-CN" w:bidi="ta-IN"/>
              </w:rPr>
              <w:t xml:space="preserve">Claimant </w:t>
            </w:r>
          </w:p>
        </w:tc>
      </w:tr>
      <w:tr w:rsidR="002F7D75" w:rsidRPr="009D531E" w14:paraId="2EAEC865" w14:textId="77777777" w:rsidTr="002F7D75">
        <w:trPr>
          <w:trHeight w:val="757"/>
        </w:trPr>
        <w:tc>
          <w:tcPr>
            <w:tcW w:w="1418" w:type="dxa"/>
          </w:tcPr>
          <w:p w14:paraId="70E71ED4" w14:textId="77777777"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04F835E6" w14:textId="32FD6C51"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-and-</w:t>
            </w:r>
          </w:p>
        </w:tc>
        <w:tc>
          <w:tcPr>
            <w:tcW w:w="1380" w:type="dxa"/>
            <w:shd w:val="clear" w:color="auto" w:fill="auto"/>
          </w:tcPr>
          <w:p w14:paraId="41387A0B" w14:textId="77777777" w:rsidR="002F7D75" w:rsidRPr="009D531E" w:rsidRDefault="002F7D75" w:rsidP="009D531E">
            <w:pPr>
              <w:spacing w:line="360" w:lineRule="auto"/>
              <w:jc w:val="right"/>
              <w:rPr>
                <w:rFonts w:ascii="Arial" w:eastAsia="PMingLiU" w:hAnsi="Arial" w:cs="Arial"/>
                <w:lang w:eastAsia="zh-CN" w:bidi="ta-IN"/>
              </w:rPr>
            </w:pPr>
          </w:p>
        </w:tc>
      </w:tr>
      <w:tr w:rsidR="002F7D75" w:rsidRPr="009D531E" w14:paraId="2F590B3C" w14:textId="77777777" w:rsidTr="002F7D75">
        <w:trPr>
          <w:trHeight w:val="757"/>
        </w:trPr>
        <w:tc>
          <w:tcPr>
            <w:tcW w:w="1418" w:type="dxa"/>
          </w:tcPr>
          <w:p w14:paraId="44B27D71" w14:textId="7E9863DF"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024AA0B7" w14:textId="5E8E55F3"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JENNIFER WILLIAMS</w:t>
            </w:r>
          </w:p>
        </w:tc>
        <w:tc>
          <w:tcPr>
            <w:tcW w:w="1380" w:type="dxa"/>
            <w:shd w:val="clear" w:color="auto" w:fill="auto"/>
          </w:tcPr>
          <w:p w14:paraId="04042DAD" w14:textId="77777777" w:rsidR="002F7D75" w:rsidRPr="009D531E" w:rsidRDefault="002F7D75" w:rsidP="009D531E">
            <w:pPr>
              <w:spacing w:line="360" w:lineRule="auto"/>
              <w:jc w:val="right"/>
              <w:rPr>
                <w:rFonts w:ascii="Arial" w:eastAsia="PMingLiU" w:hAnsi="Arial" w:cs="Arial"/>
                <w:lang w:eastAsia="zh-CN" w:bidi="ta-IN"/>
              </w:rPr>
            </w:pPr>
            <w:r w:rsidRPr="009D531E">
              <w:rPr>
                <w:rFonts w:ascii="Arial" w:eastAsia="PMingLiU" w:hAnsi="Arial" w:cs="Arial"/>
                <w:u w:val="single"/>
                <w:lang w:eastAsia="zh-CN" w:bidi="ta-IN"/>
              </w:rPr>
              <w:t>Defendant</w:t>
            </w:r>
          </w:p>
        </w:tc>
      </w:tr>
    </w:tbl>
    <w:p w14:paraId="3D2FCE0E" w14:textId="77777777" w:rsidR="002F7D75" w:rsidRPr="009D531E" w:rsidRDefault="002F7D75" w:rsidP="009D531E">
      <w:pPr>
        <w:tabs>
          <w:tab w:val="left" w:pos="2656"/>
        </w:tabs>
        <w:autoSpaceDE w:val="0"/>
        <w:autoSpaceDN w:val="0"/>
        <w:adjustRightInd w:val="0"/>
        <w:spacing w:line="360" w:lineRule="auto"/>
        <w:rPr>
          <w:rFonts w:ascii="Arial" w:hAnsi="Arial" w:cs="Arial"/>
          <w:b/>
          <w:bCs/>
          <w:lang w:bidi="ta-IN"/>
        </w:rPr>
      </w:pPr>
      <w:r w:rsidRPr="009D531E">
        <w:rPr>
          <w:rFonts w:ascii="Arial" w:hAnsi="Arial" w:cs="Arial"/>
          <w:b/>
          <w:bCs/>
          <w:lang w:bidi="ta-IN"/>
        </w:rPr>
        <w:tab/>
      </w:r>
    </w:p>
    <w:p w14:paraId="6E00CF5E" w14:textId="77777777" w:rsidR="002F7D75" w:rsidRPr="009D531E" w:rsidRDefault="002F7D75" w:rsidP="009D531E">
      <w:pPr>
        <w:pBdr>
          <w:top w:val="single" w:sz="4" w:space="1" w:color="auto"/>
          <w:bottom w:val="single" w:sz="4" w:space="1" w:color="auto"/>
        </w:pBdr>
        <w:autoSpaceDE w:val="0"/>
        <w:autoSpaceDN w:val="0"/>
        <w:adjustRightInd w:val="0"/>
        <w:spacing w:line="360" w:lineRule="auto"/>
        <w:jc w:val="center"/>
        <w:rPr>
          <w:rFonts w:ascii="Arial" w:hAnsi="Arial" w:cs="Arial"/>
          <w:b/>
          <w:bCs/>
          <w:sz w:val="14"/>
          <w:szCs w:val="14"/>
          <w:lang w:bidi="ta-IN"/>
        </w:rPr>
      </w:pPr>
    </w:p>
    <w:p w14:paraId="5E43DA8D" w14:textId="5EAF9345" w:rsidR="002F7D75" w:rsidRDefault="002F7D75" w:rsidP="009D531E">
      <w:pPr>
        <w:pBdr>
          <w:top w:val="single" w:sz="4" w:space="1" w:color="auto"/>
          <w:bottom w:val="single" w:sz="4" w:space="1" w:color="auto"/>
        </w:pBdr>
        <w:autoSpaceDE w:val="0"/>
        <w:autoSpaceDN w:val="0"/>
        <w:adjustRightInd w:val="0"/>
        <w:spacing w:line="360" w:lineRule="auto"/>
        <w:jc w:val="center"/>
        <w:rPr>
          <w:rFonts w:ascii="Arial" w:eastAsiaTheme="majorEastAsia" w:hAnsi="Arial" w:cs="Arial"/>
          <w:b/>
          <w:bCs/>
          <w:lang w:bidi="ta-IN"/>
        </w:rPr>
      </w:pPr>
      <w:r w:rsidRPr="009D531E">
        <w:rPr>
          <w:rFonts w:ascii="Arial" w:hAnsi="Arial" w:cs="Arial"/>
          <w:b/>
          <w:bCs/>
          <w:lang w:bidi="ta-IN"/>
        </w:rPr>
        <w:t xml:space="preserve">Skeleton argument on behalf of </w:t>
      </w:r>
      <w:r w:rsidRPr="009D531E">
        <w:rPr>
          <w:rFonts w:ascii="Arial" w:eastAsiaTheme="majorEastAsia" w:hAnsi="Arial" w:cs="Arial"/>
          <w:b/>
          <w:bCs/>
          <w:lang w:bidi="ta-IN"/>
        </w:rPr>
        <w:t>[</w:t>
      </w:r>
      <w:r w:rsidR="00154C31">
        <w:rPr>
          <w:rFonts w:ascii="Arial" w:hAnsi="Arial" w:cs="Arial"/>
          <w:b/>
          <w:bCs/>
          <w:lang w:bidi="ta-IN"/>
        </w:rPr>
        <w:t>Jennifer Williams</w:t>
      </w:r>
      <w:r w:rsidRPr="009D531E">
        <w:rPr>
          <w:rFonts w:ascii="Arial" w:eastAsiaTheme="majorEastAsia" w:hAnsi="Arial" w:cs="Arial"/>
          <w:b/>
          <w:bCs/>
          <w:lang w:bidi="ta-IN"/>
        </w:rPr>
        <w:t>]</w:t>
      </w:r>
    </w:p>
    <w:p w14:paraId="73C8006B" w14:textId="77777777" w:rsidR="009D531E" w:rsidRPr="009D531E" w:rsidRDefault="009D531E" w:rsidP="009D531E">
      <w:pPr>
        <w:pBdr>
          <w:top w:val="single" w:sz="4" w:space="1" w:color="auto"/>
          <w:bottom w:val="single" w:sz="4" w:space="1" w:color="auto"/>
        </w:pBdr>
        <w:autoSpaceDE w:val="0"/>
        <w:autoSpaceDN w:val="0"/>
        <w:adjustRightInd w:val="0"/>
        <w:jc w:val="center"/>
        <w:rPr>
          <w:rFonts w:ascii="Arial" w:hAnsi="Arial" w:cs="Arial"/>
          <w:b/>
          <w:bCs/>
          <w:sz w:val="14"/>
          <w:szCs w:val="14"/>
          <w:lang w:bidi="ta-IN"/>
        </w:rPr>
      </w:pPr>
    </w:p>
    <w:p w14:paraId="4BB50508" w14:textId="77777777" w:rsidR="005F216E" w:rsidRDefault="005F216E" w:rsidP="009D531E">
      <w:pPr>
        <w:pStyle w:val="Heading1"/>
      </w:pPr>
      <w:r w:rsidRPr="009D531E">
        <w:t>Introduction</w:t>
      </w:r>
    </w:p>
    <w:p w14:paraId="3358730E" w14:textId="77777777" w:rsidR="009E17F3" w:rsidRDefault="009E17F3" w:rsidP="009E17F3"/>
    <w:p w14:paraId="18F47238" w14:textId="16A41896" w:rsidR="009E17F3" w:rsidRPr="009E17F3" w:rsidRDefault="009E17F3" w:rsidP="00FC7217">
      <w:pPr>
        <w:spacing w:line="360" w:lineRule="auto"/>
        <w:rPr>
          <w:rFonts w:ascii="Aptos" w:hAnsi="Aptos" w:cs="Calibri"/>
          <w:sz w:val="22"/>
          <w:szCs w:val="22"/>
        </w:rPr>
      </w:pPr>
      <w:r w:rsidRPr="009E17F3">
        <w:rPr>
          <w:rFonts w:ascii="Aptos" w:hAnsi="Aptos" w:cs="Calibri"/>
          <w:sz w:val="22"/>
          <w:szCs w:val="22"/>
        </w:rPr>
        <w:t>In response to Sarah's requests for remedies under</w:t>
      </w:r>
      <w:r w:rsidR="00154C31" w:rsidRPr="00FC7217">
        <w:rPr>
          <w:rFonts w:ascii="Aptos" w:hAnsi="Aptos" w:cs="Calibri"/>
          <w:sz w:val="22"/>
          <w:szCs w:val="22"/>
        </w:rPr>
        <w:t xml:space="preserve"> the law</w:t>
      </w:r>
      <w:r w:rsidRPr="009E17F3">
        <w:rPr>
          <w:rFonts w:ascii="Aptos" w:hAnsi="Aptos" w:cs="Calibri"/>
          <w:sz w:val="22"/>
          <w:szCs w:val="22"/>
        </w:rPr>
        <w:t xml:space="preserve">, Jennifer, the Defendant, is submitting this skeleton argument. </w:t>
      </w:r>
      <w:r w:rsidR="00F80B8F" w:rsidRPr="00FC7217">
        <w:rPr>
          <w:rFonts w:ascii="Aptos" w:hAnsi="Aptos" w:cs="Calibri"/>
          <w:sz w:val="22"/>
          <w:szCs w:val="22"/>
        </w:rPr>
        <w:t>To</w:t>
      </w:r>
      <w:r w:rsidRPr="009E17F3">
        <w:rPr>
          <w:rFonts w:ascii="Aptos" w:hAnsi="Aptos" w:cs="Calibri"/>
          <w:sz w:val="22"/>
          <w:szCs w:val="22"/>
        </w:rPr>
        <w:t xml:space="preserve"> refute Sarah's assertions </w:t>
      </w:r>
      <w:r w:rsidR="00293AF2" w:rsidRPr="00FC7217">
        <w:rPr>
          <w:rFonts w:ascii="Aptos" w:hAnsi="Aptos" w:cs="Calibri"/>
          <w:sz w:val="22"/>
          <w:szCs w:val="22"/>
        </w:rPr>
        <w:t>as a</w:t>
      </w:r>
      <w:r w:rsidRPr="009E17F3">
        <w:rPr>
          <w:rFonts w:ascii="Aptos" w:hAnsi="Aptos" w:cs="Calibri"/>
          <w:sz w:val="22"/>
          <w:szCs w:val="22"/>
        </w:rPr>
        <w:t xml:space="preserve"> </w:t>
      </w:r>
      <w:r w:rsidR="00293AF2" w:rsidRPr="00FC7217">
        <w:rPr>
          <w:rFonts w:ascii="Aptos" w:hAnsi="Aptos" w:cs="Calibri"/>
          <w:sz w:val="22"/>
          <w:szCs w:val="22"/>
        </w:rPr>
        <w:t>“</w:t>
      </w:r>
      <w:r w:rsidRPr="009E17F3">
        <w:rPr>
          <w:rFonts w:ascii="Aptos" w:hAnsi="Aptos" w:cs="Calibri"/>
          <w:sz w:val="22"/>
          <w:szCs w:val="22"/>
        </w:rPr>
        <w:t>benefi</w:t>
      </w:r>
      <w:r w:rsidR="00293AF2" w:rsidRPr="00FC7217">
        <w:rPr>
          <w:rFonts w:ascii="Aptos" w:hAnsi="Aptos" w:cs="Calibri"/>
          <w:sz w:val="22"/>
          <w:szCs w:val="22"/>
        </w:rPr>
        <w:t>ciary</w:t>
      </w:r>
      <w:r w:rsidRPr="009E17F3">
        <w:rPr>
          <w:rFonts w:ascii="Aptos" w:hAnsi="Aptos" w:cs="Calibri"/>
          <w:sz w:val="22"/>
          <w:szCs w:val="22"/>
        </w:rPr>
        <w:t xml:space="preserve"> interest</w:t>
      </w:r>
      <w:r w:rsidR="00293AF2" w:rsidRPr="00FC7217">
        <w:rPr>
          <w:rFonts w:ascii="Aptos" w:hAnsi="Aptos" w:cs="Calibri"/>
          <w:sz w:val="22"/>
          <w:szCs w:val="22"/>
        </w:rPr>
        <w:t>”</w:t>
      </w:r>
      <w:r w:rsidRPr="009E17F3">
        <w:rPr>
          <w:rFonts w:ascii="Aptos" w:hAnsi="Aptos" w:cs="Calibri"/>
          <w:sz w:val="22"/>
          <w:szCs w:val="22"/>
        </w:rPr>
        <w:t xml:space="preserve"> </w:t>
      </w:r>
      <w:r w:rsidR="00293AF2" w:rsidRPr="00FC7217">
        <w:rPr>
          <w:rFonts w:ascii="Aptos" w:hAnsi="Aptos" w:cs="Calibri"/>
          <w:sz w:val="22"/>
          <w:szCs w:val="22"/>
        </w:rPr>
        <w:t>a</w:t>
      </w:r>
      <w:r w:rsidR="00154C31" w:rsidRPr="00FC7217">
        <w:rPr>
          <w:rFonts w:ascii="Aptos" w:hAnsi="Aptos" w:cs="Calibri"/>
          <w:sz w:val="22"/>
          <w:szCs w:val="22"/>
        </w:rPr>
        <w:t>s well as</w:t>
      </w:r>
      <w:r w:rsidRPr="009E17F3">
        <w:rPr>
          <w:rFonts w:ascii="Aptos" w:hAnsi="Aptos" w:cs="Calibri"/>
          <w:sz w:val="22"/>
          <w:szCs w:val="22"/>
        </w:rPr>
        <w:t xml:space="preserve"> proprietary estoppel</w:t>
      </w:r>
      <w:r w:rsidR="00293AF2" w:rsidRPr="00FC7217">
        <w:rPr>
          <w:rFonts w:ascii="Aptos" w:hAnsi="Aptos" w:cs="Calibri"/>
          <w:sz w:val="22"/>
          <w:szCs w:val="22"/>
        </w:rPr>
        <w:t xml:space="preserve"> as a remedy</w:t>
      </w:r>
      <w:r w:rsidRPr="009E17F3">
        <w:rPr>
          <w:rFonts w:ascii="Aptos" w:hAnsi="Aptos" w:cs="Calibri"/>
          <w:sz w:val="22"/>
          <w:szCs w:val="22"/>
        </w:rPr>
        <w:t xml:space="preserve">, which are unsupported by </w:t>
      </w:r>
      <w:r w:rsidR="00F80B8F" w:rsidRPr="00FC7217">
        <w:rPr>
          <w:rFonts w:ascii="Aptos" w:hAnsi="Aptos" w:cs="Calibri"/>
          <w:sz w:val="22"/>
          <w:szCs w:val="22"/>
        </w:rPr>
        <w:t xml:space="preserve">the </w:t>
      </w:r>
      <w:r w:rsidRPr="009E17F3">
        <w:rPr>
          <w:rFonts w:ascii="Aptos" w:hAnsi="Aptos" w:cs="Calibri"/>
          <w:sz w:val="22"/>
          <w:szCs w:val="22"/>
        </w:rPr>
        <w:t>evidence</w:t>
      </w:r>
      <w:r w:rsidR="00154C31" w:rsidRPr="00FC7217">
        <w:rPr>
          <w:rFonts w:ascii="Aptos" w:hAnsi="Aptos" w:cs="Calibri"/>
          <w:sz w:val="22"/>
          <w:szCs w:val="22"/>
        </w:rPr>
        <w:t xml:space="preserve"> </w:t>
      </w:r>
      <w:r w:rsidR="00FC7217">
        <w:rPr>
          <w:rFonts w:ascii="Aptos" w:hAnsi="Aptos" w:cs="Calibri"/>
          <w:sz w:val="22"/>
          <w:szCs w:val="22"/>
        </w:rPr>
        <w:t xml:space="preserve">yet to be </w:t>
      </w:r>
      <w:r w:rsidR="00154C31" w:rsidRPr="00FC7217">
        <w:rPr>
          <w:rFonts w:ascii="Aptos" w:hAnsi="Aptos" w:cs="Calibri"/>
          <w:sz w:val="22"/>
          <w:szCs w:val="22"/>
        </w:rPr>
        <w:t>given.</w:t>
      </w:r>
      <w:r w:rsidRPr="009E17F3">
        <w:rPr>
          <w:rFonts w:ascii="Aptos" w:hAnsi="Aptos" w:cs="Calibri"/>
          <w:sz w:val="22"/>
          <w:szCs w:val="22"/>
        </w:rPr>
        <w:t xml:space="preserve"> </w:t>
      </w:r>
      <w:r w:rsidR="00154C31" w:rsidRPr="00FC7217">
        <w:rPr>
          <w:rFonts w:ascii="Aptos" w:hAnsi="Aptos" w:cs="Calibri"/>
          <w:sz w:val="22"/>
          <w:szCs w:val="22"/>
        </w:rPr>
        <w:t>T</w:t>
      </w:r>
      <w:r w:rsidRPr="009E17F3">
        <w:rPr>
          <w:rFonts w:ascii="Aptos" w:hAnsi="Aptos" w:cs="Calibri"/>
          <w:sz w:val="22"/>
          <w:szCs w:val="22"/>
        </w:rPr>
        <w:t xml:space="preserve">he defendant requests a declaration confirming </w:t>
      </w:r>
      <w:r w:rsidRPr="00FC7217">
        <w:rPr>
          <w:rFonts w:ascii="Aptos" w:hAnsi="Aptos" w:cs="Calibri"/>
          <w:sz w:val="22"/>
          <w:szCs w:val="22"/>
        </w:rPr>
        <w:t>Jennifer’s</w:t>
      </w:r>
      <w:r w:rsidRPr="009E17F3">
        <w:rPr>
          <w:rFonts w:ascii="Aptos" w:hAnsi="Aptos" w:cs="Calibri"/>
          <w:sz w:val="22"/>
          <w:szCs w:val="22"/>
        </w:rPr>
        <w:t xml:space="preserve"> exclusive legal and beneficial ownership of </w:t>
      </w:r>
      <w:r w:rsidR="00293AF2" w:rsidRPr="00FC7217">
        <w:rPr>
          <w:rFonts w:ascii="Aptos" w:hAnsi="Aptos" w:cs="Calibri"/>
          <w:sz w:val="22"/>
          <w:szCs w:val="22"/>
        </w:rPr>
        <w:t>t</w:t>
      </w:r>
      <w:r w:rsidRPr="009E17F3">
        <w:rPr>
          <w:rFonts w:ascii="Aptos" w:hAnsi="Aptos" w:cs="Calibri"/>
          <w:sz w:val="22"/>
          <w:szCs w:val="22"/>
        </w:rPr>
        <w:t xml:space="preserve">he </w:t>
      </w:r>
      <w:r w:rsidR="00293AF2" w:rsidRPr="00FC7217">
        <w:rPr>
          <w:rFonts w:ascii="Aptos" w:hAnsi="Aptos" w:cs="Calibri"/>
          <w:sz w:val="22"/>
          <w:szCs w:val="22"/>
        </w:rPr>
        <w:t>g</w:t>
      </w:r>
      <w:r w:rsidRPr="009E17F3">
        <w:rPr>
          <w:rFonts w:ascii="Aptos" w:hAnsi="Aptos" w:cs="Calibri"/>
          <w:sz w:val="22"/>
          <w:szCs w:val="22"/>
        </w:rPr>
        <w:t>atehouse.</w:t>
      </w:r>
    </w:p>
    <w:p w14:paraId="10B5B85A" w14:textId="37DBA3EC" w:rsidR="009E17F3" w:rsidRPr="00F80B8F" w:rsidRDefault="009E17F3" w:rsidP="009E17F3">
      <w:pPr>
        <w:rPr>
          <w:rFonts w:ascii="Calibri" w:hAnsi="Calibri" w:cs="Calibri"/>
        </w:rPr>
      </w:pPr>
    </w:p>
    <w:p w14:paraId="74D96C8C" w14:textId="77777777" w:rsidR="005F216E" w:rsidRDefault="005F216E" w:rsidP="009D531E">
      <w:pPr>
        <w:pStyle w:val="Heading1"/>
      </w:pPr>
      <w:r w:rsidRPr="009D531E">
        <w:t>The issues</w:t>
      </w:r>
    </w:p>
    <w:p w14:paraId="5C4C7089" w14:textId="77777777" w:rsidR="009E17F3" w:rsidRDefault="009E17F3" w:rsidP="009E17F3"/>
    <w:p w14:paraId="640FCE93" w14:textId="2569BF7D" w:rsidR="006D4C15" w:rsidRDefault="006D4C15" w:rsidP="00FC7217">
      <w:pPr>
        <w:spacing w:line="360" w:lineRule="auto"/>
        <w:rPr>
          <w:rFonts w:ascii="Aptos" w:hAnsi="Aptos" w:cs="Calibri"/>
          <w:sz w:val="22"/>
          <w:szCs w:val="22"/>
        </w:rPr>
      </w:pPr>
      <w:r w:rsidRPr="00FC7217">
        <w:rPr>
          <w:rFonts w:ascii="Aptos" w:hAnsi="Aptos" w:cs="Calibri"/>
          <w:sz w:val="22"/>
          <w:szCs w:val="22"/>
        </w:rPr>
        <w:t>The first issue is S</w:t>
      </w:r>
      <w:r w:rsidRPr="006D4C15">
        <w:rPr>
          <w:rFonts w:ascii="Aptos" w:hAnsi="Aptos" w:cs="Calibri"/>
          <w:sz w:val="22"/>
          <w:szCs w:val="22"/>
        </w:rPr>
        <w:t xml:space="preserve">arah's claims for a beneficial interest in </w:t>
      </w:r>
      <w:r w:rsidRPr="00FC7217">
        <w:rPr>
          <w:rFonts w:ascii="Aptos" w:hAnsi="Aptos" w:cs="Calibri"/>
          <w:sz w:val="22"/>
          <w:szCs w:val="22"/>
        </w:rPr>
        <w:t>t</w:t>
      </w:r>
      <w:r w:rsidRPr="006D4C15">
        <w:rPr>
          <w:rFonts w:ascii="Aptos" w:hAnsi="Aptos" w:cs="Calibri"/>
          <w:sz w:val="22"/>
          <w:szCs w:val="22"/>
        </w:rPr>
        <w:t xml:space="preserve">he </w:t>
      </w:r>
      <w:r w:rsidRPr="00FC7217">
        <w:rPr>
          <w:rFonts w:ascii="Aptos" w:hAnsi="Aptos" w:cs="Calibri"/>
          <w:sz w:val="22"/>
          <w:szCs w:val="22"/>
        </w:rPr>
        <w:t>g</w:t>
      </w:r>
      <w:r w:rsidRPr="006D4C15">
        <w:rPr>
          <w:rFonts w:ascii="Aptos" w:hAnsi="Aptos" w:cs="Calibri"/>
          <w:sz w:val="22"/>
          <w:szCs w:val="22"/>
        </w:rPr>
        <w:t>atehouse through proprietary estoppel or constructive trust</w:t>
      </w:r>
      <w:r w:rsidRPr="00FC7217">
        <w:rPr>
          <w:rFonts w:ascii="Aptos" w:hAnsi="Aptos" w:cs="Calibri"/>
          <w:sz w:val="22"/>
          <w:szCs w:val="22"/>
        </w:rPr>
        <w:t>, which</w:t>
      </w:r>
      <w:r w:rsidRPr="006D4C15">
        <w:rPr>
          <w:rFonts w:ascii="Aptos" w:hAnsi="Aptos" w:cs="Calibri"/>
          <w:sz w:val="22"/>
          <w:szCs w:val="22"/>
        </w:rPr>
        <w:t xml:space="preserve"> are at the centre of this </w:t>
      </w:r>
      <w:r w:rsidRPr="00FC7217">
        <w:rPr>
          <w:rFonts w:ascii="Aptos" w:hAnsi="Aptos" w:cs="Calibri"/>
          <w:sz w:val="22"/>
          <w:szCs w:val="22"/>
        </w:rPr>
        <w:t>case</w:t>
      </w:r>
      <w:r w:rsidRPr="006D4C15">
        <w:rPr>
          <w:rFonts w:ascii="Aptos" w:hAnsi="Aptos" w:cs="Calibri"/>
          <w:sz w:val="22"/>
          <w:szCs w:val="22"/>
        </w:rPr>
        <w:t xml:space="preserve">. </w:t>
      </w:r>
      <w:r w:rsidRPr="00FC7217">
        <w:rPr>
          <w:rFonts w:ascii="Aptos" w:hAnsi="Aptos" w:cs="Calibri"/>
          <w:sz w:val="22"/>
          <w:szCs w:val="22"/>
        </w:rPr>
        <w:t>The defence</w:t>
      </w:r>
      <w:r w:rsidRPr="006D4C15">
        <w:rPr>
          <w:rFonts w:ascii="Aptos" w:hAnsi="Aptos" w:cs="Calibri"/>
          <w:sz w:val="22"/>
          <w:szCs w:val="22"/>
        </w:rPr>
        <w:t xml:space="preserve"> contends that she has an equitable claim to the property </w:t>
      </w:r>
      <w:r w:rsidR="00B7574E" w:rsidRPr="00FC7217">
        <w:rPr>
          <w:rFonts w:ascii="Aptos" w:hAnsi="Aptos" w:cs="Calibri"/>
          <w:sz w:val="22"/>
          <w:szCs w:val="22"/>
        </w:rPr>
        <w:t xml:space="preserve">due to </w:t>
      </w:r>
      <w:r w:rsidRPr="006D4C15">
        <w:rPr>
          <w:rFonts w:ascii="Aptos" w:hAnsi="Aptos" w:cs="Calibri"/>
          <w:sz w:val="22"/>
          <w:szCs w:val="22"/>
        </w:rPr>
        <w:t xml:space="preserve">her financial contributions to repairs and household expenses as well as Jennifer's alleged guarantees. </w:t>
      </w:r>
      <w:r w:rsidRPr="00FC7217">
        <w:rPr>
          <w:rFonts w:ascii="Aptos" w:hAnsi="Aptos" w:cs="Calibri"/>
          <w:sz w:val="22"/>
          <w:szCs w:val="22"/>
        </w:rPr>
        <w:t xml:space="preserve">In addition to this, Jennifer’s </w:t>
      </w:r>
      <w:r w:rsidRPr="006D4C15">
        <w:rPr>
          <w:rFonts w:ascii="Aptos" w:hAnsi="Aptos" w:cs="Calibri"/>
          <w:sz w:val="22"/>
          <w:szCs w:val="22"/>
        </w:rPr>
        <w:t>exclusive legal ownership,</w:t>
      </w:r>
      <w:r w:rsidRPr="00FC7217">
        <w:rPr>
          <w:rFonts w:ascii="Aptos" w:hAnsi="Aptos" w:cs="Calibri"/>
          <w:sz w:val="22"/>
          <w:szCs w:val="22"/>
        </w:rPr>
        <w:t xml:space="preserve"> as well as</w:t>
      </w:r>
      <w:r w:rsidRPr="006D4C15">
        <w:rPr>
          <w:rFonts w:ascii="Aptos" w:hAnsi="Aptos" w:cs="Calibri"/>
          <w:sz w:val="22"/>
          <w:szCs w:val="22"/>
        </w:rPr>
        <w:t xml:space="preserve"> the fact that Sarah's contributions were made </w:t>
      </w:r>
      <w:r w:rsidR="00293AF2" w:rsidRPr="00FC7217">
        <w:rPr>
          <w:rFonts w:ascii="Aptos" w:hAnsi="Aptos" w:cs="Calibri"/>
          <w:sz w:val="22"/>
          <w:szCs w:val="22"/>
        </w:rPr>
        <w:t xml:space="preserve">informally and </w:t>
      </w:r>
      <w:r w:rsidRPr="006D4C15">
        <w:rPr>
          <w:rFonts w:ascii="Aptos" w:hAnsi="Aptos" w:cs="Calibri"/>
          <w:sz w:val="22"/>
          <w:szCs w:val="22"/>
        </w:rPr>
        <w:t>voluntarily</w:t>
      </w:r>
      <w:r w:rsidR="00293AF2" w:rsidRPr="00FC7217">
        <w:rPr>
          <w:rFonts w:ascii="Aptos" w:hAnsi="Aptos" w:cs="Calibri"/>
          <w:sz w:val="22"/>
          <w:szCs w:val="22"/>
        </w:rPr>
        <w:t>.</w:t>
      </w:r>
      <w:r w:rsidRPr="006D4C15">
        <w:rPr>
          <w:rFonts w:ascii="Aptos" w:hAnsi="Aptos" w:cs="Calibri"/>
          <w:sz w:val="22"/>
          <w:szCs w:val="22"/>
        </w:rPr>
        <w:t xml:space="preserve"> </w:t>
      </w:r>
      <w:r w:rsidR="00293AF2" w:rsidRPr="00FC7217">
        <w:rPr>
          <w:rFonts w:ascii="Aptos" w:hAnsi="Aptos" w:cs="Calibri"/>
          <w:sz w:val="22"/>
          <w:szCs w:val="22"/>
        </w:rPr>
        <w:t>T</w:t>
      </w:r>
      <w:r w:rsidRPr="006D4C15">
        <w:rPr>
          <w:rFonts w:ascii="Aptos" w:hAnsi="Aptos" w:cs="Calibri"/>
          <w:sz w:val="22"/>
          <w:szCs w:val="22"/>
        </w:rPr>
        <w:t xml:space="preserve">he absence of any explicit, legally enforceable contract </w:t>
      </w:r>
      <w:r w:rsidR="00B7574E" w:rsidRPr="00FC7217">
        <w:rPr>
          <w:rFonts w:ascii="Aptos" w:hAnsi="Aptos" w:cs="Calibri"/>
          <w:sz w:val="22"/>
          <w:szCs w:val="22"/>
        </w:rPr>
        <w:t>will be established to resolve these issues based on evidence</w:t>
      </w:r>
      <w:r w:rsidRPr="006D4C15">
        <w:rPr>
          <w:rFonts w:ascii="Aptos" w:hAnsi="Aptos" w:cs="Calibri"/>
          <w:sz w:val="22"/>
          <w:szCs w:val="22"/>
        </w:rPr>
        <w:t>.</w:t>
      </w:r>
    </w:p>
    <w:p w14:paraId="1833279B" w14:textId="77777777" w:rsidR="00FC7217" w:rsidRPr="006D4C15" w:rsidRDefault="00FC7217" w:rsidP="00FC7217">
      <w:pPr>
        <w:spacing w:line="360" w:lineRule="auto"/>
        <w:rPr>
          <w:rFonts w:ascii="Aptos" w:hAnsi="Aptos" w:cs="Calibri"/>
          <w:sz w:val="22"/>
          <w:szCs w:val="22"/>
        </w:rPr>
      </w:pPr>
    </w:p>
    <w:p w14:paraId="6546B256" w14:textId="77777777" w:rsidR="009E17F3" w:rsidRPr="00FC7217" w:rsidRDefault="009E17F3" w:rsidP="00FC7217">
      <w:pPr>
        <w:spacing w:line="360" w:lineRule="auto"/>
        <w:rPr>
          <w:rFonts w:ascii="Aptos" w:hAnsi="Aptos"/>
          <w:sz w:val="22"/>
          <w:szCs w:val="22"/>
        </w:rPr>
      </w:pPr>
    </w:p>
    <w:p w14:paraId="7B2205B7" w14:textId="77777777" w:rsidR="005F216E" w:rsidRPr="00FC7217" w:rsidRDefault="005F216E" w:rsidP="009D531E">
      <w:pPr>
        <w:pStyle w:val="Heading1"/>
        <w:rPr>
          <w:rFonts w:ascii="Aptos" w:hAnsi="Aptos"/>
        </w:rPr>
      </w:pPr>
      <w:r w:rsidRPr="00FC7217">
        <w:rPr>
          <w:rFonts w:ascii="Aptos" w:hAnsi="Aptos"/>
        </w:rPr>
        <w:lastRenderedPageBreak/>
        <w:t>The facts</w:t>
      </w:r>
    </w:p>
    <w:p w14:paraId="7B4E8FAB" w14:textId="4C80ED8F" w:rsidR="00167440" w:rsidRDefault="004B35CC" w:rsidP="00154C31">
      <w:pPr>
        <w:pStyle w:val="Heading2"/>
        <w:numPr>
          <w:ilvl w:val="0"/>
          <w:numId w:val="0"/>
        </w:numPr>
        <w:ind w:left="680"/>
        <w:rPr>
          <w:rFonts w:ascii="Aptos" w:hAnsi="Aptos" w:cs="Calibri"/>
          <w:sz w:val="22"/>
          <w:szCs w:val="22"/>
        </w:rPr>
      </w:pPr>
      <w:r w:rsidRPr="00FC7217">
        <w:rPr>
          <w:rFonts w:ascii="Aptos" w:hAnsi="Aptos" w:cs="Calibri"/>
          <w:sz w:val="22"/>
          <w:szCs w:val="22"/>
        </w:rPr>
        <w:t xml:space="preserve">The fact that Jennifer is the sole owner of </w:t>
      </w:r>
      <w:r w:rsidRPr="00FC7217">
        <w:rPr>
          <w:rFonts w:ascii="Aptos" w:hAnsi="Aptos" w:cs="Calibri"/>
          <w:sz w:val="22"/>
          <w:szCs w:val="22"/>
        </w:rPr>
        <w:t>t</w:t>
      </w:r>
      <w:r w:rsidRPr="00FC7217">
        <w:rPr>
          <w:rFonts w:ascii="Aptos" w:hAnsi="Aptos" w:cs="Calibri"/>
          <w:sz w:val="22"/>
          <w:szCs w:val="22"/>
        </w:rPr>
        <w:t xml:space="preserve">he </w:t>
      </w:r>
      <w:r w:rsidRPr="00FC7217">
        <w:rPr>
          <w:rFonts w:ascii="Aptos" w:hAnsi="Aptos" w:cs="Calibri"/>
          <w:sz w:val="22"/>
          <w:szCs w:val="22"/>
        </w:rPr>
        <w:t>g</w:t>
      </w:r>
      <w:r w:rsidRPr="00FC7217">
        <w:rPr>
          <w:rFonts w:ascii="Aptos" w:hAnsi="Aptos" w:cs="Calibri"/>
          <w:sz w:val="22"/>
          <w:szCs w:val="22"/>
        </w:rPr>
        <w:t xml:space="preserve">atehouse, as defined by the Land Registration Act of 2002, and that she </w:t>
      </w:r>
      <w:r w:rsidRPr="00FC7217">
        <w:rPr>
          <w:rFonts w:ascii="Aptos" w:hAnsi="Aptos" w:cs="Calibri"/>
          <w:sz w:val="22"/>
          <w:szCs w:val="22"/>
        </w:rPr>
        <w:t>purchased</w:t>
      </w:r>
      <w:r w:rsidRPr="00FC7217">
        <w:rPr>
          <w:rFonts w:ascii="Aptos" w:hAnsi="Aptos" w:cs="Calibri"/>
          <w:sz w:val="22"/>
          <w:szCs w:val="22"/>
        </w:rPr>
        <w:t xml:space="preserve"> the property with </w:t>
      </w:r>
      <w:r w:rsidRPr="00FC7217">
        <w:rPr>
          <w:rFonts w:ascii="Aptos" w:hAnsi="Aptos" w:cs="Calibri"/>
          <w:sz w:val="22"/>
          <w:szCs w:val="22"/>
        </w:rPr>
        <w:t>funds</w:t>
      </w:r>
      <w:r w:rsidRPr="00FC7217">
        <w:rPr>
          <w:rFonts w:ascii="Aptos" w:hAnsi="Aptos" w:cs="Calibri"/>
          <w:sz w:val="22"/>
          <w:szCs w:val="22"/>
        </w:rPr>
        <w:t xml:space="preserve"> from her inheritance prior to the start of the relationship, </w:t>
      </w:r>
      <w:r w:rsidRPr="00FC7217">
        <w:rPr>
          <w:rFonts w:ascii="Aptos" w:hAnsi="Aptos" w:cs="Calibri"/>
          <w:sz w:val="22"/>
          <w:szCs w:val="22"/>
        </w:rPr>
        <w:t xml:space="preserve">these </w:t>
      </w:r>
      <w:r w:rsidRPr="00FC7217">
        <w:rPr>
          <w:rFonts w:ascii="Aptos" w:hAnsi="Aptos" w:cs="Calibri"/>
          <w:sz w:val="22"/>
          <w:szCs w:val="22"/>
        </w:rPr>
        <w:t xml:space="preserve">are </w:t>
      </w:r>
      <w:r w:rsidR="00F80B8F" w:rsidRPr="00FC7217">
        <w:rPr>
          <w:rFonts w:ascii="Aptos" w:hAnsi="Aptos" w:cs="Calibri"/>
          <w:sz w:val="22"/>
          <w:szCs w:val="22"/>
        </w:rPr>
        <w:t>vital details</w:t>
      </w:r>
      <w:r w:rsidRPr="00FC7217">
        <w:rPr>
          <w:rFonts w:ascii="Aptos" w:hAnsi="Aptos" w:cs="Arial"/>
          <w:sz w:val="22"/>
          <w:szCs w:val="22"/>
        </w:rPr>
        <w:t xml:space="preserve"> </w:t>
      </w:r>
      <w:r w:rsidRPr="00FC7217">
        <w:rPr>
          <w:rFonts w:ascii="Aptos" w:hAnsi="Aptos" w:cs="Calibri"/>
          <w:sz w:val="22"/>
          <w:szCs w:val="22"/>
        </w:rPr>
        <w:t xml:space="preserve">to </w:t>
      </w:r>
      <w:r w:rsidR="00F80B8F" w:rsidRPr="00FC7217">
        <w:rPr>
          <w:rFonts w:ascii="Aptos" w:hAnsi="Aptos" w:cs="Calibri"/>
          <w:sz w:val="22"/>
          <w:szCs w:val="22"/>
        </w:rPr>
        <w:t>consider</w:t>
      </w:r>
      <w:r w:rsidRPr="00FC7217">
        <w:rPr>
          <w:rFonts w:ascii="Aptos" w:hAnsi="Aptos" w:cs="Calibri"/>
          <w:sz w:val="22"/>
          <w:szCs w:val="22"/>
        </w:rPr>
        <w:t>. Sarah benefitted from rent</w:t>
      </w:r>
      <w:r w:rsidRPr="00FC7217">
        <w:rPr>
          <w:rFonts w:ascii="Aptos" w:hAnsi="Aptos" w:cs="Calibri"/>
          <w:sz w:val="22"/>
          <w:szCs w:val="22"/>
        </w:rPr>
        <w:t xml:space="preserve"> </w:t>
      </w:r>
      <w:r w:rsidRPr="00FC7217">
        <w:rPr>
          <w:rFonts w:ascii="Aptos" w:hAnsi="Aptos" w:cs="Calibri"/>
          <w:sz w:val="22"/>
          <w:szCs w:val="22"/>
        </w:rPr>
        <w:t>free reside</w:t>
      </w:r>
      <w:r w:rsidRPr="00FC7217">
        <w:rPr>
          <w:rFonts w:ascii="Aptos" w:hAnsi="Aptos" w:cs="Calibri"/>
          <w:sz w:val="22"/>
          <w:szCs w:val="22"/>
        </w:rPr>
        <w:t>nce</w:t>
      </w:r>
      <w:r w:rsidRPr="00FC7217">
        <w:rPr>
          <w:rFonts w:ascii="Aptos" w:hAnsi="Aptos" w:cs="Calibri"/>
          <w:sz w:val="22"/>
          <w:szCs w:val="22"/>
        </w:rPr>
        <w:t xml:space="preserve"> and a better quality of life. The financial contributions, such as those for repairs and </w:t>
      </w:r>
      <w:r w:rsidR="00F80B8F" w:rsidRPr="00FC7217">
        <w:rPr>
          <w:rFonts w:ascii="Aptos" w:hAnsi="Aptos" w:cs="Calibri"/>
          <w:sz w:val="22"/>
          <w:szCs w:val="22"/>
        </w:rPr>
        <w:t>renovations, can</w:t>
      </w:r>
      <w:r w:rsidRPr="00FC7217">
        <w:rPr>
          <w:rFonts w:ascii="Aptos" w:hAnsi="Aptos" w:cs="Calibri"/>
          <w:sz w:val="22"/>
          <w:szCs w:val="22"/>
        </w:rPr>
        <w:t xml:space="preserve"> be considered simply as </w:t>
      </w:r>
      <w:r w:rsidRPr="00FC7217">
        <w:rPr>
          <w:rFonts w:ascii="Aptos" w:hAnsi="Aptos" w:cs="Calibri"/>
          <w:sz w:val="22"/>
          <w:szCs w:val="22"/>
        </w:rPr>
        <w:t xml:space="preserve">informal </w:t>
      </w:r>
      <w:r w:rsidRPr="00FC7217">
        <w:rPr>
          <w:rFonts w:ascii="Aptos" w:hAnsi="Aptos" w:cs="Calibri"/>
          <w:sz w:val="22"/>
          <w:szCs w:val="22"/>
        </w:rPr>
        <w:t>voluntary household expenses</w:t>
      </w:r>
      <w:r w:rsidR="00293AF2" w:rsidRPr="00FC7217">
        <w:rPr>
          <w:rFonts w:ascii="Aptos" w:hAnsi="Aptos" w:cs="Calibri"/>
          <w:sz w:val="22"/>
          <w:szCs w:val="22"/>
        </w:rPr>
        <w:t>, which is nothing new as Jennifer previously has funded Sarah’s education</w:t>
      </w:r>
      <w:r w:rsidRPr="00FC7217">
        <w:rPr>
          <w:rFonts w:ascii="Aptos" w:hAnsi="Aptos" w:cs="Calibri"/>
          <w:sz w:val="22"/>
          <w:szCs w:val="22"/>
        </w:rPr>
        <w:t xml:space="preserve">. </w:t>
      </w:r>
      <w:r w:rsidRPr="00FC7217">
        <w:rPr>
          <w:rFonts w:ascii="Aptos" w:hAnsi="Aptos" w:cs="Calibri"/>
          <w:sz w:val="22"/>
          <w:szCs w:val="22"/>
        </w:rPr>
        <w:t xml:space="preserve">The issue with </w:t>
      </w:r>
      <w:r w:rsidR="00293AF2" w:rsidRPr="00FC7217">
        <w:rPr>
          <w:rFonts w:ascii="Aptos" w:hAnsi="Aptos" w:cs="Calibri"/>
          <w:sz w:val="22"/>
          <w:szCs w:val="22"/>
        </w:rPr>
        <w:t>Sarah’s</w:t>
      </w:r>
      <w:r w:rsidRPr="00FC7217">
        <w:rPr>
          <w:rFonts w:ascii="Aptos" w:hAnsi="Aptos" w:cs="Calibri"/>
          <w:sz w:val="22"/>
          <w:szCs w:val="22"/>
        </w:rPr>
        <w:t xml:space="preserve"> claims is the lack of a formal agreement, as well as no</w:t>
      </w:r>
      <w:r w:rsidR="00293AF2" w:rsidRPr="00FC7217">
        <w:rPr>
          <w:rFonts w:ascii="Aptos" w:hAnsi="Aptos" w:cs="Calibri"/>
          <w:sz w:val="22"/>
          <w:szCs w:val="22"/>
        </w:rPr>
        <w:t xml:space="preserve"> certain</w:t>
      </w:r>
      <w:r w:rsidRPr="00FC7217">
        <w:rPr>
          <w:rFonts w:ascii="Aptos" w:hAnsi="Aptos" w:cs="Calibri"/>
          <w:sz w:val="22"/>
          <w:szCs w:val="22"/>
        </w:rPr>
        <w:t xml:space="preserve"> proof of a desired purpose to share ownership.</w:t>
      </w:r>
      <w:r w:rsidR="00FA4A45" w:rsidRPr="00FC7217">
        <w:rPr>
          <w:rFonts w:ascii="Aptos" w:hAnsi="Aptos" w:cs="Calibri"/>
          <w:sz w:val="22"/>
          <w:szCs w:val="22"/>
        </w:rPr>
        <w:t xml:space="preserve"> </w:t>
      </w:r>
    </w:p>
    <w:p w14:paraId="149ECE36" w14:textId="77777777" w:rsidR="00185217" w:rsidRPr="00185217" w:rsidRDefault="00185217" w:rsidP="00185217"/>
    <w:p w14:paraId="1D3B2BD4" w14:textId="0FEA8B62" w:rsidR="005F216E" w:rsidRPr="00F80B8F" w:rsidRDefault="005F216E" w:rsidP="004B35CC">
      <w:pPr>
        <w:rPr>
          <w:rFonts w:ascii="Calibri" w:hAnsi="Calibri" w:cs="Calibri"/>
          <w:color w:val="002060"/>
        </w:rPr>
      </w:pPr>
    </w:p>
    <w:p w14:paraId="020D26B5"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Claim arising under a constructive trust</w:t>
      </w:r>
    </w:p>
    <w:p w14:paraId="3D14BD9B" w14:textId="2D013DBE" w:rsidR="00293AF2" w:rsidRDefault="005F216E" w:rsidP="00293AF2">
      <w:pPr>
        <w:pStyle w:val="Heading1"/>
      </w:pPr>
      <w:r w:rsidRPr="009D531E">
        <w:t xml:space="preserve">The law </w:t>
      </w:r>
    </w:p>
    <w:p w14:paraId="77320575" w14:textId="56BE801F" w:rsidR="00293AF2" w:rsidRPr="00FC7217" w:rsidRDefault="00293AF2" w:rsidP="00FC7217">
      <w:pPr>
        <w:pStyle w:val="NormalWeb"/>
        <w:spacing w:before="240" w:beforeAutospacing="0" w:after="240" w:afterAutospacing="0" w:line="360" w:lineRule="auto"/>
        <w:rPr>
          <w:rFonts w:ascii="Aptos" w:hAnsi="Aptos"/>
        </w:rPr>
      </w:pPr>
      <w:r w:rsidRPr="00FC7217">
        <w:rPr>
          <w:rFonts w:ascii="Aptos" w:hAnsi="Aptos" w:cs="Arial"/>
          <w:color w:val="000000"/>
          <w:sz w:val="22"/>
          <w:szCs w:val="22"/>
        </w:rPr>
        <w:t xml:space="preserve">A constructive trust is created when someone makes contributions to property ownership that imply </w:t>
      </w:r>
      <w:r w:rsidR="00F80B8F" w:rsidRPr="00FC7217">
        <w:rPr>
          <w:rFonts w:ascii="Aptos" w:hAnsi="Aptos" w:cs="Arial"/>
          <w:color w:val="000000"/>
          <w:sz w:val="22"/>
          <w:szCs w:val="22"/>
        </w:rPr>
        <w:t>a</w:t>
      </w:r>
      <w:r w:rsidRPr="00FC7217">
        <w:rPr>
          <w:rFonts w:ascii="Aptos" w:hAnsi="Aptos" w:cs="Arial"/>
          <w:color w:val="000000"/>
          <w:sz w:val="22"/>
          <w:szCs w:val="22"/>
        </w:rPr>
        <w:t xml:space="preserve"> shared objective of ownership sharing and one party </w:t>
      </w:r>
      <w:r w:rsidR="00F80B8F" w:rsidRPr="00FC7217">
        <w:rPr>
          <w:rFonts w:ascii="Aptos" w:hAnsi="Aptos" w:cs="Arial"/>
          <w:color w:val="000000"/>
          <w:sz w:val="22"/>
          <w:szCs w:val="22"/>
        </w:rPr>
        <w:t>depends</w:t>
      </w:r>
      <w:r w:rsidRPr="00FC7217">
        <w:rPr>
          <w:rFonts w:ascii="Aptos" w:hAnsi="Aptos" w:cs="Arial"/>
          <w:color w:val="000000"/>
          <w:sz w:val="22"/>
          <w:szCs w:val="22"/>
        </w:rPr>
        <w:t xml:space="preserve"> on that intention, (Dixon, 2023). As established in</w:t>
      </w:r>
      <w:r w:rsidR="00FC7217">
        <w:rPr>
          <w:rFonts w:ascii="Aptos" w:hAnsi="Aptos" w:cs="Arial"/>
          <w:color w:val="000000"/>
          <w:sz w:val="22"/>
          <w:szCs w:val="22"/>
        </w:rPr>
        <w:t xml:space="preserve"> </w:t>
      </w:r>
      <w:r w:rsidR="00FC7217">
        <w:rPr>
          <w:rFonts w:ascii="Aptos" w:hAnsi="Aptos" w:cs="Arial"/>
          <w:color w:val="000000"/>
          <w:sz w:val="22"/>
          <w:szCs w:val="22"/>
        </w:rPr>
        <w:t>Burns v Burns [1984] Ch. 317</w:t>
      </w:r>
      <w:r w:rsidRPr="00FC7217">
        <w:rPr>
          <w:rFonts w:ascii="Aptos" w:hAnsi="Aptos" w:cs="Arial"/>
          <w:color w:val="000000"/>
          <w:sz w:val="22"/>
          <w:szCs w:val="22"/>
        </w:rPr>
        <w:t>, contributions alone do not automatically grant beneficial ownership. The claimant must demonstrate both a common intention to share ownership and detrimental reliance. Since there was no formal agreement between the parties</w:t>
      </w:r>
      <w:r w:rsidR="00FC7217">
        <w:rPr>
          <w:rFonts w:ascii="Aptos" w:hAnsi="Aptos" w:cs="Arial"/>
          <w:color w:val="000000"/>
          <w:sz w:val="22"/>
          <w:szCs w:val="22"/>
        </w:rPr>
        <w:t xml:space="preserve"> </w:t>
      </w:r>
      <w:r w:rsidRPr="00FC7217">
        <w:rPr>
          <w:rFonts w:ascii="Aptos" w:hAnsi="Aptos" w:cs="Arial"/>
          <w:color w:val="000000"/>
          <w:sz w:val="22"/>
          <w:szCs w:val="22"/>
        </w:rPr>
        <w:t xml:space="preserve">regarding a resulting ownership, Sarah's contributions to repairs and maintenance at The Gatehouse are voluntary household expenses and general living costs given that the same efforts have been made in the past, such as Jennifer funding Sarah's education out of care, (Clarke, 2020). Since the property is legally registered in Jennifer's name alone under the Land Registration Act (2002), sole ownership is crucial in this situation. Sarah cannot claim a share unless there is a </w:t>
      </w:r>
      <w:r w:rsidR="00F80B8F" w:rsidRPr="00FC7217">
        <w:rPr>
          <w:rFonts w:ascii="Aptos" w:hAnsi="Aptos" w:cs="Arial"/>
          <w:color w:val="000000"/>
          <w:sz w:val="22"/>
          <w:szCs w:val="22"/>
        </w:rPr>
        <w:t>demonstrated constructive</w:t>
      </w:r>
      <w:r w:rsidRPr="00FC7217">
        <w:rPr>
          <w:rFonts w:ascii="Aptos" w:hAnsi="Aptos" w:cs="Arial"/>
          <w:color w:val="000000"/>
          <w:sz w:val="22"/>
          <w:szCs w:val="22"/>
        </w:rPr>
        <w:t xml:space="preserve"> trust or some equitable claim, as under S.58 title by registration, Jennifer is the registered person legally stated, irrespective of Sarah's underlying equitable interests, (</w:t>
      </w:r>
      <w:r w:rsidRPr="00FC7217">
        <w:rPr>
          <w:rFonts w:ascii="Aptos" w:hAnsi="Aptos" w:cs="Arial"/>
          <w:i/>
          <w:iCs/>
          <w:color w:val="000000"/>
          <w:sz w:val="22"/>
          <w:szCs w:val="22"/>
        </w:rPr>
        <w:t>Land Registration Act 2002</w:t>
      </w:r>
      <w:r w:rsidRPr="00FC7217">
        <w:rPr>
          <w:rFonts w:ascii="Aptos" w:hAnsi="Aptos" w:cs="Arial"/>
          <w:color w:val="000000"/>
          <w:sz w:val="22"/>
          <w:szCs w:val="22"/>
        </w:rPr>
        <w:t>, s.58). According to court rulings, unless the non-owner provides clear evidence of a shared ownership agreement, exclusive ownership is assumed where there is no written agreement between unmarried cohabitants, (Nair, 2023).</w:t>
      </w:r>
      <w:r w:rsidR="0044340F">
        <w:rPr>
          <w:rFonts w:ascii="Aptos" w:hAnsi="Aptos" w:cs="Arial"/>
          <w:color w:val="000000"/>
          <w:sz w:val="22"/>
          <w:szCs w:val="22"/>
        </w:rPr>
        <w:t xml:space="preserve"> </w:t>
      </w:r>
      <w:r w:rsidRPr="00FC7217">
        <w:rPr>
          <w:rFonts w:ascii="Aptos" w:hAnsi="Aptos" w:cs="Arial"/>
          <w:color w:val="000000"/>
          <w:sz w:val="22"/>
          <w:szCs w:val="22"/>
        </w:rPr>
        <w:t xml:space="preserve">The court uses a two-stage test for unmarried cohabitants, as stated in Capehorn v. Harris [2016] EWCA Civ 955: first, it looks at whether an actual agreement or behaviour suggests shared ownership; second, it evaluates whether the intention was for equal ownership, </w:t>
      </w:r>
      <w:r w:rsidRPr="00FC7217">
        <w:rPr>
          <w:rFonts w:ascii="Aptos" w:hAnsi="Aptos" w:cs="Arial"/>
          <w:color w:val="000000"/>
          <w:sz w:val="22"/>
          <w:szCs w:val="22"/>
        </w:rPr>
        <w:lastRenderedPageBreak/>
        <w:t>meaning that Sarah's contributions were a part of their domestic arrangement rather than an investment in property ownership</w:t>
      </w:r>
    </w:p>
    <w:p w14:paraId="3D85B992" w14:textId="77777777" w:rsidR="00293AF2" w:rsidRDefault="00293AF2" w:rsidP="00293AF2"/>
    <w:p w14:paraId="29B1224E" w14:textId="77777777" w:rsidR="00293AF2" w:rsidRDefault="00293AF2" w:rsidP="00293AF2"/>
    <w:p w14:paraId="7490E795" w14:textId="77777777" w:rsidR="00293AF2" w:rsidRPr="00293AF2" w:rsidRDefault="00293AF2" w:rsidP="00293AF2"/>
    <w:p w14:paraId="5E4817C7" w14:textId="77777777" w:rsidR="00293AF2" w:rsidRDefault="005F216E" w:rsidP="00293AF2">
      <w:pPr>
        <w:pStyle w:val="Heading1"/>
      </w:pPr>
      <w:r w:rsidRPr="009D531E">
        <w:t xml:space="preserve">Submissions </w:t>
      </w:r>
    </w:p>
    <w:p w14:paraId="39788076" w14:textId="77777777" w:rsidR="00293AF2" w:rsidRDefault="00293AF2" w:rsidP="00293AF2"/>
    <w:p w14:paraId="3518669B" w14:textId="6AFD7117" w:rsidR="00293AF2" w:rsidRPr="00293AF2" w:rsidRDefault="00293AF2" w:rsidP="00FC7217">
      <w:pPr>
        <w:spacing w:line="360" w:lineRule="auto"/>
        <w:rPr>
          <w:rFonts w:ascii="Aptos" w:hAnsi="Aptos"/>
          <w:sz w:val="22"/>
          <w:szCs w:val="22"/>
        </w:rPr>
      </w:pPr>
      <w:r w:rsidRPr="00293AF2">
        <w:rPr>
          <w:rFonts w:ascii="Aptos" w:hAnsi="Aptos"/>
          <w:sz w:val="22"/>
          <w:szCs w:val="22"/>
        </w:rPr>
        <w:t xml:space="preserve">In the </w:t>
      </w:r>
      <w:r w:rsidRPr="00FC7217">
        <w:rPr>
          <w:rFonts w:ascii="Aptos" w:hAnsi="Aptos"/>
          <w:sz w:val="22"/>
          <w:szCs w:val="22"/>
        </w:rPr>
        <w:t xml:space="preserve">formation </w:t>
      </w:r>
      <w:r w:rsidRPr="00293AF2">
        <w:rPr>
          <w:rFonts w:ascii="Aptos" w:hAnsi="Aptos"/>
          <w:sz w:val="22"/>
          <w:szCs w:val="22"/>
        </w:rPr>
        <w:t>of a constructive trust, a</w:t>
      </w:r>
      <w:r w:rsidRPr="00FC7217">
        <w:rPr>
          <w:rFonts w:ascii="Aptos" w:hAnsi="Aptos"/>
          <w:sz w:val="22"/>
          <w:szCs w:val="22"/>
        </w:rPr>
        <w:t xml:space="preserve">n established </w:t>
      </w:r>
      <w:r w:rsidRPr="00293AF2">
        <w:rPr>
          <w:rFonts w:ascii="Aptos" w:hAnsi="Aptos"/>
          <w:sz w:val="22"/>
          <w:szCs w:val="22"/>
        </w:rPr>
        <w:t xml:space="preserve">joint tenancy needs to have four unities. Since Jennifer is the sole owner and there </w:t>
      </w:r>
      <w:r w:rsidR="00F80B8F" w:rsidRPr="00FC7217">
        <w:rPr>
          <w:rFonts w:ascii="Aptos" w:hAnsi="Aptos"/>
          <w:sz w:val="22"/>
          <w:szCs w:val="22"/>
        </w:rPr>
        <w:t>is not</w:t>
      </w:r>
      <w:r w:rsidRPr="00293AF2">
        <w:rPr>
          <w:rFonts w:ascii="Aptos" w:hAnsi="Aptos"/>
          <w:sz w:val="22"/>
          <w:szCs w:val="22"/>
        </w:rPr>
        <w:t xml:space="preserve"> a formal contract or joint occupancy, no joint tenancy can exist if any one of the four unities which include the unity of possession, which requires that the property be equally owned and used by both co-owners, is present in their relationship. The absence of a formal legal agreement and joint title proves that their cohabitation and property share did not qualify as legal co-ownership. Additionally, there must be unity of interest, which is where co-owners must have equal stake in the </w:t>
      </w:r>
      <w:r w:rsidR="00F80B8F" w:rsidRPr="00FC7217">
        <w:rPr>
          <w:rFonts w:ascii="Aptos" w:hAnsi="Aptos"/>
          <w:sz w:val="22"/>
          <w:szCs w:val="22"/>
        </w:rPr>
        <w:t>property. In</w:t>
      </w:r>
      <w:r w:rsidRPr="00293AF2">
        <w:rPr>
          <w:rFonts w:ascii="Aptos" w:hAnsi="Aptos"/>
          <w:sz w:val="22"/>
          <w:szCs w:val="22"/>
        </w:rPr>
        <w:t xml:space="preserve"> this instance, Sarah's payment for the repairs and renovations does not grant her an equal or joint stake in the property, (Bevan, 2023, p. 188). These payments might be viewed as donations to home maintenance rather than real estate investments. Without </w:t>
      </w:r>
      <w:r w:rsidR="00F80B8F" w:rsidRPr="00FC7217">
        <w:rPr>
          <w:rFonts w:ascii="Aptos" w:hAnsi="Aptos"/>
          <w:sz w:val="22"/>
          <w:szCs w:val="22"/>
        </w:rPr>
        <w:t>an ardent desire</w:t>
      </w:r>
      <w:r w:rsidRPr="00293AF2">
        <w:rPr>
          <w:rFonts w:ascii="Aptos" w:hAnsi="Aptos"/>
          <w:sz w:val="22"/>
          <w:szCs w:val="22"/>
        </w:rPr>
        <w:t xml:space="preserve"> to share an interest, this unity is absent. Since Sarah's name was never listed on either the title or the deed, there is no unity of title in this case. Additionally, co-owners must have used the same title or deed to obtain their interest in the property. The argument that Jennifer is still the sole rightful owner is strengthened by the fact that Sarah was unable to get any legal position on the property. </w:t>
      </w:r>
      <w:r w:rsidR="00F80B8F" w:rsidRPr="00FC7217">
        <w:rPr>
          <w:rFonts w:ascii="Aptos" w:hAnsi="Aptos"/>
          <w:sz w:val="22"/>
          <w:szCs w:val="22"/>
        </w:rPr>
        <w:t>Finally,</w:t>
      </w:r>
      <w:r w:rsidRPr="00293AF2">
        <w:rPr>
          <w:rFonts w:ascii="Aptos" w:hAnsi="Aptos"/>
          <w:sz w:val="22"/>
          <w:szCs w:val="22"/>
        </w:rPr>
        <w:t xml:space="preserve"> is the unity of time, which requires co-owners to buy their portion of the property at the same period. This is illogical, as evidenced by the fact that Jennifer bought the Gatehouse in 1995 with inheritance funds before Sarah moved in with her in 2004, (Bevan, 2023, p. 188)</w:t>
      </w:r>
      <w:r w:rsidR="00F80B8F" w:rsidRPr="00FC7217">
        <w:rPr>
          <w:rFonts w:ascii="Aptos" w:hAnsi="Aptos"/>
          <w:sz w:val="22"/>
          <w:szCs w:val="22"/>
        </w:rPr>
        <w:t xml:space="preserve">. </w:t>
      </w:r>
      <w:r w:rsidRPr="00293AF2">
        <w:rPr>
          <w:rFonts w:ascii="Aptos" w:hAnsi="Aptos"/>
          <w:sz w:val="22"/>
          <w:szCs w:val="22"/>
        </w:rPr>
        <w:t>In addition to this the law supports this principle through Section 53(1)(b) of the Law of Property Act 1925, constructive trusts are exempt from the need for formal agreements, but they still need detrimental reliance and a clear common intention, neither of which is present in this instance, (</w:t>
      </w:r>
      <w:r w:rsidRPr="00293AF2">
        <w:rPr>
          <w:rFonts w:ascii="Aptos" w:hAnsi="Aptos"/>
          <w:i/>
          <w:iCs/>
          <w:sz w:val="22"/>
          <w:szCs w:val="22"/>
        </w:rPr>
        <w:t>Law of Property Act 1925</w:t>
      </w:r>
      <w:r w:rsidRPr="00293AF2">
        <w:rPr>
          <w:rFonts w:ascii="Aptos" w:hAnsi="Aptos"/>
          <w:sz w:val="22"/>
          <w:szCs w:val="22"/>
        </w:rPr>
        <w:t>, s.53). </w:t>
      </w:r>
    </w:p>
    <w:p w14:paraId="1304BF82" w14:textId="77777777" w:rsidR="00293AF2" w:rsidRDefault="00293AF2" w:rsidP="00FC7217">
      <w:pPr>
        <w:spacing w:line="360" w:lineRule="auto"/>
        <w:rPr>
          <w:rFonts w:ascii="Aptos" w:hAnsi="Aptos"/>
          <w:sz w:val="22"/>
          <w:szCs w:val="22"/>
        </w:rPr>
      </w:pPr>
    </w:p>
    <w:p w14:paraId="5E4E06E1" w14:textId="77777777" w:rsidR="00185217" w:rsidRDefault="00185217" w:rsidP="00FC7217">
      <w:pPr>
        <w:spacing w:line="360" w:lineRule="auto"/>
        <w:rPr>
          <w:rFonts w:ascii="Aptos" w:hAnsi="Aptos"/>
          <w:sz w:val="22"/>
          <w:szCs w:val="22"/>
        </w:rPr>
      </w:pPr>
    </w:p>
    <w:p w14:paraId="044FE1ED" w14:textId="77777777" w:rsidR="00185217" w:rsidRDefault="00185217" w:rsidP="00FC7217">
      <w:pPr>
        <w:spacing w:line="360" w:lineRule="auto"/>
        <w:rPr>
          <w:rFonts w:ascii="Aptos" w:hAnsi="Aptos"/>
          <w:sz w:val="22"/>
          <w:szCs w:val="22"/>
        </w:rPr>
      </w:pPr>
    </w:p>
    <w:p w14:paraId="5C219A0B" w14:textId="77777777" w:rsidR="00185217" w:rsidRDefault="00185217" w:rsidP="00FC7217">
      <w:pPr>
        <w:spacing w:line="360" w:lineRule="auto"/>
        <w:rPr>
          <w:rFonts w:ascii="Aptos" w:hAnsi="Aptos"/>
          <w:sz w:val="22"/>
          <w:szCs w:val="22"/>
        </w:rPr>
      </w:pPr>
    </w:p>
    <w:p w14:paraId="21A9AD0E" w14:textId="77777777" w:rsidR="00185217" w:rsidRPr="00FC7217" w:rsidRDefault="00185217" w:rsidP="00FC7217">
      <w:pPr>
        <w:spacing w:line="360" w:lineRule="auto"/>
        <w:rPr>
          <w:rFonts w:ascii="Aptos" w:hAnsi="Aptos"/>
          <w:sz w:val="22"/>
          <w:szCs w:val="22"/>
        </w:rPr>
      </w:pPr>
    </w:p>
    <w:p w14:paraId="22F84A5B" w14:textId="77777777" w:rsidR="005F216E" w:rsidRDefault="005F216E" w:rsidP="009D531E">
      <w:pPr>
        <w:pStyle w:val="Heading1"/>
      </w:pPr>
      <w:r w:rsidRPr="009D531E">
        <w:lastRenderedPageBreak/>
        <w:t xml:space="preserve">Conclusions </w:t>
      </w:r>
    </w:p>
    <w:p w14:paraId="2407B1FF" w14:textId="77777777" w:rsidR="00154C31" w:rsidRDefault="00154C31" w:rsidP="00154C31"/>
    <w:p w14:paraId="1253A197" w14:textId="03487434" w:rsidR="00154C31" w:rsidRDefault="00154C31" w:rsidP="00FC7217">
      <w:pPr>
        <w:spacing w:line="360" w:lineRule="auto"/>
        <w:rPr>
          <w:rFonts w:ascii="Aptos" w:hAnsi="Aptos"/>
          <w:sz w:val="22"/>
          <w:szCs w:val="22"/>
        </w:rPr>
      </w:pPr>
      <w:r w:rsidRPr="00FC7217">
        <w:rPr>
          <w:rFonts w:ascii="Aptos" w:hAnsi="Aptos"/>
          <w:sz w:val="22"/>
          <w:szCs w:val="22"/>
        </w:rPr>
        <w:t>According to the Land Registration Act of 2002, Jennifer is the only legitimate and beneficial owner. Sarah's attempt to establish a constructive trust would be unsuccessful given there was no agreement or detrimental reliance.</w:t>
      </w:r>
    </w:p>
    <w:p w14:paraId="0829FF3F" w14:textId="77777777" w:rsidR="00FC7217" w:rsidRPr="00FC7217" w:rsidRDefault="00FC7217" w:rsidP="00FC7217">
      <w:pPr>
        <w:spacing w:line="360" w:lineRule="auto"/>
        <w:rPr>
          <w:rFonts w:ascii="Aptos" w:hAnsi="Aptos"/>
          <w:sz w:val="22"/>
          <w:szCs w:val="22"/>
        </w:rPr>
      </w:pPr>
    </w:p>
    <w:p w14:paraId="3FA2DFDB"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 xml:space="preserve">Claim arising under a proprietary estoppel </w:t>
      </w:r>
    </w:p>
    <w:p w14:paraId="6672ADB9" w14:textId="77777777" w:rsidR="005F216E" w:rsidRDefault="005F216E" w:rsidP="009D531E">
      <w:pPr>
        <w:pStyle w:val="Heading1"/>
      </w:pPr>
      <w:r w:rsidRPr="009D531E">
        <w:t xml:space="preserve">The law </w:t>
      </w:r>
    </w:p>
    <w:p w14:paraId="0F5E79D4" w14:textId="77777777" w:rsidR="00293AF2" w:rsidRDefault="00293AF2" w:rsidP="00293AF2"/>
    <w:p w14:paraId="1DE290F5" w14:textId="12D5EF35" w:rsidR="00293AF2" w:rsidRDefault="00293AF2" w:rsidP="00FC7217">
      <w:pPr>
        <w:spacing w:line="360" w:lineRule="auto"/>
        <w:rPr>
          <w:rFonts w:ascii="Aptos" w:hAnsi="Aptos"/>
        </w:rPr>
      </w:pPr>
      <w:r w:rsidRPr="00293AF2">
        <w:rPr>
          <w:rFonts w:ascii="Aptos" w:hAnsi="Aptos"/>
        </w:rPr>
        <w:t xml:space="preserve">Proprietary estoppel arises when one party makes a clear and unequivocal representation or assurance about property rights, leading another to rely on it to their detriment, (Dixon, 2023, p.213). The claimant needs to demonstrate three things: (1) a clear guarantee of property rights, (2) reliance on that guarantee, and (3) harm brought on by that reliance. As demonstrated in Thorner v Major (2009), the guarantee needs to be precise and clear. Although Sarah believes that Jennifer promised her a share in the gatehouse, the claims must be evaluated for intent and clarity, (Thorner v Major [2009] UKHL 18). </w:t>
      </w:r>
      <w:r w:rsidR="00F80B8F" w:rsidRPr="00FC7217">
        <w:rPr>
          <w:rFonts w:ascii="Aptos" w:hAnsi="Aptos"/>
        </w:rPr>
        <w:t>Like</w:t>
      </w:r>
      <w:r w:rsidRPr="00293AF2">
        <w:rPr>
          <w:rFonts w:ascii="Aptos" w:hAnsi="Aptos"/>
        </w:rPr>
        <w:t xml:space="preserve"> this, clearly stated promises are a requirement for proprietary estoppel. Sarah might have taken Jennifer's remarks as assurances in this instance, but they were not formal or detailed to satisfy this requirement. In accordance with Jennings v. Rice (2002), the claimant must demonstrate that their reliance was reasonable and caused substantial harm, it should be advised that Sarah should not have ownership of the property; rather, her contributions were voluntary and driven by their relationship, (Jennings v Rice [2002] EWCA Civ 159). Furthermore, since Sarah lived rent-free and profited from the property without a formal agreement or expectation of ownership, the reliance on unofficial promises cannot be justified or detrimental, (Gray and Gray, 2011).</w:t>
      </w:r>
    </w:p>
    <w:p w14:paraId="2B04C1CA" w14:textId="77777777" w:rsidR="00185217" w:rsidRDefault="00185217" w:rsidP="00FC7217">
      <w:pPr>
        <w:spacing w:line="360" w:lineRule="auto"/>
        <w:rPr>
          <w:rFonts w:ascii="Aptos" w:hAnsi="Aptos"/>
        </w:rPr>
      </w:pPr>
    </w:p>
    <w:p w14:paraId="27EE4FC1" w14:textId="77777777" w:rsidR="00185217" w:rsidRDefault="00185217" w:rsidP="00FC7217">
      <w:pPr>
        <w:spacing w:line="360" w:lineRule="auto"/>
        <w:rPr>
          <w:rFonts w:ascii="Aptos" w:hAnsi="Aptos"/>
        </w:rPr>
      </w:pPr>
    </w:p>
    <w:p w14:paraId="62F1F506" w14:textId="77777777" w:rsidR="00185217" w:rsidRPr="00293AF2" w:rsidRDefault="00185217" w:rsidP="00FC7217">
      <w:pPr>
        <w:spacing w:line="360" w:lineRule="auto"/>
        <w:rPr>
          <w:rFonts w:ascii="Aptos" w:hAnsi="Aptos"/>
        </w:rPr>
      </w:pPr>
    </w:p>
    <w:p w14:paraId="2BB04B6A" w14:textId="77777777" w:rsidR="00293AF2" w:rsidRPr="00FC7217" w:rsidRDefault="00293AF2" w:rsidP="00FC7217">
      <w:pPr>
        <w:spacing w:line="360" w:lineRule="auto"/>
        <w:rPr>
          <w:rFonts w:ascii="Aptos" w:hAnsi="Aptos"/>
        </w:rPr>
      </w:pPr>
    </w:p>
    <w:p w14:paraId="3C3827A7" w14:textId="5070E1DD" w:rsidR="005F216E" w:rsidRDefault="005F216E" w:rsidP="00185217">
      <w:pPr>
        <w:pStyle w:val="Heading1"/>
      </w:pPr>
      <w:r w:rsidRPr="009D531E">
        <w:lastRenderedPageBreak/>
        <w:t xml:space="preserve">Submissions </w:t>
      </w:r>
    </w:p>
    <w:p w14:paraId="508149A6" w14:textId="77777777" w:rsidR="00F80B8F" w:rsidRDefault="00F80B8F" w:rsidP="00F80B8F"/>
    <w:p w14:paraId="1C4C714D" w14:textId="23175261" w:rsidR="00F80B8F" w:rsidRPr="00F80B8F" w:rsidRDefault="00F80B8F" w:rsidP="00FC7217">
      <w:pPr>
        <w:spacing w:line="360" w:lineRule="auto"/>
        <w:rPr>
          <w:rFonts w:ascii="Aptos" w:hAnsi="Aptos"/>
          <w:sz w:val="22"/>
          <w:szCs w:val="22"/>
        </w:rPr>
      </w:pPr>
      <w:r w:rsidRPr="00F80B8F">
        <w:rPr>
          <w:rFonts w:ascii="Aptos" w:hAnsi="Aptos"/>
          <w:sz w:val="22"/>
          <w:szCs w:val="22"/>
        </w:rPr>
        <w:t xml:space="preserve">Furthermore, Sarah lacks establishment that her actions were explicitly motivated by Jennifer's representations and that she altered her position </w:t>
      </w:r>
      <w:r w:rsidRPr="00FC7217">
        <w:rPr>
          <w:rFonts w:ascii="Aptos" w:hAnsi="Aptos"/>
          <w:sz w:val="22"/>
          <w:szCs w:val="22"/>
        </w:rPr>
        <w:t>for</w:t>
      </w:r>
      <w:r w:rsidRPr="00F80B8F">
        <w:rPr>
          <w:rFonts w:ascii="Aptos" w:hAnsi="Aptos"/>
          <w:sz w:val="22"/>
          <w:szCs w:val="22"/>
        </w:rPr>
        <w:t xml:space="preserve"> dependence to be proven. Given that no ownership agreement was formed, Sarah's choice to help with home repairs in this instance should be viewed as voluntary (Thorner v Major [2009] UKHL 18). Lastly, Sarah lacks demonstration that her dependence caused significant harm. According to Jennings v. Rice [2002] EWCA Civ 159, monetary contributions to household expenses are insufficient to prove the kind of harm required for proprietary estoppel</w:t>
      </w:r>
      <w:r w:rsidRPr="00FC7217">
        <w:rPr>
          <w:rFonts w:ascii="Aptos" w:hAnsi="Aptos"/>
          <w:sz w:val="22"/>
          <w:szCs w:val="22"/>
        </w:rPr>
        <w:t xml:space="preserve">. </w:t>
      </w:r>
      <w:r w:rsidRPr="00F80B8F">
        <w:rPr>
          <w:rFonts w:ascii="Aptos" w:hAnsi="Aptos"/>
          <w:sz w:val="22"/>
          <w:szCs w:val="22"/>
        </w:rPr>
        <w:t>Sarah's claim for proprietary estoppel should be disproven unless there is proof of specific assurances from Jennifer or a reliance that clearly caused significant harm.</w:t>
      </w:r>
    </w:p>
    <w:p w14:paraId="338D604D" w14:textId="77777777" w:rsidR="00F80B8F" w:rsidRPr="00FC7217" w:rsidRDefault="00F80B8F" w:rsidP="00FC7217">
      <w:pPr>
        <w:spacing w:line="360" w:lineRule="auto"/>
        <w:rPr>
          <w:rFonts w:ascii="Aptos" w:hAnsi="Aptos"/>
          <w:sz w:val="22"/>
          <w:szCs w:val="22"/>
        </w:rPr>
      </w:pPr>
    </w:p>
    <w:p w14:paraId="09D1DC35" w14:textId="60B07A5E" w:rsidR="005F216E" w:rsidRDefault="005F216E" w:rsidP="00F80B8F">
      <w:pPr>
        <w:pStyle w:val="Heading1"/>
        <w:numPr>
          <w:ilvl w:val="0"/>
          <w:numId w:val="0"/>
        </w:numPr>
        <w:ind w:left="680"/>
        <w:rPr>
          <w:rFonts w:ascii="Arial" w:hAnsi="Arial"/>
          <w:b w:val="0"/>
          <w:color w:val="70AD47" w:themeColor="accent6"/>
          <w:szCs w:val="32"/>
        </w:rPr>
      </w:pPr>
      <w:r w:rsidRPr="009D531E">
        <w:t xml:space="preserve">Conclusions </w:t>
      </w:r>
    </w:p>
    <w:p w14:paraId="00A2F859" w14:textId="77777777" w:rsidR="00154C31" w:rsidRPr="00FC7217" w:rsidRDefault="00154C31" w:rsidP="00FC7217">
      <w:pPr>
        <w:pStyle w:val="NormalWeb"/>
        <w:spacing w:before="240" w:beforeAutospacing="0" w:after="240" w:afterAutospacing="0" w:line="360" w:lineRule="auto"/>
        <w:rPr>
          <w:rFonts w:ascii="Aptos" w:hAnsi="Aptos"/>
        </w:rPr>
      </w:pPr>
      <w:r w:rsidRPr="00FC7217">
        <w:rPr>
          <w:rFonts w:ascii="Aptos" w:hAnsi="Aptos" w:cs="Arial"/>
          <w:color w:val="000000"/>
          <w:sz w:val="22"/>
          <w:szCs w:val="22"/>
        </w:rPr>
        <w:t>Sarah's proprietary estoppel claim is unsuccessful since there are no clear assurances and no legitimate, detrimental reliance on any informal assertions.</w:t>
      </w:r>
    </w:p>
    <w:p w14:paraId="2F9B6720" w14:textId="77777777" w:rsidR="00154C31" w:rsidRPr="00FC7217" w:rsidRDefault="00154C31" w:rsidP="00FC7217">
      <w:pPr>
        <w:spacing w:line="360" w:lineRule="auto"/>
        <w:rPr>
          <w:rFonts w:ascii="Aptos" w:hAnsi="Aptos"/>
        </w:rPr>
      </w:pPr>
    </w:p>
    <w:p w14:paraId="52F9839E" w14:textId="77777777" w:rsidR="005F216E" w:rsidRDefault="005F216E" w:rsidP="009D531E">
      <w:pPr>
        <w:pStyle w:val="Heading1"/>
      </w:pPr>
      <w:r w:rsidRPr="009D531E">
        <w:t xml:space="preserve">Overall conclusions </w:t>
      </w:r>
    </w:p>
    <w:p w14:paraId="260E6A74" w14:textId="77777777" w:rsidR="00154C31" w:rsidRDefault="00154C31" w:rsidP="00154C31"/>
    <w:p w14:paraId="4ACB4B30" w14:textId="77777777" w:rsidR="00154C31" w:rsidRPr="00154C31" w:rsidRDefault="00154C31" w:rsidP="00FC7217">
      <w:pPr>
        <w:spacing w:line="360" w:lineRule="auto"/>
        <w:rPr>
          <w:rFonts w:ascii="Aptos" w:hAnsi="Aptos"/>
          <w:sz w:val="22"/>
          <w:szCs w:val="22"/>
        </w:rPr>
      </w:pPr>
      <w:r w:rsidRPr="00154C31">
        <w:rPr>
          <w:rFonts w:ascii="Aptos" w:hAnsi="Aptos"/>
          <w:sz w:val="22"/>
          <w:szCs w:val="22"/>
        </w:rPr>
        <w:t>Sarah does not prove the legal requirements for either proprietary estoppel or a constructive trust in either of the claims. According to the Land Registration Act of 2002, Jennifer is the only legitimate owner, and Sarah's contributions were not made with the intention of obtaining ownership. Sarah's claims ought to be completely rejected by the court. </w:t>
      </w:r>
    </w:p>
    <w:p w14:paraId="08A38FFD" w14:textId="77777777" w:rsidR="00154C31" w:rsidRPr="00FC7217" w:rsidRDefault="00154C31" w:rsidP="00FC7217">
      <w:pPr>
        <w:spacing w:line="360" w:lineRule="auto"/>
        <w:rPr>
          <w:rFonts w:ascii="Aptos" w:hAnsi="Aptos"/>
          <w:sz w:val="22"/>
          <w:szCs w:val="22"/>
        </w:rPr>
      </w:pPr>
    </w:p>
    <w:p w14:paraId="3B1553C5" w14:textId="048F8B15" w:rsidR="005F216E" w:rsidRDefault="0044340F" w:rsidP="00D62530">
      <w:pPr>
        <w:spacing w:line="360" w:lineRule="auto"/>
        <w:jc w:val="right"/>
        <w:rPr>
          <w:rFonts w:asciiTheme="majorHAnsi" w:hAnsiTheme="majorHAnsi" w:cstheme="majorHAnsi"/>
          <w:b/>
          <w:bCs/>
        </w:rPr>
      </w:pPr>
      <w:r>
        <w:rPr>
          <w:rFonts w:asciiTheme="majorHAnsi" w:hAnsiTheme="majorHAnsi" w:cstheme="majorHAnsi"/>
          <w:b/>
          <w:bCs/>
        </w:rPr>
        <w:t>Paryse Samuels</w:t>
      </w:r>
    </w:p>
    <w:p w14:paraId="3765130C" w14:textId="51520722" w:rsidR="00D62530" w:rsidRDefault="0044340F" w:rsidP="00D62530">
      <w:pPr>
        <w:spacing w:line="360" w:lineRule="auto"/>
        <w:jc w:val="right"/>
        <w:rPr>
          <w:rFonts w:asciiTheme="majorHAnsi" w:hAnsiTheme="majorHAnsi" w:cstheme="majorHAnsi"/>
          <w:b/>
          <w:bCs/>
        </w:rPr>
      </w:pPr>
      <w:r>
        <w:rPr>
          <w:rFonts w:asciiTheme="majorHAnsi" w:hAnsiTheme="majorHAnsi" w:cstheme="majorHAnsi"/>
          <w:b/>
          <w:bCs/>
        </w:rPr>
        <w:t>Legal advocate for the defendant</w:t>
      </w:r>
    </w:p>
    <w:p w14:paraId="0ADC9468" w14:textId="637E73BD" w:rsidR="00D62530" w:rsidRP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Work/chambers</w:t>
      </w:r>
      <w:r w:rsidR="0044340F">
        <w:rPr>
          <w:rFonts w:asciiTheme="majorHAnsi" w:hAnsiTheme="majorHAnsi" w:cstheme="majorHAnsi"/>
          <w:b/>
          <w:bCs/>
        </w:rPr>
        <w:t>: University of Wales Trinity St David’s</w:t>
      </w:r>
      <w:r>
        <w:rPr>
          <w:rFonts w:asciiTheme="majorHAnsi" w:hAnsiTheme="majorHAnsi" w:cstheme="majorHAnsi"/>
          <w:b/>
          <w:bCs/>
        </w:rPr>
        <w:t xml:space="preserve"> </w:t>
      </w:r>
    </w:p>
    <w:p w14:paraId="7E25C8BA" w14:textId="27322906" w:rsid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Date</w:t>
      </w:r>
      <w:r w:rsidR="0044340F">
        <w:rPr>
          <w:rFonts w:asciiTheme="majorHAnsi" w:hAnsiTheme="majorHAnsi" w:cstheme="majorHAnsi"/>
          <w:b/>
          <w:bCs/>
        </w:rPr>
        <w:t>: 6/12/24</w:t>
      </w:r>
    </w:p>
    <w:p w14:paraId="59D9D6F6" w14:textId="77777777" w:rsidR="00D62530" w:rsidRDefault="00D62530" w:rsidP="009D531E">
      <w:pPr>
        <w:spacing w:line="360" w:lineRule="auto"/>
      </w:pPr>
    </w:p>
    <w:p w14:paraId="69DBDB51" w14:textId="77777777" w:rsidR="00D62530" w:rsidRPr="009D531E" w:rsidRDefault="00D62530" w:rsidP="009D531E">
      <w:pPr>
        <w:spacing w:line="360" w:lineRule="auto"/>
      </w:pPr>
    </w:p>
    <w:p w14:paraId="50E5695E" w14:textId="77777777" w:rsidR="005F216E" w:rsidRPr="009D531E" w:rsidRDefault="005F216E" w:rsidP="009D531E">
      <w:pPr>
        <w:spacing w:line="360" w:lineRule="auto"/>
        <w:rPr>
          <w:rFonts w:ascii="Arial" w:hAnsi="Arial" w:cs="Arial"/>
        </w:rPr>
      </w:pPr>
      <w:r w:rsidRPr="009D531E">
        <w:rPr>
          <w:rFonts w:ascii="Arial" w:hAnsi="Arial" w:cs="Arial"/>
        </w:rPr>
        <w:br w:type="page"/>
      </w:r>
    </w:p>
    <w:p w14:paraId="0699BBAE" w14:textId="77777777" w:rsidR="0003621E" w:rsidRPr="00185217" w:rsidRDefault="0003621E" w:rsidP="00185217">
      <w:pPr>
        <w:spacing w:line="360" w:lineRule="auto"/>
        <w:rPr>
          <w:rFonts w:ascii="Aptos" w:hAnsi="Aptos" w:cstheme="minorHAnsi"/>
          <w:color w:val="000000" w:themeColor="text1"/>
          <w:sz w:val="22"/>
          <w:szCs w:val="22"/>
        </w:rPr>
      </w:pPr>
      <w:r w:rsidRPr="00185217">
        <w:rPr>
          <w:rFonts w:ascii="Aptos" w:hAnsi="Aptos" w:cstheme="minorHAnsi"/>
          <w:color w:val="000000" w:themeColor="text1"/>
          <w:sz w:val="22"/>
          <w:szCs w:val="22"/>
        </w:rPr>
        <w:lastRenderedPageBreak/>
        <w:t>Case note</w:t>
      </w:r>
    </w:p>
    <w:p w14:paraId="6E60BBB7" w14:textId="77777777" w:rsidR="0003621E" w:rsidRPr="00185217" w:rsidRDefault="0003621E" w:rsidP="00185217">
      <w:pPr>
        <w:spacing w:line="360" w:lineRule="auto"/>
        <w:rPr>
          <w:rFonts w:ascii="Aptos" w:hAnsi="Aptos" w:cstheme="minorHAnsi"/>
          <w:color w:val="000000" w:themeColor="text1"/>
          <w:sz w:val="22"/>
          <w:szCs w:val="22"/>
        </w:rPr>
      </w:pPr>
    </w:p>
    <w:p w14:paraId="4F8C09E8" w14:textId="73C6B50A" w:rsidR="008912EA" w:rsidRPr="00185217" w:rsidRDefault="001E5DF5" w:rsidP="00185217">
      <w:pPr>
        <w:spacing w:line="360" w:lineRule="auto"/>
        <w:jc w:val="center"/>
        <w:rPr>
          <w:rFonts w:ascii="Aptos" w:hAnsi="Aptos" w:cstheme="minorHAnsi"/>
          <w:color w:val="000000" w:themeColor="text1"/>
          <w:sz w:val="22"/>
          <w:szCs w:val="22"/>
        </w:rPr>
      </w:pPr>
      <w:r w:rsidRPr="00185217">
        <w:rPr>
          <w:rFonts w:ascii="Aptos" w:hAnsi="Aptos" w:cstheme="minorHAnsi"/>
          <w:color w:val="000000" w:themeColor="text1"/>
          <w:sz w:val="22"/>
          <w:szCs w:val="22"/>
        </w:rPr>
        <w:t>James v Thomas</w:t>
      </w:r>
    </w:p>
    <w:p w14:paraId="2C61F804" w14:textId="333E87E5" w:rsidR="008912EA" w:rsidRPr="00185217" w:rsidRDefault="001E5DF5" w:rsidP="00185217">
      <w:pPr>
        <w:spacing w:line="360" w:lineRule="auto"/>
        <w:jc w:val="center"/>
        <w:rPr>
          <w:rFonts w:ascii="Aptos" w:hAnsi="Aptos" w:cstheme="minorHAnsi"/>
          <w:color w:val="000000" w:themeColor="text1"/>
          <w:sz w:val="22"/>
          <w:szCs w:val="22"/>
        </w:rPr>
      </w:pPr>
      <w:hyperlink r:id="rId7" w:history="1">
        <w:r w:rsidRPr="00185217">
          <w:rPr>
            <w:rStyle w:val="Hyperlink"/>
            <w:rFonts w:ascii="Aptos" w:hAnsi="Aptos" w:cstheme="minorHAnsi"/>
            <w:i/>
            <w:iCs/>
            <w:color w:val="000000" w:themeColor="text1"/>
            <w:sz w:val="22"/>
            <w:szCs w:val="22"/>
          </w:rPr>
          <w:t>James v Thomas</w:t>
        </w:r>
        <w:r w:rsidRPr="00185217">
          <w:rPr>
            <w:rStyle w:val="Hyperlink"/>
            <w:rFonts w:ascii="Aptos" w:hAnsi="Aptos" w:cstheme="minorHAnsi"/>
            <w:color w:val="000000" w:themeColor="text1"/>
            <w:sz w:val="22"/>
            <w:szCs w:val="22"/>
          </w:rPr>
          <w:t> [2007] EWCA Civ 1212</w:t>
        </w:r>
      </w:hyperlink>
    </w:p>
    <w:p w14:paraId="5F673DB7" w14:textId="0675A620" w:rsidR="008912EA" w:rsidRPr="00185217" w:rsidRDefault="001E5DF5" w:rsidP="00185217">
      <w:pPr>
        <w:spacing w:line="360" w:lineRule="auto"/>
        <w:jc w:val="center"/>
        <w:rPr>
          <w:rFonts w:ascii="Aptos" w:hAnsi="Aptos" w:cstheme="minorHAnsi"/>
          <w:color w:val="000000" w:themeColor="text1"/>
          <w:sz w:val="22"/>
          <w:szCs w:val="22"/>
        </w:rPr>
      </w:pPr>
      <w:r w:rsidRPr="00185217">
        <w:rPr>
          <w:rFonts w:ascii="Aptos" w:hAnsi="Aptos" w:cstheme="minorHAnsi"/>
          <w:color w:val="000000" w:themeColor="text1"/>
          <w:sz w:val="22"/>
          <w:szCs w:val="22"/>
        </w:rPr>
        <w:t>Court of Appeal, Civil Division</w:t>
      </w:r>
    </w:p>
    <w:p w14:paraId="1AF377E3" w14:textId="77777777" w:rsidR="008912EA" w:rsidRPr="00185217" w:rsidRDefault="008912EA" w:rsidP="00185217">
      <w:pPr>
        <w:spacing w:line="360" w:lineRule="auto"/>
        <w:jc w:val="center"/>
        <w:rPr>
          <w:rFonts w:ascii="Aptos" w:hAnsi="Aptos" w:cstheme="minorHAnsi"/>
          <w:color w:val="000000" w:themeColor="text1"/>
          <w:sz w:val="22"/>
          <w:szCs w:val="22"/>
        </w:rPr>
      </w:pPr>
    </w:p>
    <w:p w14:paraId="17C74CC6" w14:textId="77777777" w:rsidR="001A6CEE" w:rsidRPr="00185217" w:rsidRDefault="001A6CEE" w:rsidP="00185217">
      <w:pPr>
        <w:spacing w:line="360" w:lineRule="auto"/>
        <w:jc w:val="center"/>
        <w:rPr>
          <w:rFonts w:ascii="Aptos" w:hAnsi="Aptos" w:cstheme="minorHAnsi"/>
          <w:b/>
          <w:bCs/>
          <w:color w:val="000000" w:themeColor="text1"/>
          <w:sz w:val="22"/>
          <w:szCs w:val="22"/>
          <w:u w:val="single"/>
        </w:rPr>
      </w:pPr>
    </w:p>
    <w:p w14:paraId="6BBE8D0D" w14:textId="77777777" w:rsidR="008912EA" w:rsidRPr="00185217" w:rsidRDefault="008912EA"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Parties</w:t>
      </w:r>
    </w:p>
    <w:p w14:paraId="5A375804" w14:textId="77777777" w:rsidR="001A6CEE" w:rsidRPr="00185217" w:rsidRDefault="001A6CEE" w:rsidP="00185217">
      <w:pPr>
        <w:spacing w:line="360" w:lineRule="auto"/>
        <w:rPr>
          <w:rFonts w:ascii="Aptos" w:hAnsi="Aptos" w:cstheme="minorHAnsi"/>
          <w:color w:val="000000" w:themeColor="text1"/>
          <w:sz w:val="22"/>
          <w:szCs w:val="22"/>
        </w:rPr>
      </w:pPr>
    </w:p>
    <w:p w14:paraId="56826160" w14:textId="536577B2" w:rsidR="008912EA" w:rsidRPr="00185217" w:rsidRDefault="008D1B58" w:rsidP="00185217">
      <w:pPr>
        <w:spacing w:line="360" w:lineRule="auto"/>
        <w:rPr>
          <w:rFonts w:ascii="Aptos" w:hAnsi="Aptos" w:cstheme="minorHAnsi"/>
          <w:color w:val="000000" w:themeColor="text1"/>
          <w:sz w:val="22"/>
          <w:szCs w:val="22"/>
          <w:lang w:val="fr-FR"/>
        </w:rPr>
      </w:pPr>
      <w:r w:rsidRPr="00185217">
        <w:rPr>
          <w:rFonts w:ascii="Aptos" w:hAnsi="Aptos" w:cstheme="minorHAnsi"/>
          <w:color w:val="000000" w:themeColor="text1"/>
          <w:sz w:val="22"/>
          <w:szCs w:val="22"/>
          <w:lang w:val="fr-FR"/>
        </w:rPr>
        <w:t xml:space="preserve">Sharon </w:t>
      </w:r>
      <w:r w:rsidR="00183D3E" w:rsidRPr="00185217">
        <w:rPr>
          <w:rFonts w:ascii="Aptos" w:hAnsi="Aptos" w:cstheme="minorHAnsi"/>
          <w:color w:val="000000" w:themeColor="text1"/>
          <w:sz w:val="22"/>
          <w:szCs w:val="22"/>
          <w:lang w:val="fr-FR"/>
        </w:rPr>
        <w:t>James</w:t>
      </w:r>
      <w:r w:rsidR="001A6CEE" w:rsidRPr="00185217">
        <w:rPr>
          <w:rFonts w:ascii="Aptos" w:hAnsi="Aptos" w:cstheme="minorHAnsi"/>
          <w:color w:val="000000" w:themeColor="text1"/>
          <w:sz w:val="22"/>
          <w:szCs w:val="22"/>
          <w:lang w:val="fr-FR"/>
        </w:rPr>
        <w:t xml:space="preserve"> (</w:t>
      </w:r>
      <w:proofErr w:type="spellStart"/>
      <w:r w:rsidR="001A6CEE" w:rsidRPr="00185217">
        <w:rPr>
          <w:rFonts w:ascii="Aptos" w:hAnsi="Aptos" w:cstheme="minorHAnsi"/>
          <w:color w:val="000000" w:themeColor="text1"/>
          <w:sz w:val="22"/>
          <w:szCs w:val="22"/>
          <w:lang w:val="fr-FR"/>
        </w:rPr>
        <w:t>Appellant</w:t>
      </w:r>
      <w:proofErr w:type="spellEnd"/>
      <w:r w:rsidR="001A6CEE" w:rsidRPr="00185217">
        <w:rPr>
          <w:rFonts w:ascii="Aptos" w:hAnsi="Aptos" w:cstheme="minorHAnsi"/>
          <w:color w:val="000000" w:themeColor="text1"/>
          <w:sz w:val="22"/>
          <w:szCs w:val="22"/>
          <w:lang w:val="fr-FR"/>
        </w:rPr>
        <w:t>)</w:t>
      </w:r>
      <w:r w:rsidR="008912EA" w:rsidRPr="00185217">
        <w:rPr>
          <w:rFonts w:ascii="Aptos" w:hAnsi="Aptos" w:cstheme="minorHAnsi"/>
          <w:color w:val="000000" w:themeColor="text1"/>
          <w:sz w:val="22"/>
          <w:szCs w:val="22"/>
          <w:lang w:val="fr-FR"/>
        </w:rPr>
        <w:t xml:space="preserve"> </w:t>
      </w:r>
    </w:p>
    <w:p w14:paraId="1E61BAB5" w14:textId="0F17D656" w:rsidR="001A6CEE" w:rsidRPr="00185217" w:rsidRDefault="008D1B58" w:rsidP="00185217">
      <w:pPr>
        <w:spacing w:line="360" w:lineRule="auto"/>
        <w:rPr>
          <w:rFonts w:ascii="Aptos" w:hAnsi="Aptos" w:cstheme="minorHAnsi"/>
          <w:color w:val="000000" w:themeColor="text1"/>
          <w:sz w:val="22"/>
          <w:szCs w:val="22"/>
          <w:lang w:val="fr-FR"/>
        </w:rPr>
      </w:pPr>
      <w:r w:rsidRPr="00185217">
        <w:rPr>
          <w:rFonts w:ascii="Aptos" w:hAnsi="Aptos" w:cstheme="minorHAnsi"/>
          <w:color w:val="000000" w:themeColor="text1"/>
          <w:sz w:val="22"/>
          <w:szCs w:val="22"/>
          <w:lang w:val="fr-FR"/>
        </w:rPr>
        <w:t xml:space="preserve">Peter </w:t>
      </w:r>
      <w:r w:rsidR="00183D3E" w:rsidRPr="00185217">
        <w:rPr>
          <w:rFonts w:ascii="Aptos" w:hAnsi="Aptos" w:cstheme="minorHAnsi"/>
          <w:color w:val="000000" w:themeColor="text1"/>
          <w:sz w:val="22"/>
          <w:szCs w:val="22"/>
          <w:lang w:val="fr-FR"/>
        </w:rPr>
        <w:t>Thomas</w:t>
      </w:r>
      <w:r w:rsidR="001A6CEE" w:rsidRPr="00185217">
        <w:rPr>
          <w:rFonts w:ascii="Aptos" w:hAnsi="Aptos" w:cstheme="minorHAnsi"/>
          <w:color w:val="000000" w:themeColor="text1"/>
          <w:sz w:val="22"/>
          <w:szCs w:val="22"/>
          <w:lang w:val="fr-FR"/>
        </w:rPr>
        <w:t xml:space="preserve"> (</w:t>
      </w:r>
      <w:proofErr w:type="spellStart"/>
      <w:r w:rsidR="001A6CEE" w:rsidRPr="00185217">
        <w:rPr>
          <w:rFonts w:ascii="Aptos" w:hAnsi="Aptos" w:cstheme="minorHAnsi"/>
          <w:color w:val="000000" w:themeColor="text1"/>
          <w:sz w:val="22"/>
          <w:szCs w:val="22"/>
          <w:lang w:val="fr-FR"/>
        </w:rPr>
        <w:t>Respondent</w:t>
      </w:r>
      <w:proofErr w:type="spellEnd"/>
      <w:r w:rsidR="001A6CEE" w:rsidRPr="00185217">
        <w:rPr>
          <w:rFonts w:ascii="Aptos" w:hAnsi="Aptos" w:cstheme="minorHAnsi"/>
          <w:color w:val="000000" w:themeColor="text1"/>
          <w:sz w:val="22"/>
          <w:szCs w:val="22"/>
          <w:lang w:val="fr-FR"/>
        </w:rPr>
        <w:t>)</w:t>
      </w:r>
    </w:p>
    <w:p w14:paraId="41F667AA" w14:textId="77777777" w:rsidR="008912EA" w:rsidRPr="00185217" w:rsidRDefault="008912EA" w:rsidP="00185217">
      <w:pPr>
        <w:spacing w:line="360" w:lineRule="auto"/>
        <w:rPr>
          <w:rFonts w:ascii="Aptos" w:hAnsi="Aptos" w:cstheme="minorHAnsi"/>
          <w:color w:val="000000" w:themeColor="text1"/>
          <w:sz w:val="22"/>
          <w:szCs w:val="22"/>
          <w:lang w:val="fr-FR"/>
        </w:rPr>
      </w:pPr>
    </w:p>
    <w:p w14:paraId="1A4CBE6D" w14:textId="5E641E97" w:rsidR="008912EA" w:rsidRPr="00185217" w:rsidRDefault="008912EA"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Procedural History</w:t>
      </w:r>
    </w:p>
    <w:p w14:paraId="5B415172" w14:textId="77777777" w:rsidR="00183D3E" w:rsidRPr="00185217" w:rsidRDefault="00183D3E" w:rsidP="00185217">
      <w:pPr>
        <w:spacing w:line="360" w:lineRule="auto"/>
        <w:rPr>
          <w:rFonts w:ascii="Aptos" w:hAnsi="Aptos" w:cstheme="minorHAnsi"/>
          <w:color w:val="000000" w:themeColor="text1"/>
          <w:sz w:val="22"/>
          <w:szCs w:val="22"/>
        </w:rPr>
      </w:pPr>
    </w:p>
    <w:p w14:paraId="124C388B" w14:textId="77777777" w:rsidR="00E820E0" w:rsidRPr="00E820E0" w:rsidRDefault="00E820E0" w:rsidP="00185217">
      <w:pPr>
        <w:spacing w:line="360" w:lineRule="auto"/>
        <w:rPr>
          <w:rFonts w:ascii="Aptos" w:hAnsi="Aptos" w:cstheme="minorHAnsi"/>
          <w:color w:val="000000" w:themeColor="text1"/>
          <w:sz w:val="22"/>
          <w:szCs w:val="22"/>
        </w:rPr>
      </w:pPr>
      <w:r w:rsidRPr="00E820E0">
        <w:rPr>
          <w:rFonts w:ascii="Aptos" w:hAnsi="Aptos" w:cstheme="minorHAnsi"/>
          <w:color w:val="000000" w:themeColor="text1"/>
          <w:sz w:val="22"/>
          <w:szCs w:val="22"/>
        </w:rPr>
        <w:t>In 2005, Miss Sharon James first filed the claim in Shrewsbury County Court. The court rejected her claims of beneficial ownership of the property following a trial. The case was then heard in 2007 after Miss James filed an appeal with the Court of Appeal.</w:t>
      </w:r>
    </w:p>
    <w:p w14:paraId="26FECC5A" w14:textId="77777777" w:rsidR="00E820E0" w:rsidRPr="00185217" w:rsidRDefault="00E820E0" w:rsidP="00185217">
      <w:pPr>
        <w:spacing w:line="360" w:lineRule="auto"/>
        <w:rPr>
          <w:rFonts w:ascii="Aptos" w:hAnsi="Aptos" w:cstheme="minorHAnsi"/>
          <w:color w:val="000000" w:themeColor="text1"/>
          <w:sz w:val="22"/>
          <w:szCs w:val="22"/>
        </w:rPr>
      </w:pPr>
    </w:p>
    <w:p w14:paraId="4D14F5B3" w14:textId="1819DB81" w:rsidR="00183D3E" w:rsidRPr="00185217" w:rsidRDefault="00183D3E" w:rsidP="00185217">
      <w:pPr>
        <w:spacing w:line="360" w:lineRule="auto"/>
        <w:rPr>
          <w:rFonts w:ascii="Aptos" w:hAnsi="Aptos" w:cstheme="minorHAnsi"/>
          <w:color w:val="000000" w:themeColor="text1"/>
          <w:sz w:val="22"/>
          <w:szCs w:val="22"/>
        </w:rPr>
      </w:pPr>
    </w:p>
    <w:p w14:paraId="6ABE88E2" w14:textId="77777777" w:rsidR="008912EA" w:rsidRPr="00185217" w:rsidRDefault="008912EA"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Material facts</w:t>
      </w:r>
    </w:p>
    <w:p w14:paraId="69E985B9" w14:textId="77777777" w:rsidR="00183D3E" w:rsidRPr="00185217" w:rsidRDefault="00183D3E" w:rsidP="00185217">
      <w:pPr>
        <w:spacing w:line="360" w:lineRule="auto"/>
        <w:rPr>
          <w:rFonts w:ascii="Aptos" w:hAnsi="Aptos" w:cstheme="minorHAnsi"/>
          <w:color w:val="000000" w:themeColor="text1"/>
          <w:sz w:val="22"/>
          <w:szCs w:val="22"/>
        </w:rPr>
      </w:pPr>
    </w:p>
    <w:p w14:paraId="4EC8913D" w14:textId="7751DE16" w:rsidR="00183D3E" w:rsidRPr="00185217" w:rsidRDefault="00E820E0" w:rsidP="00185217">
      <w:pPr>
        <w:spacing w:line="360" w:lineRule="auto"/>
        <w:rPr>
          <w:rFonts w:ascii="Aptos" w:hAnsi="Aptos" w:cstheme="minorHAnsi"/>
          <w:color w:val="000000" w:themeColor="text1"/>
          <w:sz w:val="22"/>
          <w:szCs w:val="22"/>
        </w:rPr>
      </w:pPr>
      <w:r w:rsidRPr="00E820E0">
        <w:rPr>
          <w:rFonts w:ascii="Aptos" w:hAnsi="Aptos" w:cstheme="minorHAnsi"/>
          <w:color w:val="000000" w:themeColor="text1"/>
          <w:sz w:val="22"/>
          <w:szCs w:val="22"/>
        </w:rPr>
        <w:t>In 1989, Mr. Peter Thomas and Miss Sharon James became partners and lived together at The Cottage, which was entirely Mr. Thomas's property. James worked for Thomas and helped with the improvements. James used proprietary estoppel or constructive trust to assert a beneficial interest in the property in 2005, but the court rejected her arguments.</w:t>
      </w:r>
    </w:p>
    <w:p w14:paraId="4D9484B1" w14:textId="77777777" w:rsidR="00183D3E" w:rsidRPr="00185217" w:rsidRDefault="00183D3E" w:rsidP="00185217">
      <w:pPr>
        <w:spacing w:line="360" w:lineRule="auto"/>
        <w:rPr>
          <w:rFonts w:ascii="Aptos" w:hAnsi="Aptos" w:cstheme="minorHAnsi"/>
          <w:color w:val="000000" w:themeColor="text1"/>
          <w:sz w:val="22"/>
          <w:szCs w:val="22"/>
        </w:rPr>
      </w:pPr>
    </w:p>
    <w:p w14:paraId="1EDD27FE" w14:textId="77777777" w:rsidR="00183D3E" w:rsidRPr="00185217" w:rsidRDefault="00183D3E" w:rsidP="00185217">
      <w:pPr>
        <w:spacing w:line="360" w:lineRule="auto"/>
        <w:rPr>
          <w:rFonts w:ascii="Aptos" w:hAnsi="Aptos" w:cstheme="minorHAnsi"/>
          <w:color w:val="000000" w:themeColor="text1"/>
          <w:sz w:val="22"/>
          <w:szCs w:val="22"/>
        </w:rPr>
      </w:pPr>
    </w:p>
    <w:p w14:paraId="36443AEA" w14:textId="60DA2E33" w:rsidR="008912EA" w:rsidRPr="00185217" w:rsidRDefault="008912EA"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 xml:space="preserve">Legal </w:t>
      </w:r>
      <w:r w:rsidR="001A6CEE" w:rsidRPr="00185217">
        <w:rPr>
          <w:rFonts w:ascii="Aptos" w:hAnsi="Aptos" w:cstheme="minorHAnsi"/>
          <w:b/>
          <w:bCs/>
          <w:color w:val="000000" w:themeColor="text1"/>
          <w:sz w:val="22"/>
          <w:szCs w:val="22"/>
          <w:u w:val="single"/>
        </w:rPr>
        <w:t>questions for the court</w:t>
      </w:r>
      <w:r w:rsidRPr="00185217">
        <w:rPr>
          <w:rFonts w:ascii="Aptos" w:hAnsi="Aptos" w:cstheme="minorHAnsi"/>
          <w:b/>
          <w:bCs/>
          <w:color w:val="000000" w:themeColor="text1"/>
          <w:sz w:val="22"/>
          <w:szCs w:val="22"/>
          <w:u w:val="single"/>
        </w:rPr>
        <w:t xml:space="preserve"> </w:t>
      </w:r>
    </w:p>
    <w:p w14:paraId="190F7908" w14:textId="77777777" w:rsidR="008912EA" w:rsidRPr="00185217" w:rsidRDefault="008912EA" w:rsidP="00185217">
      <w:pPr>
        <w:spacing w:line="360" w:lineRule="auto"/>
        <w:rPr>
          <w:rFonts w:ascii="Aptos" w:hAnsi="Aptos" w:cstheme="minorHAnsi"/>
          <w:color w:val="000000" w:themeColor="text1"/>
          <w:sz w:val="22"/>
          <w:szCs w:val="22"/>
        </w:rPr>
      </w:pPr>
    </w:p>
    <w:p w14:paraId="11D6D8CC" w14:textId="26FAE201" w:rsidR="005E510B" w:rsidRPr="00185217" w:rsidRDefault="005E510B" w:rsidP="00185217">
      <w:pPr>
        <w:pStyle w:val="ListParagraph"/>
        <w:numPr>
          <w:ilvl w:val="0"/>
          <w:numId w:val="14"/>
        </w:numPr>
        <w:spacing w:line="360" w:lineRule="auto"/>
        <w:rPr>
          <w:rFonts w:ascii="Aptos" w:hAnsi="Aptos"/>
          <w:color w:val="000000" w:themeColor="text1"/>
          <w:sz w:val="22"/>
          <w:szCs w:val="22"/>
        </w:rPr>
      </w:pPr>
      <w:r w:rsidRPr="00185217">
        <w:rPr>
          <w:rFonts w:ascii="Aptos" w:hAnsi="Aptos"/>
          <w:color w:val="000000" w:themeColor="text1"/>
          <w:sz w:val="22"/>
          <w:szCs w:val="22"/>
        </w:rPr>
        <w:t xml:space="preserve">Whether </w:t>
      </w:r>
      <w:r w:rsidR="00E820E0" w:rsidRPr="00185217">
        <w:rPr>
          <w:rFonts w:ascii="Aptos" w:hAnsi="Aptos"/>
          <w:color w:val="000000" w:themeColor="text1"/>
          <w:sz w:val="22"/>
          <w:szCs w:val="22"/>
        </w:rPr>
        <w:t xml:space="preserve">Sharon </w:t>
      </w:r>
      <w:r w:rsidRPr="00185217">
        <w:rPr>
          <w:rFonts w:ascii="Aptos" w:hAnsi="Aptos"/>
          <w:color w:val="000000" w:themeColor="text1"/>
          <w:sz w:val="22"/>
          <w:szCs w:val="22"/>
        </w:rPr>
        <w:t>James, the claimant, created a constructive trust that gave her a beneficial interest in the contested property even if she didn't have legal ownership.</w:t>
      </w:r>
    </w:p>
    <w:p w14:paraId="1DE82425" w14:textId="77777777" w:rsidR="005E510B" w:rsidRPr="00185217" w:rsidRDefault="005E510B" w:rsidP="00185217">
      <w:pPr>
        <w:pStyle w:val="ListParagraph"/>
        <w:spacing w:line="360" w:lineRule="auto"/>
        <w:ind w:left="360"/>
        <w:rPr>
          <w:rFonts w:ascii="Aptos" w:hAnsi="Aptos" w:cstheme="minorHAnsi"/>
          <w:color w:val="000000" w:themeColor="text1"/>
          <w:sz w:val="22"/>
          <w:szCs w:val="22"/>
        </w:rPr>
      </w:pPr>
    </w:p>
    <w:p w14:paraId="37D5E17C" w14:textId="77777777" w:rsidR="005E510B" w:rsidRPr="00185217" w:rsidRDefault="005E510B" w:rsidP="00185217">
      <w:pPr>
        <w:pStyle w:val="ListParagraph"/>
        <w:numPr>
          <w:ilvl w:val="0"/>
          <w:numId w:val="14"/>
        </w:numPr>
        <w:spacing w:line="360" w:lineRule="auto"/>
        <w:rPr>
          <w:rFonts w:ascii="Aptos" w:hAnsi="Aptos"/>
          <w:color w:val="000000" w:themeColor="text1"/>
          <w:sz w:val="22"/>
          <w:szCs w:val="22"/>
        </w:rPr>
      </w:pPr>
      <w:r w:rsidRPr="00185217">
        <w:rPr>
          <w:rFonts w:ascii="Aptos" w:hAnsi="Aptos"/>
          <w:color w:val="000000" w:themeColor="text1"/>
          <w:sz w:val="22"/>
          <w:szCs w:val="22"/>
        </w:rPr>
        <w:t>Whether the claimant's financial contributions and reliance on the respondent Noel Thomas's assurances met the requirements of proprietary estoppel.</w:t>
      </w:r>
    </w:p>
    <w:p w14:paraId="7F0B91F3" w14:textId="77777777" w:rsidR="008D1B58" w:rsidRPr="00185217" w:rsidRDefault="008D1B58" w:rsidP="00185217">
      <w:pPr>
        <w:pStyle w:val="ListParagraph"/>
        <w:numPr>
          <w:ilvl w:val="0"/>
          <w:numId w:val="14"/>
        </w:numPr>
        <w:spacing w:line="360" w:lineRule="auto"/>
        <w:rPr>
          <w:rFonts w:ascii="Aptos" w:hAnsi="Aptos"/>
          <w:color w:val="000000" w:themeColor="text1"/>
          <w:sz w:val="22"/>
          <w:szCs w:val="22"/>
        </w:rPr>
      </w:pPr>
      <w:r w:rsidRPr="00185217">
        <w:rPr>
          <w:rFonts w:ascii="Aptos" w:hAnsi="Aptos"/>
          <w:color w:val="000000" w:themeColor="text1"/>
          <w:sz w:val="22"/>
          <w:szCs w:val="22"/>
        </w:rPr>
        <w:lastRenderedPageBreak/>
        <w:t>Whether it was incorrect for the trial court to conclude that the respondent's sole legal ownership under the Land Registration Act of 2002 may be outweighed by the claimant's contributions and reliance.</w:t>
      </w:r>
    </w:p>
    <w:p w14:paraId="6B20F962" w14:textId="659417C3" w:rsidR="008912EA" w:rsidRPr="00185217" w:rsidRDefault="008912EA" w:rsidP="00185217">
      <w:pPr>
        <w:pStyle w:val="ListParagraph"/>
        <w:spacing w:line="360" w:lineRule="auto"/>
        <w:ind w:left="360"/>
        <w:rPr>
          <w:rFonts w:ascii="Aptos" w:hAnsi="Aptos" w:cstheme="minorHAnsi"/>
          <w:color w:val="000000" w:themeColor="text1"/>
          <w:sz w:val="22"/>
          <w:szCs w:val="22"/>
        </w:rPr>
      </w:pPr>
    </w:p>
    <w:p w14:paraId="0A6C8337" w14:textId="77777777" w:rsidR="008D1B58" w:rsidRPr="00185217" w:rsidRDefault="008D1B58" w:rsidP="00185217">
      <w:pPr>
        <w:pStyle w:val="ListParagraph"/>
        <w:spacing w:line="360" w:lineRule="auto"/>
        <w:ind w:left="360"/>
        <w:rPr>
          <w:rFonts w:ascii="Aptos" w:hAnsi="Aptos" w:cstheme="minorHAnsi"/>
          <w:color w:val="000000" w:themeColor="text1"/>
          <w:sz w:val="22"/>
          <w:szCs w:val="22"/>
        </w:rPr>
      </w:pPr>
    </w:p>
    <w:p w14:paraId="1807AF8E" w14:textId="77777777" w:rsidR="008D1B58" w:rsidRPr="00185217" w:rsidRDefault="008D1B58" w:rsidP="00185217">
      <w:pPr>
        <w:pStyle w:val="ListParagraph"/>
        <w:spacing w:line="360" w:lineRule="auto"/>
        <w:ind w:left="360"/>
        <w:rPr>
          <w:rFonts w:ascii="Aptos" w:hAnsi="Aptos" w:cstheme="minorHAnsi"/>
          <w:color w:val="000000" w:themeColor="text1"/>
          <w:sz w:val="22"/>
          <w:szCs w:val="22"/>
        </w:rPr>
      </w:pPr>
    </w:p>
    <w:p w14:paraId="7D353172" w14:textId="77777777" w:rsidR="00185217" w:rsidRPr="00185217" w:rsidRDefault="00185217" w:rsidP="00185217">
      <w:pPr>
        <w:spacing w:line="360" w:lineRule="auto"/>
        <w:rPr>
          <w:rFonts w:ascii="Aptos" w:hAnsi="Aptos" w:cstheme="minorHAnsi"/>
          <w:color w:val="000000" w:themeColor="text1"/>
          <w:sz w:val="22"/>
          <w:szCs w:val="22"/>
        </w:rPr>
      </w:pPr>
    </w:p>
    <w:p w14:paraId="5C0D4EA2" w14:textId="54B97E92" w:rsidR="001A6CEE" w:rsidRPr="00185217" w:rsidRDefault="001A6CEE"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Appellant arguments</w:t>
      </w:r>
    </w:p>
    <w:p w14:paraId="1FE72AD4" w14:textId="77777777" w:rsidR="008D1B58" w:rsidRPr="00185217" w:rsidRDefault="008D1B58" w:rsidP="00185217">
      <w:pPr>
        <w:spacing w:line="360" w:lineRule="auto"/>
        <w:rPr>
          <w:rFonts w:ascii="Aptos" w:hAnsi="Aptos" w:cstheme="minorHAnsi"/>
          <w:color w:val="000000" w:themeColor="text1"/>
          <w:sz w:val="22"/>
          <w:szCs w:val="22"/>
        </w:rPr>
      </w:pPr>
    </w:p>
    <w:p w14:paraId="1FDC3F7F" w14:textId="5FA01A4C" w:rsidR="008D1B58" w:rsidRPr="008D1B58" w:rsidRDefault="002D2B4A" w:rsidP="00185217">
      <w:pPr>
        <w:spacing w:line="360" w:lineRule="auto"/>
        <w:rPr>
          <w:rFonts w:ascii="Aptos" w:hAnsi="Aptos" w:cstheme="minorHAnsi"/>
          <w:color w:val="000000" w:themeColor="text1"/>
          <w:sz w:val="22"/>
          <w:szCs w:val="22"/>
        </w:rPr>
      </w:pPr>
      <w:r w:rsidRPr="00185217">
        <w:rPr>
          <w:rFonts w:ascii="Aptos" w:hAnsi="Aptos" w:cstheme="minorHAnsi"/>
          <w:color w:val="000000" w:themeColor="text1"/>
          <w:sz w:val="22"/>
          <w:szCs w:val="22"/>
        </w:rPr>
        <w:t>Sharon</w:t>
      </w:r>
      <w:r w:rsidR="008D1B58" w:rsidRPr="008D1B58">
        <w:rPr>
          <w:rFonts w:ascii="Aptos" w:hAnsi="Aptos" w:cstheme="minorHAnsi"/>
          <w:color w:val="000000" w:themeColor="text1"/>
          <w:sz w:val="22"/>
          <w:szCs w:val="22"/>
        </w:rPr>
        <w:t xml:space="preserve"> James, the appellant, contended that she had a beneficial interest in the property by way of proprietary estoppel and a constructive trust. She argued that she had an equitable claim because of her financial contributions and dependence on the respondent's guarantees. James claimed that Thomas's promises  demonstrated an equal interest for equitable ownership. She further asserted that, in accordance with the rules of proprietary estoppel, ignoring her interest would have detrimental consequences.</w:t>
      </w:r>
    </w:p>
    <w:p w14:paraId="762A83CE" w14:textId="77777777" w:rsidR="008D1B58" w:rsidRPr="00185217" w:rsidRDefault="008D1B58" w:rsidP="00185217">
      <w:pPr>
        <w:spacing w:line="360" w:lineRule="auto"/>
        <w:rPr>
          <w:rFonts w:ascii="Aptos" w:hAnsi="Aptos" w:cstheme="minorHAnsi"/>
          <w:color w:val="000000" w:themeColor="text1"/>
          <w:sz w:val="22"/>
          <w:szCs w:val="22"/>
        </w:rPr>
      </w:pPr>
    </w:p>
    <w:p w14:paraId="63F0F239" w14:textId="77777777" w:rsidR="008D1B58" w:rsidRPr="00185217" w:rsidRDefault="008D1B58" w:rsidP="00185217">
      <w:pPr>
        <w:spacing w:line="360" w:lineRule="auto"/>
        <w:rPr>
          <w:rFonts w:ascii="Aptos" w:hAnsi="Aptos" w:cstheme="minorHAnsi"/>
          <w:b/>
          <w:bCs/>
          <w:color w:val="000000" w:themeColor="text1"/>
          <w:sz w:val="22"/>
          <w:szCs w:val="22"/>
          <w:u w:val="single"/>
        </w:rPr>
      </w:pPr>
    </w:p>
    <w:p w14:paraId="1176F083" w14:textId="580F7464" w:rsidR="001A6CEE" w:rsidRPr="00185217" w:rsidRDefault="001A6CEE"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Respondent’s arguments</w:t>
      </w:r>
    </w:p>
    <w:p w14:paraId="49B912A6" w14:textId="77777777" w:rsidR="001A6CEE" w:rsidRPr="00185217" w:rsidRDefault="001A6CEE" w:rsidP="00185217">
      <w:pPr>
        <w:spacing w:line="360" w:lineRule="auto"/>
        <w:rPr>
          <w:rFonts w:ascii="Aptos" w:hAnsi="Aptos" w:cstheme="minorHAnsi"/>
          <w:color w:val="000000" w:themeColor="text1"/>
          <w:sz w:val="22"/>
          <w:szCs w:val="22"/>
        </w:rPr>
      </w:pPr>
    </w:p>
    <w:p w14:paraId="1BB040BF" w14:textId="77777777" w:rsidR="002D2B4A" w:rsidRPr="002D2B4A" w:rsidRDefault="002D2B4A" w:rsidP="00185217">
      <w:pPr>
        <w:spacing w:line="360" w:lineRule="auto"/>
        <w:rPr>
          <w:rFonts w:ascii="Aptos" w:hAnsi="Aptos"/>
          <w:color w:val="000000" w:themeColor="text1"/>
          <w:sz w:val="22"/>
          <w:szCs w:val="22"/>
        </w:rPr>
      </w:pPr>
      <w:r w:rsidRPr="002D2B4A">
        <w:rPr>
          <w:rFonts w:ascii="Aptos" w:hAnsi="Aptos"/>
          <w:color w:val="000000" w:themeColor="text1"/>
          <w:sz w:val="22"/>
          <w:szCs w:val="22"/>
        </w:rPr>
        <w:t>Since there was no shared intention or understanding regarding joint ownership, the respondent, Mr. Peter Thomas, contended that Miss Sharon James lacked a beneficial interest in the property. He argued that Miss James's contributions were insufficient to establish a constructive trust. Furthermore, he denied that proprietary estoppel was applicable because Miss James had not received any explicit or unambiguous statements on her property rights.</w:t>
      </w:r>
    </w:p>
    <w:p w14:paraId="221734E4" w14:textId="77777777" w:rsidR="002D2B4A" w:rsidRPr="00185217" w:rsidRDefault="002D2B4A" w:rsidP="00185217">
      <w:pPr>
        <w:spacing w:line="360" w:lineRule="auto"/>
        <w:rPr>
          <w:rFonts w:ascii="Aptos" w:hAnsi="Aptos"/>
          <w:color w:val="000000" w:themeColor="text1"/>
          <w:sz w:val="22"/>
          <w:szCs w:val="22"/>
        </w:rPr>
      </w:pPr>
    </w:p>
    <w:p w14:paraId="2F034DC2" w14:textId="4E196F4B" w:rsidR="001A6CEE" w:rsidRPr="00185217" w:rsidRDefault="001A6CEE"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Decision of court</w:t>
      </w:r>
    </w:p>
    <w:p w14:paraId="0DEE4963" w14:textId="77777777" w:rsidR="002D2B4A" w:rsidRPr="00185217" w:rsidRDefault="002D2B4A" w:rsidP="00185217">
      <w:pPr>
        <w:spacing w:line="360" w:lineRule="auto"/>
        <w:rPr>
          <w:rFonts w:ascii="Aptos" w:hAnsi="Aptos" w:cstheme="minorHAnsi"/>
          <w:color w:val="000000" w:themeColor="text1"/>
          <w:sz w:val="22"/>
          <w:szCs w:val="22"/>
        </w:rPr>
      </w:pPr>
    </w:p>
    <w:p w14:paraId="61F67A1F" w14:textId="5B96A9DE" w:rsidR="001A6CEE" w:rsidRPr="00185217" w:rsidRDefault="002D2B4A" w:rsidP="00185217">
      <w:pPr>
        <w:spacing w:line="360" w:lineRule="auto"/>
        <w:rPr>
          <w:rFonts w:ascii="Aptos" w:hAnsi="Aptos" w:cstheme="minorHAnsi"/>
          <w:color w:val="000000" w:themeColor="text1"/>
          <w:sz w:val="22"/>
          <w:szCs w:val="22"/>
        </w:rPr>
      </w:pPr>
      <w:r w:rsidRPr="00185217">
        <w:rPr>
          <w:rFonts w:ascii="Aptos" w:hAnsi="Aptos" w:cstheme="minorHAnsi"/>
          <w:color w:val="000000" w:themeColor="text1"/>
          <w:sz w:val="22"/>
          <w:szCs w:val="22"/>
        </w:rPr>
        <w:t>R</w:t>
      </w:r>
      <w:r w:rsidR="00F80B8F" w:rsidRPr="00185217">
        <w:rPr>
          <w:rFonts w:ascii="Aptos" w:hAnsi="Aptos" w:cstheme="minorHAnsi"/>
          <w:color w:val="000000" w:themeColor="text1"/>
          <w:sz w:val="22"/>
          <w:szCs w:val="22"/>
        </w:rPr>
        <w:t>efused</w:t>
      </w:r>
      <w:r w:rsidRPr="00185217">
        <w:rPr>
          <w:rFonts w:ascii="Aptos" w:hAnsi="Aptos" w:cstheme="minorHAnsi"/>
          <w:color w:val="000000" w:themeColor="text1"/>
          <w:sz w:val="22"/>
          <w:szCs w:val="22"/>
        </w:rPr>
        <w:t xml:space="preserve"> the appeal</w:t>
      </w:r>
      <w:r w:rsidR="00F80B8F" w:rsidRPr="00185217">
        <w:rPr>
          <w:rFonts w:ascii="Aptos" w:hAnsi="Aptos" w:cstheme="minorHAnsi"/>
          <w:color w:val="000000" w:themeColor="text1"/>
          <w:sz w:val="22"/>
          <w:szCs w:val="22"/>
        </w:rPr>
        <w:t>.</w:t>
      </w:r>
    </w:p>
    <w:p w14:paraId="46178BAA" w14:textId="77777777" w:rsidR="001A6CEE" w:rsidRPr="00185217" w:rsidRDefault="001A6CEE" w:rsidP="00185217">
      <w:pPr>
        <w:spacing w:line="360" w:lineRule="auto"/>
        <w:rPr>
          <w:rFonts w:ascii="Aptos" w:hAnsi="Aptos" w:cstheme="minorHAnsi"/>
          <w:color w:val="000000" w:themeColor="text1"/>
          <w:sz w:val="22"/>
          <w:szCs w:val="22"/>
        </w:rPr>
      </w:pPr>
    </w:p>
    <w:p w14:paraId="1055E542" w14:textId="3BCCBD5F" w:rsidR="001A6CEE" w:rsidRPr="00185217" w:rsidRDefault="001A6CEE"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Rule of law</w:t>
      </w:r>
    </w:p>
    <w:p w14:paraId="617DE3B7" w14:textId="77777777" w:rsidR="002D2B4A" w:rsidRPr="00185217" w:rsidRDefault="002D2B4A" w:rsidP="00185217">
      <w:pPr>
        <w:spacing w:line="360" w:lineRule="auto"/>
        <w:rPr>
          <w:rFonts w:ascii="Aptos" w:hAnsi="Aptos" w:cstheme="minorHAnsi"/>
          <w:color w:val="000000" w:themeColor="text1"/>
          <w:sz w:val="22"/>
          <w:szCs w:val="22"/>
        </w:rPr>
      </w:pPr>
    </w:p>
    <w:p w14:paraId="3C20B861" w14:textId="77777777" w:rsidR="002D2B4A" w:rsidRPr="002D2B4A" w:rsidRDefault="002D2B4A" w:rsidP="00185217">
      <w:pPr>
        <w:spacing w:line="360" w:lineRule="auto"/>
        <w:rPr>
          <w:rFonts w:ascii="Aptos" w:hAnsi="Aptos" w:cstheme="minorHAnsi"/>
          <w:color w:val="000000" w:themeColor="text1"/>
          <w:sz w:val="22"/>
          <w:szCs w:val="22"/>
        </w:rPr>
      </w:pPr>
      <w:r w:rsidRPr="002D2B4A">
        <w:rPr>
          <w:rFonts w:ascii="Aptos" w:hAnsi="Aptos" w:cstheme="minorHAnsi"/>
          <w:color w:val="000000" w:themeColor="text1"/>
          <w:sz w:val="22"/>
          <w:szCs w:val="22"/>
        </w:rPr>
        <w:t xml:space="preserve">The court decided that there needed to be an obvious need to share property in order for a constructive trust to form, and this was not the case in this instance. In the same way, </w:t>
      </w:r>
      <w:r w:rsidRPr="002D2B4A">
        <w:rPr>
          <w:rFonts w:ascii="Aptos" w:hAnsi="Aptos" w:cstheme="minorHAnsi"/>
          <w:color w:val="000000" w:themeColor="text1"/>
          <w:sz w:val="22"/>
          <w:szCs w:val="22"/>
        </w:rPr>
        <w:lastRenderedPageBreak/>
        <w:t>proprietary estoppel necessitates detrimental reliance and unmistakable assurance, neither of which were proven in this instance. As a result, the appeal was denied.</w:t>
      </w:r>
    </w:p>
    <w:p w14:paraId="4CFFBF4A" w14:textId="77777777" w:rsidR="002D2B4A" w:rsidRPr="00185217" w:rsidRDefault="002D2B4A" w:rsidP="00185217">
      <w:pPr>
        <w:spacing w:line="360" w:lineRule="auto"/>
        <w:rPr>
          <w:rFonts w:ascii="Aptos" w:hAnsi="Aptos" w:cstheme="minorHAnsi"/>
          <w:color w:val="000000" w:themeColor="text1"/>
          <w:sz w:val="22"/>
          <w:szCs w:val="22"/>
        </w:rPr>
      </w:pPr>
    </w:p>
    <w:p w14:paraId="77FE8E95" w14:textId="7BD65905" w:rsidR="0003621E" w:rsidRPr="00185217" w:rsidRDefault="001A6CEE" w:rsidP="00185217">
      <w:pPr>
        <w:spacing w:line="360" w:lineRule="auto"/>
        <w:rPr>
          <w:rFonts w:ascii="Aptos" w:hAnsi="Aptos" w:cstheme="minorHAnsi"/>
          <w:b/>
          <w:bCs/>
          <w:color w:val="000000" w:themeColor="text1"/>
          <w:sz w:val="22"/>
          <w:szCs w:val="22"/>
          <w:u w:val="single"/>
        </w:rPr>
      </w:pPr>
      <w:r w:rsidRPr="00185217">
        <w:rPr>
          <w:rFonts w:ascii="Aptos" w:hAnsi="Aptos" w:cstheme="minorHAnsi"/>
          <w:b/>
          <w:bCs/>
          <w:color w:val="000000" w:themeColor="text1"/>
          <w:sz w:val="22"/>
          <w:szCs w:val="22"/>
          <w:u w:val="single"/>
        </w:rPr>
        <w:t>Reasoning</w:t>
      </w:r>
    </w:p>
    <w:p w14:paraId="5C7EA7B3" w14:textId="77777777" w:rsidR="004B7865" w:rsidRPr="00185217" w:rsidRDefault="004B7865" w:rsidP="00185217">
      <w:pPr>
        <w:spacing w:line="360" w:lineRule="auto"/>
        <w:rPr>
          <w:rFonts w:ascii="Aptos" w:hAnsi="Aptos" w:cstheme="minorHAnsi"/>
          <w:color w:val="000000" w:themeColor="text1"/>
          <w:sz w:val="22"/>
          <w:szCs w:val="22"/>
        </w:rPr>
      </w:pPr>
    </w:p>
    <w:p w14:paraId="234FE39C" w14:textId="004D5450" w:rsidR="004B7865" w:rsidRPr="004B7865" w:rsidRDefault="004B7865" w:rsidP="00185217">
      <w:pPr>
        <w:spacing w:line="360" w:lineRule="auto"/>
        <w:rPr>
          <w:rFonts w:ascii="Aptos" w:hAnsi="Aptos" w:cstheme="minorHAnsi"/>
          <w:color w:val="000000" w:themeColor="text1"/>
          <w:sz w:val="22"/>
          <w:szCs w:val="22"/>
        </w:rPr>
      </w:pPr>
      <w:r w:rsidRPr="004B7865">
        <w:rPr>
          <w:rFonts w:ascii="Aptos" w:hAnsi="Aptos" w:cstheme="minorHAnsi"/>
          <w:color w:val="000000" w:themeColor="text1"/>
          <w:sz w:val="22"/>
          <w:szCs w:val="22"/>
        </w:rPr>
        <w:t>Given that the parties had not met at the time of the property's appropriation, the court determined that a constructive trust could not be established because there was no shared intention regarding its distribution. Additionally, the court decided that a claim of proprietary estoppel could not be supported by any harmful reliance or unambiguous guarantees. Miss James' allegations lacked legal merit because there were no clear commitments or agreements regarding property rights, and there was no evidence of adverse reliance. The appeal was therefore denied. The court cited established rules pertaining to proprietary estoppel and constructive trust.</w:t>
      </w:r>
    </w:p>
    <w:p w14:paraId="16B347A0" w14:textId="77777777" w:rsidR="004B7865" w:rsidRPr="00185217" w:rsidRDefault="004B7865" w:rsidP="00185217">
      <w:pPr>
        <w:spacing w:line="360" w:lineRule="auto"/>
        <w:rPr>
          <w:rFonts w:ascii="Aptos" w:hAnsi="Aptos" w:cstheme="minorHAnsi"/>
          <w:color w:val="000000" w:themeColor="text1"/>
          <w:sz w:val="22"/>
          <w:szCs w:val="22"/>
        </w:rPr>
      </w:pPr>
    </w:p>
    <w:p w14:paraId="58DBBD68" w14:textId="77777777" w:rsidR="00A57D4A" w:rsidRPr="00185217" w:rsidRDefault="00A57D4A" w:rsidP="00185217">
      <w:pPr>
        <w:spacing w:line="360" w:lineRule="auto"/>
        <w:rPr>
          <w:rFonts w:ascii="Aptos" w:hAnsi="Aptos" w:cstheme="minorHAnsi"/>
          <w:color w:val="000000" w:themeColor="text1"/>
          <w:sz w:val="22"/>
          <w:szCs w:val="22"/>
        </w:rPr>
      </w:pPr>
    </w:p>
    <w:p w14:paraId="1C9867F2" w14:textId="77777777" w:rsidR="004B7865" w:rsidRPr="00185217" w:rsidRDefault="004B7865" w:rsidP="00185217">
      <w:pPr>
        <w:spacing w:line="360" w:lineRule="auto"/>
        <w:rPr>
          <w:rFonts w:ascii="Aptos" w:hAnsi="Aptos"/>
          <w:color w:val="000000" w:themeColor="text1"/>
          <w:sz w:val="22"/>
          <w:szCs w:val="22"/>
        </w:rPr>
      </w:pPr>
    </w:p>
    <w:p w14:paraId="2F87977C" w14:textId="77777777" w:rsidR="00A57D4A" w:rsidRPr="00185217" w:rsidRDefault="00A57D4A" w:rsidP="00185217">
      <w:pPr>
        <w:spacing w:line="360" w:lineRule="auto"/>
        <w:rPr>
          <w:rFonts w:ascii="Aptos" w:hAnsi="Aptos"/>
          <w:color w:val="000000" w:themeColor="text1"/>
          <w:sz w:val="22"/>
          <w:szCs w:val="22"/>
        </w:rPr>
      </w:pPr>
    </w:p>
    <w:p w14:paraId="7FCB4BAF" w14:textId="642680A1" w:rsidR="00A57D4A" w:rsidRPr="00185217" w:rsidRDefault="00A57D4A" w:rsidP="00185217">
      <w:pPr>
        <w:spacing w:line="360" w:lineRule="auto"/>
        <w:rPr>
          <w:rFonts w:ascii="Aptos" w:hAnsi="Aptos" w:cs="Arial"/>
          <w:b/>
          <w:bCs/>
          <w:color w:val="000000" w:themeColor="text1"/>
          <w:sz w:val="22"/>
          <w:szCs w:val="22"/>
          <w:u w:val="single"/>
        </w:rPr>
      </w:pPr>
      <w:r w:rsidRPr="00185217">
        <w:rPr>
          <w:rFonts w:ascii="Aptos" w:hAnsi="Aptos" w:cs="Arial"/>
          <w:b/>
          <w:bCs/>
          <w:color w:val="000000" w:themeColor="text1"/>
          <w:sz w:val="22"/>
          <w:szCs w:val="22"/>
          <w:u w:val="single"/>
        </w:rPr>
        <w:t xml:space="preserve">Word count: </w:t>
      </w:r>
      <w:r w:rsidR="004B7865" w:rsidRPr="00185217">
        <w:rPr>
          <w:rFonts w:ascii="Aptos" w:hAnsi="Aptos" w:cs="Arial"/>
          <w:b/>
          <w:bCs/>
          <w:color w:val="000000" w:themeColor="text1"/>
          <w:sz w:val="22"/>
          <w:szCs w:val="22"/>
          <w:u w:val="single"/>
        </w:rPr>
        <w:t>1953</w:t>
      </w:r>
    </w:p>
    <w:p w14:paraId="73A72906" w14:textId="00FE1C12" w:rsidR="001A6CEE" w:rsidRPr="00185217" w:rsidRDefault="001A6CEE" w:rsidP="00185217">
      <w:pPr>
        <w:spacing w:line="360" w:lineRule="auto"/>
        <w:rPr>
          <w:rFonts w:asciiTheme="majorHAnsi" w:eastAsiaTheme="majorEastAsia" w:hAnsiTheme="majorHAnsi" w:cstheme="majorBidi"/>
          <w:b/>
          <w:color w:val="000000" w:themeColor="text1"/>
          <w:szCs w:val="40"/>
        </w:rPr>
      </w:pPr>
      <w:r w:rsidRPr="00185217">
        <w:rPr>
          <w:color w:val="000000" w:themeColor="text1"/>
        </w:rPr>
        <w:br w:type="page"/>
      </w:r>
    </w:p>
    <w:p w14:paraId="0C08295F" w14:textId="28F2BD2A" w:rsidR="005F216E" w:rsidRDefault="005F216E" w:rsidP="009D531E">
      <w:pPr>
        <w:pStyle w:val="Heading1"/>
        <w:numPr>
          <w:ilvl w:val="0"/>
          <w:numId w:val="0"/>
        </w:numPr>
        <w:ind w:left="680" w:hanging="680"/>
      </w:pPr>
      <w:r w:rsidRPr="009D531E">
        <w:lastRenderedPageBreak/>
        <w:t>References</w:t>
      </w:r>
      <w:r w:rsidR="004B7865">
        <w:t xml:space="preserve">: </w:t>
      </w:r>
    </w:p>
    <w:p w14:paraId="5E38D21F" w14:textId="77777777" w:rsidR="004B7865" w:rsidRDefault="004B7865" w:rsidP="004B7865"/>
    <w:p w14:paraId="62F1D16B" w14:textId="77777777" w:rsidR="004B7865" w:rsidRPr="004B7865" w:rsidRDefault="004B7865" w:rsidP="004B7865">
      <w:pPr>
        <w:rPr>
          <w:rFonts w:ascii="Aptos" w:hAnsi="Aptos"/>
          <w:sz w:val="22"/>
          <w:szCs w:val="22"/>
        </w:rPr>
      </w:pPr>
      <w:r w:rsidRPr="004B7865">
        <w:rPr>
          <w:rFonts w:ascii="Aptos" w:hAnsi="Aptos"/>
          <w:sz w:val="22"/>
          <w:szCs w:val="22"/>
        </w:rPr>
        <w:t>1. Bevan, C. (2023). Land Law. 3rd ed. Oxford: Oxford University Press.</w:t>
      </w:r>
    </w:p>
    <w:p w14:paraId="71FBECEE" w14:textId="77777777" w:rsidR="004B7865" w:rsidRPr="004B7865" w:rsidRDefault="004B7865" w:rsidP="004B7865">
      <w:pPr>
        <w:rPr>
          <w:rFonts w:ascii="Aptos" w:hAnsi="Aptos"/>
          <w:sz w:val="22"/>
          <w:szCs w:val="22"/>
        </w:rPr>
      </w:pPr>
    </w:p>
    <w:p w14:paraId="68BD585A" w14:textId="77777777" w:rsidR="004B7865" w:rsidRPr="004B7865" w:rsidRDefault="004B7865" w:rsidP="004B7865">
      <w:pPr>
        <w:rPr>
          <w:rFonts w:ascii="Aptos" w:hAnsi="Aptos"/>
          <w:sz w:val="22"/>
          <w:szCs w:val="22"/>
        </w:rPr>
      </w:pPr>
      <w:r w:rsidRPr="004B7865">
        <w:rPr>
          <w:rFonts w:ascii="Aptos" w:hAnsi="Aptos"/>
          <w:sz w:val="22"/>
          <w:szCs w:val="22"/>
        </w:rPr>
        <w:t xml:space="preserve">2. </w:t>
      </w:r>
      <w:hyperlink r:id="rId8" w:history="1">
        <w:r w:rsidRPr="004B7865">
          <w:rPr>
            <w:rStyle w:val="Hyperlink"/>
            <w:rFonts w:ascii="Aptos" w:hAnsi="Aptos"/>
            <w:sz w:val="22"/>
            <w:szCs w:val="22"/>
          </w:rPr>
          <w:t>Capehorn v Harris [2015] EWCA Civ 955, [2016] 2 FLR 1026, [2015] Fam Law 1347, [2016] HLR 1, [2015] All ER (D) 384 (Jul)</w:t>
        </w:r>
      </w:hyperlink>
    </w:p>
    <w:p w14:paraId="42F35222" w14:textId="77777777" w:rsidR="004B7865" w:rsidRPr="004B7865" w:rsidRDefault="004B7865" w:rsidP="004B7865">
      <w:pPr>
        <w:rPr>
          <w:rFonts w:ascii="Aptos" w:hAnsi="Aptos"/>
          <w:sz w:val="22"/>
          <w:szCs w:val="22"/>
        </w:rPr>
      </w:pPr>
    </w:p>
    <w:p w14:paraId="0BA2A93D" w14:textId="77777777" w:rsidR="004B7865" w:rsidRPr="004B7865" w:rsidRDefault="004B7865" w:rsidP="004B7865">
      <w:pPr>
        <w:rPr>
          <w:rFonts w:ascii="Aptos" w:hAnsi="Aptos"/>
          <w:sz w:val="22"/>
          <w:szCs w:val="22"/>
        </w:rPr>
      </w:pPr>
      <w:r w:rsidRPr="004B7865">
        <w:rPr>
          <w:rFonts w:ascii="Aptos" w:hAnsi="Aptos"/>
          <w:sz w:val="22"/>
          <w:szCs w:val="22"/>
        </w:rPr>
        <w:t>3. Nair, A., 2023. Textbook on Land Law. 19th ed. Oxford: Oxford University Press.</w:t>
      </w:r>
    </w:p>
    <w:p w14:paraId="7A433630" w14:textId="77777777" w:rsidR="004B7865" w:rsidRPr="004B7865" w:rsidRDefault="004B7865" w:rsidP="004B7865">
      <w:pPr>
        <w:rPr>
          <w:rFonts w:ascii="Aptos" w:hAnsi="Aptos"/>
          <w:sz w:val="22"/>
          <w:szCs w:val="22"/>
        </w:rPr>
      </w:pPr>
    </w:p>
    <w:p w14:paraId="7F82D601" w14:textId="77777777" w:rsidR="004B7865" w:rsidRPr="004B7865" w:rsidRDefault="004B7865" w:rsidP="004B7865">
      <w:pPr>
        <w:rPr>
          <w:rFonts w:ascii="Aptos" w:hAnsi="Aptos"/>
          <w:sz w:val="22"/>
          <w:szCs w:val="22"/>
        </w:rPr>
      </w:pPr>
      <w:r w:rsidRPr="004B7865">
        <w:rPr>
          <w:rFonts w:ascii="Aptos" w:hAnsi="Aptos"/>
          <w:sz w:val="22"/>
          <w:szCs w:val="22"/>
        </w:rPr>
        <w:t>4. Burns v Burns [1984] Ch. 317; [1984] 2 WLR 582; [1984] 1 All ER 244</w:t>
      </w:r>
    </w:p>
    <w:p w14:paraId="5958ED42" w14:textId="77777777" w:rsidR="004B7865" w:rsidRPr="004B7865" w:rsidRDefault="004B7865" w:rsidP="004B7865">
      <w:pPr>
        <w:rPr>
          <w:rFonts w:ascii="Aptos" w:hAnsi="Aptos"/>
          <w:sz w:val="22"/>
          <w:szCs w:val="22"/>
        </w:rPr>
      </w:pPr>
    </w:p>
    <w:p w14:paraId="4392D16C" w14:textId="77777777" w:rsidR="004B7865" w:rsidRPr="004B7865" w:rsidRDefault="004B7865" w:rsidP="004B7865">
      <w:pPr>
        <w:rPr>
          <w:rFonts w:ascii="Aptos" w:hAnsi="Aptos"/>
          <w:sz w:val="22"/>
          <w:szCs w:val="22"/>
        </w:rPr>
      </w:pPr>
      <w:r w:rsidRPr="004B7865">
        <w:rPr>
          <w:rFonts w:ascii="Aptos" w:hAnsi="Aptos"/>
          <w:sz w:val="22"/>
          <w:szCs w:val="22"/>
        </w:rPr>
        <w:t>5. Land Registration Act 2002 (2002 c 9)</w:t>
      </w:r>
    </w:p>
    <w:p w14:paraId="7278EAE8" w14:textId="77777777" w:rsidR="004B7865" w:rsidRPr="004B7865" w:rsidRDefault="004B7865" w:rsidP="004B7865">
      <w:pPr>
        <w:rPr>
          <w:rFonts w:ascii="Aptos" w:hAnsi="Aptos"/>
          <w:sz w:val="22"/>
          <w:szCs w:val="22"/>
        </w:rPr>
      </w:pPr>
    </w:p>
    <w:p w14:paraId="23D8BBD9" w14:textId="77777777" w:rsidR="004B7865" w:rsidRPr="004B7865" w:rsidRDefault="004B7865" w:rsidP="004B7865">
      <w:pPr>
        <w:rPr>
          <w:rFonts w:ascii="Aptos" w:hAnsi="Aptos"/>
          <w:sz w:val="22"/>
          <w:szCs w:val="22"/>
        </w:rPr>
      </w:pPr>
      <w:r w:rsidRPr="004B7865">
        <w:rPr>
          <w:rFonts w:ascii="Aptos" w:hAnsi="Aptos"/>
          <w:sz w:val="22"/>
          <w:szCs w:val="22"/>
        </w:rPr>
        <w:t>6. Bogusz (2002) ‘Bringing Land Registration into the Twenty-First Century. The Land Registration Act 2002’, The modern law review., 65(4).</w:t>
      </w:r>
    </w:p>
    <w:p w14:paraId="4CAB2728" w14:textId="77777777" w:rsidR="004B7865" w:rsidRPr="004B7865" w:rsidRDefault="004B7865" w:rsidP="004B7865">
      <w:pPr>
        <w:rPr>
          <w:rFonts w:ascii="Aptos" w:hAnsi="Aptos"/>
          <w:sz w:val="22"/>
          <w:szCs w:val="22"/>
        </w:rPr>
      </w:pPr>
    </w:p>
    <w:p w14:paraId="5D0A13A1" w14:textId="77777777" w:rsidR="004B7865" w:rsidRPr="004B7865" w:rsidRDefault="004B7865" w:rsidP="004B7865">
      <w:pPr>
        <w:rPr>
          <w:rFonts w:ascii="Aptos" w:hAnsi="Aptos"/>
          <w:sz w:val="22"/>
          <w:szCs w:val="22"/>
        </w:rPr>
      </w:pPr>
      <w:r w:rsidRPr="004B7865">
        <w:rPr>
          <w:rFonts w:ascii="Aptos" w:hAnsi="Aptos"/>
          <w:sz w:val="22"/>
          <w:szCs w:val="22"/>
        </w:rPr>
        <w:t>7. Gray, K. and Gray, S.F., 2011. Land Law. 7th ed. Oxford: Oxford University Press.</w:t>
      </w:r>
    </w:p>
    <w:p w14:paraId="669FE91E" w14:textId="77777777" w:rsidR="004B7865" w:rsidRPr="004B7865" w:rsidRDefault="004B7865" w:rsidP="004B7865">
      <w:pPr>
        <w:rPr>
          <w:rFonts w:ascii="Aptos" w:hAnsi="Aptos"/>
          <w:sz w:val="22"/>
          <w:szCs w:val="22"/>
        </w:rPr>
      </w:pPr>
    </w:p>
    <w:p w14:paraId="1FBF17BD" w14:textId="77777777" w:rsidR="004B7865" w:rsidRPr="004B7865" w:rsidRDefault="004B7865" w:rsidP="004B7865">
      <w:pPr>
        <w:rPr>
          <w:rFonts w:ascii="Aptos" w:hAnsi="Aptos"/>
          <w:sz w:val="22"/>
          <w:szCs w:val="22"/>
        </w:rPr>
      </w:pPr>
      <w:r w:rsidRPr="004B7865">
        <w:rPr>
          <w:rFonts w:ascii="Aptos" w:hAnsi="Aptos"/>
          <w:sz w:val="22"/>
          <w:szCs w:val="22"/>
        </w:rPr>
        <w:t>8. Dixon, M., 2023. Dispositions, Constructive Trusts and Co-ownership. The Cambridge Law Journal, 82(2), pp.212-215.</w:t>
      </w:r>
    </w:p>
    <w:p w14:paraId="00FE8076" w14:textId="77777777" w:rsidR="004B7865" w:rsidRPr="004B7865" w:rsidRDefault="004B7865" w:rsidP="004B7865">
      <w:pPr>
        <w:rPr>
          <w:rFonts w:ascii="Aptos" w:hAnsi="Aptos"/>
          <w:sz w:val="22"/>
          <w:szCs w:val="22"/>
        </w:rPr>
      </w:pPr>
    </w:p>
    <w:p w14:paraId="3E92D754" w14:textId="77777777" w:rsidR="004B7865" w:rsidRPr="004B7865" w:rsidRDefault="004B7865" w:rsidP="004B7865">
      <w:pPr>
        <w:rPr>
          <w:rFonts w:ascii="Aptos" w:hAnsi="Aptos"/>
          <w:sz w:val="22"/>
          <w:szCs w:val="22"/>
        </w:rPr>
      </w:pPr>
      <w:r w:rsidRPr="004B7865">
        <w:rPr>
          <w:rFonts w:ascii="Aptos" w:hAnsi="Aptos"/>
          <w:sz w:val="22"/>
          <w:szCs w:val="22"/>
        </w:rPr>
        <w:t xml:space="preserve">9 </w:t>
      </w:r>
      <w:hyperlink r:id="rId9" w:history="1">
        <w:r w:rsidRPr="004B7865">
          <w:rPr>
            <w:rStyle w:val="Hyperlink"/>
            <w:rFonts w:ascii="Aptos" w:hAnsi="Aptos"/>
            <w:sz w:val="22"/>
            <w:szCs w:val="22"/>
          </w:rPr>
          <w:t>Thorner v Major [2009] UKHL 18, [2009] 3 All ER 945, [2009] 1 WLR 776, [2009] 2 P &amp; CR 269, 12 ITELR 62, [2009] 2 FLR 405, [2009] 3 FCR 123, [2009] Fam Law 583, [2009] 2 EGLR 111, [2009] NLJR 514, [2009] 13 EG 142, (2009) Times, 26 March, 153 Sol Jo (no 12) 30, [2009] 2 P &amp; CR D5, [2009] All ER (D) 257 (Mar)</w:t>
        </w:r>
      </w:hyperlink>
    </w:p>
    <w:p w14:paraId="225B8EA8" w14:textId="77777777" w:rsidR="004B7865" w:rsidRPr="004B7865" w:rsidRDefault="004B7865" w:rsidP="004B7865">
      <w:pPr>
        <w:rPr>
          <w:rFonts w:ascii="Aptos" w:hAnsi="Aptos"/>
          <w:sz w:val="22"/>
          <w:szCs w:val="22"/>
        </w:rPr>
      </w:pPr>
    </w:p>
    <w:p w14:paraId="2D7C7981" w14:textId="77777777" w:rsidR="004B7865" w:rsidRPr="004B7865" w:rsidRDefault="004B7865" w:rsidP="004B7865">
      <w:pPr>
        <w:rPr>
          <w:rFonts w:ascii="Aptos" w:hAnsi="Aptos"/>
          <w:sz w:val="22"/>
          <w:szCs w:val="22"/>
        </w:rPr>
      </w:pPr>
      <w:r w:rsidRPr="004B7865">
        <w:rPr>
          <w:rFonts w:ascii="Aptos" w:hAnsi="Aptos"/>
          <w:sz w:val="22"/>
          <w:szCs w:val="22"/>
        </w:rPr>
        <w:t xml:space="preserve">10. </w:t>
      </w:r>
      <w:hyperlink r:id="rId10" w:history="1">
        <w:r w:rsidRPr="004B7865">
          <w:rPr>
            <w:rStyle w:val="Hyperlink"/>
            <w:rFonts w:ascii="Aptos" w:hAnsi="Aptos"/>
            <w:sz w:val="22"/>
            <w:szCs w:val="22"/>
          </w:rPr>
          <w:t>Jennings v Rice [2002] EWCA Civ 159, [2003] 1 P &amp; CR 100, [2002] 1 FCR 501, [2003] 1 FCR 501, [2002] NPC 28, [2002] WTLR 367, [2002] All ER (D) 324 (Feb)</w:t>
        </w:r>
      </w:hyperlink>
    </w:p>
    <w:p w14:paraId="1B4E25BA" w14:textId="77777777" w:rsidR="004B7865" w:rsidRPr="004B7865" w:rsidRDefault="004B7865" w:rsidP="004B7865">
      <w:pPr>
        <w:rPr>
          <w:rFonts w:ascii="Aptos" w:hAnsi="Aptos"/>
          <w:sz w:val="22"/>
          <w:szCs w:val="22"/>
        </w:rPr>
      </w:pPr>
    </w:p>
    <w:p w14:paraId="200A1E93" w14:textId="77777777" w:rsidR="004B7865" w:rsidRPr="004B7865" w:rsidRDefault="004B7865" w:rsidP="004B7865">
      <w:pPr>
        <w:rPr>
          <w:rFonts w:ascii="Aptos" w:hAnsi="Aptos"/>
          <w:sz w:val="22"/>
          <w:szCs w:val="22"/>
        </w:rPr>
      </w:pPr>
      <w:r w:rsidRPr="004B7865">
        <w:rPr>
          <w:rFonts w:ascii="Aptos" w:hAnsi="Aptos"/>
          <w:sz w:val="22"/>
          <w:szCs w:val="22"/>
        </w:rPr>
        <w:t>11. Clarke, A., 2020. Principles of property law. Cambridge University Press.</w:t>
      </w:r>
    </w:p>
    <w:p w14:paraId="3F43A440" w14:textId="77777777" w:rsidR="004B7865" w:rsidRPr="004B7865" w:rsidRDefault="004B7865" w:rsidP="004B7865">
      <w:pPr>
        <w:rPr>
          <w:rFonts w:ascii="Aptos" w:hAnsi="Aptos"/>
          <w:sz w:val="22"/>
          <w:szCs w:val="22"/>
        </w:rPr>
      </w:pPr>
      <w:r w:rsidRPr="004B7865">
        <w:rPr>
          <w:rFonts w:ascii="Aptos" w:hAnsi="Aptos"/>
          <w:sz w:val="22"/>
          <w:szCs w:val="22"/>
        </w:rPr>
        <w:t xml:space="preserve">12. UK Parliament, 1925. Law of Property Act 1925, Section 53. [online] Available at: </w:t>
      </w:r>
      <w:hyperlink r:id="rId11" w:history="1">
        <w:r w:rsidRPr="004B7865">
          <w:rPr>
            <w:rStyle w:val="Hyperlink"/>
            <w:rFonts w:ascii="Aptos" w:hAnsi="Aptos"/>
            <w:sz w:val="22"/>
            <w:szCs w:val="22"/>
          </w:rPr>
          <w:t>https://www.legislation.gov.uk/ukpga/Geo5/15-16/20/section/53</w:t>
        </w:r>
      </w:hyperlink>
      <w:r w:rsidRPr="004B7865">
        <w:rPr>
          <w:rFonts w:ascii="Aptos" w:hAnsi="Aptos"/>
          <w:sz w:val="22"/>
          <w:szCs w:val="22"/>
        </w:rPr>
        <w:t xml:space="preserve"> [Accessed 1 December 2024]</w:t>
      </w:r>
    </w:p>
    <w:p w14:paraId="21010398" w14:textId="77777777" w:rsidR="004B7865" w:rsidRPr="004B7865" w:rsidRDefault="004B7865" w:rsidP="004B7865">
      <w:pPr>
        <w:rPr>
          <w:rFonts w:ascii="Aptos" w:hAnsi="Aptos"/>
          <w:sz w:val="22"/>
          <w:szCs w:val="22"/>
        </w:rPr>
      </w:pPr>
      <w:r w:rsidRPr="004B7865">
        <w:rPr>
          <w:rFonts w:ascii="Aptos" w:hAnsi="Aptos"/>
          <w:sz w:val="22"/>
          <w:szCs w:val="22"/>
        </w:rPr>
        <w:t xml:space="preserve">13. UK Parliament, 2002. Land Registration Act 2002, Section 58. [online] Available at: </w:t>
      </w:r>
      <w:hyperlink r:id="rId12" w:history="1">
        <w:r w:rsidRPr="004B7865">
          <w:rPr>
            <w:rStyle w:val="Hyperlink"/>
            <w:rFonts w:ascii="Aptos" w:hAnsi="Aptos"/>
            <w:sz w:val="22"/>
            <w:szCs w:val="22"/>
          </w:rPr>
          <w:t>https://www.legislation.gov.uk/ukpga/2002/9/section/58</w:t>
        </w:r>
      </w:hyperlink>
      <w:r w:rsidRPr="004B7865">
        <w:rPr>
          <w:rFonts w:ascii="Aptos" w:hAnsi="Aptos"/>
          <w:sz w:val="22"/>
          <w:szCs w:val="22"/>
        </w:rPr>
        <w:t xml:space="preserve"> [Accessed 1 December 2024] </w:t>
      </w:r>
    </w:p>
    <w:p w14:paraId="3EF3979D" w14:textId="77777777" w:rsidR="004B7865" w:rsidRPr="004B7865" w:rsidRDefault="004B7865" w:rsidP="004B7865">
      <w:pPr>
        <w:rPr>
          <w:rFonts w:ascii="Aptos" w:hAnsi="Aptos"/>
          <w:sz w:val="22"/>
          <w:szCs w:val="22"/>
        </w:rPr>
      </w:pPr>
      <w:r w:rsidRPr="004B7865">
        <w:rPr>
          <w:rFonts w:ascii="Aptos" w:hAnsi="Aptos"/>
          <w:sz w:val="22"/>
          <w:szCs w:val="22"/>
        </w:rPr>
        <w:t xml:space="preserve">14. </w:t>
      </w:r>
      <w:hyperlink r:id="rId13" w:history="1">
        <w:r w:rsidRPr="004B7865">
          <w:rPr>
            <w:rStyle w:val="Hyperlink"/>
            <w:rFonts w:ascii="Aptos" w:hAnsi="Aptos"/>
            <w:sz w:val="22"/>
            <w:szCs w:val="22"/>
          </w:rPr>
          <w:t>Gillett v Holt [2001] Ch 210, [2000] 2 All ER 289, [2000] 3 WLR 815, [2000] 2 FLR 266, [2000] 1 FCR 705, [2000] Fam Law 714, [2000] 12 LS Gaz R 40, (2000) Times, 17 March, [2000] Lexis Citation 2694, [2000] All ER (D) 299</w:t>
        </w:r>
      </w:hyperlink>
      <w:r w:rsidRPr="004B7865">
        <w:rPr>
          <w:rFonts w:ascii="Aptos" w:hAnsi="Aptos"/>
          <w:sz w:val="22"/>
          <w:szCs w:val="22"/>
        </w:rPr>
        <w:t> </w:t>
      </w:r>
    </w:p>
    <w:p w14:paraId="00F037C2" w14:textId="77777777" w:rsidR="004B7865" w:rsidRPr="004B7865" w:rsidRDefault="004B7865" w:rsidP="004B7865">
      <w:pPr>
        <w:rPr>
          <w:rFonts w:ascii="Aptos" w:hAnsi="Aptos" w:cstheme="minorHAnsi"/>
          <w:color w:val="70AD47" w:themeColor="accent6"/>
          <w:sz w:val="22"/>
          <w:szCs w:val="22"/>
        </w:rPr>
      </w:pPr>
      <w:r w:rsidRPr="004B7865">
        <w:rPr>
          <w:rFonts w:ascii="Aptos" w:hAnsi="Aptos"/>
          <w:sz w:val="22"/>
          <w:szCs w:val="22"/>
        </w:rPr>
        <w:t xml:space="preserve">15. </w:t>
      </w:r>
      <w:hyperlink r:id="rId14" w:history="1">
        <w:r w:rsidRPr="004B7865">
          <w:rPr>
            <w:rStyle w:val="Hyperlink"/>
            <w:rFonts w:ascii="Aptos" w:hAnsi="Aptos" w:cstheme="minorHAnsi"/>
            <w:i/>
            <w:iCs/>
            <w:sz w:val="22"/>
            <w:szCs w:val="22"/>
          </w:rPr>
          <w:t>James v Thomas</w:t>
        </w:r>
        <w:r w:rsidRPr="004B7865">
          <w:rPr>
            <w:rStyle w:val="Hyperlink"/>
            <w:rFonts w:ascii="Aptos" w:hAnsi="Aptos" w:cstheme="minorHAnsi"/>
            <w:sz w:val="22"/>
            <w:szCs w:val="22"/>
          </w:rPr>
          <w:t> [2007] EWCA Civ 1212, [2008] 1 FLR 1598, [2007] 3 FCR 696, [2008] Fam Law 519, [2008] Fam Law 99, [2007] All ER (D) 373 (Nov)</w:t>
        </w:r>
      </w:hyperlink>
    </w:p>
    <w:p w14:paraId="010834C2" w14:textId="1A97BF9B" w:rsidR="004B7865" w:rsidRPr="004B7865" w:rsidRDefault="004B7865" w:rsidP="004B7865">
      <w:pPr>
        <w:rPr>
          <w:rFonts w:ascii="Aptos" w:hAnsi="Aptos"/>
          <w:sz w:val="22"/>
          <w:szCs w:val="22"/>
        </w:rPr>
      </w:pPr>
    </w:p>
    <w:p w14:paraId="28FA6D6F" w14:textId="77777777" w:rsidR="004B7865" w:rsidRPr="004B7865" w:rsidRDefault="004B7865" w:rsidP="004B7865">
      <w:pPr>
        <w:rPr>
          <w:rFonts w:ascii="Aptos" w:hAnsi="Aptos"/>
          <w:sz w:val="22"/>
          <w:szCs w:val="22"/>
        </w:rPr>
      </w:pPr>
    </w:p>
    <w:p w14:paraId="08BCBC60" w14:textId="77777777" w:rsidR="004B7865" w:rsidRPr="004B7865" w:rsidRDefault="004B7865" w:rsidP="004B7865">
      <w:pPr>
        <w:rPr>
          <w:rFonts w:ascii="Aptos" w:hAnsi="Aptos"/>
          <w:sz w:val="22"/>
          <w:szCs w:val="22"/>
        </w:rPr>
      </w:pPr>
    </w:p>
    <w:p w14:paraId="6E200029" w14:textId="77777777" w:rsidR="004B7865" w:rsidRPr="004B7865" w:rsidRDefault="004B7865" w:rsidP="004B7865">
      <w:pPr>
        <w:rPr>
          <w:rFonts w:ascii="Aptos" w:hAnsi="Aptos"/>
          <w:sz w:val="22"/>
          <w:szCs w:val="22"/>
        </w:rPr>
      </w:pPr>
    </w:p>
    <w:p w14:paraId="6C408D3D" w14:textId="77777777" w:rsidR="005F216E" w:rsidRPr="004B7865" w:rsidRDefault="005F216E" w:rsidP="004B7865">
      <w:pPr>
        <w:spacing w:line="360" w:lineRule="auto"/>
        <w:rPr>
          <w:rFonts w:ascii="Aptos" w:hAnsi="Aptos" w:cs="Arial"/>
          <w:sz w:val="22"/>
          <w:szCs w:val="22"/>
        </w:rPr>
      </w:pPr>
    </w:p>
    <w:sectPr w:rsidR="005F216E" w:rsidRPr="004B7865">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C52243" w14:textId="77777777" w:rsidR="003C5946" w:rsidRDefault="003C5946" w:rsidP="00A27820">
      <w:r>
        <w:separator/>
      </w:r>
    </w:p>
  </w:endnote>
  <w:endnote w:type="continuationSeparator" w:id="0">
    <w:p w14:paraId="52DC4ADE" w14:textId="77777777" w:rsidR="003C5946" w:rsidRDefault="003C5946"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82042476"/>
      <w:docPartObj>
        <w:docPartGallery w:val="Page Numbers (Bottom of Page)"/>
        <w:docPartUnique/>
      </w:docPartObj>
    </w:sdt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53464338"/>
      <w:docPartObj>
        <w:docPartGallery w:val="Page Numbers (Bottom of Page)"/>
        <w:docPartUnique/>
      </w:docPartObj>
    </w:sdt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5D85FB" w14:textId="77777777" w:rsidR="003C5946" w:rsidRDefault="003C5946" w:rsidP="00A27820">
      <w:r>
        <w:separator/>
      </w:r>
    </w:p>
  </w:footnote>
  <w:footnote w:type="continuationSeparator" w:id="0">
    <w:p w14:paraId="5FD11530" w14:textId="77777777" w:rsidR="003C5946" w:rsidRDefault="003C5946" w:rsidP="00A278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425D"/>
    <w:multiLevelType w:val="multilevel"/>
    <w:tmpl w:val="E004732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2142338276">
    <w:abstractNumId w:val="11"/>
  </w:num>
  <w:num w:numId="2" w16cid:durableId="2120635015">
    <w:abstractNumId w:val="1"/>
  </w:num>
  <w:num w:numId="3" w16cid:durableId="409429405">
    <w:abstractNumId w:val="8"/>
  </w:num>
  <w:num w:numId="4" w16cid:durableId="966425405">
    <w:abstractNumId w:val="2"/>
  </w:num>
  <w:num w:numId="5" w16cid:durableId="905720763">
    <w:abstractNumId w:val="7"/>
  </w:num>
  <w:num w:numId="6" w16cid:durableId="1688821942">
    <w:abstractNumId w:val="10"/>
  </w:num>
  <w:num w:numId="7" w16cid:durableId="1028261598">
    <w:abstractNumId w:val="4"/>
  </w:num>
  <w:num w:numId="8" w16cid:durableId="1507552221">
    <w:abstractNumId w:val="12"/>
  </w:num>
  <w:num w:numId="9" w16cid:durableId="2146777341">
    <w:abstractNumId w:val="3"/>
  </w:num>
  <w:num w:numId="10" w16cid:durableId="1605649047">
    <w:abstractNumId w:val="6"/>
  </w:num>
  <w:num w:numId="11" w16cid:durableId="1501387600">
    <w:abstractNumId w:val="0"/>
  </w:num>
  <w:num w:numId="12" w16cid:durableId="759907699">
    <w:abstractNumId w:val="5"/>
  </w:num>
  <w:num w:numId="13" w16cid:durableId="1294866029">
    <w:abstractNumId w:val="14"/>
  </w:num>
  <w:num w:numId="14" w16cid:durableId="600912506">
    <w:abstractNumId w:val="13"/>
  </w:num>
  <w:num w:numId="15" w16cid:durableId="8828652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3621E"/>
    <w:rsid w:val="000B02BA"/>
    <w:rsid w:val="00154C31"/>
    <w:rsid w:val="00167440"/>
    <w:rsid w:val="00172101"/>
    <w:rsid w:val="00183D3E"/>
    <w:rsid w:val="00185217"/>
    <w:rsid w:val="001A6CEE"/>
    <w:rsid w:val="001E5DF5"/>
    <w:rsid w:val="001F2EFC"/>
    <w:rsid w:val="00293AF2"/>
    <w:rsid w:val="002D2B4A"/>
    <w:rsid w:val="002F7D75"/>
    <w:rsid w:val="003C5946"/>
    <w:rsid w:val="00403E8A"/>
    <w:rsid w:val="004176CB"/>
    <w:rsid w:val="0044340F"/>
    <w:rsid w:val="004B35CC"/>
    <w:rsid w:val="004B7865"/>
    <w:rsid w:val="005E510B"/>
    <w:rsid w:val="005F216E"/>
    <w:rsid w:val="006202AE"/>
    <w:rsid w:val="006642EC"/>
    <w:rsid w:val="006D4C15"/>
    <w:rsid w:val="008143F1"/>
    <w:rsid w:val="008912EA"/>
    <w:rsid w:val="008B3572"/>
    <w:rsid w:val="008D1B58"/>
    <w:rsid w:val="009D531E"/>
    <w:rsid w:val="009E17F3"/>
    <w:rsid w:val="00A27820"/>
    <w:rsid w:val="00A57D4A"/>
    <w:rsid w:val="00B3586F"/>
    <w:rsid w:val="00B67821"/>
    <w:rsid w:val="00B7574E"/>
    <w:rsid w:val="00B91837"/>
    <w:rsid w:val="00BA0A8D"/>
    <w:rsid w:val="00C67930"/>
    <w:rsid w:val="00CF01F2"/>
    <w:rsid w:val="00D62530"/>
    <w:rsid w:val="00D94925"/>
    <w:rsid w:val="00DE2C43"/>
    <w:rsid w:val="00E33080"/>
    <w:rsid w:val="00E3405E"/>
    <w:rsid w:val="00E820E0"/>
    <w:rsid w:val="00E951F5"/>
    <w:rsid w:val="00F10F77"/>
    <w:rsid w:val="00F14498"/>
    <w:rsid w:val="00F31919"/>
    <w:rsid w:val="00F564F0"/>
    <w:rsid w:val="00F6130D"/>
    <w:rsid w:val="00F80B8F"/>
    <w:rsid w:val="00FA4A45"/>
    <w:rsid w:val="00FC72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 w:type="paragraph" w:styleId="NormalWeb">
    <w:name w:val="Normal (Web)"/>
    <w:basedOn w:val="Normal"/>
    <w:uiPriority w:val="99"/>
    <w:unhideWhenUsed/>
    <w:rsid w:val="00293AF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7547">
      <w:bodyDiv w:val="1"/>
      <w:marLeft w:val="0"/>
      <w:marRight w:val="0"/>
      <w:marTop w:val="0"/>
      <w:marBottom w:val="0"/>
      <w:divBdr>
        <w:top w:val="none" w:sz="0" w:space="0" w:color="auto"/>
        <w:left w:val="none" w:sz="0" w:space="0" w:color="auto"/>
        <w:bottom w:val="none" w:sz="0" w:space="0" w:color="auto"/>
        <w:right w:val="none" w:sz="0" w:space="0" w:color="auto"/>
      </w:divBdr>
    </w:div>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30812551">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307441355">
      <w:bodyDiv w:val="1"/>
      <w:marLeft w:val="0"/>
      <w:marRight w:val="0"/>
      <w:marTop w:val="0"/>
      <w:marBottom w:val="0"/>
      <w:divBdr>
        <w:top w:val="none" w:sz="0" w:space="0" w:color="auto"/>
        <w:left w:val="none" w:sz="0" w:space="0" w:color="auto"/>
        <w:bottom w:val="none" w:sz="0" w:space="0" w:color="auto"/>
        <w:right w:val="none" w:sz="0" w:space="0" w:color="auto"/>
      </w:divBdr>
    </w:div>
    <w:div w:id="327708202">
      <w:bodyDiv w:val="1"/>
      <w:marLeft w:val="0"/>
      <w:marRight w:val="0"/>
      <w:marTop w:val="0"/>
      <w:marBottom w:val="0"/>
      <w:divBdr>
        <w:top w:val="none" w:sz="0" w:space="0" w:color="auto"/>
        <w:left w:val="none" w:sz="0" w:space="0" w:color="auto"/>
        <w:bottom w:val="none" w:sz="0" w:space="0" w:color="auto"/>
        <w:right w:val="none" w:sz="0" w:space="0" w:color="auto"/>
      </w:divBdr>
    </w:div>
    <w:div w:id="366180428">
      <w:bodyDiv w:val="1"/>
      <w:marLeft w:val="0"/>
      <w:marRight w:val="0"/>
      <w:marTop w:val="0"/>
      <w:marBottom w:val="0"/>
      <w:divBdr>
        <w:top w:val="none" w:sz="0" w:space="0" w:color="auto"/>
        <w:left w:val="none" w:sz="0" w:space="0" w:color="auto"/>
        <w:bottom w:val="none" w:sz="0" w:space="0" w:color="auto"/>
        <w:right w:val="none" w:sz="0" w:space="0" w:color="auto"/>
      </w:divBdr>
    </w:div>
    <w:div w:id="383336812">
      <w:bodyDiv w:val="1"/>
      <w:marLeft w:val="0"/>
      <w:marRight w:val="0"/>
      <w:marTop w:val="0"/>
      <w:marBottom w:val="0"/>
      <w:divBdr>
        <w:top w:val="none" w:sz="0" w:space="0" w:color="auto"/>
        <w:left w:val="none" w:sz="0" w:space="0" w:color="auto"/>
        <w:bottom w:val="none" w:sz="0" w:space="0" w:color="auto"/>
        <w:right w:val="none" w:sz="0" w:space="0" w:color="auto"/>
      </w:divBdr>
    </w:div>
    <w:div w:id="422071467">
      <w:bodyDiv w:val="1"/>
      <w:marLeft w:val="0"/>
      <w:marRight w:val="0"/>
      <w:marTop w:val="0"/>
      <w:marBottom w:val="0"/>
      <w:divBdr>
        <w:top w:val="none" w:sz="0" w:space="0" w:color="auto"/>
        <w:left w:val="none" w:sz="0" w:space="0" w:color="auto"/>
        <w:bottom w:val="none" w:sz="0" w:space="0" w:color="auto"/>
        <w:right w:val="none" w:sz="0" w:space="0" w:color="auto"/>
      </w:divBdr>
    </w:div>
    <w:div w:id="442847963">
      <w:bodyDiv w:val="1"/>
      <w:marLeft w:val="0"/>
      <w:marRight w:val="0"/>
      <w:marTop w:val="0"/>
      <w:marBottom w:val="0"/>
      <w:divBdr>
        <w:top w:val="none" w:sz="0" w:space="0" w:color="auto"/>
        <w:left w:val="none" w:sz="0" w:space="0" w:color="auto"/>
        <w:bottom w:val="none" w:sz="0" w:space="0" w:color="auto"/>
        <w:right w:val="none" w:sz="0" w:space="0" w:color="auto"/>
      </w:divBdr>
    </w:div>
    <w:div w:id="503055235">
      <w:bodyDiv w:val="1"/>
      <w:marLeft w:val="0"/>
      <w:marRight w:val="0"/>
      <w:marTop w:val="0"/>
      <w:marBottom w:val="0"/>
      <w:divBdr>
        <w:top w:val="none" w:sz="0" w:space="0" w:color="auto"/>
        <w:left w:val="none" w:sz="0" w:space="0" w:color="auto"/>
        <w:bottom w:val="none" w:sz="0" w:space="0" w:color="auto"/>
        <w:right w:val="none" w:sz="0" w:space="0" w:color="auto"/>
      </w:divBdr>
    </w:div>
    <w:div w:id="569540098">
      <w:bodyDiv w:val="1"/>
      <w:marLeft w:val="0"/>
      <w:marRight w:val="0"/>
      <w:marTop w:val="0"/>
      <w:marBottom w:val="0"/>
      <w:divBdr>
        <w:top w:val="none" w:sz="0" w:space="0" w:color="auto"/>
        <w:left w:val="none" w:sz="0" w:space="0" w:color="auto"/>
        <w:bottom w:val="none" w:sz="0" w:space="0" w:color="auto"/>
        <w:right w:val="none" w:sz="0" w:space="0" w:color="auto"/>
      </w:divBdr>
    </w:div>
    <w:div w:id="723599291">
      <w:bodyDiv w:val="1"/>
      <w:marLeft w:val="0"/>
      <w:marRight w:val="0"/>
      <w:marTop w:val="0"/>
      <w:marBottom w:val="0"/>
      <w:divBdr>
        <w:top w:val="none" w:sz="0" w:space="0" w:color="auto"/>
        <w:left w:val="none" w:sz="0" w:space="0" w:color="auto"/>
        <w:bottom w:val="none" w:sz="0" w:space="0" w:color="auto"/>
        <w:right w:val="none" w:sz="0" w:space="0" w:color="auto"/>
      </w:divBdr>
    </w:div>
    <w:div w:id="743725762">
      <w:bodyDiv w:val="1"/>
      <w:marLeft w:val="0"/>
      <w:marRight w:val="0"/>
      <w:marTop w:val="0"/>
      <w:marBottom w:val="0"/>
      <w:divBdr>
        <w:top w:val="none" w:sz="0" w:space="0" w:color="auto"/>
        <w:left w:val="none" w:sz="0" w:space="0" w:color="auto"/>
        <w:bottom w:val="none" w:sz="0" w:space="0" w:color="auto"/>
        <w:right w:val="none" w:sz="0" w:space="0" w:color="auto"/>
      </w:divBdr>
    </w:div>
    <w:div w:id="765613042">
      <w:bodyDiv w:val="1"/>
      <w:marLeft w:val="0"/>
      <w:marRight w:val="0"/>
      <w:marTop w:val="0"/>
      <w:marBottom w:val="0"/>
      <w:divBdr>
        <w:top w:val="none" w:sz="0" w:space="0" w:color="auto"/>
        <w:left w:val="none" w:sz="0" w:space="0" w:color="auto"/>
        <w:bottom w:val="none" w:sz="0" w:space="0" w:color="auto"/>
        <w:right w:val="none" w:sz="0" w:space="0" w:color="auto"/>
      </w:divBdr>
    </w:div>
    <w:div w:id="814301419">
      <w:bodyDiv w:val="1"/>
      <w:marLeft w:val="0"/>
      <w:marRight w:val="0"/>
      <w:marTop w:val="0"/>
      <w:marBottom w:val="0"/>
      <w:divBdr>
        <w:top w:val="none" w:sz="0" w:space="0" w:color="auto"/>
        <w:left w:val="none" w:sz="0" w:space="0" w:color="auto"/>
        <w:bottom w:val="none" w:sz="0" w:space="0" w:color="auto"/>
        <w:right w:val="none" w:sz="0" w:space="0" w:color="auto"/>
      </w:divBdr>
    </w:div>
    <w:div w:id="930818153">
      <w:bodyDiv w:val="1"/>
      <w:marLeft w:val="0"/>
      <w:marRight w:val="0"/>
      <w:marTop w:val="0"/>
      <w:marBottom w:val="0"/>
      <w:divBdr>
        <w:top w:val="none" w:sz="0" w:space="0" w:color="auto"/>
        <w:left w:val="none" w:sz="0" w:space="0" w:color="auto"/>
        <w:bottom w:val="none" w:sz="0" w:space="0" w:color="auto"/>
        <w:right w:val="none" w:sz="0" w:space="0" w:color="auto"/>
      </w:divBdr>
    </w:div>
    <w:div w:id="957488096">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999772224">
      <w:bodyDiv w:val="1"/>
      <w:marLeft w:val="0"/>
      <w:marRight w:val="0"/>
      <w:marTop w:val="0"/>
      <w:marBottom w:val="0"/>
      <w:divBdr>
        <w:top w:val="none" w:sz="0" w:space="0" w:color="auto"/>
        <w:left w:val="none" w:sz="0" w:space="0" w:color="auto"/>
        <w:bottom w:val="none" w:sz="0" w:space="0" w:color="auto"/>
        <w:right w:val="none" w:sz="0" w:space="0" w:color="auto"/>
      </w:divBdr>
    </w:div>
    <w:div w:id="1023477079">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07833344">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269652972">
      <w:bodyDiv w:val="1"/>
      <w:marLeft w:val="0"/>
      <w:marRight w:val="0"/>
      <w:marTop w:val="0"/>
      <w:marBottom w:val="0"/>
      <w:divBdr>
        <w:top w:val="none" w:sz="0" w:space="0" w:color="auto"/>
        <w:left w:val="none" w:sz="0" w:space="0" w:color="auto"/>
        <w:bottom w:val="none" w:sz="0" w:space="0" w:color="auto"/>
        <w:right w:val="none" w:sz="0" w:space="0" w:color="auto"/>
      </w:divBdr>
    </w:div>
    <w:div w:id="1285116785">
      <w:bodyDiv w:val="1"/>
      <w:marLeft w:val="0"/>
      <w:marRight w:val="0"/>
      <w:marTop w:val="0"/>
      <w:marBottom w:val="0"/>
      <w:divBdr>
        <w:top w:val="none" w:sz="0" w:space="0" w:color="auto"/>
        <w:left w:val="none" w:sz="0" w:space="0" w:color="auto"/>
        <w:bottom w:val="none" w:sz="0" w:space="0" w:color="auto"/>
        <w:right w:val="none" w:sz="0" w:space="0" w:color="auto"/>
      </w:divBdr>
    </w:div>
    <w:div w:id="1350451015">
      <w:bodyDiv w:val="1"/>
      <w:marLeft w:val="0"/>
      <w:marRight w:val="0"/>
      <w:marTop w:val="0"/>
      <w:marBottom w:val="0"/>
      <w:divBdr>
        <w:top w:val="none" w:sz="0" w:space="0" w:color="auto"/>
        <w:left w:val="none" w:sz="0" w:space="0" w:color="auto"/>
        <w:bottom w:val="none" w:sz="0" w:space="0" w:color="auto"/>
        <w:right w:val="none" w:sz="0" w:space="0" w:color="auto"/>
      </w:divBdr>
    </w:div>
    <w:div w:id="1383094574">
      <w:bodyDiv w:val="1"/>
      <w:marLeft w:val="0"/>
      <w:marRight w:val="0"/>
      <w:marTop w:val="0"/>
      <w:marBottom w:val="0"/>
      <w:divBdr>
        <w:top w:val="none" w:sz="0" w:space="0" w:color="auto"/>
        <w:left w:val="none" w:sz="0" w:space="0" w:color="auto"/>
        <w:bottom w:val="none" w:sz="0" w:space="0" w:color="auto"/>
        <w:right w:val="none" w:sz="0" w:space="0" w:color="auto"/>
      </w:divBdr>
    </w:div>
    <w:div w:id="1524246068">
      <w:bodyDiv w:val="1"/>
      <w:marLeft w:val="0"/>
      <w:marRight w:val="0"/>
      <w:marTop w:val="0"/>
      <w:marBottom w:val="0"/>
      <w:divBdr>
        <w:top w:val="none" w:sz="0" w:space="0" w:color="auto"/>
        <w:left w:val="none" w:sz="0" w:space="0" w:color="auto"/>
        <w:bottom w:val="none" w:sz="0" w:space="0" w:color="auto"/>
        <w:right w:val="none" w:sz="0" w:space="0" w:color="auto"/>
      </w:divBdr>
    </w:div>
    <w:div w:id="1630472657">
      <w:bodyDiv w:val="1"/>
      <w:marLeft w:val="0"/>
      <w:marRight w:val="0"/>
      <w:marTop w:val="0"/>
      <w:marBottom w:val="0"/>
      <w:divBdr>
        <w:top w:val="none" w:sz="0" w:space="0" w:color="auto"/>
        <w:left w:val="none" w:sz="0" w:space="0" w:color="auto"/>
        <w:bottom w:val="none" w:sz="0" w:space="0" w:color="auto"/>
        <w:right w:val="none" w:sz="0" w:space="0" w:color="auto"/>
      </w:divBdr>
    </w:div>
    <w:div w:id="1630893156">
      <w:bodyDiv w:val="1"/>
      <w:marLeft w:val="0"/>
      <w:marRight w:val="0"/>
      <w:marTop w:val="0"/>
      <w:marBottom w:val="0"/>
      <w:divBdr>
        <w:top w:val="none" w:sz="0" w:space="0" w:color="auto"/>
        <w:left w:val="none" w:sz="0" w:space="0" w:color="auto"/>
        <w:bottom w:val="none" w:sz="0" w:space="0" w:color="auto"/>
        <w:right w:val="none" w:sz="0" w:space="0" w:color="auto"/>
      </w:divBdr>
    </w:div>
    <w:div w:id="1685665969">
      <w:bodyDiv w:val="1"/>
      <w:marLeft w:val="0"/>
      <w:marRight w:val="0"/>
      <w:marTop w:val="0"/>
      <w:marBottom w:val="0"/>
      <w:divBdr>
        <w:top w:val="none" w:sz="0" w:space="0" w:color="auto"/>
        <w:left w:val="none" w:sz="0" w:space="0" w:color="auto"/>
        <w:bottom w:val="none" w:sz="0" w:space="0" w:color="auto"/>
        <w:right w:val="none" w:sz="0" w:space="0" w:color="auto"/>
      </w:divBdr>
    </w:div>
    <w:div w:id="1690334308">
      <w:bodyDiv w:val="1"/>
      <w:marLeft w:val="0"/>
      <w:marRight w:val="0"/>
      <w:marTop w:val="0"/>
      <w:marBottom w:val="0"/>
      <w:divBdr>
        <w:top w:val="none" w:sz="0" w:space="0" w:color="auto"/>
        <w:left w:val="none" w:sz="0" w:space="0" w:color="auto"/>
        <w:bottom w:val="none" w:sz="0" w:space="0" w:color="auto"/>
        <w:right w:val="none" w:sz="0" w:space="0" w:color="auto"/>
      </w:divBdr>
    </w:div>
    <w:div w:id="1697272063">
      <w:bodyDiv w:val="1"/>
      <w:marLeft w:val="0"/>
      <w:marRight w:val="0"/>
      <w:marTop w:val="0"/>
      <w:marBottom w:val="0"/>
      <w:divBdr>
        <w:top w:val="none" w:sz="0" w:space="0" w:color="auto"/>
        <w:left w:val="none" w:sz="0" w:space="0" w:color="auto"/>
        <w:bottom w:val="none" w:sz="0" w:space="0" w:color="auto"/>
        <w:right w:val="none" w:sz="0" w:space="0" w:color="auto"/>
      </w:divBdr>
    </w:div>
    <w:div w:id="1819417962">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1902673673">
      <w:bodyDiv w:val="1"/>
      <w:marLeft w:val="0"/>
      <w:marRight w:val="0"/>
      <w:marTop w:val="0"/>
      <w:marBottom w:val="0"/>
      <w:divBdr>
        <w:top w:val="none" w:sz="0" w:space="0" w:color="auto"/>
        <w:left w:val="none" w:sz="0" w:space="0" w:color="auto"/>
        <w:bottom w:val="none" w:sz="0" w:space="0" w:color="auto"/>
        <w:right w:val="none" w:sz="0" w:space="0" w:color="auto"/>
      </w:divBdr>
    </w:div>
    <w:div w:id="2011180201">
      <w:bodyDiv w:val="1"/>
      <w:marLeft w:val="0"/>
      <w:marRight w:val="0"/>
      <w:marTop w:val="0"/>
      <w:marBottom w:val="0"/>
      <w:divBdr>
        <w:top w:val="none" w:sz="0" w:space="0" w:color="auto"/>
        <w:left w:val="none" w:sz="0" w:space="0" w:color="auto"/>
        <w:bottom w:val="none" w:sz="0" w:space="0" w:color="auto"/>
        <w:right w:val="none" w:sz="0" w:space="0" w:color="auto"/>
      </w:divBdr>
    </w:div>
    <w:div w:id="2026202649">
      <w:bodyDiv w:val="1"/>
      <w:marLeft w:val="0"/>
      <w:marRight w:val="0"/>
      <w:marTop w:val="0"/>
      <w:marBottom w:val="0"/>
      <w:divBdr>
        <w:top w:val="none" w:sz="0" w:space="0" w:color="auto"/>
        <w:left w:val="none" w:sz="0" w:space="0" w:color="auto"/>
        <w:bottom w:val="none" w:sz="0" w:space="0" w:color="auto"/>
        <w:right w:val="none" w:sz="0" w:space="0" w:color="auto"/>
      </w:divBdr>
    </w:div>
    <w:div w:id="2063939877">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 w:id="2101640362">
      <w:bodyDiv w:val="1"/>
      <w:marLeft w:val="0"/>
      <w:marRight w:val="0"/>
      <w:marTop w:val="0"/>
      <w:marBottom w:val="0"/>
      <w:divBdr>
        <w:top w:val="none" w:sz="0" w:space="0" w:color="auto"/>
        <w:left w:val="none" w:sz="0" w:space="0" w:color="auto"/>
        <w:bottom w:val="none" w:sz="0" w:space="0" w:color="auto"/>
        <w:right w:val="none" w:sz="0" w:space="0" w:color="auto"/>
      </w:divBdr>
    </w:div>
    <w:div w:id="2146315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api/document/collection/cases-uk/id/5H7F-8CR1-DYHT-G435-00000-00?cite=Capehorn%20v%20Harris%2C%20%5B2015%5D%20EWCA%20Civ%20955%2C%20%5B2016%5D%202%20FLR%201026%2C%20%5B2015%5D%20Fam%20Law%201347%2C%20%5B2016%5D%20HLR%201%2C%20%5B2015%5D%20All%20ER%20(D)%20384%20(Jul)&amp;context=1001073&amp;identityprofileid=R6VFST67341" TargetMode="External"/><Relationship Id="rId13" Type="http://schemas.openxmlformats.org/officeDocument/2006/relationships/hyperlink" Target="https://plus-lexis-com.ezproxy.uwtsd.ac.uk/api/document/collection/cases-uk/id/4FXP-9SC0-TWW4-209J-00000-00?cite=Gillett%20v%20Holt%2C%20%5B2001%5D%20Ch%20210%2C%20%5B2000%5D%202%20All%20ER%20289%2C%20%5B2000%5D%203%20WLR%20815%2C%20%5B2000%5D%202%20FLR%20266%2C%20%5B2000%5D%201%20FCR%20705%2C%20%5B2000%5D%20Fam%20Law%20714%2C%20%5B2000%5D%2012%20LS%20Gaz%20R%2040%2C%20(2000)%20Times%2C%2017%20March%2C%20%5B2000%5D%20Lexis%20Citation%202694%2C%20%5B2000%5D%20All%20ER%20(D)%20299&amp;context=1001073&amp;identityprofileid=R6VFST6734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lus-lexis-com.ezproxy.uwtsd.ac.uk/api/document/collection/cases-uk/id/4R77-9X40-TWW4-2137-00000-00?cite=James%20v%20Thomas%2C%20%5B2007%5D%20EWCA%20Civ%201212%2C%20%5B2008%5D%201%20FLR%201598%2C%20%5B2007%5D%203%20FCR%20696%2C%20%5B2008%5D%20Fam%20Law%20519%2C%20%5B2008%5D%20Fam%20Law%2099%2C%20%5B2007%5D%20All%20ER%20(D)%20373%20(Nov)&amp;context=1001073&amp;identityprofileid=R6VFST67341" TargetMode="External"/><Relationship Id="rId12" Type="http://schemas.openxmlformats.org/officeDocument/2006/relationships/hyperlink" Target="https://www.legislation.gov.uk/ukpga/2002/9/section/5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Geo5/15-16/20/section/53"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plus-lexis-com.ezproxy.uwtsd.ac.uk/api/document/collection/cases-uk/id/4FXP-Y980-TWW4-20XX-00000-00?cite=Jennings%20v%20Rice%2C%20%5B2002%5D%20EWCA%20Civ%20159%2C%20%5B2003%5D%201%20P%20%26%20CR%20100%2C%20%5B2002%5D%201%20FCR%20501%2C%20%5B2003%5D%201%20FCR%20501%2C%20%5B2002%5D%20NPC%2028%2C%20%5B2002%5D%20WTLR%20367%2C%20%5B2002%5D%20All%20ER%20(D)%20324%20(Feb)&amp;context=1001073&amp;identityprofileid=R6VFST67341" TargetMode="External"/><Relationship Id="rId4" Type="http://schemas.openxmlformats.org/officeDocument/2006/relationships/webSettings" Target="webSettings.xml"/><Relationship Id="rId9" Type="http://schemas.openxmlformats.org/officeDocument/2006/relationships/hyperlink" Target="https://plus-lexis-com.ezproxy.uwtsd.ac.uk/api/document/collection/cases-uk/id/7VBR-MJ40-Y9D2-B15V-00000-00?cite=Thorner%20v%20Major%20%2C%20%5B2009%5D%20UKHL%2018%2C%20%5B2009%5D%203%20All%20ER%20945%2C%20%5B2009%5D%201%20WLR%20776%2C%20%5B2009%5D%202%20P%20%26%20CR%20269%2C%2012%20ITELR%2062%2C%20%5B2009%5D%202%20FLR%20405%2C%20%5B2009%5D%203%20FCR%20123%2C%20%5B2009%5D%20Fam%20Law%20583%2C%20%5B2009%5D%202%20EGLR%20111%2C%20%5B2009%5D%20NLJR%20514%2C%20%5B2009%5D%2013%20EG%20142%2C%20(2009)%20Times%2C%2026%20March%2C%20153%20Sol%20Jo%20(no%2012)%2030%2C%20%5B2009%5D%202%20P%20%26%20CR%20D5%2C%20%5B2009%5D%20All%20ER%20(D)%20257%20(Mar)&amp;context=1001073&amp;identityprofileid=R6VFST67341" TargetMode="External"/><Relationship Id="rId14" Type="http://schemas.openxmlformats.org/officeDocument/2006/relationships/hyperlink" Target="https://plus-lexis-com.ezproxy.uwtsd.ac.uk/api/document/collection/cases-uk/id/4R77-9X40-TWW4-2137-00000-00?cite=James%20v%20Thomas%2C%20%5B2007%5D%20EWCA%20Civ%201212%2C%20%5B2008%5D%201%20FLR%201598%2C%20%5B2007%5D%203%20FCR%20696%2C%20%5B2008%5D%20Fam%20Law%20519%2C%20%5B2008%5D%20Fam%20Law%2099%2C%20%5B2007%5D%20All%20ER%20(D)%20373%20(Nov)&amp;context=1001073&amp;identityprofileid=R6VFST673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2749</Words>
  <Characters>14656</Characters>
  <Application>Microsoft Office Word</Application>
  <DocSecurity>0</DocSecurity>
  <Lines>357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Jones</dc:creator>
  <cp:keywords/>
  <dc:description/>
  <cp:lastModifiedBy>SAMUELS P. (2143159)</cp:lastModifiedBy>
  <cp:revision>4</cp:revision>
  <dcterms:created xsi:type="dcterms:W3CDTF">2024-12-06T16:12:00Z</dcterms:created>
  <dcterms:modified xsi:type="dcterms:W3CDTF">2024-12-06T21:20:00Z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2775b3d2dfb6392770735744458910860238a8c1163ba46ecc46d33a17bd96ab</vt:lpwstr>
  </property>
</Properties>
</file>