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990945216"/>
        <w:docPartObj>
          <w:docPartGallery w:val="Cover Pages"/>
          <w:docPartUnique/>
        </w:docPartObj>
      </w:sdtPr>
      <w:sdtEndPr>
        <w:rPr>
          <w:color w:val="auto"/>
        </w:rPr>
      </w:sdtEndPr>
      <w:sdtContent>
        <w:p w:rsidR="00CA10BC" w:rsidRDefault="00CA10BC">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0"/>
              <w:szCs w:val="40"/>
            </w:rPr>
            <w:alias w:val="Title"/>
            <w:tag w:val=""/>
            <w:id w:val="1735040861"/>
            <w:placeholder>
              <w:docPart w:val="34056B33EB36428BAFA7DEEB944B3980"/>
            </w:placeholder>
            <w:dataBinding w:prefixMappings="xmlns:ns0='http://purl.org/dc/elements/1.1/' xmlns:ns1='http://schemas.openxmlformats.org/package/2006/metadata/core-properties' " w:xpath="/ns1:coreProperties[1]/ns0:title[1]" w:storeItemID="{6C3C8BC8-F283-45AE-878A-BAB7291924A1}"/>
            <w:text/>
          </w:sdtPr>
          <w:sdtContent>
            <w:p w:rsidR="00CA10BC" w:rsidRPr="00DA2CC9" w:rsidRDefault="00DA2CC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DA2CC9">
                <w:rPr>
                  <w:rFonts w:ascii="Arial" w:eastAsiaTheme="majorEastAsia" w:hAnsi="Arial" w:cs="Arial"/>
                  <w:caps/>
                  <w:color w:val="4472C4" w:themeColor="accent1"/>
                  <w:sz w:val="40"/>
                  <w:szCs w:val="40"/>
                </w:rPr>
                <w:t>A Dual Analysis of Centrica’s financial status and Investment Potential at GReenacres</w:t>
              </w:r>
            </w:p>
          </w:sdtContent>
        </w:sdt>
        <w:p w:rsidR="00CA10BC" w:rsidRDefault="00CA10BC">
          <w:pPr>
            <w:pStyle w:val="NoSpacing"/>
            <w:jc w:val="center"/>
            <w:rPr>
              <w:color w:val="4472C4" w:themeColor="accent1"/>
              <w:sz w:val="28"/>
              <w:szCs w:val="28"/>
            </w:rPr>
          </w:pPr>
        </w:p>
        <w:p w:rsidR="00CA10BC" w:rsidRDefault="00CA10B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rsidR="009D03C2" w:rsidRDefault="009D03C2">
                                    <w:pPr>
                                      <w:pStyle w:val="NoSpacing"/>
                                      <w:spacing w:after="40"/>
                                      <w:jc w:val="center"/>
                                      <w:rPr>
                                        <w:caps/>
                                        <w:color w:val="4472C4" w:themeColor="accent1"/>
                                        <w:sz w:val="28"/>
                                        <w:szCs w:val="28"/>
                                      </w:rPr>
                                    </w:pPr>
                                    <w:r>
                                      <w:rPr>
                                        <w:caps/>
                                        <w:color w:val="4472C4" w:themeColor="accent1"/>
                                        <w:sz w:val="28"/>
                                        <w:szCs w:val="28"/>
                                      </w:rPr>
                                      <w:t>January 20, 2025</w:t>
                                    </w:r>
                                  </w:p>
                                </w:sdtContent>
                              </w:sdt>
                              <w:p w:rsidR="009D03C2" w:rsidRDefault="009D03C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9D03C2" w:rsidRDefault="009D03C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S2</w:t>
                                    </w:r>
                                  </w:sdtContent>
                                </w:sdt>
                                <w:r>
                                  <w:rPr>
                                    <w:color w:val="4472C4" w:themeColor="accent1"/>
                                  </w:rPr>
                                  <w:t>414867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20T00:00:00Z">
                              <w:dateFormat w:val="MMMM d, yyyy"/>
                              <w:lid w:val="en-US"/>
                              <w:storeMappedDataAs w:val="dateTime"/>
                              <w:calendar w:val="gregorian"/>
                            </w:date>
                          </w:sdtPr>
                          <w:sdtContent>
                            <w:p w:rsidR="009D03C2" w:rsidRDefault="009D03C2">
                              <w:pPr>
                                <w:pStyle w:val="NoSpacing"/>
                                <w:spacing w:after="40"/>
                                <w:jc w:val="center"/>
                                <w:rPr>
                                  <w:caps/>
                                  <w:color w:val="4472C4" w:themeColor="accent1"/>
                                  <w:sz w:val="28"/>
                                  <w:szCs w:val="28"/>
                                </w:rPr>
                              </w:pPr>
                              <w:r>
                                <w:rPr>
                                  <w:caps/>
                                  <w:color w:val="4472C4" w:themeColor="accent1"/>
                                  <w:sz w:val="28"/>
                                  <w:szCs w:val="28"/>
                                </w:rPr>
                                <w:t>January 20, 2025</w:t>
                              </w:r>
                            </w:p>
                          </w:sdtContent>
                        </w:sdt>
                        <w:p w:rsidR="009D03C2" w:rsidRDefault="009D03C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9D03C2" w:rsidRDefault="009D03C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S2</w:t>
                              </w:r>
                            </w:sdtContent>
                          </w:sdt>
                          <w:r>
                            <w:rPr>
                              <w:color w:val="4472C4" w:themeColor="accent1"/>
                            </w:rPr>
                            <w:t>414867</w:t>
                          </w: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A10BC" w:rsidRDefault="00CA10BC" w:rsidP="00EC355A">
          <w:r>
            <w:br w:type="page"/>
          </w:r>
        </w:p>
      </w:sdtContent>
    </w:sdt>
    <w:sdt>
      <w:sdtPr>
        <w:rPr>
          <w:rFonts w:ascii="Arial" w:eastAsiaTheme="minorHAnsi" w:hAnsi="Arial" w:cs="Arial"/>
          <w:color w:val="auto"/>
          <w:sz w:val="22"/>
          <w:szCs w:val="22"/>
          <w:lang w:val="en-GB"/>
        </w:rPr>
        <w:id w:val="1637601123"/>
        <w:docPartObj>
          <w:docPartGallery w:val="Table of Contents"/>
          <w:docPartUnique/>
        </w:docPartObj>
      </w:sdtPr>
      <w:sdtEndPr>
        <w:rPr>
          <w:b/>
          <w:bCs/>
          <w:noProof/>
        </w:rPr>
      </w:sdtEndPr>
      <w:sdtContent>
        <w:p w:rsidR="00EC355A" w:rsidRPr="008D6CF6" w:rsidRDefault="00EC355A" w:rsidP="00646CA5">
          <w:pPr>
            <w:pStyle w:val="TOCHeading"/>
            <w:spacing w:line="276" w:lineRule="auto"/>
            <w:rPr>
              <w:rFonts w:ascii="Arial" w:hAnsi="Arial" w:cs="Arial"/>
              <w:color w:val="auto"/>
              <w:sz w:val="22"/>
              <w:szCs w:val="22"/>
            </w:rPr>
          </w:pPr>
          <w:r w:rsidRPr="008D6CF6">
            <w:rPr>
              <w:rFonts w:ascii="Arial" w:hAnsi="Arial" w:cs="Arial"/>
              <w:color w:val="auto"/>
              <w:sz w:val="22"/>
              <w:szCs w:val="22"/>
            </w:rPr>
            <w:t>Table of Contents</w:t>
          </w:r>
        </w:p>
        <w:p w:rsidR="004A15FD" w:rsidRPr="004A15FD" w:rsidRDefault="00EC355A">
          <w:pPr>
            <w:pStyle w:val="TOC1"/>
            <w:tabs>
              <w:tab w:val="right" w:leader="dot" w:pos="9016"/>
            </w:tabs>
            <w:rPr>
              <w:rFonts w:eastAsiaTheme="minorEastAsia"/>
              <w:noProof/>
              <w:lang w:eastAsia="en-GB"/>
            </w:rPr>
          </w:pPr>
          <w:r w:rsidRPr="00646CA5">
            <w:rPr>
              <w:rFonts w:ascii="Arial" w:hAnsi="Arial" w:cs="Arial"/>
            </w:rPr>
            <w:fldChar w:fldCharType="begin"/>
          </w:r>
          <w:r w:rsidRPr="00646CA5">
            <w:rPr>
              <w:rFonts w:ascii="Arial" w:hAnsi="Arial" w:cs="Arial"/>
            </w:rPr>
            <w:instrText xml:space="preserve"> TOC \o "1-3" \h \z \u </w:instrText>
          </w:r>
          <w:r w:rsidRPr="00646CA5">
            <w:rPr>
              <w:rFonts w:ascii="Arial" w:hAnsi="Arial" w:cs="Arial"/>
            </w:rPr>
            <w:fldChar w:fldCharType="separate"/>
          </w:r>
          <w:hyperlink w:anchor="_Toc188151113" w:history="1">
            <w:r w:rsidR="004A15FD" w:rsidRPr="00F24995">
              <w:rPr>
                <w:rStyle w:val="Hyperlink"/>
                <w:rFonts w:ascii="Arial" w:hAnsi="Arial" w:cs="Arial"/>
                <w:b/>
                <w:noProof/>
              </w:rPr>
              <w:t>1. Exe</w:t>
            </w:r>
            <w:r w:rsidR="004A15FD" w:rsidRPr="004A15FD">
              <w:rPr>
                <w:rStyle w:val="Hyperlink"/>
                <w:rFonts w:ascii="Arial" w:hAnsi="Arial" w:cs="Arial"/>
                <w:b/>
                <w:noProof/>
              </w:rPr>
              <w:t>cutive Summary</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_Toc188151113 \h </w:instrText>
            </w:r>
            <w:r w:rsidR="004A15FD" w:rsidRPr="004A15FD">
              <w:rPr>
                <w:noProof/>
                <w:webHidden/>
              </w:rPr>
            </w:r>
            <w:r w:rsidR="004A15FD" w:rsidRPr="004A15FD">
              <w:rPr>
                <w:noProof/>
                <w:webHidden/>
              </w:rPr>
              <w:fldChar w:fldCharType="separate"/>
            </w:r>
            <w:r w:rsidR="008E476F">
              <w:rPr>
                <w:noProof/>
                <w:webHidden/>
              </w:rPr>
              <w:t>2</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14" w:history="1">
            <w:r w:rsidR="004A15FD" w:rsidRPr="004A15FD">
              <w:rPr>
                <w:rStyle w:val="Hyperlink"/>
                <w:rFonts w:ascii="Arial" w:hAnsi="Arial" w:cs="Arial"/>
                <w:noProof/>
              </w:rPr>
              <w:t>2.Centrica</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_Toc188151114 \h </w:instrText>
            </w:r>
            <w:r w:rsidR="004A15FD" w:rsidRPr="004A15FD">
              <w:rPr>
                <w:noProof/>
                <w:webHidden/>
              </w:rPr>
            </w:r>
            <w:r w:rsidR="004A15FD" w:rsidRPr="004A15FD">
              <w:rPr>
                <w:noProof/>
                <w:webHidden/>
              </w:rPr>
              <w:fldChar w:fldCharType="separate"/>
            </w:r>
            <w:r w:rsidR="008E476F">
              <w:rPr>
                <w:noProof/>
                <w:webHidden/>
              </w:rPr>
              <w:t>3</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15" w:history="1">
            <w:r w:rsidR="004A15FD" w:rsidRPr="00F24995">
              <w:rPr>
                <w:rStyle w:val="Hyperlink"/>
                <w:rFonts w:ascii="Arial" w:hAnsi="Arial" w:cs="Arial"/>
                <w:b/>
                <w:noProof/>
              </w:rPr>
              <w:t>2.1</w:t>
            </w:r>
            <w:r w:rsidR="004A15FD" w:rsidRPr="004A15FD">
              <w:rPr>
                <w:rStyle w:val="Hyperlink"/>
                <w:rFonts w:ascii="Arial" w:hAnsi="Arial" w:cs="Arial"/>
                <w:noProof/>
              </w:rPr>
              <w:t xml:space="preserve"> </w:t>
            </w:r>
            <w:r w:rsidR="004A15FD" w:rsidRPr="004A15FD">
              <w:rPr>
                <w:rStyle w:val="Hyperlink"/>
                <w:rFonts w:ascii="Arial" w:hAnsi="Arial" w:cs="Arial"/>
                <w:b/>
                <w:noProof/>
              </w:rPr>
              <w:t>Introduction</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_Toc188151115 \h </w:instrText>
            </w:r>
            <w:r w:rsidR="004A15FD" w:rsidRPr="004A15FD">
              <w:rPr>
                <w:noProof/>
                <w:webHidden/>
              </w:rPr>
            </w:r>
            <w:r w:rsidR="004A15FD" w:rsidRPr="004A15FD">
              <w:rPr>
                <w:noProof/>
                <w:webHidden/>
              </w:rPr>
              <w:fldChar w:fldCharType="separate"/>
            </w:r>
            <w:r w:rsidR="008E476F">
              <w:rPr>
                <w:noProof/>
                <w:webHidden/>
              </w:rPr>
              <w:t>3</w:t>
            </w:r>
            <w:r w:rsidR="004A15FD" w:rsidRPr="004A15FD">
              <w:rPr>
                <w:noProof/>
                <w:webHidden/>
              </w:rPr>
              <w:fldChar w:fldCharType="end"/>
            </w:r>
          </w:hyperlink>
        </w:p>
        <w:p w:rsidR="004A15FD" w:rsidRPr="004A15FD" w:rsidRDefault="009D03C2">
          <w:pPr>
            <w:pStyle w:val="TOC3"/>
            <w:tabs>
              <w:tab w:val="right" w:leader="dot" w:pos="9016"/>
            </w:tabs>
            <w:rPr>
              <w:rFonts w:eastAsiaTheme="minorEastAsia"/>
              <w:noProof/>
              <w:lang w:eastAsia="en-GB"/>
            </w:rPr>
          </w:pPr>
          <w:hyperlink w:anchor="_Toc188151116" w:history="1">
            <w:r w:rsidR="004A15FD" w:rsidRPr="004A15FD">
              <w:rPr>
                <w:rStyle w:val="Hyperlink"/>
                <w:rFonts w:ascii="Arial" w:hAnsi="Arial" w:cs="Arial"/>
                <w:noProof/>
              </w:rPr>
              <w:t>2.2 The positive and negative aspects of utilising financial ratios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_Toc188151116 \h </w:instrText>
            </w:r>
            <w:r w:rsidR="004A15FD" w:rsidRPr="004A15FD">
              <w:rPr>
                <w:noProof/>
                <w:webHidden/>
              </w:rPr>
            </w:r>
            <w:r w:rsidR="004A15FD" w:rsidRPr="004A15FD">
              <w:rPr>
                <w:noProof/>
                <w:webHidden/>
              </w:rPr>
              <w:fldChar w:fldCharType="separate"/>
            </w:r>
            <w:r w:rsidR="008E476F">
              <w:rPr>
                <w:noProof/>
                <w:webHidden/>
              </w:rPr>
              <w:t>3</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17" w:history="1">
            <w:r w:rsidR="004A15FD" w:rsidRPr="00F24995">
              <w:rPr>
                <w:rStyle w:val="Hyperlink"/>
                <w:rFonts w:ascii="Arial" w:hAnsi="Arial" w:cs="Arial"/>
                <w:b/>
                <w:noProof/>
              </w:rPr>
              <w:t>3.</w:t>
            </w:r>
            <w:r w:rsidR="004A15FD" w:rsidRPr="004A15FD">
              <w:rPr>
                <w:rStyle w:val="Hyperlink"/>
                <w:rFonts w:ascii="Arial" w:hAnsi="Arial" w:cs="Arial"/>
                <w:b/>
                <w:noProof/>
              </w:rPr>
              <w:t xml:space="preserve"> Centrica’s Financial Analysis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_Toc188151117 \h </w:instrText>
            </w:r>
            <w:r w:rsidR="004A15FD" w:rsidRPr="004A15FD">
              <w:rPr>
                <w:noProof/>
                <w:webHidden/>
              </w:rPr>
            </w:r>
            <w:r w:rsidR="004A15FD" w:rsidRPr="004A15FD">
              <w:rPr>
                <w:noProof/>
                <w:webHidden/>
              </w:rPr>
              <w:fldChar w:fldCharType="separate"/>
            </w:r>
            <w:r w:rsidR="008E476F">
              <w:rPr>
                <w:noProof/>
                <w:webHidden/>
              </w:rPr>
              <w:t>4</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18" w:history="1">
            <w:r w:rsidR="004A15FD" w:rsidRPr="004A15FD">
              <w:rPr>
                <w:rStyle w:val="Hyperlink"/>
                <w:rFonts w:ascii="Arial" w:hAnsi="Arial" w:cs="Arial"/>
                <w:noProof/>
              </w:rPr>
              <w:t>3.1 Profitability</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_Toc188151118 \h </w:instrText>
            </w:r>
            <w:r w:rsidR="004A15FD" w:rsidRPr="004A15FD">
              <w:rPr>
                <w:noProof/>
                <w:webHidden/>
              </w:rPr>
            </w:r>
            <w:r w:rsidR="004A15FD" w:rsidRPr="004A15FD">
              <w:rPr>
                <w:noProof/>
                <w:webHidden/>
              </w:rPr>
              <w:fldChar w:fldCharType="separate"/>
            </w:r>
            <w:r w:rsidR="008E476F">
              <w:rPr>
                <w:noProof/>
                <w:webHidden/>
              </w:rPr>
              <w:t>4</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19" w:history="1">
            <w:r w:rsidR="004A15FD" w:rsidRPr="004A15FD">
              <w:rPr>
                <w:rStyle w:val="Hyperlink"/>
                <w:rFonts w:ascii="Arial" w:hAnsi="Arial" w:cs="Arial"/>
                <w:noProof/>
              </w:rPr>
              <w:t>3.2 Liquidity</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_Toc188151119 \h </w:instrText>
            </w:r>
            <w:r w:rsidR="004A15FD" w:rsidRPr="004A15FD">
              <w:rPr>
                <w:noProof/>
                <w:webHidden/>
              </w:rPr>
            </w:r>
            <w:r w:rsidR="004A15FD" w:rsidRPr="004A15FD">
              <w:rPr>
                <w:noProof/>
                <w:webHidden/>
              </w:rPr>
              <w:fldChar w:fldCharType="separate"/>
            </w:r>
            <w:r w:rsidR="008E476F">
              <w:rPr>
                <w:noProof/>
                <w:webHidden/>
              </w:rPr>
              <w:t>6</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0" w:history="1">
            <w:r w:rsidR="004A15FD" w:rsidRPr="004A15FD">
              <w:rPr>
                <w:rStyle w:val="Hyperlink"/>
                <w:rFonts w:ascii="Arial" w:hAnsi="Arial" w:cs="Arial"/>
                <w:noProof/>
              </w:rPr>
              <w:t>3.3 Efficiency</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_Toc188151120 \h </w:instrText>
            </w:r>
            <w:r w:rsidR="004A15FD" w:rsidRPr="004A15FD">
              <w:rPr>
                <w:noProof/>
                <w:webHidden/>
              </w:rPr>
            </w:r>
            <w:r w:rsidR="004A15FD" w:rsidRPr="004A15FD">
              <w:rPr>
                <w:noProof/>
                <w:webHidden/>
              </w:rPr>
              <w:fldChar w:fldCharType="separate"/>
            </w:r>
            <w:r w:rsidR="008E476F">
              <w:rPr>
                <w:noProof/>
                <w:webHidden/>
              </w:rPr>
              <w:t>6</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1" w:history="1">
            <w:r w:rsidR="004A15FD" w:rsidRPr="004A15FD">
              <w:rPr>
                <w:rStyle w:val="Hyperlink"/>
                <w:rFonts w:ascii="Arial" w:hAnsi="Arial" w:cs="Arial"/>
                <w:noProof/>
              </w:rPr>
              <w:t>3.4 Gearing</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_Toc188151121 \h </w:instrText>
            </w:r>
            <w:r w:rsidR="004A15FD" w:rsidRPr="004A15FD">
              <w:rPr>
                <w:noProof/>
                <w:webHidden/>
              </w:rPr>
            </w:r>
            <w:r w:rsidR="004A15FD" w:rsidRPr="004A15FD">
              <w:rPr>
                <w:noProof/>
                <w:webHidden/>
              </w:rPr>
              <w:fldChar w:fldCharType="separate"/>
            </w:r>
            <w:r w:rsidR="008E476F">
              <w:rPr>
                <w:noProof/>
                <w:webHidden/>
              </w:rPr>
              <w:t>7</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2" w:history="1">
            <w:r w:rsidR="004A15FD" w:rsidRPr="004A15FD">
              <w:rPr>
                <w:rStyle w:val="Hyperlink"/>
                <w:rFonts w:ascii="Arial" w:hAnsi="Arial" w:cs="Arial"/>
                <w:noProof/>
              </w:rPr>
              <w:t>3.5 Investment</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_Toc188151122 \h </w:instrText>
            </w:r>
            <w:r w:rsidR="004A15FD" w:rsidRPr="004A15FD">
              <w:rPr>
                <w:noProof/>
                <w:webHidden/>
              </w:rPr>
            </w:r>
            <w:r w:rsidR="004A15FD" w:rsidRPr="004A15FD">
              <w:rPr>
                <w:noProof/>
                <w:webHidden/>
              </w:rPr>
              <w:fldChar w:fldCharType="separate"/>
            </w:r>
            <w:r w:rsidR="008E476F">
              <w:rPr>
                <w:noProof/>
                <w:webHidden/>
              </w:rPr>
              <w:t>8</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23" w:history="1">
            <w:r w:rsidR="004A15FD" w:rsidRPr="00F24995">
              <w:rPr>
                <w:rStyle w:val="Hyperlink"/>
                <w:rFonts w:ascii="Arial" w:hAnsi="Arial" w:cs="Arial"/>
                <w:b/>
                <w:noProof/>
              </w:rPr>
              <w:t>4.</w:t>
            </w:r>
            <w:r w:rsidR="004A15FD" w:rsidRPr="004A15FD">
              <w:rPr>
                <w:rStyle w:val="Hyperlink"/>
                <w:rFonts w:ascii="Arial" w:hAnsi="Arial" w:cs="Arial"/>
                <w:noProof/>
              </w:rPr>
              <w:t xml:space="preserve"> </w:t>
            </w:r>
            <w:r w:rsidR="004A15FD" w:rsidRPr="004A15FD">
              <w:rPr>
                <w:rStyle w:val="Hyperlink"/>
                <w:rFonts w:ascii="Arial" w:hAnsi="Arial" w:cs="Arial"/>
                <w:b/>
                <w:noProof/>
              </w:rPr>
              <w:t>Conclusion and Recommendations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_Toc188151123 \h </w:instrText>
            </w:r>
            <w:r w:rsidR="004A15FD" w:rsidRPr="004A15FD">
              <w:rPr>
                <w:noProof/>
                <w:webHidden/>
              </w:rPr>
            </w:r>
            <w:r w:rsidR="004A15FD" w:rsidRPr="004A15FD">
              <w:rPr>
                <w:noProof/>
                <w:webHidden/>
              </w:rPr>
              <w:fldChar w:fldCharType="separate"/>
            </w:r>
            <w:r w:rsidR="008E476F">
              <w:rPr>
                <w:noProof/>
                <w:webHidden/>
              </w:rPr>
              <w:t>9</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b/>
              <w:noProof/>
              <w:lang w:eastAsia="en-GB"/>
            </w:rPr>
          </w:pPr>
          <w:hyperlink w:anchor="_Toc188151124" w:history="1">
            <w:r w:rsidR="004A15FD" w:rsidRPr="004A15FD">
              <w:rPr>
                <w:rStyle w:val="Hyperlink"/>
                <w:rFonts w:ascii="Arial" w:hAnsi="Arial" w:cs="Arial"/>
                <w:b/>
                <w:noProof/>
              </w:rPr>
              <w:t>5. Greenacres</w:t>
            </w:r>
            <w:r w:rsidR="004A15FD" w:rsidRPr="004A15FD">
              <w:rPr>
                <w:b/>
                <w:noProof/>
                <w:webHidden/>
              </w:rPr>
              <w:tab/>
            </w:r>
            <w:r w:rsidR="004A15FD" w:rsidRPr="004A15FD">
              <w:rPr>
                <w:b/>
                <w:noProof/>
                <w:webHidden/>
              </w:rPr>
              <w:fldChar w:fldCharType="begin"/>
            </w:r>
            <w:r w:rsidR="004A15FD" w:rsidRPr="004A15FD">
              <w:rPr>
                <w:b/>
                <w:noProof/>
                <w:webHidden/>
              </w:rPr>
              <w:instrText xml:space="preserve"> PAGEREF _Toc188151124 \h </w:instrText>
            </w:r>
            <w:r w:rsidR="004A15FD" w:rsidRPr="004A15FD">
              <w:rPr>
                <w:b/>
                <w:noProof/>
                <w:webHidden/>
              </w:rPr>
            </w:r>
            <w:r w:rsidR="004A15FD" w:rsidRPr="004A15FD">
              <w:rPr>
                <w:b/>
                <w:noProof/>
                <w:webHidden/>
              </w:rPr>
              <w:fldChar w:fldCharType="separate"/>
            </w:r>
            <w:r w:rsidR="008E476F">
              <w:rPr>
                <w:b/>
                <w:noProof/>
                <w:webHidden/>
              </w:rPr>
              <w:t>9</w:t>
            </w:r>
            <w:r w:rsidR="004A15FD" w:rsidRPr="004A15FD">
              <w:rPr>
                <w:b/>
                <w:noProof/>
                <w:webHidden/>
              </w:rPr>
              <w:fldChar w:fldCharType="end"/>
            </w:r>
          </w:hyperlink>
        </w:p>
        <w:p w:rsidR="004A15FD" w:rsidRPr="004A15FD" w:rsidRDefault="009D03C2">
          <w:pPr>
            <w:pStyle w:val="TOC2"/>
            <w:tabs>
              <w:tab w:val="right" w:leader="dot" w:pos="9016"/>
            </w:tabs>
            <w:rPr>
              <w:rFonts w:eastAsiaTheme="minorEastAsia"/>
              <w:b/>
              <w:noProof/>
              <w:lang w:eastAsia="en-GB"/>
            </w:rPr>
          </w:pPr>
          <w:hyperlink w:anchor="_Toc188151125" w:history="1">
            <w:r w:rsidR="004A15FD" w:rsidRPr="004A15FD">
              <w:rPr>
                <w:rStyle w:val="Hyperlink"/>
                <w:rFonts w:ascii="Arial" w:hAnsi="Arial" w:cs="Arial"/>
                <w:b/>
                <w:noProof/>
              </w:rPr>
              <w:t>5.1. Introduction</w:t>
            </w:r>
            <w:r w:rsidR="004A15FD" w:rsidRPr="004A15FD">
              <w:rPr>
                <w:b/>
                <w:noProof/>
                <w:webHidden/>
              </w:rPr>
              <w:tab/>
            </w:r>
            <w:r w:rsidR="004A15FD" w:rsidRPr="004A15FD">
              <w:rPr>
                <w:b/>
                <w:noProof/>
                <w:webHidden/>
              </w:rPr>
              <w:fldChar w:fldCharType="begin"/>
            </w:r>
            <w:r w:rsidR="004A15FD" w:rsidRPr="004A15FD">
              <w:rPr>
                <w:b/>
                <w:noProof/>
                <w:webHidden/>
              </w:rPr>
              <w:instrText xml:space="preserve"> PAGEREF _Toc188151125 \h </w:instrText>
            </w:r>
            <w:r w:rsidR="004A15FD" w:rsidRPr="004A15FD">
              <w:rPr>
                <w:b/>
                <w:noProof/>
                <w:webHidden/>
              </w:rPr>
            </w:r>
            <w:r w:rsidR="004A15FD" w:rsidRPr="004A15FD">
              <w:rPr>
                <w:b/>
                <w:noProof/>
                <w:webHidden/>
              </w:rPr>
              <w:fldChar w:fldCharType="separate"/>
            </w:r>
            <w:r w:rsidR="008E476F">
              <w:rPr>
                <w:b/>
                <w:noProof/>
                <w:webHidden/>
              </w:rPr>
              <w:t>9</w:t>
            </w:r>
            <w:r w:rsidR="004A15FD" w:rsidRPr="004A15FD">
              <w:rPr>
                <w:b/>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6" w:history="1">
            <w:r w:rsidR="004A15FD" w:rsidRPr="004A15FD">
              <w:rPr>
                <w:rStyle w:val="Hyperlink"/>
                <w:rFonts w:ascii="Arial" w:hAnsi="Arial" w:cs="Arial"/>
                <w:noProof/>
              </w:rPr>
              <w:t>5.2. Methods of Investment</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_Toc188151126 \h </w:instrText>
            </w:r>
            <w:r w:rsidR="004A15FD" w:rsidRPr="004A15FD">
              <w:rPr>
                <w:noProof/>
                <w:webHidden/>
              </w:rPr>
            </w:r>
            <w:r w:rsidR="004A15FD" w:rsidRPr="004A15FD">
              <w:rPr>
                <w:noProof/>
                <w:webHidden/>
              </w:rPr>
              <w:fldChar w:fldCharType="separate"/>
            </w:r>
            <w:r w:rsidR="008E476F">
              <w:rPr>
                <w:noProof/>
                <w:webHidden/>
              </w:rPr>
              <w:t>10</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27" w:history="1">
            <w:r w:rsidR="004A15FD" w:rsidRPr="00F24995">
              <w:rPr>
                <w:rStyle w:val="Hyperlink"/>
                <w:rFonts w:ascii="Arial" w:hAnsi="Arial" w:cs="Arial"/>
                <w:b/>
                <w:noProof/>
              </w:rPr>
              <w:t xml:space="preserve">6. </w:t>
            </w:r>
            <w:r w:rsidR="004A15FD" w:rsidRPr="004A15FD">
              <w:rPr>
                <w:rStyle w:val="Hyperlink"/>
                <w:rFonts w:ascii="Arial" w:hAnsi="Arial" w:cs="Arial"/>
                <w:b/>
                <w:noProof/>
              </w:rPr>
              <w:t>Investment analysis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_Toc188151127 \h </w:instrText>
            </w:r>
            <w:r w:rsidR="004A15FD" w:rsidRPr="004A15FD">
              <w:rPr>
                <w:noProof/>
                <w:webHidden/>
              </w:rPr>
            </w:r>
            <w:r w:rsidR="004A15FD" w:rsidRPr="004A15FD">
              <w:rPr>
                <w:noProof/>
                <w:webHidden/>
              </w:rPr>
              <w:fldChar w:fldCharType="separate"/>
            </w:r>
            <w:r w:rsidR="008E476F">
              <w:rPr>
                <w:noProof/>
                <w:webHidden/>
              </w:rPr>
              <w:t>10</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8" w:history="1">
            <w:r w:rsidR="004A15FD" w:rsidRPr="004A15FD">
              <w:rPr>
                <w:rStyle w:val="Hyperlink"/>
                <w:rFonts w:ascii="Arial" w:hAnsi="Arial" w:cs="Arial"/>
                <w:noProof/>
              </w:rPr>
              <w:t>6.1 Net Present Value method</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_Toc188151128 \h </w:instrText>
            </w:r>
            <w:r w:rsidR="004A15FD" w:rsidRPr="004A15FD">
              <w:rPr>
                <w:noProof/>
                <w:webHidden/>
              </w:rPr>
            </w:r>
            <w:r w:rsidR="004A15FD" w:rsidRPr="004A15FD">
              <w:rPr>
                <w:noProof/>
                <w:webHidden/>
              </w:rPr>
              <w:fldChar w:fldCharType="separate"/>
            </w:r>
            <w:r w:rsidR="008E476F">
              <w:rPr>
                <w:noProof/>
                <w:webHidden/>
              </w:rPr>
              <w:t>10</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29" w:history="1">
            <w:r w:rsidR="004A15FD" w:rsidRPr="004A15FD">
              <w:rPr>
                <w:rStyle w:val="Hyperlink"/>
                <w:rFonts w:ascii="Arial" w:hAnsi="Arial" w:cs="Arial"/>
                <w:noProof/>
              </w:rPr>
              <w:t>6.2 IRR</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_Toc188151129 \h </w:instrText>
            </w:r>
            <w:r w:rsidR="004A15FD" w:rsidRPr="004A15FD">
              <w:rPr>
                <w:noProof/>
                <w:webHidden/>
              </w:rPr>
            </w:r>
            <w:r w:rsidR="004A15FD" w:rsidRPr="004A15FD">
              <w:rPr>
                <w:noProof/>
                <w:webHidden/>
              </w:rPr>
              <w:fldChar w:fldCharType="separate"/>
            </w:r>
            <w:r w:rsidR="008E476F">
              <w:rPr>
                <w:noProof/>
                <w:webHidden/>
              </w:rPr>
              <w:t>11</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30" w:history="1">
            <w:r w:rsidR="004A15FD" w:rsidRPr="004A15FD">
              <w:rPr>
                <w:rStyle w:val="Hyperlink"/>
                <w:rFonts w:ascii="Arial" w:hAnsi="Arial" w:cs="Arial"/>
                <w:noProof/>
              </w:rPr>
              <w:t>6.3. Understand the implications of the results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_Toc188151130 \h </w:instrText>
            </w:r>
            <w:r w:rsidR="004A15FD" w:rsidRPr="004A15FD">
              <w:rPr>
                <w:noProof/>
                <w:webHidden/>
              </w:rPr>
            </w:r>
            <w:r w:rsidR="004A15FD" w:rsidRPr="004A15FD">
              <w:rPr>
                <w:noProof/>
                <w:webHidden/>
              </w:rPr>
              <w:fldChar w:fldCharType="separate"/>
            </w:r>
            <w:r w:rsidR="008E476F">
              <w:rPr>
                <w:noProof/>
                <w:webHidden/>
              </w:rPr>
              <w:t>11</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31" w:history="1">
            <w:r w:rsidR="004A15FD" w:rsidRPr="004A15FD">
              <w:rPr>
                <w:rStyle w:val="Hyperlink"/>
                <w:rFonts w:ascii="Arial" w:hAnsi="Arial" w:cs="Arial"/>
                <w:noProof/>
              </w:rPr>
              <w:t>6.4 Divisible projects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_Toc188151131 \h </w:instrText>
            </w:r>
            <w:r w:rsidR="004A15FD" w:rsidRPr="004A15FD">
              <w:rPr>
                <w:noProof/>
                <w:webHidden/>
              </w:rPr>
            </w:r>
            <w:r w:rsidR="004A15FD" w:rsidRPr="004A15FD">
              <w:rPr>
                <w:noProof/>
                <w:webHidden/>
              </w:rPr>
              <w:fldChar w:fldCharType="separate"/>
            </w:r>
            <w:r w:rsidR="008E476F">
              <w:rPr>
                <w:noProof/>
                <w:webHidden/>
              </w:rPr>
              <w:t>13</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32" w:history="1">
            <w:r w:rsidR="004A15FD" w:rsidRPr="004A15FD">
              <w:rPr>
                <w:rStyle w:val="Hyperlink"/>
                <w:rFonts w:ascii="Arial" w:hAnsi="Arial" w:cs="Arial"/>
                <w:noProof/>
              </w:rPr>
              <w:t>6.6 Sources of finance</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_Toc188151132 \h </w:instrText>
            </w:r>
            <w:r w:rsidR="004A15FD" w:rsidRPr="004A15FD">
              <w:rPr>
                <w:noProof/>
                <w:webHidden/>
              </w:rPr>
            </w:r>
            <w:r w:rsidR="004A15FD" w:rsidRPr="004A15FD">
              <w:rPr>
                <w:noProof/>
                <w:webHidden/>
              </w:rPr>
              <w:fldChar w:fldCharType="separate"/>
            </w:r>
            <w:r w:rsidR="008E476F">
              <w:rPr>
                <w:noProof/>
                <w:webHidden/>
              </w:rPr>
              <w:t>14</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33" w:history="1">
            <w:r w:rsidR="004A15FD" w:rsidRPr="00F24995">
              <w:rPr>
                <w:rStyle w:val="Hyperlink"/>
                <w:rFonts w:ascii="Arial" w:hAnsi="Arial" w:cs="Arial"/>
                <w:b/>
                <w:noProof/>
              </w:rPr>
              <w:t>7</w:t>
            </w:r>
            <w:r w:rsidR="004A15FD" w:rsidRPr="004A15FD">
              <w:rPr>
                <w:rStyle w:val="Hyperlink"/>
                <w:rFonts w:ascii="Arial" w:hAnsi="Arial" w:cs="Arial"/>
                <w:noProof/>
              </w:rPr>
              <w:t xml:space="preserve">. </w:t>
            </w:r>
            <w:r w:rsidR="004A15FD" w:rsidRPr="004A15FD">
              <w:rPr>
                <w:rStyle w:val="Hyperlink"/>
                <w:rFonts w:ascii="Arial" w:hAnsi="Arial" w:cs="Arial"/>
                <w:b/>
                <w:noProof/>
              </w:rPr>
              <w:t>Conclusion</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_Toc188151133 \h </w:instrText>
            </w:r>
            <w:r w:rsidR="004A15FD" w:rsidRPr="004A15FD">
              <w:rPr>
                <w:noProof/>
                <w:webHidden/>
              </w:rPr>
            </w:r>
            <w:r w:rsidR="004A15FD" w:rsidRPr="004A15FD">
              <w:rPr>
                <w:noProof/>
                <w:webHidden/>
              </w:rPr>
              <w:fldChar w:fldCharType="separate"/>
            </w:r>
            <w:r w:rsidR="008E476F">
              <w:rPr>
                <w:noProof/>
                <w:webHidden/>
              </w:rPr>
              <w:t>15</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34" w:history="1">
            <w:r w:rsidR="004A15FD" w:rsidRPr="00F24995">
              <w:rPr>
                <w:rStyle w:val="Hyperlink"/>
                <w:rFonts w:ascii="Arial" w:hAnsi="Arial" w:cs="Arial"/>
                <w:b/>
                <w:noProof/>
              </w:rPr>
              <w:t>8.</w:t>
            </w:r>
            <w:r w:rsidR="004A15FD">
              <w:rPr>
                <w:rStyle w:val="Hyperlink"/>
                <w:rFonts w:ascii="Arial" w:hAnsi="Arial" w:cs="Arial"/>
                <w:noProof/>
              </w:rPr>
              <w:t xml:space="preserve"> </w:t>
            </w:r>
            <w:r w:rsidR="004A15FD" w:rsidRPr="004A15FD">
              <w:rPr>
                <w:rStyle w:val="Hyperlink"/>
                <w:rFonts w:ascii="Arial" w:hAnsi="Arial" w:cs="Arial"/>
                <w:b/>
                <w:noProof/>
              </w:rPr>
              <w:t>References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_Toc188151134 \h </w:instrText>
            </w:r>
            <w:r w:rsidR="004A15FD" w:rsidRPr="004A15FD">
              <w:rPr>
                <w:noProof/>
                <w:webHidden/>
              </w:rPr>
            </w:r>
            <w:r w:rsidR="004A15FD" w:rsidRPr="004A15FD">
              <w:rPr>
                <w:noProof/>
                <w:webHidden/>
              </w:rPr>
              <w:fldChar w:fldCharType="separate"/>
            </w:r>
            <w:r w:rsidR="008E476F">
              <w:rPr>
                <w:noProof/>
                <w:webHidden/>
              </w:rPr>
              <w:t>15</w:t>
            </w:r>
            <w:r w:rsidR="004A15FD" w:rsidRPr="004A15FD">
              <w:rPr>
                <w:noProof/>
                <w:webHidden/>
              </w:rPr>
              <w:fldChar w:fldCharType="end"/>
            </w:r>
          </w:hyperlink>
        </w:p>
        <w:p w:rsidR="004A15FD" w:rsidRPr="004A15FD" w:rsidRDefault="009D03C2">
          <w:pPr>
            <w:pStyle w:val="TOC1"/>
            <w:tabs>
              <w:tab w:val="right" w:leader="dot" w:pos="9016"/>
            </w:tabs>
            <w:rPr>
              <w:rFonts w:eastAsiaTheme="minorEastAsia"/>
              <w:noProof/>
              <w:lang w:eastAsia="en-GB"/>
            </w:rPr>
          </w:pPr>
          <w:hyperlink w:anchor="_Toc188151135" w:history="1">
            <w:r w:rsidR="004A15FD" w:rsidRPr="00F24995">
              <w:rPr>
                <w:rStyle w:val="Hyperlink"/>
                <w:rFonts w:ascii="Arial" w:hAnsi="Arial" w:cs="Arial"/>
                <w:b/>
                <w:noProof/>
              </w:rPr>
              <w:t>9</w:t>
            </w:r>
            <w:r w:rsidR="004A15FD" w:rsidRPr="004A15FD">
              <w:rPr>
                <w:rStyle w:val="Hyperlink"/>
                <w:rFonts w:ascii="Arial" w:hAnsi="Arial" w:cs="Arial"/>
                <w:noProof/>
              </w:rPr>
              <w:t xml:space="preserve">. </w:t>
            </w:r>
            <w:r w:rsidR="004A15FD" w:rsidRPr="004A15FD">
              <w:rPr>
                <w:rStyle w:val="Hyperlink"/>
                <w:rFonts w:ascii="Arial" w:hAnsi="Arial" w:cs="Arial"/>
                <w:b/>
                <w:noProof/>
              </w:rPr>
              <w:t>Appendices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_Toc188151135 \h </w:instrText>
            </w:r>
            <w:r w:rsidR="004A15FD" w:rsidRPr="004A15FD">
              <w:rPr>
                <w:noProof/>
                <w:webHidden/>
              </w:rPr>
            </w:r>
            <w:r w:rsidR="004A15FD" w:rsidRPr="004A15FD">
              <w:rPr>
                <w:noProof/>
                <w:webHidden/>
              </w:rPr>
              <w:fldChar w:fldCharType="separate"/>
            </w:r>
            <w:r w:rsidR="008E476F">
              <w:rPr>
                <w:noProof/>
                <w:webHidden/>
              </w:rPr>
              <w:t>21</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36" w:history="1">
            <w:r w:rsidR="004A15FD" w:rsidRPr="004A15FD">
              <w:rPr>
                <w:rStyle w:val="Hyperlink"/>
                <w:rFonts w:ascii="Arial" w:hAnsi="Arial" w:cs="Arial"/>
                <w:noProof/>
              </w:rPr>
              <w:t>Appendix1: Explanatory notes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_Toc188151136 \h </w:instrText>
            </w:r>
            <w:r w:rsidR="004A15FD" w:rsidRPr="004A15FD">
              <w:rPr>
                <w:noProof/>
                <w:webHidden/>
              </w:rPr>
            </w:r>
            <w:r w:rsidR="004A15FD" w:rsidRPr="004A15FD">
              <w:rPr>
                <w:noProof/>
                <w:webHidden/>
              </w:rPr>
              <w:fldChar w:fldCharType="separate"/>
            </w:r>
            <w:r w:rsidR="008E476F">
              <w:rPr>
                <w:noProof/>
                <w:webHidden/>
              </w:rPr>
              <w:t>22</w:t>
            </w:r>
            <w:r w:rsidR="004A15FD" w:rsidRPr="004A15FD">
              <w:rPr>
                <w:noProof/>
                <w:webHidden/>
              </w:rPr>
              <w:fldChar w:fldCharType="end"/>
            </w:r>
          </w:hyperlink>
        </w:p>
        <w:p w:rsidR="004A15FD" w:rsidRPr="004A15FD" w:rsidRDefault="009D03C2">
          <w:pPr>
            <w:pStyle w:val="TOC2"/>
            <w:tabs>
              <w:tab w:val="right" w:leader="dot" w:pos="9016"/>
            </w:tabs>
            <w:rPr>
              <w:rFonts w:eastAsiaTheme="minorEastAsia"/>
              <w:noProof/>
              <w:lang w:eastAsia="en-GB"/>
            </w:rPr>
          </w:pPr>
          <w:hyperlink w:anchor="_Toc188151137" w:history="1">
            <w:r w:rsidR="004A15FD" w:rsidRPr="004A15FD">
              <w:rPr>
                <w:rStyle w:val="Hyperlink"/>
                <w:rFonts w:ascii="Arial" w:hAnsi="Arial" w:cs="Arial"/>
                <w:noProof/>
              </w:rPr>
              <w:t>Appendix 2:  Calculation of Centrica's Key Financial Ratios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_Toc188151137 \h </w:instrText>
            </w:r>
            <w:r w:rsidR="004A15FD" w:rsidRPr="004A15FD">
              <w:rPr>
                <w:noProof/>
                <w:webHidden/>
              </w:rPr>
            </w:r>
            <w:r w:rsidR="004A15FD" w:rsidRPr="004A15FD">
              <w:rPr>
                <w:noProof/>
                <w:webHidden/>
              </w:rPr>
              <w:fldChar w:fldCharType="separate"/>
            </w:r>
            <w:r w:rsidR="008E476F">
              <w:rPr>
                <w:noProof/>
                <w:webHidden/>
              </w:rPr>
              <w:t>22</w:t>
            </w:r>
            <w:r w:rsidR="004A15FD" w:rsidRPr="004A15FD">
              <w:rPr>
                <w:noProof/>
                <w:webHidden/>
              </w:rPr>
              <w:fldChar w:fldCharType="end"/>
            </w:r>
          </w:hyperlink>
        </w:p>
        <w:p w:rsidR="004A15FD" w:rsidRDefault="009D03C2">
          <w:pPr>
            <w:pStyle w:val="TOC2"/>
            <w:tabs>
              <w:tab w:val="right" w:leader="dot" w:pos="9016"/>
            </w:tabs>
            <w:rPr>
              <w:rFonts w:eastAsiaTheme="minorEastAsia"/>
              <w:noProof/>
              <w:lang w:eastAsia="en-GB"/>
            </w:rPr>
          </w:pPr>
          <w:hyperlink w:anchor="_Toc188151138" w:history="1">
            <w:r w:rsidR="004A15FD" w:rsidRPr="004A15FD">
              <w:rPr>
                <w:rStyle w:val="Hyperlink"/>
                <w:rFonts w:ascii="Arial" w:hAnsi="Arial" w:cs="Arial"/>
                <w:noProof/>
              </w:rPr>
              <w:t>Appendix 3: Greenacres</w:t>
            </w:r>
            <w:r w:rsidR="004A15FD" w:rsidRPr="004A15FD">
              <w:rPr>
                <w:noProof/>
                <w:webHidden/>
              </w:rPr>
              <w:tab/>
            </w:r>
            <w:r w:rsidR="004A15FD" w:rsidRPr="004A15FD">
              <w:rPr>
                <w:noProof/>
                <w:webHidden/>
              </w:rPr>
              <w:fldChar w:fldCharType="begin"/>
            </w:r>
            <w:r w:rsidR="004A15FD" w:rsidRPr="004A15FD">
              <w:rPr>
                <w:noProof/>
                <w:webHidden/>
              </w:rPr>
              <w:instrText xml:space="preserve"> PAGEREF _Toc188151138 \h </w:instrText>
            </w:r>
            <w:r w:rsidR="004A15FD" w:rsidRPr="004A15FD">
              <w:rPr>
                <w:noProof/>
                <w:webHidden/>
              </w:rPr>
            </w:r>
            <w:r w:rsidR="004A15FD" w:rsidRPr="004A15FD">
              <w:rPr>
                <w:noProof/>
                <w:webHidden/>
              </w:rPr>
              <w:fldChar w:fldCharType="separate"/>
            </w:r>
            <w:r w:rsidR="008E476F">
              <w:rPr>
                <w:noProof/>
                <w:webHidden/>
              </w:rPr>
              <w:t>28</w:t>
            </w:r>
            <w:r w:rsidR="004A15FD" w:rsidRPr="004A15FD">
              <w:rPr>
                <w:noProof/>
                <w:webHidden/>
              </w:rPr>
              <w:fldChar w:fldCharType="end"/>
            </w:r>
          </w:hyperlink>
        </w:p>
        <w:p w:rsidR="00EC355A" w:rsidRPr="00646CA5" w:rsidRDefault="00EC355A" w:rsidP="00646CA5">
          <w:pPr>
            <w:spacing w:line="276" w:lineRule="auto"/>
            <w:rPr>
              <w:rFonts w:ascii="Arial" w:hAnsi="Arial" w:cs="Arial"/>
            </w:rPr>
          </w:pPr>
          <w:r w:rsidRPr="00646CA5">
            <w:rPr>
              <w:rFonts w:ascii="Arial" w:hAnsi="Arial" w:cs="Arial"/>
              <w:b/>
              <w:bCs/>
              <w:noProof/>
            </w:rPr>
            <w:fldChar w:fldCharType="end"/>
          </w:r>
        </w:p>
      </w:sdtContent>
    </w:sdt>
    <w:p w:rsidR="00EC355A" w:rsidRPr="00646CA5" w:rsidRDefault="00EC355A" w:rsidP="00646CA5">
      <w:pPr>
        <w:spacing w:line="276" w:lineRule="auto"/>
        <w:rPr>
          <w:rFonts w:ascii="Arial" w:hAnsi="Arial" w:cs="Arial"/>
        </w:rPr>
      </w:pPr>
    </w:p>
    <w:p w:rsidR="00646CA5" w:rsidRPr="00646CA5" w:rsidRDefault="00646CA5" w:rsidP="00646CA5">
      <w:pPr>
        <w:spacing w:line="276" w:lineRule="auto"/>
        <w:rPr>
          <w:rFonts w:ascii="Arial" w:hAnsi="Arial" w:cs="Arial"/>
        </w:rPr>
      </w:pPr>
    </w:p>
    <w:p w:rsidR="00646CA5" w:rsidRPr="00646CA5" w:rsidRDefault="00646CA5" w:rsidP="00646CA5">
      <w:pPr>
        <w:spacing w:line="276" w:lineRule="auto"/>
        <w:rPr>
          <w:rFonts w:ascii="Arial" w:hAnsi="Arial" w:cs="Arial"/>
        </w:rPr>
      </w:pPr>
    </w:p>
    <w:p w:rsidR="00646CA5" w:rsidRDefault="00646CA5" w:rsidP="00646CA5">
      <w:pPr>
        <w:spacing w:line="276" w:lineRule="auto"/>
        <w:rPr>
          <w:rFonts w:ascii="Arial" w:hAnsi="Arial" w:cs="Arial"/>
        </w:rPr>
      </w:pPr>
    </w:p>
    <w:p w:rsidR="008E476F" w:rsidRPr="00646CA5" w:rsidRDefault="008E476F" w:rsidP="00646CA5">
      <w:pPr>
        <w:spacing w:line="276" w:lineRule="auto"/>
        <w:rPr>
          <w:rFonts w:ascii="Arial" w:hAnsi="Arial" w:cs="Arial"/>
        </w:rPr>
      </w:pPr>
    </w:p>
    <w:p w:rsidR="00646CA5" w:rsidRPr="00646CA5" w:rsidRDefault="00646CA5" w:rsidP="00646CA5">
      <w:pPr>
        <w:spacing w:line="276" w:lineRule="auto"/>
        <w:rPr>
          <w:rFonts w:ascii="Arial" w:hAnsi="Arial" w:cs="Arial"/>
        </w:rPr>
      </w:pPr>
    </w:p>
    <w:p w:rsidR="000F18FE" w:rsidRPr="00646CA5" w:rsidRDefault="000F18FE" w:rsidP="00646CA5">
      <w:pPr>
        <w:pStyle w:val="Heading1"/>
        <w:spacing w:line="276" w:lineRule="auto"/>
        <w:rPr>
          <w:rFonts w:ascii="Arial" w:hAnsi="Arial" w:cs="Arial"/>
          <w:b/>
          <w:color w:val="000000" w:themeColor="text1"/>
          <w:sz w:val="28"/>
          <w:szCs w:val="28"/>
        </w:rPr>
      </w:pPr>
      <w:bookmarkStart w:id="0" w:name="_Toc188151113"/>
      <w:r w:rsidRPr="00646CA5">
        <w:rPr>
          <w:rFonts w:ascii="Arial" w:hAnsi="Arial" w:cs="Arial"/>
          <w:b/>
          <w:color w:val="000000" w:themeColor="text1"/>
          <w:sz w:val="28"/>
          <w:szCs w:val="28"/>
        </w:rPr>
        <w:lastRenderedPageBreak/>
        <w:t>1. Executive Summary</w:t>
      </w:r>
      <w:bookmarkEnd w:id="0"/>
      <w:r w:rsidRPr="00646CA5">
        <w:rPr>
          <w:rFonts w:ascii="Arial" w:hAnsi="Arial" w:cs="Arial"/>
          <w:b/>
          <w:color w:val="000000" w:themeColor="text1"/>
          <w:sz w:val="28"/>
          <w:szCs w:val="28"/>
        </w:rPr>
        <w:t xml:space="preserve"> </w:t>
      </w: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r w:rsidRPr="00646CA5">
        <w:rPr>
          <w:rFonts w:ascii="Arial" w:hAnsi="Arial" w:cs="Arial"/>
        </w:rPr>
        <w:t>This particular assignment is divided into two distinct parts, with the primary objective of performing a comprehensive financial analysis of the Centrica organi</w:t>
      </w:r>
      <w:r w:rsidR="009D03C2">
        <w:rPr>
          <w:rFonts w:ascii="Arial" w:hAnsi="Arial" w:cs="Arial"/>
        </w:rPr>
        <w:t>s</w:t>
      </w:r>
      <w:r w:rsidRPr="00646CA5">
        <w:rPr>
          <w:rFonts w:ascii="Arial" w:hAnsi="Arial" w:cs="Arial"/>
        </w:rPr>
        <w:t xml:space="preserve">ation. In the second segment, informal decisions will be made regarding selecting the most advantageous project proposed by the Greenacres company. </w:t>
      </w:r>
    </w:p>
    <w:p w:rsidR="000F18FE" w:rsidRPr="00646CA5" w:rsidRDefault="000F18FE" w:rsidP="00646CA5">
      <w:pPr>
        <w:spacing w:line="276" w:lineRule="auto"/>
        <w:rPr>
          <w:rFonts w:ascii="Arial" w:hAnsi="Arial" w:cs="Arial"/>
        </w:rPr>
      </w:pPr>
      <w:r w:rsidRPr="00646CA5">
        <w:rPr>
          <w:rFonts w:ascii="Arial" w:hAnsi="Arial" w:cs="Arial"/>
        </w:rPr>
        <w:t xml:space="preserve">The project's initial phase commences with a detailed introduction to Centrica, which primarily functions as a gas and electricity supplier. However, through its various subsidiaries, it also provides plumbing and drainage services, in addition to producing innovative smart products. A thorough four-year financial analysis focused on key aspects such as profitability, efficiency, liquidity, investment, and gearing. This analysis is crucial as it comprehensively explains Centrica's financial health and performance. All relevant calculations can be found in Appendix 2, while Appendix 1 contains links to the websites where the financial data was sourced. </w:t>
      </w:r>
      <w:r w:rsidR="00A051A5" w:rsidRPr="00646CA5">
        <w:rPr>
          <w:rFonts w:ascii="Arial" w:hAnsi="Arial" w:cs="Arial"/>
        </w:rPr>
        <w:t>Appendix 2 includes a table that presents the results derived from the calculations. The</w:t>
      </w:r>
      <w:r w:rsidRPr="00646CA5">
        <w:rPr>
          <w:rFonts w:ascii="Arial" w:hAnsi="Arial" w:cs="Arial"/>
        </w:rPr>
        <w:t xml:space="preserve"> analysis revealed that, despite facing challenging years in 2021 and 2022, Centrica possesses the necessary resources to recover, demonstrating that the year 2023 has proven to be significantly more efficient and financially stable. </w:t>
      </w:r>
    </w:p>
    <w:p w:rsidR="008D7A77" w:rsidRPr="00646CA5" w:rsidRDefault="000F18FE" w:rsidP="00646CA5">
      <w:pPr>
        <w:spacing w:line="276" w:lineRule="auto"/>
        <w:rPr>
          <w:rFonts w:ascii="Arial" w:hAnsi="Arial" w:cs="Arial"/>
        </w:rPr>
      </w:pPr>
      <w:r w:rsidRPr="00646CA5">
        <w:rPr>
          <w:rFonts w:ascii="Arial" w:hAnsi="Arial" w:cs="Arial"/>
        </w:rPr>
        <w:t>Moving on to the second part of the assignment, an evaluation of the three projects proposed by Greenacres was undertaken, leading to the recommendation of the project with the highest Net Present Value (NPV). Additionally, the Internal Rate of Return (IRR) for the project boasting the highest NPV was analysed, and various factors that should be considered prior to making an investment were identified, along with the recommended financing methods. Ultimately, given that the project is divisible, the optimal investment policy was calculated, along with the resulting total NPV derived from this investment strategy. All calculations related to this analysis can be found in Appendix 3. The findings indicated that project C has the highest NPV, with its IRR exceeding the cost of capital as recommended by the project. However, when the optimal investment was assessed, project B emerged as having the most favourable cost-benefit ratio, followed closely by projects A and C. If funds are constrained to £2,500,000, project B would be the most viable option, followed by project A, with only 49% of project C being feasible.</w:t>
      </w: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0F18FE" w:rsidRPr="00646CA5" w:rsidRDefault="0043063F" w:rsidP="00646CA5">
      <w:pPr>
        <w:pStyle w:val="Heading1"/>
        <w:spacing w:line="276" w:lineRule="auto"/>
        <w:rPr>
          <w:rFonts w:ascii="Arial" w:hAnsi="Arial" w:cs="Arial"/>
          <w:b/>
          <w:color w:val="000000" w:themeColor="text1"/>
          <w:sz w:val="28"/>
          <w:szCs w:val="28"/>
        </w:rPr>
      </w:pPr>
      <w:bookmarkStart w:id="1" w:name="_Toc188151114"/>
      <w:r w:rsidRPr="00646CA5">
        <w:rPr>
          <w:rFonts w:ascii="Arial" w:hAnsi="Arial" w:cs="Arial"/>
          <w:b/>
          <w:color w:val="000000" w:themeColor="text1"/>
          <w:sz w:val="28"/>
          <w:szCs w:val="28"/>
        </w:rPr>
        <w:lastRenderedPageBreak/>
        <w:t>2.</w:t>
      </w:r>
      <w:r w:rsidR="003B51C5">
        <w:rPr>
          <w:rFonts w:ascii="Arial" w:hAnsi="Arial" w:cs="Arial"/>
          <w:b/>
          <w:color w:val="000000" w:themeColor="text1"/>
          <w:sz w:val="28"/>
          <w:szCs w:val="28"/>
        </w:rPr>
        <w:t xml:space="preserve"> </w:t>
      </w:r>
      <w:r w:rsidR="000F18FE" w:rsidRPr="00646CA5">
        <w:rPr>
          <w:rFonts w:ascii="Arial" w:hAnsi="Arial" w:cs="Arial"/>
          <w:b/>
          <w:color w:val="000000" w:themeColor="text1"/>
          <w:sz w:val="28"/>
          <w:szCs w:val="28"/>
        </w:rPr>
        <w:t>Centrica</w:t>
      </w:r>
      <w:bookmarkEnd w:id="1"/>
      <w:r w:rsidR="000F18FE" w:rsidRPr="00646CA5">
        <w:rPr>
          <w:rFonts w:ascii="Arial" w:hAnsi="Arial" w:cs="Arial"/>
          <w:b/>
          <w:color w:val="000000" w:themeColor="text1"/>
          <w:sz w:val="28"/>
          <w:szCs w:val="28"/>
        </w:rPr>
        <w:t xml:space="preserve"> </w:t>
      </w:r>
    </w:p>
    <w:p w:rsidR="000F18FE" w:rsidRDefault="000F18FE" w:rsidP="00646CA5">
      <w:pPr>
        <w:spacing w:line="276" w:lineRule="auto"/>
        <w:rPr>
          <w:rFonts w:ascii="Arial" w:hAnsi="Arial" w:cs="Arial"/>
        </w:rPr>
      </w:pPr>
    </w:p>
    <w:p w:rsidR="000F18FE" w:rsidRPr="00646CA5" w:rsidRDefault="000F18FE" w:rsidP="00646CA5">
      <w:pPr>
        <w:pStyle w:val="Heading2"/>
        <w:spacing w:line="276" w:lineRule="auto"/>
        <w:rPr>
          <w:rFonts w:ascii="Arial" w:hAnsi="Arial" w:cs="Arial"/>
          <w:b/>
          <w:color w:val="000000" w:themeColor="text1"/>
          <w:sz w:val="24"/>
          <w:szCs w:val="24"/>
        </w:rPr>
      </w:pPr>
      <w:bookmarkStart w:id="2" w:name="_Toc188151115"/>
      <w:r w:rsidRPr="00646CA5">
        <w:rPr>
          <w:rFonts w:ascii="Arial" w:hAnsi="Arial" w:cs="Arial"/>
          <w:b/>
          <w:color w:val="000000" w:themeColor="text1"/>
          <w:sz w:val="24"/>
          <w:szCs w:val="24"/>
        </w:rPr>
        <w:t>2.</w:t>
      </w:r>
      <w:r w:rsidR="0043063F" w:rsidRPr="00646CA5">
        <w:rPr>
          <w:rFonts w:ascii="Arial" w:hAnsi="Arial" w:cs="Arial"/>
          <w:b/>
          <w:color w:val="000000" w:themeColor="text1"/>
          <w:sz w:val="24"/>
          <w:szCs w:val="24"/>
        </w:rPr>
        <w:t>1</w:t>
      </w:r>
      <w:r w:rsidRPr="00646CA5">
        <w:rPr>
          <w:rFonts w:ascii="Arial" w:hAnsi="Arial" w:cs="Arial"/>
          <w:b/>
          <w:color w:val="000000" w:themeColor="text1"/>
          <w:sz w:val="24"/>
          <w:szCs w:val="24"/>
        </w:rPr>
        <w:t xml:space="preserve"> Introduction</w:t>
      </w:r>
      <w:bookmarkEnd w:id="2"/>
      <w:r w:rsidRPr="00646CA5">
        <w:rPr>
          <w:rFonts w:ascii="Arial" w:hAnsi="Arial" w:cs="Arial"/>
          <w:b/>
          <w:color w:val="000000" w:themeColor="text1"/>
          <w:sz w:val="24"/>
          <w:szCs w:val="24"/>
        </w:rPr>
        <w:t xml:space="preserve"> </w:t>
      </w: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r w:rsidRPr="00646CA5">
        <w:rPr>
          <w:rFonts w:ascii="Arial" w:hAnsi="Arial" w:cs="Arial"/>
        </w:rPr>
        <w:t xml:space="preserve">Centrica, a significant player in the energy services sector, operates primarily in the UK and Ireland, with a presence in countries like Denmark, Sweden, Norway, the Netherlands, and North America (Global Data, 2025). The company caters to more than 9 million residential and business clients and encompasses brands such as British Gas, </w:t>
      </w:r>
      <w:proofErr w:type="spellStart"/>
      <w:r w:rsidRPr="00646CA5">
        <w:rPr>
          <w:rFonts w:ascii="Arial" w:hAnsi="Arial" w:cs="Arial"/>
        </w:rPr>
        <w:t>Bord</w:t>
      </w:r>
      <w:proofErr w:type="spellEnd"/>
      <w:r w:rsidRPr="00646CA5">
        <w:rPr>
          <w:rFonts w:ascii="Arial" w:hAnsi="Arial" w:cs="Arial"/>
        </w:rPr>
        <w:t xml:space="preserve"> </w:t>
      </w:r>
      <w:proofErr w:type="spellStart"/>
      <w:r w:rsidRPr="00646CA5">
        <w:rPr>
          <w:rFonts w:ascii="Arial" w:hAnsi="Arial" w:cs="Arial"/>
        </w:rPr>
        <w:t>Gais</w:t>
      </w:r>
      <w:proofErr w:type="spellEnd"/>
      <w:r w:rsidRPr="00646CA5">
        <w:rPr>
          <w:rFonts w:ascii="Arial" w:hAnsi="Arial" w:cs="Arial"/>
        </w:rPr>
        <w:t>, Centrica Business Solutions, Hive, and Dyno (Centrica, 2022; Centrica 2024).</w:t>
      </w:r>
    </w:p>
    <w:p w:rsidR="000F18FE" w:rsidRPr="00646CA5" w:rsidRDefault="000F18FE" w:rsidP="00646CA5">
      <w:pPr>
        <w:spacing w:line="276" w:lineRule="auto"/>
        <w:rPr>
          <w:rFonts w:ascii="Arial" w:hAnsi="Arial" w:cs="Arial"/>
        </w:rPr>
      </w:pPr>
      <w:r w:rsidRPr="00646CA5">
        <w:rPr>
          <w:rFonts w:ascii="Arial" w:hAnsi="Arial" w:cs="Arial"/>
        </w:rPr>
        <w:t>Centrica not only functions as a supplier of energy and gas but also engages in a diverse array of activities. Through its subsidiaries, the company manufactures and installs intelligent products, provides drainage and plumbing services, and participates in the social housing sector by offering installation and maintenance solutions (Centrica, 2024).</w:t>
      </w:r>
    </w:p>
    <w:p w:rsidR="000F18FE" w:rsidRPr="00646CA5" w:rsidRDefault="000F18FE" w:rsidP="00646CA5">
      <w:pPr>
        <w:spacing w:line="276" w:lineRule="auto"/>
        <w:rPr>
          <w:rFonts w:ascii="Arial" w:hAnsi="Arial" w:cs="Arial"/>
        </w:rPr>
      </w:pPr>
      <w:r w:rsidRPr="00646CA5">
        <w:rPr>
          <w:rFonts w:ascii="Arial" w:hAnsi="Arial" w:cs="Arial"/>
        </w:rPr>
        <w:t>Following a successful financial year in 2023, the organi</w:t>
      </w:r>
      <w:r w:rsidR="009D03C2">
        <w:rPr>
          <w:rFonts w:ascii="Arial" w:hAnsi="Arial" w:cs="Arial"/>
        </w:rPr>
        <w:t>s</w:t>
      </w:r>
      <w:r w:rsidRPr="00646CA5">
        <w:rPr>
          <w:rFonts w:ascii="Arial" w:hAnsi="Arial" w:cs="Arial"/>
        </w:rPr>
        <w:t>ation is committed to pursuing continuous profitability, expanding its operations, and providing shareholder returns that reflect its earnings. Importantly, it is also investing in renewable energy initiatives, demonstrating its dedication to fostering a sustainable future for its communities, clients, and employees (Centrica, 2024).</w:t>
      </w:r>
    </w:p>
    <w:p w:rsidR="000F18FE" w:rsidRPr="00646CA5" w:rsidRDefault="000F18FE" w:rsidP="00646CA5">
      <w:pPr>
        <w:spacing w:line="276" w:lineRule="auto"/>
        <w:rPr>
          <w:rFonts w:ascii="Arial" w:hAnsi="Arial" w:cs="Arial"/>
        </w:rPr>
      </w:pPr>
      <w:r w:rsidRPr="00646CA5">
        <w:rPr>
          <w:rFonts w:ascii="Arial" w:hAnsi="Arial" w:cs="Arial"/>
        </w:rPr>
        <w:t>Since 1997, Centrica has traded on the London Stock Exchange, identified by the ticker symbol CNA (London Stock Exchange, 2024). This report intends to evaluate the company's profit margin and effectiveness, cash flow, capital investment, and leverage using the relevant ratios. These ratios are commonly used in financial analysis to assess a company's financial health and performance (See Appendix 2).</w:t>
      </w:r>
    </w:p>
    <w:p w:rsidR="000F18FE" w:rsidRDefault="000F18FE" w:rsidP="00646CA5">
      <w:pPr>
        <w:spacing w:line="276" w:lineRule="auto"/>
        <w:rPr>
          <w:rFonts w:ascii="Arial" w:hAnsi="Arial" w:cs="Arial"/>
        </w:rPr>
      </w:pPr>
    </w:p>
    <w:p w:rsidR="00646CA5" w:rsidRPr="00646CA5" w:rsidRDefault="00646CA5" w:rsidP="00646CA5">
      <w:pPr>
        <w:spacing w:line="276" w:lineRule="auto"/>
        <w:rPr>
          <w:rFonts w:ascii="Arial" w:hAnsi="Arial" w:cs="Arial"/>
        </w:rPr>
      </w:pPr>
    </w:p>
    <w:p w:rsidR="000F18FE" w:rsidRPr="00646CA5" w:rsidRDefault="0043063F" w:rsidP="00646CA5">
      <w:pPr>
        <w:pStyle w:val="Heading3"/>
        <w:spacing w:line="276" w:lineRule="auto"/>
        <w:rPr>
          <w:rFonts w:ascii="Arial" w:hAnsi="Arial" w:cs="Arial"/>
          <w:b/>
          <w:color w:val="000000" w:themeColor="text1"/>
        </w:rPr>
      </w:pPr>
      <w:bookmarkStart w:id="3" w:name="_Toc188151116"/>
      <w:r w:rsidRPr="00646CA5">
        <w:rPr>
          <w:rFonts w:ascii="Arial" w:hAnsi="Arial" w:cs="Arial"/>
          <w:b/>
          <w:color w:val="000000" w:themeColor="text1"/>
        </w:rPr>
        <w:t>2.2 The</w:t>
      </w:r>
      <w:r w:rsidR="000F18FE" w:rsidRPr="00646CA5">
        <w:rPr>
          <w:rFonts w:ascii="Arial" w:hAnsi="Arial" w:cs="Arial"/>
          <w:b/>
          <w:color w:val="000000" w:themeColor="text1"/>
        </w:rPr>
        <w:t xml:space="preserve"> positive and negative aspects of utilising financial ratios</w:t>
      </w:r>
      <w:bookmarkEnd w:id="3"/>
      <w:r w:rsidR="000F18FE" w:rsidRPr="00646CA5">
        <w:rPr>
          <w:rFonts w:ascii="Arial" w:hAnsi="Arial" w:cs="Arial"/>
          <w:b/>
          <w:color w:val="000000" w:themeColor="text1"/>
        </w:rPr>
        <w:t xml:space="preserve"> </w:t>
      </w:r>
    </w:p>
    <w:p w:rsidR="000F18FE" w:rsidRPr="00646CA5" w:rsidRDefault="000F18FE" w:rsidP="00646CA5">
      <w:pPr>
        <w:spacing w:line="276" w:lineRule="auto"/>
        <w:rPr>
          <w:rFonts w:ascii="Arial" w:hAnsi="Arial" w:cs="Arial"/>
        </w:rPr>
      </w:pPr>
    </w:p>
    <w:p w:rsidR="000F18FE" w:rsidRPr="00646CA5" w:rsidRDefault="000F18FE" w:rsidP="00646CA5">
      <w:pPr>
        <w:spacing w:line="276" w:lineRule="auto"/>
        <w:rPr>
          <w:rFonts w:ascii="Arial" w:hAnsi="Arial" w:cs="Arial"/>
        </w:rPr>
      </w:pPr>
      <w:r w:rsidRPr="00646CA5">
        <w:rPr>
          <w:rFonts w:ascii="Arial" w:hAnsi="Arial" w:cs="Arial"/>
        </w:rPr>
        <w:t>Managers harness the power of business ratios to guide their decisions, empowering them to steer the company towards maximum profitability and long-term success (Walsh, 2008). These ratios serve as a compass, allowing managers to gauge the company's performance, its ability to meet debt obligations, profitability levels, and the likelihood of failure (Barnes, 1987). They also open the door to comparisons across different time periods and against other companies in the industry (Marsh, 2012).</w:t>
      </w:r>
    </w:p>
    <w:p w:rsidR="000F18FE" w:rsidRPr="00646CA5" w:rsidRDefault="000F18FE" w:rsidP="00646CA5">
      <w:pPr>
        <w:spacing w:line="276" w:lineRule="auto"/>
        <w:rPr>
          <w:rFonts w:ascii="Arial" w:hAnsi="Arial" w:cs="Arial"/>
        </w:rPr>
      </w:pPr>
      <w:r w:rsidRPr="00646CA5">
        <w:rPr>
          <w:rFonts w:ascii="Arial" w:hAnsi="Arial" w:cs="Arial"/>
        </w:rPr>
        <w:t>While these financial ratios offer important insights, they come with limitations; for instance, when a company is large and operates across multiple industries, creating a reliable set of "industry averages" becomes challenging (p. 124, Brigham and Houston, 2007). Additionally, inflation can impact the financial analysis, necessitating adjustments to the results, and leased assets do not show up on the balance sheet, leading to a distorted view of the company's financial health.</w:t>
      </w:r>
    </w:p>
    <w:p w:rsidR="000F18FE" w:rsidRPr="00646CA5" w:rsidRDefault="000F18FE" w:rsidP="00646CA5">
      <w:pPr>
        <w:spacing w:line="276" w:lineRule="auto"/>
        <w:rPr>
          <w:rFonts w:ascii="Arial" w:hAnsi="Arial" w:cs="Arial"/>
        </w:rPr>
      </w:pPr>
      <w:r w:rsidRPr="00646CA5">
        <w:rPr>
          <w:rFonts w:ascii="Arial" w:hAnsi="Arial" w:cs="Arial"/>
        </w:rPr>
        <w:t xml:space="preserve">Companies often employ a variety of financial strategies, including short-term loans, to create a misleading impression of their financial ratios, even when their actual financial </w:t>
      </w:r>
      <w:r w:rsidRPr="00646CA5">
        <w:rPr>
          <w:rFonts w:ascii="Arial" w:hAnsi="Arial" w:cs="Arial"/>
        </w:rPr>
        <w:lastRenderedPageBreak/>
        <w:t>health may be quite different. The presence of some ratios that suggest positive growth alongside others that indicate poor performance can sow seeds of confusion in interpreting the results (Brigham and Houston, 2007).</w:t>
      </w:r>
    </w:p>
    <w:p w:rsidR="000F18FE" w:rsidRPr="00646CA5" w:rsidRDefault="000F18FE" w:rsidP="00646CA5">
      <w:pPr>
        <w:spacing w:line="276" w:lineRule="auto"/>
        <w:rPr>
          <w:rFonts w:ascii="Arial" w:hAnsi="Arial" w:cs="Arial"/>
        </w:rPr>
      </w:pPr>
      <w:r w:rsidRPr="00646CA5">
        <w:rPr>
          <w:rFonts w:ascii="Arial" w:hAnsi="Arial" w:cs="Arial"/>
        </w:rPr>
        <w:t>Managers utilise profitability ratios to assess their financial health, including gross</w:t>
      </w:r>
      <w:r w:rsidR="003B51C5">
        <w:rPr>
          <w:rFonts w:ascii="Arial" w:hAnsi="Arial" w:cs="Arial"/>
        </w:rPr>
        <w:t xml:space="preserve"> </w:t>
      </w:r>
      <w:r w:rsidRPr="00646CA5">
        <w:rPr>
          <w:rFonts w:ascii="Arial" w:hAnsi="Arial" w:cs="Arial"/>
        </w:rPr>
        <w:t>profit, and net profit calculations. Additionally, liquidity ratios help gauge the company's ability to meet short-term obligations, while gearing and efficiency ratios enhance the overall financial analysis (</w:t>
      </w:r>
      <w:proofErr w:type="spellStart"/>
      <w:r w:rsidRPr="00646CA5">
        <w:rPr>
          <w:rFonts w:ascii="Arial" w:hAnsi="Arial" w:cs="Arial"/>
        </w:rPr>
        <w:t>Stobierski</w:t>
      </w:r>
      <w:proofErr w:type="spellEnd"/>
      <w:r w:rsidRPr="00646CA5">
        <w:rPr>
          <w:rFonts w:ascii="Arial" w:hAnsi="Arial" w:cs="Arial"/>
        </w:rPr>
        <w:t>, 2020).</w:t>
      </w:r>
    </w:p>
    <w:p w:rsidR="000F18FE" w:rsidRPr="00646CA5" w:rsidRDefault="000F18FE" w:rsidP="00646CA5">
      <w:pPr>
        <w:pStyle w:val="Heading1"/>
        <w:spacing w:line="276" w:lineRule="auto"/>
        <w:rPr>
          <w:rFonts w:ascii="Arial" w:hAnsi="Arial" w:cs="Arial"/>
          <w:sz w:val="22"/>
          <w:szCs w:val="22"/>
        </w:rPr>
      </w:pPr>
    </w:p>
    <w:p w:rsidR="000F18FE" w:rsidRPr="00646CA5" w:rsidRDefault="000F18FE" w:rsidP="00646CA5">
      <w:pPr>
        <w:pStyle w:val="Heading1"/>
        <w:spacing w:line="276" w:lineRule="auto"/>
        <w:rPr>
          <w:rFonts w:ascii="Arial" w:hAnsi="Arial" w:cs="Arial"/>
          <w:b/>
          <w:color w:val="000000" w:themeColor="text1"/>
          <w:sz w:val="28"/>
          <w:szCs w:val="28"/>
        </w:rPr>
      </w:pPr>
      <w:bookmarkStart w:id="4" w:name="_Toc188151117"/>
      <w:r w:rsidRPr="00646CA5">
        <w:rPr>
          <w:rFonts w:ascii="Arial" w:hAnsi="Arial" w:cs="Arial"/>
          <w:b/>
          <w:color w:val="000000" w:themeColor="text1"/>
          <w:sz w:val="28"/>
          <w:szCs w:val="28"/>
        </w:rPr>
        <w:t>3. Centrica’s Financial Analysis</w:t>
      </w:r>
      <w:bookmarkEnd w:id="4"/>
      <w:r w:rsidRPr="00646CA5">
        <w:rPr>
          <w:rFonts w:ascii="Arial" w:hAnsi="Arial" w:cs="Arial"/>
          <w:b/>
          <w:color w:val="000000" w:themeColor="text1"/>
          <w:sz w:val="28"/>
          <w:szCs w:val="28"/>
        </w:rPr>
        <w:t xml:space="preserve"> </w:t>
      </w:r>
    </w:p>
    <w:p w:rsidR="007D7AAF" w:rsidRPr="00646CA5" w:rsidRDefault="007D7AAF" w:rsidP="00646CA5">
      <w:pPr>
        <w:spacing w:line="276" w:lineRule="auto"/>
        <w:rPr>
          <w:rFonts w:ascii="Arial" w:hAnsi="Arial" w:cs="Arial"/>
        </w:rPr>
      </w:pPr>
    </w:p>
    <w:p w:rsidR="000F18FE" w:rsidRPr="00646CA5" w:rsidRDefault="000F18FE" w:rsidP="00646CA5">
      <w:pPr>
        <w:pStyle w:val="Heading2"/>
        <w:spacing w:line="276" w:lineRule="auto"/>
        <w:rPr>
          <w:rFonts w:ascii="Arial" w:hAnsi="Arial" w:cs="Arial"/>
          <w:b/>
          <w:color w:val="000000" w:themeColor="text1"/>
          <w:sz w:val="24"/>
          <w:szCs w:val="24"/>
        </w:rPr>
      </w:pPr>
      <w:bookmarkStart w:id="5" w:name="_Toc188151118"/>
      <w:r w:rsidRPr="00646CA5">
        <w:rPr>
          <w:rFonts w:ascii="Arial" w:hAnsi="Arial" w:cs="Arial"/>
          <w:b/>
          <w:color w:val="000000" w:themeColor="text1"/>
          <w:sz w:val="24"/>
          <w:szCs w:val="24"/>
        </w:rPr>
        <w:t>3.1 Profitability</w:t>
      </w:r>
      <w:bookmarkEnd w:id="5"/>
      <w:r w:rsidRPr="00646CA5">
        <w:rPr>
          <w:rFonts w:ascii="Arial" w:hAnsi="Arial" w:cs="Arial"/>
          <w:b/>
          <w:color w:val="000000" w:themeColor="text1"/>
          <w:sz w:val="24"/>
          <w:szCs w:val="24"/>
        </w:rPr>
        <w:t xml:space="preserve"> </w:t>
      </w:r>
    </w:p>
    <w:p w:rsidR="00D66AF0" w:rsidRPr="00646CA5" w:rsidRDefault="00D66AF0" w:rsidP="00646CA5">
      <w:pPr>
        <w:spacing w:line="276" w:lineRule="auto"/>
        <w:rPr>
          <w:rFonts w:ascii="Arial" w:hAnsi="Arial" w:cs="Arial"/>
        </w:rPr>
      </w:pPr>
    </w:p>
    <w:p w:rsidR="000F18FE" w:rsidRPr="00646CA5" w:rsidRDefault="0043063F" w:rsidP="00646CA5">
      <w:pPr>
        <w:spacing w:line="276" w:lineRule="auto"/>
        <w:rPr>
          <w:rFonts w:ascii="Arial" w:hAnsi="Arial" w:cs="Arial"/>
          <w:sz w:val="24"/>
          <w:szCs w:val="24"/>
        </w:rPr>
      </w:pPr>
      <w:proofErr w:type="spellStart"/>
      <w:r w:rsidRPr="00646CA5">
        <w:rPr>
          <w:rFonts w:ascii="Arial" w:hAnsi="Arial" w:cs="Arial"/>
          <w:sz w:val="24"/>
          <w:szCs w:val="24"/>
        </w:rPr>
        <w:t>i</w:t>
      </w:r>
      <w:proofErr w:type="spellEnd"/>
      <w:r w:rsidRPr="00646CA5">
        <w:rPr>
          <w:rFonts w:ascii="Arial" w:hAnsi="Arial" w:cs="Arial"/>
          <w:sz w:val="24"/>
          <w:szCs w:val="24"/>
        </w:rPr>
        <w:t>. Return</w:t>
      </w:r>
      <w:r w:rsidR="000F18FE" w:rsidRPr="00646CA5">
        <w:rPr>
          <w:rFonts w:ascii="Arial" w:hAnsi="Arial" w:cs="Arial"/>
          <w:sz w:val="24"/>
          <w:szCs w:val="24"/>
        </w:rPr>
        <w:t xml:space="preserve"> on Capital Employed (ROCE)</w:t>
      </w:r>
    </w:p>
    <w:p w:rsidR="000F18FE" w:rsidRPr="00646CA5" w:rsidRDefault="000F18FE" w:rsidP="00646CA5">
      <w:pPr>
        <w:pStyle w:val="NormalWeb"/>
        <w:spacing w:line="276" w:lineRule="auto"/>
        <w:rPr>
          <w:rFonts w:ascii="Arial" w:hAnsi="Arial" w:cs="Arial"/>
          <w:sz w:val="22"/>
          <w:szCs w:val="22"/>
        </w:rPr>
      </w:pPr>
      <w:r w:rsidRPr="00646CA5">
        <w:rPr>
          <w:rFonts w:ascii="Arial" w:hAnsi="Arial" w:cs="Arial"/>
          <w:sz w:val="22"/>
          <w:szCs w:val="22"/>
        </w:rPr>
        <w:t>ROCE serves as a profitability metric, indicating the income generated by the company for every pound invested (</w:t>
      </w:r>
      <w:proofErr w:type="spellStart"/>
      <w:r w:rsidRPr="00646CA5">
        <w:rPr>
          <w:rFonts w:ascii="Arial" w:hAnsi="Arial" w:cs="Arial"/>
          <w:sz w:val="22"/>
          <w:szCs w:val="22"/>
        </w:rPr>
        <w:t>Atrill</w:t>
      </w:r>
      <w:proofErr w:type="spellEnd"/>
      <w:r w:rsidRPr="00646CA5">
        <w:rPr>
          <w:rFonts w:ascii="Arial" w:hAnsi="Arial" w:cs="Arial"/>
          <w:sz w:val="22"/>
          <w:szCs w:val="22"/>
        </w:rPr>
        <w:t xml:space="preserve"> and McLaney, 2021). Given that over half of gas and electricity suppliers face financial instability or potential bankruptcy, Centrica has maintained a positive ROCE over the past four years, demonstrating effective use of its invested capital, particularly since a ROCE of at least 20% signifies a strong financial standing (Hayes, 2024; Price Bailey, 2025). Centrica reported a ROCE of 19.5% pre-pandemic, which fell to 2.67% during the pandemic. However, the figures for 2022 and 2023 show a robust recovery, with ROCEs of 113.36% and 128.29%, respectively. The low ROCE in 2021 was primarily due to a significant drop in earnings before interest and taxes (EBIT), from 1,842 in 2020 to 244 in 2021, as Centrica anticipated losses from certain "onerous" energy contracts linked to high energy prices and the impact of Covid-19. This led the company to set aside £0.9 billion for unforeseen expenses, reducing profits that year. Following the decline in energy prices in 2022, Centrica was able to reintegrate those funds into its financials (p. 109, Centrica plc Annual Report and Accounts 2022). For comparison, </w:t>
      </w:r>
      <w:r w:rsidR="0043063F" w:rsidRPr="00646CA5">
        <w:rPr>
          <w:rFonts w:ascii="Arial" w:hAnsi="Arial" w:cs="Arial"/>
          <w:sz w:val="22"/>
          <w:szCs w:val="22"/>
        </w:rPr>
        <w:t>E. ON</w:t>
      </w:r>
      <w:r w:rsidRPr="00646CA5">
        <w:rPr>
          <w:rFonts w:ascii="Arial" w:hAnsi="Arial" w:cs="Arial"/>
          <w:sz w:val="22"/>
          <w:szCs w:val="22"/>
        </w:rPr>
        <w:t xml:space="preserve"> reported </w:t>
      </w:r>
      <w:r w:rsidR="00ED26F2">
        <w:rPr>
          <w:rFonts w:ascii="Arial" w:hAnsi="Arial" w:cs="Arial"/>
          <w:sz w:val="22"/>
          <w:szCs w:val="22"/>
        </w:rPr>
        <w:t>a</w:t>
      </w:r>
      <w:r w:rsidRPr="00646CA5">
        <w:rPr>
          <w:rFonts w:ascii="Arial" w:hAnsi="Arial" w:cs="Arial"/>
          <w:sz w:val="22"/>
          <w:szCs w:val="22"/>
        </w:rPr>
        <w:t xml:space="preserve"> ROCE of 6% for the period from September 2023 to September 2024, while the industry average stands at approximately 7.2% (Simply Wall St, 2025). This comparison underscores Centrica’s strong recovery post-pandemic, as evidenced by its impressive ROCE in 2022 and </w:t>
      </w:r>
      <w:r w:rsidR="0043063F" w:rsidRPr="00646CA5">
        <w:rPr>
          <w:rFonts w:ascii="Arial" w:hAnsi="Arial" w:cs="Arial"/>
          <w:sz w:val="22"/>
          <w:szCs w:val="22"/>
        </w:rPr>
        <w:t>2023.</w:t>
      </w:r>
    </w:p>
    <w:p w:rsidR="000F18FE" w:rsidRPr="00646CA5" w:rsidRDefault="000F18FE" w:rsidP="00646CA5">
      <w:pPr>
        <w:pStyle w:val="NormalWeb"/>
        <w:spacing w:line="276" w:lineRule="auto"/>
        <w:rPr>
          <w:rFonts w:ascii="Arial" w:hAnsi="Arial" w:cs="Arial"/>
          <w:sz w:val="22"/>
          <w:szCs w:val="22"/>
        </w:rPr>
      </w:pPr>
    </w:p>
    <w:p w:rsidR="000F18FE" w:rsidRPr="00646CA5" w:rsidRDefault="0043063F" w:rsidP="00646CA5">
      <w:pPr>
        <w:spacing w:line="276" w:lineRule="auto"/>
        <w:rPr>
          <w:rFonts w:ascii="Arial" w:hAnsi="Arial" w:cs="Arial"/>
          <w:sz w:val="24"/>
          <w:szCs w:val="24"/>
        </w:rPr>
      </w:pPr>
      <w:r w:rsidRPr="00646CA5">
        <w:rPr>
          <w:rFonts w:ascii="Arial" w:hAnsi="Arial" w:cs="Arial"/>
          <w:sz w:val="24"/>
          <w:szCs w:val="24"/>
        </w:rPr>
        <w:t>ii.</w:t>
      </w:r>
      <w:r w:rsidR="000F18FE" w:rsidRPr="00646CA5">
        <w:rPr>
          <w:rFonts w:ascii="Arial" w:hAnsi="Arial" w:cs="Arial"/>
          <w:sz w:val="24"/>
          <w:szCs w:val="24"/>
        </w:rPr>
        <w:t>Net Profit</w:t>
      </w:r>
    </w:p>
    <w:p w:rsidR="000F18FE" w:rsidRPr="00646CA5" w:rsidRDefault="000F18FE" w:rsidP="00646CA5">
      <w:pPr>
        <w:pStyle w:val="NormalWeb"/>
        <w:spacing w:line="276" w:lineRule="auto"/>
        <w:rPr>
          <w:rFonts w:ascii="Arial" w:hAnsi="Arial" w:cs="Arial"/>
          <w:sz w:val="22"/>
          <w:szCs w:val="22"/>
        </w:rPr>
      </w:pPr>
      <w:r w:rsidRPr="00646CA5">
        <w:rPr>
          <w:rFonts w:ascii="Arial" w:hAnsi="Arial" w:cs="Arial"/>
          <w:sz w:val="22"/>
          <w:szCs w:val="22"/>
        </w:rPr>
        <w:t xml:space="preserve">Analysing Centrica's net profit over the past four years, my analysis revealed a net profit margin of 5.02%, while the corresponding figure for the industry stood at 11.30% during the same timeframe (See Appendix 2). This discrepancy suggests that the company may not be charging sufficient fees to achieve profitability or is overspending (Corporate Finance Institute 2025). In 2023, Centrica surpassed the industry benchmark with a net profit margin of 14.85%, but in 2021, it fell short with a margin of 8.21%. The company reported a loss of (3.29) % in 2022 due to an income tax expense of (253), a minority interest of (146), and a negative EBIT (including unusual items) of (383), resulting in a net income of (782) </w:t>
      </w:r>
      <w:r w:rsidRPr="00646CA5">
        <w:rPr>
          <w:rFonts w:ascii="Arial" w:hAnsi="Arial" w:cs="Arial"/>
          <w:sz w:val="22"/>
          <w:szCs w:val="22"/>
        </w:rPr>
        <w:lastRenderedPageBreak/>
        <w:t xml:space="preserve">(Investing.com, 2025). The financial statement highlights exceptional items that contributed to a loss of (383), specifically citing "disposal on the Spirit Energy Norway assets" (Centrica plc Preliminary Results for the year ended 31 December 2022 (2023), p. 13). Alongside these factors and increased taxes, the profit from the Energy Profits Levy and rising deferred tax liabilities also played a role (H M Treasury, 2024). The loss might have been greater if the value of nuclear investments had not risen due to improved power price forecasts. While some macroeconomic factors, such as the introduction of a new tax, are beyond the CEO's control, it is recommended to </w:t>
      </w:r>
      <w:r w:rsidR="0043063F" w:rsidRPr="00646CA5">
        <w:rPr>
          <w:rFonts w:ascii="Arial" w:hAnsi="Arial" w:cs="Arial"/>
          <w:sz w:val="22"/>
          <w:szCs w:val="22"/>
        </w:rPr>
        <w:t>use hedging tools more effectively</w:t>
      </w:r>
      <w:r w:rsidRPr="00646CA5">
        <w:rPr>
          <w:rFonts w:ascii="Arial" w:hAnsi="Arial" w:cs="Arial"/>
          <w:sz w:val="22"/>
          <w:szCs w:val="22"/>
        </w:rPr>
        <w:t xml:space="preserve"> to secure favourable rates, offering hope for future financial strategies.  Nevertheless, short-term losses do not pose a significant threat, as Centrica has shown remarkable recovery post-loss; however, ongoing losses could raise concerns unless they are directed towards research and development, which may yield higher profits in the future (</w:t>
      </w:r>
      <w:proofErr w:type="spellStart"/>
      <w:r w:rsidRPr="00646CA5">
        <w:rPr>
          <w:rFonts w:ascii="Arial" w:hAnsi="Arial" w:cs="Arial"/>
          <w:sz w:val="22"/>
          <w:szCs w:val="22"/>
        </w:rPr>
        <w:t>Joos</w:t>
      </w:r>
      <w:proofErr w:type="spellEnd"/>
      <w:r w:rsidRPr="00646CA5">
        <w:rPr>
          <w:rFonts w:ascii="Arial" w:hAnsi="Arial" w:cs="Arial"/>
          <w:sz w:val="22"/>
          <w:szCs w:val="22"/>
        </w:rPr>
        <w:t xml:space="preserve"> and </w:t>
      </w:r>
      <w:proofErr w:type="spellStart"/>
      <w:r w:rsidRPr="00646CA5">
        <w:rPr>
          <w:rFonts w:ascii="Arial" w:hAnsi="Arial" w:cs="Arial"/>
          <w:sz w:val="22"/>
          <w:szCs w:val="22"/>
        </w:rPr>
        <w:t>Plesko</w:t>
      </w:r>
      <w:proofErr w:type="spellEnd"/>
      <w:r w:rsidRPr="00646CA5">
        <w:rPr>
          <w:rFonts w:ascii="Arial" w:hAnsi="Arial" w:cs="Arial"/>
          <w:sz w:val="22"/>
          <w:szCs w:val="22"/>
        </w:rPr>
        <w:t>, 2005).</w:t>
      </w:r>
    </w:p>
    <w:p w:rsidR="0043063F" w:rsidRPr="00646CA5" w:rsidRDefault="0043063F" w:rsidP="00646CA5">
      <w:pPr>
        <w:pStyle w:val="NormalWeb"/>
        <w:spacing w:line="276" w:lineRule="auto"/>
        <w:rPr>
          <w:rFonts w:ascii="Arial" w:hAnsi="Arial" w:cs="Arial"/>
          <w:sz w:val="22"/>
          <w:szCs w:val="22"/>
        </w:rPr>
      </w:pPr>
    </w:p>
    <w:p w:rsidR="000F18FE" w:rsidRDefault="0043063F" w:rsidP="00646CA5">
      <w:pPr>
        <w:pStyle w:val="NormalWeb"/>
        <w:spacing w:line="276" w:lineRule="auto"/>
        <w:rPr>
          <w:rFonts w:ascii="Arial" w:hAnsi="Arial" w:cs="Arial"/>
        </w:rPr>
      </w:pPr>
      <w:r w:rsidRPr="00646CA5">
        <w:rPr>
          <w:rFonts w:ascii="Arial" w:hAnsi="Arial" w:cs="Arial"/>
        </w:rPr>
        <w:t xml:space="preserve">iii. </w:t>
      </w:r>
      <w:r w:rsidR="000F18FE" w:rsidRPr="00646CA5">
        <w:rPr>
          <w:rFonts w:ascii="Arial" w:hAnsi="Arial" w:cs="Arial"/>
        </w:rPr>
        <w:t xml:space="preserve">Gross Profit </w:t>
      </w:r>
    </w:p>
    <w:p w:rsidR="000F18FE" w:rsidRPr="00646CA5" w:rsidRDefault="000F18FE" w:rsidP="00646CA5">
      <w:pPr>
        <w:pStyle w:val="NormalWeb"/>
        <w:spacing w:line="276" w:lineRule="auto"/>
        <w:rPr>
          <w:rFonts w:ascii="Arial" w:hAnsi="Arial" w:cs="Arial"/>
          <w:sz w:val="22"/>
          <w:szCs w:val="22"/>
        </w:rPr>
      </w:pPr>
      <w:r w:rsidRPr="00646CA5">
        <w:rPr>
          <w:rFonts w:ascii="Arial" w:hAnsi="Arial" w:cs="Arial"/>
          <w:sz w:val="22"/>
          <w:szCs w:val="22"/>
        </w:rPr>
        <w:t>Centrica currently reports a gross profit of 28.43%, which falls short of the industry average of 34.04% (see Appendix 2 for detailed calculations based on a comprehensive four-year average). However, the company boasts a remarkable gross profit margin of 50.79% for 2023, significantly surpassing the industry standard (Investing.com, 2025). The gross profit margin has varied over the years; for example, it was 21.23% in 2020. In 2021, the margin dropped to a concerning 4.89%, largely due to a 39.33% rise in total operating expenses, including depreciation and amorti</w:t>
      </w:r>
      <w:r w:rsidR="009D03C2">
        <w:rPr>
          <w:rFonts w:ascii="Arial" w:hAnsi="Arial" w:cs="Arial"/>
          <w:sz w:val="22"/>
          <w:szCs w:val="22"/>
        </w:rPr>
        <w:t>s</w:t>
      </w:r>
      <w:r w:rsidRPr="00646CA5">
        <w:rPr>
          <w:rFonts w:ascii="Arial" w:hAnsi="Arial" w:cs="Arial"/>
          <w:sz w:val="22"/>
          <w:szCs w:val="22"/>
        </w:rPr>
        <w:t>ation. Operating expenses nearly matched total revenue, creating substantial pressure on profitability. The years 2021 and 2022 show unusual trends, with a net profit of 8.20% and a gross profit margin of just 4.89% in 2021, while 2022 saw a gross profit margin of 36.79% but a negative net profit of -3.29%. The high net profit in 2021 likely stemmed from asset sales or profitable investments that enhanced net earnings (Levine, 2019). Despite achieving a gross profit margin of 36.79% in 2022, Centrica faced a net loss of -3.29%, primarily due to significant losses on re-measurements related to the revaluation of UK energy supply hedging positions. The steep decline in wholesale gas and power prices at the end of 2022 led to a £2.4 billion loss after tax, severely affecting the bottom line (Centrica plc Preliminary Results for the year ended 31 December 2022 (2023), p. 1). Despite these significant challenges, Centrica's resilience is evident, demonstrating potential for recovery</w:t>
      </w:r>
      <w:r w:rsidR="00646CA5">
        <w:rPr>
          <w:rFonts w:ascii="Arial" w:hAnsi="Arial" w:cs="Arial"/>
          <w:sz w:val="22"/>
          <w:szCs w:val="22"/>
        </w:rPr>
        <w:t>.</w:t>
      </w:r>
    </w:p>
    <w:p w:rsidR="000F18FE" w:rsidRPr="00646CA5" w:rsidRDefault="000F18FE" w:rsidP="00646CA5">
      <w:pPr>
        <w:pStyle w:val="NormalWeb"/>
        <w:spacing w:line="276" w:lineRule="auto"/>
        <w:rPr>
          <w:rFonts w:ascii="Arial" w:hAnsi="Arial" w:cs="Arial"/>
          <w:sz w:val="22"/>
          <w:szCs w:val="22"/>
        </w:rPr>
      </w:pPr>
    </w:p>
    <w:p w:rsidR="000F18FE" w:rsidRPr="00646CA5" w:rsidRDefault="004B4EBE" w:rsidP="00646CA5">
      <w:pPr>
        <w:spacing w:line="276" w:lineRule="auto"/>
        <w:rPr>
          <w:rFonts w:ascii="Arial" w:hAnsi="Arial" w:cs="Arial"/>
          <w:sz w:val="24"/>
          <w:szCs w:val="24"/>
        </w:rPr>
      </w:pPr>
      <w:r w:rsidRPr="00646CA5">
        <w:rPr>
          <w:rFonts w:ascii="Arial" w:hAnsi="Arial" w:cs="Arial"/>
          <w:sz w:val="24"/>
          <w:szCs w:val="24"/>
        </w:rPr>
        <w:t>iv.</w:t>
      </w:r>
      <w:r w:rsidR="00646CA5" w:rsidRPr="00646CA5">
        <w:rPr>
          <w:rFonts w:ascii="Arial" w:hAnsi="Arial" w:cs="Arial"/>
          <w:sz w:val="24"/>
          <w:szCs w:val="24"/>
        </w:rPr>
        <w:t xml:space="preserve"> </w:t>
      </w:r>
      <w:r w:rsidR="000F18FE" w:rsidRPr="00646CA5">
        <w:rPr>
          <w:rFonts w:ascii="Arial" w:hAnsi="Arial" w:cs="Arial"/>
          <w:sz w:val="24"/>
          <w:szCs w:val="24"/>
        </w:rPr>
        <w:t>Assets Turnover and Return on Owners' Equity (ROE)</w:t>
      </w:r>
    </w:p>
    <w:p w:rsidR="000F18FE" w:rsidRPr="00646CA5" w:rsidRDefault="000F18FE" w:rsidP="00646CA5">
      <w:pPr>
        <w:spacing w:line="276" w:lineRule="auto"/>
        <w:rPr>
          <w:rFonts w:ascii="Arial" w:hAnsi="Arial" w:cs="Arial"/>
        </w:rPr>
      </w:pPr>
      <w:r w:rsidRPr="00646CA5">
        <w:rPr>
          <w:rFonts w:ascii="Arial" w:hAnsi="Arial" w:cs="Arial"/>
        </w:rPr>
        <w:t>The industry index for asset turnover stands at 0.52, reflecting how effectively a company utili</w:t>
      </w:r>
      <w:r w:rsidR="009D03C2">
        <w:rPr>
          <w:rFonts w:ascii="Arial" w:hAnsi="Arial" w:cs="Arial"/>
        </w:rPr>
        <w:t>s</w:t>
      </w:r>
      <w:r w:rsidRPr="00646CA5">
        <w:rPr>
          <w:rFonts w:ascii="Arial" w:hAnsi="Arial" w:cs="Arial"/>
        </w:rPr>
        <w:t xml:space="preserve">es its assets to generate revenue; a higher index signifies greater efficiency in asset leverage (Garcia </w:t>
      </w:r>
      <w:r w:rsidRPr="009D03C2">
        <w:rPr>
          <w:rFonts w:ascii="Arial" w:hAnsi="Arial" w:cs="Arial"/>
          <w:i/>
        </w:rPr>
        <w:t>et a</w:t>
      </w:r>
      <w:r w:rsidRPr="00646CA5">
        <w:rPr>
          <w:rFonts w:ascii="Arial" w:hAnsi="Arial" w:cs="Arial"/>
        </w:rPr>
        <w:t xml:space="preserve">l., 2024). Centrica exceeds this benchmark (2.59 in 2023 and 3.24 in 2022) by investing in sustainable assets that promise stable income over the long term (Centrica, 2024). </w:t>
      </w:r>
    </w:p>
    <w:p w:rsidR="000F18FE" w:rsidRPr="00646CA5" w:rsidRDefault="000F18FE" w:rsidP="00646CA5">
      <w:pPr>
        <w:spacing w:line="276" w:lineRule="auto"/>
        <w:rPr>
          <w:rFonts w:ascii="Arial" w:hAnsi="Arial" w:cs="Arial"/>
        </w:rPr>
      </w:pPr>
      <w:r w:rsidRPr="00646CA5">
        <w:rPr>
          <w:rFonts w:ascii="Arial" w:hAnsi="Arial" w:cs="Arial"/>
        </w:rPr>
        <w:t xml:space="preserve">Another crucial metric, return on owners' equity (ROE), is a key measure of a company's profitability. It becomes particularly relevant when comparing firms within the same industry. A high ROE, especially for companies with minimal or no debt, attracts investors since it </w:t>
      </w:r>
      <w:r w:rsidRPr="00646CA5">
        <w:rPr>
          <w:rFonts w:ascii="Arial" w:hAnsi="Arial" w:cs="Arial"/>
        </w:rPr>
        <w:lastRenderedPageBreak/>
        <w:t>indicates that the company reinvests its profits without requiring additional financial contributions from shareholders (Marr, 2012). In examining Centrica, the industry index over the past 4 years (See Appendix 2) is 1.4%, while the company's ROE is 34.95%. This analysis underscores the advantage of long-term investments, as they yield returns not only from the initial investment but also from the compounding growth over time. This reassures the audience about Centrica's prudent investment strategy, which focuses on long-term stability and growth, rather than short-term gains and potential losses (Wesleyan, 2025).</w:t>
      </w:r>
    </w:p>
    <w:p w:rsidR="000F18FE" w:rsidRPr="00646CA5" w:rsidRDefault="000F18FE" w:rsidP="00646CA5">
      <w:pPr>
        <w:spacing w:line="276" w:lineRule="auto"/>
        <w:rPr>
          <w:rFonts w:ascii="Arial" w:hAnsi="Arial" w:cs="Arial"/>
        </w:rPr>
      </w:pPr>
    </w:p>
    <w:p w:rsidR="000F18FE" w:rsidRPr="00646CA5" w:rsidRDefault="000F18FE" w:rsidP="00646CA5">
      <w:pPr>
        <w:pStyle w:val="Heading2"/>
        <w:spacing w:line="276" w:lineRule="auto"/>
        <w:rPr>
          <w:rFonts w:ascii="Arial" w:hAnsi="Arial" w:cs="Arial"/>
          <w:b/>
          <w:color w:val="000000" w:themeColor="text1"/>
          <w:sz w:val="24"/>
          <w:szCs w:val="24"/>
        </w:rPr>
      </w:pPr>
      <w:bookmarkStart w:id="6" w:name="_Toc188151119"/>
      <w:r w:rsidRPr="00646CA5">
        <w:rPr>
          <w:rFonts w:ascii="Arial" w:hAnsi="Arial" w:cs="Arial"/>
          <w:b/>
          <w:color w:val="000000" w:themeColor="text1"/>
          <w:sz w:val="24"/>
          <w:szCs w:val="24"/>
        </w:rPr>
        <w:t>3.2 Liquidity</w:t>
      </w:r>
      <w:bookmarkEnd w:id="6"/>
    </w:p>
    <w:p w:rsidR="000F18FE" w:rsidRPr="00646CA5" w:rsidRDefault="000F18FE" w:rsidP="00646CA5">
      <w:pPr>
        <w:spacing w:line="276" w:lineRule="auto"/>
        <w:rPr>
          <w:rFonts w:ascii="Arial" w:hAnsi="Arial" w:cs="Arial"/>
        </w:rPr>
      </w:pPr>
    </w:p>
    <w:p w:rsidR="004B4EBE" w:rsidRPr="00646CA5" w:rsidRDefault="004B4EBE" w:rsidP="00646CA5">
      <w:pPr>
        <w:spacing w:line="276" w:lineRule="auto"/>
        <w:rPr>
          <w:rFonts w:ascii="Arial" w:hAnsi="Arial" w:cs="Arial"/>
          <w:sz w:val="24"/>
          <w:szCs w:val="24"/>
        </w:rPr>
      </w:pPr>
      <w:proofErr w:type="spellStart"/>
      <w:r w:rsidRPr="00646CA5">
        <w:rPr>
          <w:rFonts w:ascii="Arial" w:hAnsi="Arial" w:cs="Arial"/>
          <w:sz w:val="24"/>
          <w:szCs w:val="24"/>
        </w:rPr>
        <w:t>i</w:t>
      </w:r>
      <w:proofErr w:type="spellEnd"/>
      <w:r w:rsidRPr="00646CA5">
        <w:rPr>
          <w:rFonts w:ascii="Arial" w:hAnsi="Arial" w:cs="Arial"/>
          <w:sz w:val="24"/>
          <w:szCs w:val="24"/>
        </w:rPr>
        <w:t xml:space="preserve">. </w:t>
      </w:r>
      <w:r w:rsidR="000F18FE" w:rsidRPr="00646CA5">
        <w:rPr>
          <w:rFonts w:ascii="Arial" w:hAnsi="Arial" w:cs="Arial"/>
          <w:sz w:val="24"/>
          <w:szCs w:val="24"/>
        </w:rPr>
        <w:t>Current Ratio</w:t>
      </w:r>
    </w:p>
    <w:p w:rsidR="000F18FE" w:rsidRPr="00646CA5" w:rsidRDefault="000F18FE" w:rsidP="00646CA5">
      <w:pPr>
        <w:spacing w:line="276" w:lineRule="auto"/>
        <w:rPr>
          <w:rFonts w:ascii="Arial" w:hAnsi="Arial" w:cs="Arial"/>
        </w:rPr>
      </w:pPr>
      <w:r w:rsidRPr="00646CA5">
        <w:rPr>
          <w:rFonts w:ascii="Arial" w:hAnsi="Arial" w:cs="Arial"/>
        </w:rPr>
        <w:t>In terms of assets and liabilities, the industry index stands at 1.05 for the most recent quarter (MRQ). Centrica reported an index of 0.95 in 2022, which is lower than the industry benchmark but above in 2020 (1.36) and 2021 (1.10), and it improved to a reassuring 1.44 in 2023. According to the data from Investing.com (2025), Centrica experienced fluctuations in total assets, with a notable increase of over 58% in 2021, likely due to acquisitions. Factors such as inflation, varying valuation methods, market conditions, and the fact that high asset levels do not ensure liquidity may have contributed to the decrease (Munich Business School, 2024). If a company's liabilities exceed its assets, it risks bankruptcy; Centrica's index of 0.95 in 2022 indicated this risk, but the company fully recovered by 2023 (</w:t>
      </w:r>
      <w:proofErr w:type="spellStart"/>
      <w:r w:rsidRPr="00646CA5">
        <w:rPr>
          <w:rFonts w:ascii="Arial" w:hAnsi="Arial" w:cs="Arial"/>
        </w:rPr>
        <w:t>Johanns</w:t>
      </w:r>
      <w:proofErr w:type="spellEnd"/>
      <w:r w:rsidRPr="00646CA5">
        <w:rPr>
          <w:rFonts w:ascii="Arial" w:hAnsi="Arial" w:cs="Arial"/>
        </w:rPr>
        <w:t xml:space="preserve"> and </w:t>
      </w:r>
      <w:proofErr w:type="spellStart"/>
      <w:r w:rsidRPr="00646CA5">
        <w:rPr>
          <w:rFonts w:ascii="Arial" w:hAnsi="Arial" w:cs="Arial"/>
        </w:rPr>
        <w:t>Hofstrand</w:t>
      </w:r>
      <w:proofErr w:type="spellEnd"/>
      <w:r w:rsidRPr="00646CA5">
        <w:rPr>
          <w:rFonts w:ascii="Arial" w:hAnsi="Arial" w:cs="Arial"/>
        </w:rPr>
        <w:t>, 2019).</w:t>
      </w:r>
    </w:p>
    <w:p w:rsidR="000F18FE" w:rsidRPr="00646CA5" w:rsidRDefault="000F18FE" w:rsidP="00646CA5">
      <w:pPr>
        <w:spacing w:line="276" w:lineRule="auto"/>
        <w:rPr>
          <w:rFonts w:ascii="Arial" w:hAnsi="Arial" w:cs="Arial"/>
        </w:rPr>
      </w:pPr>
    </w:p>
    <w:p w:rsidR="000F18FE" w:rsidRPr="00646CA5" w:rsidRDefault="004B4EBE" w:rsidP="00646CA5">
      <w:pPr>
        <w:spacing w:line="276" w:lineRule="auto"/>
        <w:rPr>
          <w:rFonts w:ascii="Arial" w:hAnsi="Arial" w:cs="Arial"/>
          <w:sz w:val="24"/>
          <w:szCs w:val="24"/>
        </w:rPr>
      </w:pPr>
      <w:r w:rsidRPr="00646CA5">
        <w:rPr>
          <w:rFonts w:ascii="Arial" w:hAnsi="Arial" w:cs="Arial"/>
          <w:sz w:val="24"/>
          <w:szCs w:val="24"/>
        </w:rPr>
        <w:t xml:space="preserve">ii. </w:t>
      </w:r>
      <w:r w:rsidR="000F18FE" w:rsidRPr="00646CA5">
        <w:rPr>
          <w:rFonts w:ascii="Arial" w:hAnsi="Arial" w:cs="Arial"/>
          <w:sz w:val="24"/>
          <w:szCs w:val="24"/>
        </w:rPr>
        <w:t>Acid Test Ratio</w:t>
      </w:r>
    </w:p>
    <w:p w:rsidR="000F18FE" w:rsidRPr="00646CA5" w:rsidRDefault="000F18FE" w:rsidP="00646CA5">
      <w:pPr>
        <w:spacing w:line="276" w:lineRule="auto"/>
        <w:rPr>
          <w:rFonts w:ascii="Arial" w:hAnsi="Arial" w:cs="Arial"/>
        </w:rPr>
      </w:pPr>
      <w:r w:rsidRPr="00646CA5">
        <w:rPr>
          <w:rFonts w:ascii="Arial" w:hAnsi="Arial" w:cs="Arial"/>
        </w:rPr>
        <w:t>The acid test ratio evaluates a company's ability to settle its short-term obligations using its assets, with a higher ratio indicating a more appealing investment for investors (</w:t>
      </w:r>
      <w:proofErr w:type="spellStart"/>
      <w:r w:rsidRPr="00646CA5">
        <w:rPr>
          <w:rFonts w:ascii="Arial" w:hAnsi="Arial" w:cs="Arial"/>
        </w:rPr>
        <w:t>Nastiti</w:t>
      </w:r>
      <w:proofErr w:type="spellEnd"/>
      <w:r w:rsidRPr="00646CA5">
        <w:rPr>
          <w:rFonts w:ascii="Arial" w:hAnsi="Arial" w:cs="Arial"/>
        </w:rPr>
        <w:t xml:space="preserve"> </w:t>
      </w:r>
      <w:r w:rsidRPr="009D03C2">
        <w:rPr>
          <w:rFonts w:ascii="Arial" w:hAnsi="Arial" w:cs="Arial"/>
          <w:i/>
        </w:rPr>
        <w:t>et al.</w:t>
      </w:r>
      <w:r w:rsidRPr="00646CA5">
        <w:rPr>
          <w:rFonts w:ascii="Arial" w:hAnsi="Arial" w:cs="Arial"/>
        </w:rPr>
        <w:t>, 2023). The industry benchmark, which is the average ratio for companies in the same industry, stands at 0.64(MRQ); any figure below 1 suggests that a company lacks sufficient liquid assets to cover its short-term liabilities, warranting careful scrutiny (Hayes, 2024). For instance, in 2022, Centrica reported an index of 0.89, which necessitated careful consideration, but improved significantly in 2023 with an index of 1.34, indicating that it poses no risk in meeting its debt obligations. If the acid test ratio had been considerably lower than the current ratio, it would have indicated that stock comprised a large portion of current assets, suggesting difficulties in converting assets to cash; however, this situation does not apply to Centrica (McIsaac, 2004).</w:t>
      </w:r>
    </w:p>
    <w:p w:rsidR="000F18FE" w:rsidRPr="00646CA5" w:rsidRDefault="000F18FE" w:rsidP="00646CA5">
      <w:pPr>
        <w:spacing w:line="276" w:lineRule="auto"/>
        <w:rPr>
          <w:rFonts w:ascii="Arial" w:hAnsi="Arial" w:cs="Arial"/>
        </w:rPr>
      </w:pPr>
    </w:p>
    <w:p w:rsidR="000F18FE" w:rsidRPr="00B85D5D" w:rsidRDefault="000F18FE" w:rsidP="00646CA5">
      <w:pPr>
        <w:pStyle w:val="Heading2"/>
        <w:spacing w:line="276" w:lineRule="auto"/>
        <w:rPr>
          <w:rFonts w:ascii="Arial" w:hAnsi="Arial" w:cs="Arial"/>
          <w:b/>
          <w:color w:val="000000" w:themeColor="text1"/>
          <w:sz w:val="24"/>
          <w:szCs w:val="24"/>
        </w:rPr>
      </w:pPr>
      <w:bookmarkStart w:id="7" w:name="_Toc188151120"/>
      <w:r w:rsidRPr="00B85D5D">
        <w:rPr>
          <w:rFonts w:ascii="Arial" w:hAnsi="Arial" w:cs="Arial"/>
          <w:b/>
          <w:color w:val="000000" w:themeColor="text1"/>
          <w:sz w:val="24"/>
          <w:szCs w:val="24"/>
        </w:rPr>
        <w:t>3.3 Efficiency</w:t>
      </w:r>
      <w:bookmarkEnd w:id="7"/>
      <w:r w:rsidRPr="00B85D5D">
        <w:rPr>
          <w:rFonts w:ascii="Arial" w:hAnsi="Arial" w:cs="Arial"/>
          <w:b/>
          <w:color w:val="000000" w:themeColor="text1"/>
          <w:sz w:val="24"/>
          <w:szCs w:val="24"/>
        </w:rPr>
        <w:t xml:space="preserve"> </w:t>
      </w:r>
    </w:p>
    <w:p w:rsidR="004B4EBE" w:rsidRPr="00646CA5" w:rsidRDefault="004B4EBE" w:rsidP="00646CA5">
      <w:pPr>
        <w:spacing w:line="276" w:lineRule="auto"/>
        <w:rPr>
          <w:rFonts w:ascii="Arial" w:hAnsi="Arial" w:cs="Arial"/>
        </w:rPr>
      </w:pPr>
    </w:p>
    <w:p w:rsidR="000F18FE" w:rsidRPr="00B85D5D" w:rsidRDefault="004B4EBE" w:rsidP="00646CA5">
      <w:pPr>
        <w:spacing w:line="276" w:lineRule="auto"/>
        <w:rPr>
          <w:rFonts w:ascii="Arial" w:hAnsi="Arial" w:cs="Arial"/>
          <w:sz w:val="24"/>
          <w:szCs w:val="24"/>
        </w:rPr>
      </w:pPr>
      <w:proofErr w:type="spellStart"/>
      <w:r w:rsidRPr="00B85D5D">
        <w:rPr>
          <w:rFonts w:ascii="Arial" w:hAnsi="Arial" w:cs="Arial"/>
          <w:sz w:val="24"/>
          <w:szCs w:val="24"/>
        </w:rPr>
        <w:t>i</w:t>
      </w:r>
      <w:proofErr w:type="spellEnd"/>
      <w:r w:rsidRPr="00B85D5D">
        <w:rPr>
          <w:rFonts w:ascii="Arial" w:hAnsi="Arial" w:cs="Arial"/>
          <w:sz w:val="24"/>
          <w:szCs w:val="24"/>
        </w:rPr>
        <w:t xml:space="preserve">. </w:t>
      </w:r>
      <w:r w:rsidR="000F18FE" w:rsidRPr="00B85D5D">
        <w:rPr>
          <w:rFonts w:ascii="Arial" w:hAnsi="Arial" w:cs="Arial"/>
          <w:sz w:val="24"/>
          <w:szCs w:val="24"/>
        </w:rPr>
        <w:t xml:space="preserve">Stock Turnover or in days </w:t>
      </w:r>
    </w:p>
    <w:p w:rsidR="000F18FE" w:rsidRPr="00646CA5" w:rsidRDefault="000F18FE" w:rsidP="00B85D5D">
      <w:pPr>
        <w:spacing w:line="276" w:lineRule="auto"/>
        <w:rPr>
          <w:rFonts w:ascii="Arial" w:hAnsi="Arial" w:cs="Arial"/>
        </w:rPr>
      </w:pPr>
      <w:r w:rsidRPr="00646CA5">
        <w:rPr>
          <w:rFonts w:ascii="Arial" w:hAnsi="Arial" w:cs="Arial"/>
        </w:rPr>
        <w:t xml:space="preserve">The industry average for stock turnover stands at an index of 17.58, as calculated over the past 12 months, according to Invest.com (2025). Analysis for this assignment indicates that Centrica's performance in 2022 and 2023 falls below this industry benchmark. To enhance </w:t>
      </w:r>
      <w:r w:rsidRPr="00646CA5">
        <w:rPr>
          <w:rFonts w:ascii="Arial" w:hAnsi="Arial" w:cs="Arial"/>
        </w:rPr>
        <w:lastRenderedPageBreak/>
        <w:t>stock turnover, Centrica should focus on identifying new customers and addressing their needs, as this can lead to increased sales. Additionally, product innovation can draw in customers and stimulate demand. Centrica, being more than just an energy and gas supplier, also offers smart products which face the challenge of rapid technological advancement. However, it is the commitment to process innovation that truly sets Centrica apart. By optimi</w:t>
      </w:r>
      <w:r w:rsidR="009D03C2">
        <w:rPr>
          <w:rFonts w:ascii="Arial" w:hAnsi="Arial" w:cs="Arial"/>
        </w:rPr>
        <w:t>s</w:t>
      </w:r>
      <w:r w:rsidRPr="00646CA5">
        <w:rPr>
          <w:rFonts w:ascii="Arial" w:hAnsi="Arial" w:cs="Arial"/>
        </w:rPr>
        <w:t xml:space="preserve">ing the supply chain and streamlining delivery processes, Centrica can eliminate unnecessary steps and improve efficiency (Lee </w:t>
      </w:r>
      <w:r w:rsidRPr="009D03C2">
        <w:rPr>
          <w:rFonts w:ascii="Arial" w:hAnsi="Arial" w:cs="Arial"/>
          <w:i/>
        </w:rPr>
        <w:t>et al.,</w:t>
      </w:r>
      <w:r w:rsidRPr="00646CA5">
        <w:rPr>
          <w:rFonts w:ascii="Arial" w:hAnsi="Arial" w:cs="Arial"/>
        </w:rPr>
        <w:t xml:space="preserve"> 2015). </w:t>
      </w:r>
    </w:p>
    <w:p w:rsidR="000F18FE" w:rsidRPr="00646CA5" w:rsidRDefault="000F18FE" w:rsidP="00B85D5D">
      <w:pPr>
        <w:spacing w:line="276" w:lineRule="auto"/>
        <w:rPr>
          <w:rFonts w:ascii="Arial" w:hAnsi="Arial" w:cs="Arial"/>
        </w:rPr>
      </w:pPr>
      <w:r w:rsidRPr="00646CA5">
        <w:rPr>
          <w:rFonts w:ascii="Arial" w:hAnsi="Arial" w:cs="Arial"/>
        </w:rPr>
        <w:t>Given that Centrica primarily supplies gas and energy and includes gas storage in its operations, the stock turnover metric is more applicable to the smart products it manufactures and sells (Centrica, 2024). It is advisable for the company to restock inventory every one to two months, a task it appears to manage effectively based on the calculations in Appendix 2 (Jenkins, 2024).</w:t>
      </w:r>
    </w:p>
    <w:p w:rsidR="000F18FE" w:rsidRPr="00646CA5" w:rsidRDefault="000F18FE" w:rsidP="00646CA5">
      <w:pPr>
        <w:spacing w:line="276" w:lineRule="auto"/>
        <w:rPr>
          <w:rFonts w:ascii="Arial" w:hAnsi="Arial" w:cs="Arial"/>
        </w:rPr>
      </w:pPr>
    </w:p>
    <w:p w:rsidR="000F18FE" w:rsidRPr="00B85D5D" w:rsidRDefault="004B4EBE" w:rsidP="00646CA5">
      <w:pPr>
        <w:spacing w:line="276" w:lineRule="auto"/>
        <w:rPr>
          <w:rFonts w:ascii="Arial" w:hAnsi="Arial" w:cs="Arial"/>
          <w:sz w:val="24"/>
          <w:szCs w:val="24"/>
        </w:rPr>
      </w:pPr>
      <w:r w:rsidRPr="00B85D5D">
        <w:rPr>
          <w:rFonts w:ascii="Arial" w:hAnsi="Arial" w:cs="Arial"/>
          <w:sz w:val="24"/>
          <w:szCs w:val="24"/>
        </w:rPr>
        <w:t xml:space="preserve">ii. </w:t>
      </w:r>
      <w:r w:rsidR="000F18FE" w:rsidRPr="00B85D5D">
        <w:rPr>
          <w:rFonts w:ascii="Arial" w:hAnsi="Arial" w:cs="Arial"/>
          <w:sz w:val="24"/>
          <w:szCs w:val="24"/>
        </w:rPr>
        <w:t>Debtors (Receivables)</w:t>
      </w:r>
    </w:p>
    <w:p w:rsidR="000F18FE" w:rsidRPr="00646CA5" w:rsidRDefault="000F18FE" w:rsidP="00B85D5D">
      <w:pPr>
        <w:spacing w:line="276" w:lineRule="auto"/>
        <w:rPr>
          <w:rFonts w:ascii="Arial" w:hAnsi="Arial" w:cs="Arial"/>
        </w:rPr>
      </w:pPr>
      <w:r w:rsidRPr="00646CA5">
        <w:rPr>
          <w:rFonts w:ascii="Arial" w:hAnsi="Arial" w:cs="Arial"/>
        </w:rPr>
        <w:t>The recommended number of days for collecting invoices in this industry remains unspecified; however, Investing.com provides the receivable turnover ratio from the previous year, which can be calculated and expressed in days, as illustrated in Appendix 2. The calculations reveal that the industry average is 52 days, while the company averages 63 days. Analysing the data over the past four years shows that in 2021, the company took 121 days to collect from its debtors, but by 2023, this improved significantly to 67 days, although it still exceeded the target by 15 days. To enhance debt collection, the company should consider incentivi</w:t>
      </w:r>
      <w:r w:rsidR="009D03C2">
        <w:rPr>
          <w:rFonts w:ascii="Arial" w:hAnsi="Arial" w:cs="Arial"/>
        </w:rPr>
        <w:t>s</w:t>
      </w:r>
      <w:r w:rsidRPr="00646CA5">
        <w:rPr>
          <w:rFonts w:ascii="Arial" w:hAnsi="Arial" w:cs="Arial"/>
        </w:rPr>
        <w:t>ing clients to pay sooner by offering discounts. Additionally, implementing a shorter credit period for new customers, utili</w:t>
      </w:r>
      <w:r w:rsidR="009D03C2">
        <w:rPr>
          <w:rFonts w:ascii="Arial" w:hAnsi="Arial" w:cs="Arial"/>
        </w:rPr>
        <w:t>s</w:t>
      </w:r>
      <w:r w:rsidRPr="00646CA5">
        <w:rPr>
          <w:rFonts w:ascii="Arial" w:hAnsi="Arial" w:cs="Arial"/>
        </w:rPr>
        <w:t xml:space="preserve">ing online invoices, and conducting credit checks on new clients is also advisable (ACCA 2010; </w:t>
      </w:r>
      <w:proofErr w:type="spellStart"/>
      <w:r w:rsidRPr="00646CA5">
        <w:rPr>
          <w:rFonts w:ascii="Arial" w:hAnsi="Arial" w:cs="Arial"/>
        </w:rPr>
        <w:t>Zimon</w:t>
      </w:r>
      <w:proofErr w:type="spellEnd"/>
      <w:r w:rsidRPr="00646CA5">
        <w:rPr>
          <w:rFonts w:ascii="Arial" w:hAnsi="Arial" w:cs="Arial"/>
        </w:rPr>
        <w:t>, 2020).</w:t>
      </w:r>
    </w:p>
    <w:p w:rsidR="000F18FE" w:rsidRPr="00646CA5" w:rsidRDefault="000F18FE" w:rsidP="00B85D5D">
      <w:pPr>
        <w:spacing w:line="276" w:lineRule="auto"/>
        <w:rPr>
          <w:rFonts w:ascii="Arial" w:hAnsi="Arial" w:cs="Arial"/>
        </w:rPr>
      </w:pPr>
    </w:p>
    <w:p w:rsidR="000F18FE" w:rsidRPr="00B85D5D" w:rsidRDefault="004B4EBE" w:rsidP="00646CA5">
      <w:pPr>
        <w:spacing w:line="276" w:lineRule="auto"/>
        <w:rPr>
          <w:rFonts w:ascii="Arial" w:hAnsi="Arial" w:cs="Arial"/>
          <w:sz w:val="24"/>
          <w:szCs w:val="24"/>
        </w:rPr>
      </w:pPr>
      <w:r w:rsidRPr="00B85D5D">
        <w:rPr>
          <w:rFonts w:ascii="Arial" w:hAnsi="Arial" w:cs="Arial"/>
          <w:sz w:val="24"/>
          <w:szCs w:val="24"/>
        </w:rPr>
        <w:t xml:space="preserve">iii. </w:t>
      </w:r>
      <w:r w:rsidR="000F18FE" w:rsidRPr="00B85D5D">
        <w:rPr>
          <w:rFonts w:ascii="Arial" w:hAnsi="Arial" w:cs="Arial"/>
          <w:sz w:val="24"/>
          <w:szCs w:val="24"/>
        </w:rPr>
        <w:t>Creditors (Payables)</w:t>
      </w:r>
    </w:p>
    <w:p w:rsidR="000F18FE" w:rsidRPr="00646CA5" w:rsidRDefault="000F18FE" w:rsidP="00B85D5D">
      <w:pPr>
        <w:spacing w:line="276" w:lineRule="auto"/>
        <w:rPr>
          <w:rFonts w:ascii="Arial" w:hAnsi="Arial" w:cs="Arial"/>
        </w:rPr>
      </w:pPr>
      <w:r w:rsidRPr="00646CA5">
        <w:rPr>
          <w:rFonts w:ascii="Arial" w:hAnsi="Arial" w:cs="Arial"/>
        </w:rPr>
        <w:t>It is generally advisable to ensure that the company receives its payments prior to disbursing any funds to your suppliers, a principle that is clearly demonstrated in the calculations that have been conducted, enhancing Centrica's liquidity and financial flexibility. This flexibility is crucial in adapting to market changes and unforeseen circumstances. However, if the company takes advantage of the goodwill extended by suppliers and consistently delays the payments, there is a significant risk that they may eventually cease supplying the company with the essential raw materials that the business relies on (Marr, 2012; McIsaac, 2004).</w:t>
      </w:r>
    </w:p>
    <w:p w:rsidR="000F18FE" w:rsidRPr="00646CA5" w:rsidRDefault="000F18FE" w:rsidP="00646CA5">
      <w:pPr>
        <w:spacing w:line="276" w:lineRule="auto"/>
        <w:rPr>
          <w:rFonts w:ascii="Arial" w:hAnsi="Arial" w:cs="Arial"/>
        </w:rPr>
      </w:pPr>
    </w:p>
    <w:p w:rsidR="000F18FE" w:rsidRPr="00B85D5D" w:rsidRDefault="000F18FE" w:rsidP="00646CA5">
      <w:pPr>
        <w:pStyle w:val="Heading2"/>
        <w:spacing w:line="276" w:lineRule="auto"/>
        <w:rPr>
          <w:rFonts w:ascii="Arial" w:hAnsi="Arial" w:cs="Arial"/>
          <w:b/>
          <w:color w:val="000000" w:themeColor="text1"/>
          <w:sz w:val="24"/>
          <w:szCs w:val="24"/>
        </w:rPr>
      </w:pPr>
      <w:bookmarkStart w:id="8" w:name="_Toc188151121"/>
      <w:r w:rsidRPr="00B85D5D">
        <w:rPr>
          <w:rFonts w:ascii="Arial" w:hAnsi="Arial" w:cs="Arial"/>
          <w:b/>
          <w:color w:val="000000" w:themeColor="text1"/>
          <w:sz w:val="24"/>
          <w:szCs w:val="24"/>
        </w:rPr>
        <w:t>3.4 Gearing</w:t>
      </w:r>
      <w:bookmarkEnd w:id="8"/>
      <w:r w:rsidRPr="00B85D5D">
        <w:rPr>
          <w:rFonts w:ascii="Arial" w:hAnsi="Arial" w:cs="Arial"/>
          <w:b/>
          <w:color w:val="000000" w:themeColor="text1"/>
          <w:sz w:val="24"/>
          <w:szCs w:val="24"/>
        </w:rPr>
        <w:t xml:space="preserve"> </w:t>
      </w:r>
    </w:p>
    <w:p w:rsidR="000F18FE" w:rsidRPr="00646CA5" w:rsidRDefault="000F18FE" w:rsidP="00646CA5">
      <w:pPr>
        <w:spacing w:line="276" w:lineRule="auto"/>
        <w:rPr>
          <w:rFonts w:ascii="Arial" w:hAnsi="Arial" w:cs="Arial"/>
        </w:rPr>
      </w:pPr>
    </w:p>
    <w:p w:rsidR="000F18FE" w:rsidRPr="00B85D5D" w:rsidRDefault="004B4EBE" w:rsidP="00646CA5">
      <w:pPr>
        <w:spacing w:line="276" w:lineRule="auto"/>
        <w:rPr>
          <w:rFonts w:ascii="Arial" w:hAnsi="Arial" w:cs="Arial"/>
          <w:sz w:val="24"/>
          <w:szCs w:val="24"/>
        </w:rPr>
      </w:pPr>
      <w:proofErr w:type="spellStart"/>
      <w:r w:rsidRPr="00B85D5D">
        <w:rPr>
          <w:rFonts w:ascii="Arial" w:hAnsi="Arial" w:cs="Arial"/>
          <w:sz w:val="24"/>
          <w:szCs w:val="24"/>
        </w:rPr>
        <w:t>i</w:t>
      </w:r>
      <w:proofErr w:type="spellEnd"/>
      <w:r w:rsidRPr="00B85D5D">
        <w:rPr>
          <w:rFonts w:ascii="Arial" w:hAnsi="Arial" w:cs="Arial"/>
          <w:sz w:val="24"/>
          <w:szCs w:val="24"/>
        </w:rPr>
        <w:t xml:space="preserve">. </w:t>
      </w:r>
      <w:r w:rsidR="000F18FE" w:rsidRPr="00B85D5D">
        <w:rPr>
          <w:rFonts w:ascii="Arial" w:hAnsi="Arial" w:cs="Arial"/>
          <w:sz w:val="24"/>
          <w:szCs w:val="24"/>
        </w:rPr>
        <w:t>Debt to Equity (D/E)</w:t>
      </w:r>
    </w:p>
    <w:p w:rsidR="000F18FE" w:rsidRPr="00646CA5" w:rsidRDefault="000F18FE" w:rsidP="00646CA5">
      <w:pPr>
        <w:spacing w:line="276" w:lineRule="auto"/>
        <w:rPr>
          <w:rFonts w:ascii="Arial" w:hAnsi="Arial" w:cs="Arial"/>
        </w:rPr>
      </w:pPr>
      <w:r w:rsidRPr="00646CA5">
        <w:rPr>
          <w:rFonts w:ascii="Arial" w:hAnsi="Arial" w:cs="Arial"/>
        </w:rPr>
        <w:t xml:space="preserve">To assess Centrica's financial risk and stability, </w:t>
      </w:r>
      <w:r w:rsidR="00E42F2F">
        <w:rPr>
          <w:rFonts w:ascii="Arial" w:hAnsi="Arial" w:cs="Arial"/>
        </w:rPr>
        <w:t>it was</w:t>
      </w:r>
      <w:r w:rsidRPr="00646CA5">
        <w:rPr>
          <w:rFonts w:ascii="Arial" w:hAnsi="Arial" w:cs="Arial"/>
        </w:rPr>
        <w:t xml:space="preserve"> calculated the total debt to equity (D/E) ratio, a key indicator that reveals the company's debt burden for every pound invested. A high D/E ratio can indicate significant obligations that might hinder profit growth, but it can also be an opportunity if the borrowed funds are used effectively to generate profits (</w:t>
      </w:r>
      <w:proofErr w:type="spellStart"/>
      <w:r w:rsidRPr="00646CA5">
        <w:rPr>
          <w:rFonts w:ascii="Arial" w:hAnsi="Arial" w:cs="Arial"/>
        </w:rPr>
        <w:t>Heikal</w:t>
      </w:r>
      <w:proofErr w:type="spellEnd"/>
      <w:r w:rsidRPr="00646CA5">
        <w:rPr>
          <w:rFonts w:ascii="Arial" w:hAnsi="Arial" w:cs="Arial"/>
        </w:rPr>
        <w:t xml:space="preserve"> </w:t>
      </w:r>
      <w:r w:rsidRPr="009D03C2">
        <w:rPr>
          <w:rFonts w:ascii="Arial" w:hAnsi="Arial" w:cs="Arial"/>
          <w:i/>
        </w:rPr>
        <w:lastRenderedPageBreak/>
        <w:t>et al</w:t>
      </w:r>
      <w:r w:rsidRPr="00646CA5">
        <w:rPr>
          <w:rFonts w:ascii="Arial" w:hAnsi="Arial" w:cs="Arial"/>
        </w:rPr>
        <w:t>., 2014). According to Investing.com, the industry index is 143.59% (MRQ), and Centrica's D/E ratio was notably high at 344 in 2020. However, by 2023, the ratio had decreased to 76.44%, suggesting that the company's debt levels had remained constant over the past three years, while the substantial increase in equity—nearly 3,000 from 2022 to 2023—indicates the company's growth. This rise in equity is likely a result of management strategies such as price increases, sales growth initiatives, cost-cutting measures, improved inventory efficiency, enhanced productivity, and refinancing existing loans at lower interest rates (Maverick, 2025).</w:t>
      </w:r>
    </w:p>
    <w:p w:rsidR="000F18FE" w:rsidRPr="00646CA5" w:rsidRDefault="000F18FE" w:rsidP="00646CA5">
      <w:pPr>
        <w:spacing w:line="276" w:lineRule="auto"/>
        <w:rPr>
          <w:rFonts w:ascii="Arial" w:hAnsi="Arial" w:cs="Arial"/>
        </w:rPr>
      </w:pPr>
    </w:p>
    <w:p w:rsidR="000F18FE" w:rsidRPr="00B85D5D" w:rsidRDefault="000F18FE" w:rsidP="00646CA5">
      <w:pPr>
        <w:pStyle w:val="Heading2"/>
        <w:spacing w:line="276" w:lineRule="auto"/>
        <w:rPr>
          <w:rFonts w:ascii="Arial" w:hAnsi="Arial" w:cs="Arial"/>
          <w:b/>
          <w:color w:val="000000" w:themeColor="text1"/>
          <w:sz w:val="24"/>
          <w:szCs w:val="24"/>
        </w:rPr>
      </w:pPr>
      <w:bookmarkStart w:id="9" w:name="_Toc188151122"/>
      <w:r w:rsidRPr="00B85D5D">
        <w:rPr>
          <w:rFonts w:ascii="Arial" w:hAnsi="Arial" w:cs="Arial"/>
          <w:b/>
          <w:color w:val="000000" w:themeColor="text1"/>
          <w:sz w:val="24"/>
          <w:szCs w:val="24"/>
        </w:rPr>
        <w:t>3.5 Investment</w:t>
      </w:r>
      <w:bookmarkEnd w:id="9"/>
    </w:p>
    <w:p w:rsidR="000F18FE" w:rsidRPr="00646CA5" w:rsidRDefault="000F18FE" w:rsidP="00646CA5">
      <w:pPr>
        <w:spacing w:line="276" w:lineRule="auto"/>
        <w:rPr>
          <w:rFonts w:ascii="Arial" w:hAnsi="Arial" w:cs="Arial"/>
        </w:rPr>
      </w:pPr>
    </w:p>
    <w:p w:rsidR="000F18FE" w:rsidRPr="00B85D5D" w:rsidRDefault="00B60ECB" w:rsidP="00646CA5">
      <w:pPr>
        <w:spacing w:line="276" w:lineRule="auto"/>
        <w:rPr>
          <w:rFonts w:ascii="Arial" w:hAnsi="Arial" w:cs="Arial"/>
          <w:sz w:val="24"/>
          <w:szCs w:val="24"/>
        </w:rPr>
      </w:pPr>
      <w:proofErr w:type="spellStart"/>
      <w:r w:rsidRPr="00B85D5D">
        <w:rPr>
          <w:rFonts w:ascii="Arial" w:hAnsi="Arial" w:cs="Arial"/>
          <w:sz w:val="24"/>
          <w:szCs w:val="24"/>
        </w:rPr>
        <w:t>i</w:t>
      </w:r>
      <w:proofErr w:type="spellEnd"/>
      <w:r w:rsidRPr="00B85D5D">
        <w:rPr>
          <w:rFonts w:ascii="Arial" w:hAnsi="Arial" w:cs="Arial"/>
          <w:sz w:val="24"/>
          <w:szCs w:val="24"/>
        </w:rPr>
        <w:t xml:space="preserve">. </w:t>
      </w:r>
      <w:r w:rsidR="000F18FE" w:rsidRPr="00B85D5D">
        <w:rPr>
          <w:rFonts w:ascii="Arial" w:hAnsi="Arial" w:cs="Arial"/>
          <w:sz w:val="24"/>
          <w:szCs w:val="24"/>
        </w:rPr>
        <w:t>Earnings per Share (EPS)</w:t>
      </w:r>
    </w:p>
    <w:p w:rsidR="000F18FE" w:rsidRPr="00646CA5" w:rsidRDefault="000F18FE" w:rsidP="00B85D5D">
      <w:pPr>
        <w:spacing w:line="276" w:lineRule="auto"/>
        <w:rPr>
          <w:rFonts w:ascii="Arial" w:hAnsi="Arial" w:cs="Arial"/>
        </w:rPr>
      </w:pPr>
      <w:r w:rsidRPr="00646CA5">
        <w:rPr>
          <w:rFonts w:ascii="Arial" w:hAnsi="Arial" w:cs="Arial"/>
        </w:rPr>
        <w:t xml:space="preserve">In 2023, earnings per share rose to 0.70, reflecting an improvement over previous years due to increased net profit and reduced debt, although it still falls short of the industry benchmark of 2.24 (Annual index). To enhance growth, the company should focus on boosting its income and increasing its shares to attract more investors. Additionally, the company could consider repurchasing its shares, which would likely elevate the share price, even if earnings remain unchanged. Conversely, if the company opts to issue more shares without a proportional increase in income, the share price may decline (Levine, 2024). </w:t>
      </w:r>
    </w:p>
    <w:p w:rsidR="000F18FE" w:rsidRPr="00646CA5" w:rsidRDefault="000F18FE" w:rsidP="00646CA5">
      <w:pPr>
        <w:spacing w:line="276" w:lineRule="auto"/>
        <w:rPr>
          <w:rFonts w:ascii="Arial" w:hAnsi="Arial" w:cs="Arial"/>
        </w:rPr>
      </w:pPr>
    </w:p>
    <w:p w:rsidR="000F18FE" w:rsidRPr="00646CA5" w:rsidRDefault="00B60ECB" w:rsidP="00B85D5D">
      <w:pPr>
        <w:spacing w:line="276" w:lineRule="auto"/>
        <w:rPr>
          <w:rFonts w:ascii="Arial" w:hAnsi="Arial" w:cs="Arial"/>
        </w:rPr>
      </w:pPr>
      <w:r w:rsidRPr="00646CA5">
        <w:rPr>
          <w:rFonts w:ascii="Arial" w:hAnsi="Arial" w:cs="Arial"/>
        </w:rPr>
        <w:t xml:space="preserve">ii. </w:t>
      </w:r>
      <w:r w:rsidR="000F18FE" w:rsidRPr="00646CA5">
        <w:rPr>
          <w:rFonts w:ascii="Arial" w:hAnsi="Arial" w:cs="Arial"/>
        </w:rPr>
        <w:t>Dividend Cover</w:t>
      </w:r>
    </w:p>
    <w:p w:rsidR="000F18FE" w:rsidRPr="00646CA5" w:rsidRDefault="000F18FE" w:rsidP="00B85D5D">
      <w:pPr>
        <w:spacing w:line="276" w:lineRule="auto"/>
        <w:rPr>
          <w:rFonts w:ascii="Arial" w:hAnsi="Arial" w:cs="Arial"/>
        </w:rPr>
      </w:pPr>
      <w:r w:rsidRPr="00646CA5">
        <w:rPr>
          <w:rFonts w:ascii="Arial" w:hAnsi="Arial" w:cs="Arial"/>
        </w:rPr>
        <w:t xml:space="preserve">According to ACCA (2010), dividend cover refers to how many times the actual dividend can be distributed from current profits. Centrica refrained from paying dividends in both 2020 and 2021, yet in 2022, despite reporting a negative net income of 782, the company distributed dividends of 1 penny per share, indicating its commitment to investors (Centrica, 2024). The calculations for 2023 reveal a dividend cover of 17.63, a significant figure that suggests the company is progressing well and holds potential for investors. However, without a comparative benchmark, it remains unclear whether this figure is below or above the industry average. </w:t>
      </w:r>
    </w:p>
    <w:p w:rsidR="000F18FE" w:rsidRPr="00646CA5" w:rsidRDefault="000F18FE" w:rsidP="00646CA5">
      <w:pPr>
        <w:spacing w:line="276" w:lineRule="auto"/>
        <w:rPr>
          <w:rFonts w:ascii="Arial" w:hAnsi="Arial" w:cs="Arial"/>
        </w:rPr>
      </w:pPr>
    </w:p>
    <w:p w:rsidR="000F18FE" w:rsidRPr="00B85D5D" w:rsidRDefault="00B60ECB" w:rsidP="00646CA5">
      <w:pPr>
        <w:spacing w:line="276" w:lineRule="auto"/>
        <w:rPr>
          <w:rFonts w:ascii="Arial" w:hAnsi="Arial" w:cs="Arial"/>
          <w:sz w:val="24"/>
          <w:szCs w:val="24"/>
        </w:rPr>
      </w:pPr>
      <w:r w:rsidRPr="00B85D5D">
        <w:rPr>
          <w:rFonts w:ascii="Arial" w:hAnsi="Arial" w:cs="Arial"/>
          <w:sz w:val="24"/>
          <w:szCs w:val="24"/>
        </w:rPr>
        <w:t xml:space="preserve">iii. </w:t>
      </w:r>
      <w:r w:rsidR="000F18FE" w:rsidRPr="00B85D5D">
        <w:rPr>
          <w:rFonts w:ascii="Arial" w:hAnsi="Arial" w:cs="Arial"/>
          <w:sz w:val="24"/>
          <w:szCs w:val="24"/>
        </w:rPr>
        <w:t>Interest Cover</w:t>
      </w:r>
    </w:p>
    <w:p w:rsidR="000F18FE" w:rsidRDefault="000F18FE" w:rsidP="00B85D5D">
      <w:pPr>
        <w:spacing w:line="276" w:lineRule="auto"/>
        <w:rPr>
          <w:rFonts w:ascii="Arial" w:hAnsi="Arial" w:cs="Arial"/>
        </w:rPr>
      </w:pPr>
      <w:r w:rsidRPr="00646CA5">
        <w:rPr>
          <w:rFonts w:ascii="Arial" w:hAnsi="Arial" w:cs="Arial"/>
        </w:rPr>
        <w:t>This ratio sheds light on the company's financial stability and risk evaluation, serving as a tool for creditors and investors to determine whether the company can fulfil its financial commitments. A ratio below 7 indicates financial risk, suggesting a high (1-3) to medium (3-7) likelihood that the company might find it difficult to honour its financial commitments and may struggle to meet its debt obligations, while a ratio above seven is deemed safe (ACCA, 2010). Despite the challenges faced in 2021, when the interest ratio dropped to 1.24 due to a significant decrease in operational income growth (86.75) %, a decline in EBITDA (72.28) %, and a rise in total operating expenses (39.33%), investors can be confident in the company's ability to meet its debt obligations in the future. The company maintained a healthy interest cover in the other years, achieving a robust interest cover of 42.89% in 2023.</w:t>
      </w:r>
    </w:p>
    <w:p w:rsidR="00B85D5D" w:rsidRPr="00646CA5" w:rsidRDefault="00B85D5D" w:rsidP="00B85D5D">
      <w:pPr>
        <w:spacing w:line="276" w:lineRule="auto"/>
        <w:rPr>
          <w:rFonts w:ascii="Arial" w:hAnsi="Arial" w:cs="Arial"/>
        </w:rPr>
      </w:pPr>
    </w:p>
    <w:p w:rsidR="000F18FE" w:rsidRDefault="000F18FE" w:rsidP="00646CA5">
      <w:pPr>
        <w:pStyle w:val="Heading1"/>
        <w:spacing w:line="276" w:lineRule="auto"/>
        <w:rPr>
          <w:rFonts w:ascii="Arial" w:hAnsi="Arial" w:cs="Arial"/>
          <w:b/>
          <w:color w:val="000000" w:themeColor="text1"/>
          <w:sz w:val="28"/>
          <w:szCs w:val="28"/>
        </w:rPr>
      </w:pPr>
      <w:bookmarkStart w:id="10" w:name="_Toc188151123"/>
      <w:r w:rsidRPr="00B85D5D">
        <w:rPr>
          <w:rFonts w:ascii="Arial" w:hAnsi="Arial" w:cs="Arial"/>
          <w:b/>
          <w:color w:val="000000" w:themeColor="text1"/>
          <w:sz w:val="28"/>
          <w:szCs w:val="28"/>
        </w:rPr>
        <w:t>4. Conclusion and Recommendations</w:t>
      </w:r>
      <w:bookmarkEnd w:id="10"/>
      <w:r w:rsidRPr="00B85D5D">
        <w:rPr>
          <w:rFonts w:ascii="Arial" w:hAnsi="Arial" w:cs="Arial"/>
          <w:b/>
          <w:color w:val="000000" w:themeColor="text1"/>
          <w:sz w:val="28"/>
          <w:szCs w:val="28"/>
        </w:rPr>
        <w:t xml:space="preserve"> </w:t>
      </w:r>
    </w:p>
    <w:p w:rsidR="00B85D5D" w:rsidRPr="00B85D5D" w:rsidRDefault="00B85D5D" w:rsidP="00B85D5D"/>
    <w:p w:rsidR="000F18FE" w:rsidRPr="00646CA5" w:rsidRDefault="000F18FE" w:rsidP="00646CA5">
      <w:pPr>
        <w:spacing w:line="276" w:lineRule="auto"/>
        <w:rPr>
          <w:rFonts w:ascii="Arial" w:hAnsi="Arial" w:cs="Arial"/>
        </w:rPr>
      </w:pPr>
      <w:r w:rsidRPr="00646CA5">
        <w:rPr>
          <w:rFonts w:ascii="Arial" w:hAnsi="Arial" w:cs="Arial"/>
        </w:rPr>
        <w:t>Centrica has proven itself to be a resilient company with the capability to bounce back from financial setbacks, as evidenced by the financial analysis over the past four years. Although it faced challenges in 2022, resulting in a loss of 2.4 billion due to falling energy prices, it has shown an ability to effectively utili</w:t>
      </w:r>
      <w:r w:rsidR="009D03C2">
        <w:rPr>
          <w:rFonts w:ascii="Arial" w:hAnsi="Arial" w:cs="Arial"/>
        </w:rPr>
        <w:t>s</w:t>
      </w:r>
      <w:r w:rsidRPr="00646CA5">
        <w:rPr>
          <w:rFonts w:ascii="Arial" w:hAnsi="Arial" w:cs="Arial"/>
        </w:rPr>
        <w:t>e its assets to achieve sales that exceed industry standards. In 2023, the return on equity (ROE) saw a significant improvement, and the company can comfortably cover its short-term liabilities. However, stock turnover has declined in recent years, indicating room for enhancement. With a debt-to-equity ratio that suggests lower financial risk, Centrica is well-positioned to fulfil its interest obligations. It is crucial for Centrica to maintain this strong debt-to-equity ratio to ensure its financial stability and ability to meet its interest obligations.</w:t>
      </w:r>
    </w:p>
    <w:p w:rsidR="000F18FE" w:rsidRPr="00646CA5" w:rsidRDefault="000F18FE" w:rsidP="00646CA5">
      <w:pPr>
        <w:spacing w:line="276" w:lineRule="auto"/>
        <w:rPr>
          <w:rFonts w:ascii="Arial" w:hAnsi="Arial" w:cs="Arial"/>
        </w:rPr>
      </w:pPr>
      <w:r w:rsidRPr="00646CA5">
        <w:rPr>
          <w:rFonts w:ascii="Arial" w:hAnsi="Arial" w:cs="Arial"/>
        </w:rPr>
        <w:t>Centrica's 2023 financial success is encouraging, yet risk management is crucial. A strong risk strategy is necessary to prevent past issues. Attracting customers is not just a key factor, it</w:t>
      </w:r>
      <w:r w:rsidR="005060A1">
        <w:rPr>
          <w:rFonts w:ascii="Arial" w:hAnsi="Arial" w:cs="Arial"/>
        </w:rPr>
        <w:t xml:space="preserve"> is</w:t>
      </w:r>
      <w:r w:rsidRPr="00646CA5">
        <w:rPr>
          <w:rFonts w:ascii="Arial" w:hAnsi="Arial" w:cs="Arial"/>
        </w:rPr>
        <w:t xml:space="preserve"> the driving force behind the company's growth. It shouldn't overshadow risk considerations, but it</w:t>
      </w:r>
      <w:r w:rsidR="005060A1">
        <w:rPr>
          <w:rFonts w:ascii="Arial" w:hAnsi="Arial" w:cs="Arial"/>
        </w:rPr>
        <w:t xml:space="preserve"> is</w:t>
      </w:r>
      <w:r w:rsidRPr="00646CA5">
        <w:rPr>
          <w:rFonts w:ascii="Arial" w:hAnsi="Arial" w:cs="Arial"/>
        </w:rPr>
        <w:t xml:space="preserve"> a significant aspect to keep in mind. The company must ensure liabilities stay below assets, as seen in 2022, and avoid short-term borrowing. While the debt-to-equity ratio improved from 2020 to 2023, securing low interest rates on loans is essential. If asset turnover has declined, </w:t>
      </w:r>
      <w:r w:rsidR="00B85D5D" w:rsidRPr="00646CA5">
        <w:rPr>
          <w:rFonts w:ascii="Arial" w:hAnsi="Arial" w:cs="Arial"/>
        </w:rPr>
        <w:t>analysing</w:t>
      </w:r>
      <w:r w:rsidRPr="00646CA5">
        <w:rPr>
          <w:rFonts w:ascii="Arial" w:hAnsi="Arial" w:cs="Arial"/>
        </w:rPr>
        <w:t xml:space="preserve"> the causes and </w:t>
      </w:r>
      <w:proofErr w:type="spellStart"/>
      <w:r w:rsidRPr="00646CA5">
        <w:rPr>
          <w:rFonts w:ascii="Arial" w:hAnsi="Arial" w:cs="Arial"/>
        </w:rPr>
        <w:t>strategi</w:t>
      </w:r>
      <w:r w:rsidR="009D03C2">
        <w:rPr>
          <w:rFonts w:ascii="Arial" w:hAnsi="Arial" w:cs="Arial"/>
        </w:rPr>
        <w:t>s</w:t>
      </w:r>
      <w:r w:rsidRPr="00646CA5">
        <w:rPr>
          <w:rFonts w:ascii="Arial" w:hAnsi="Arial" w:cs="Arial"/>
        </w:rPr>
        <w:t>ing</w:t>
      </w:r>
      <w:proofErr w:type="spellEnd"/>
      <w:r w:rsidRPr="00646CA5">
        <w:rPr>
          <w:rFonts w:ascii="Arial" w:hAnsi="Arial" w:cs="Arial"/>
        </w:rPr>
        <w:t xml:space="preserve"> for improvement is vital. Despite a productive year, Centrica must address net profit margin underperformance relative to competitors.</w:t>
      </w:r>
    </w:p>
    <w:p w:rsidR="000F18FE" w:rsidRPr="00646CA5" w:rsidRDefault="000F18FE" w:rsidP="00646CA5">
      <w:pPr>
        <w:spacing w:line="276" w:lineRule="auto"/>
        <w:rPr>
          <w:rFonts w:ascii="Arial" w:hAnsi="Arial" w:cs="Arial"/>
        </w:rPr>
      </w:pPr>
    </w:p>
    <w:p w:rsidR="00B60ECB" w:rsidRPr="00646CA5" w:rsidRDefault="00B60ECB" w:rsidP="00646CA5">
      <w:pPr>
        <w:spacing w:line="276" w:lineRule="auto"/>
        <w:rPr>
          <w:rFonts w:ascii="Arial" w:hAnsi="Arial" w:cs="Arial"/>
        </w:rPr>
      </w:pPr>
    </w:p>
    <w:p w:rsidR="00B60ECB" w:rsidRPr="00646CA5" w:rsidRDefault="00B60ECB" w:rsidP="00646CA5">
      <w:pPr>
        <w:spacing w:line="276" w:lineRule="auto"/>
        <w:rPr>
          <w:rFonts w:ascii="Arial" w:hAnsi="Arial" w:cs="Arial"/>
        </w:rPr>
      </w:pPr>
    </w:p>
    <w:p w:rsidR="00B60ECB" w:rsidRPr="00B85D5D" w:rsidRDefault="000E167F" w:rsidP="00646CA5">
      <w:pPr>
        <w:pStyle w:val="Heading1"/>
        <w:spacing w:line="276" w:lineRule="auto"/>
        <w:rPr>
          <w:rFonts w:ascii="Arial" w:hAnsi="Arial" w:cs="Arial"/>
          <w:b/>
          <w:color w:val="000000" w:themeColor="text1"/>
          <w:sz w:val="28"/>
          <w:szCs w:val="28"/>
        </w:rPr>
      </w:pPr>
      <w:bookmarkStart w:id="11" w:name="_Toc188151124"/>
      <w:r w:rsidRPr="00B85D5D">
        <w:rPr>
          <w:rFonts w:ascii="Arial" w:hAnsi="Arial" w:cs="Arial"/>
          <w:b/>
          <w:color w:val="000000" w:themeColor="text1"/>
          <w:sz w:val="28"/>
          <w:szCs w:val="28"/>
        </w:rPr>
        <w:t xml:space="preserve">5. </w:t>
      </w:r>
      <w:r w:rsidR="00B60ECB" w:rsidRPr="00B85D5D">
        <w:rPr>
          <w:rFonts w:ascii="Arial" w:hAnsi="Arial" w:cs="Arial"/>
          <w:b/>
          <w:color w:val="000000" w:themeColor="text1"/>
          <w:sz w:val="28"/>
          <w:szCs w:val="28"/>
        </w:rPr>
        <w:t>Greenacres</w:t>
      </w:r>
      <w:bookmarkEnd w:id="11"/>
    </w:p>
    <w:p w:rsidR="00B60ECB" w:rsidRPr="00646CA5" w:rsidRDefault="00B60ECB" w:rsidP="00646CA5">
      <w:pPr>
        <w:spacing w:line="276" w:lineRule="auto"/>
        <w:rPr>
          <w:rFonts w:ascii="Arial" w:hAnsi="Arial" w:cs="Arial"/>
        </w:rPr>
      </w:pPr>
    </w:p>
    <w:p w:rsidR="00B60ECB" w:rsidRPr="00B85D5D" w:rsidRDefault="000E167F" w:rsidP="00646CA5">
      <w:pPr>
        <w:pStyle w:val="Heading2"/>
        <w:spacing w:line="276" w:lineRule="auto"/>
        <w:rPr>
          <w:rFonts w:ascii="Arial" w:hAnsi="Arial" w:cs="Arial"/>
          <w:b/>
          <w:color w:val="000000" w:themeColor="text1"/>
          <w:sz w:val="24"/>
          <w:szCs w:val="24"/>
        </w:rPr>
      </w:pPr>
      <w:bookmarkStart w:id="12" w:name="_Toc188151125"/>
      <w:r w:rsidRPr="00B85D5D">
        <w:rPr>
          <w:rFonts w:ascii="Arial" w:hAnsi="Arial" w:cs="Arial"/>
          <w:b/>
          <w:color w:val="000000" w:themeColor="text1"/>
          <w:sz w:val="24"/>
          <w:szCs w:val="24"/>
        </w:rPr>
        <w:t>5.</w:t>
      </w:r>
      <w:r w:rsidR="00B60ECB" w:rsidRPr="00B85D5D">
        <w:rPr>
          <w:rFonts w:ascii="Arial" w:hAnsi="Arial" w:cs="Arial"/>
          <w:b/>
          <w:color w:val="000000" w:themeColor="text1"/>
          <w:sz w:val="24"/>
          <w:szCs w:val="24"/>
        </w:rPr>
        <w:t>1. Introduction</w:t>
      </w:r>
      <w:bookmarkEnd w:id="12"/>
      <w:r w:rsidR="00B60ECB" w:rsidRPr="00B85D5D">
        <w:rPr>
          <w:rFonts w:ascii="Arial" w:hAnsi="Arial" w:cs="Arial"/>
          <w:b/>
          <w:color w:val="000000" w:themeColor="text1"/>
          <w:sz w:val="24"/>
          <w:szCs w:val="24"/>
        </w:rPr>
        <w:t xml:space="preserve"> </w:t>
      </w:r>
    </w:p>
    <w:p w:rsidR="000E167F" w:rsidRPr="00646CA5" w:rsidRDefault="000E167F" w:rsidP="00646CA5">
      <w:pPr>
        <w:spacing w:line="276" w:lineRule="auto"/>
        <w:rPr>
          <w:rFonts w:ascii="Arial" w:hAnsi="Arial" w:cs="Arial"/>
        </w:rPr>
      </w:pPr>
    </w:p>
    <w:p w:rsidR="00B60ECB" w:rsidRPr="00646CA5" w:rsidRDefault="00B60ECB" w:rsidP="00B85D5D">
      <w:pPr>
        <w:spacing w:line="276" w:lineRule="auto"/>
        <w:rPr>
          <w:rFonts w:ascii="Arial" w:hAnsi="Arial" w:cs="Arial"/>
        </w:rPr>
      </w:pPr>
      <w:r w:rsidRPr="00646CA5">
        <w:rPr>
          <w:rFonts w:ascii="Arial" w:hAnsi="Arial" w:cs="Arial"/>
        </w:rPr>
        <w:t>In this part of the assignment, the focus is on Greenacres, a company dedicated to outdoor furniture, which plans to invest towards three potential initiatives: improving the retail space to include a more extensive product selection, creating greenhouses and conservatories, and significantly expanding its presence in the online retail market, a promising avenue for growth.</w:t>
      </w:r>
    </w:p>
    <w:p w:rsidR="00B60ECB" w:rsidRPr="00646CA5" w:rsidRDefault="00B60ECB" w:rsidP="00B85D5D">
      <w:pPr>
        <w:pStyle w:val="NormalWeb"/>
        <w:spacing w:line="276" w:lineRule="auto"/>
        <w:rPr>
          <w:rFonts w:ascii="Arial" w:hAnsi="Arial" w:cs="Arial"/>
          <w:sz w:val="22"/>
          <w:szCs w:val="22"/>
        </w:rPr>
      </w:pPr>
      <w:r w:rsidRPr="00646CA5">
        <w:rPr>
          <w:rFonts w:ascii="Arial" w:hAnsi="Arial" w:cs="Arial"/>
          <w:sz w:val="22"/>
          <w:szCs w:val="22"/>
        </w:rPr>
        <w:t xml:space="preserve">Each of these projects comes with a defined budget and a projected cash flow over four years, necessitating an analysis to determine which project yields the highest profitability. It calculates the IRR for one project, discusses why NPV is the most effective investment appraisal method and identifies the factors to consider before making an investment. Additionally, this section of the assignment will cover optimal investment policies and potential financing sources (See Appendix 3). </w:t>
      </w:r>
    </w:p>
    <w:p w:rsidR="00B60ECB" w:rsidRPr="00646CA5" w:rsidRDefault="00B60ECB" w:rsidP="00B85D5D">
      <w:pPr>
        <w:spacing w:line="276" w:lineRule="auto"/>
        <w:rPr>
          <w:rFonts w:ascii="Arial" w:hAnsi="Arial" w:cs="Arial"/>
        </w:rPr>
      </w:pPr>
      <w:r w:rsidRPr="00646CA5">
        <w:rPr>
          <w:rFonts w:ascii="Arial" w:hAnsi="Arial" w:cs="Arial"/>
        </w:rPr>
        <w:lastRenderedPageBreak/>
        <w:t>By evaluating the NPV of the three projects, it was identified that project C had the highest NPV and an IRR that surpassed the cost of capital, which prompted this recommendation. Additionally, considering a budget of £2,500,000 and the feasibility of divisible projects, it was suggested that the company also pursue projects B and A, which ranked first and second in the cost-benefit ratio. However, project C can be undertaken at a reduced scale of 49% due to its high NPV and IRR, which make it a profitable investment even at a smaller scale (See Appendix 3).</w:t>
      </w:r>
    </w:p>
    <w:p w:rsidR="00B60ECB" w:rsidRPr="00646CA5" w:rsidRDefault="00B60ECB" w:rsidP="00B85D5D">
      <w:pPr>
        <w:spacing w:line="276" w:lineRule="auto"/>
        <w:rPr>
          <w:rFonts w:ascii="Arial" w:hAnsi="Arial" w:cs="Arial"/>
        </w:rPr>
      </w:pPr>
    </w:p>
    <w:p w:rsidR="00B60ECB" w:rsidRPr="00B85D5D" w:rsidRDefault="00453175" w:rsidP="00646CA5">
      <w:pPr>
        <w:pStyle w:val="Heading2"/>
        <w:spacing w:line="276" w:lineRule="auto"/>
        <w:rPr>
          <w:rFonts w:ascii="Arial" w:hAnsi="Arial" w:cs="Arial"/>
          <w:b/>
          <w:color w:val="000000" w:themeColor="text1"/>
          <w:sz w:val="24"/>
          <w:szCs w:val="24"/>
        </w:rPr>
      </w:pPr>
      <w:bookmarkStart w:id="13" w:name="_Toc188151126"/>
      <w:r w:rsidRPr="00B85D5D">
        <w:rPr>
          <w:rFonts w:ascii="Arial" w:hAnsi="Arial" w:cs="Arial"/>
          <w:b/>
          <w:color w:val="000000" w:themeColor="text1"/>
          <w:sz w:val="24"/>
          <w:szCs w:val="24"/>
        </w:rPr>
        <w:t xml:space="preserve">5.2. </w:t>
      </w:r>
      <w:r w:rsidR="00B60ECB" w:rsidRPr="00B85D5D">
        <w:rPr>
          <w:rFonts w:ascii="Arial" w:hAnsi="Arial" w:cs="Arial"/>
          <w:b/>
          <w:color w:val="000000" w:themeColor="text1"/>
          <w:sz w:val="24"/>
          <w:szCs w:val="24"/>
        </w:rPr>
        <w:t>Methods of Investment</w:t>
      </w:r>
      <w:bookmarkEnd w:id="13"/>
      <w:r w:rsidR="00B60ECB" w:rsidRPr="00B85D5D">
        <w:rPr>
          <w:rFonts w:ascii="Arial" w:hAnsi="Arial" w:cs="Arial"/>
          <w:b/>
          <w:color w:val="000000" w:themeColor="text1"/>
          <w:sz w:val="24"/>
          <w:szCs w:val="24"/>
        </w:rPr>
        <w:t xml:space="preserve"> </w:t>
      </w:r>
    </w:p>
    <w:p w:rsidR="00B60ECB" w:rsidRPr="00646CA5" w:rsidRDefault="00B60ECB" w:rsidP="00646CA5">
      <w:pPr>
        <w:spacing w:line="276" w:lineRule="auto"/>
        <w:rPr>
          <w:rFonts w:ascii="Arial" w:hAnsi="Arial" w:cs="Arial"/>
        </w:rPr>
      </w:pPr>
    </w:p>
    <w:p w:rsidR="00B60ECB" w:rsidRPr="00646CA5" w:rsidRDefault="00B60ECB" w:rsidP="00646CA5">
      <w:pPr>
        <w:pStyle w:val="NormalWeb"/>
        <w:spacing w:line="276" w:lineRule="auto"/>
        <w:rPr>
          <w:rFonts w:ascii="Arial" w:hAnsi="Arial" w:cs="Arial"/>
          <w:sz w:val="22"/>
          <w:szCs w:val="22"/>
        </w:rPr>
      </w:pPr>
      <w:r w:rsidRPr="00646CA5">
        <w:rPr>
          <w:rFonts w:ascii="Arial" w:hAnsi="Arial" w:cs="Arial"/>
          <w:sz w:val="22"/>
          <w:szCs w:val="22"/>
        </w:rPr>
        <w:t>Companies that decide to invest need to engage in strategic planning, as they allocate both time and financial resources, and errors can lead to significant consequences (</w:t>
      </w:r>
      <w:proofErr w:type="spellStart"/>
      <w:r w:rsidRPr="00646CA5">
        <w:rPr>
          <w:rFonts w:ascii="Arial" w:hAnsi="Arial" w:cs="Arial"/>
          <w:sz w:val="22"/>
          <w:szCs w:val="22"/>
        </w:rPr>
        <w:t>Atrill</w:t>
      </w:r>
      <w:proofErr w:type="spellEnd"/>
      <w:r w:rsidRPr="00646CA5">
        <w:rPr>
          <w:rFonts w:ascii="Arial" w:hAnsi="Arial" w:cs="Arial"/>
          <w:sz w:val="22"/>
          <w:szCs w:val="22"/>
        </w:rPr>
        <w:t xml:space="preserve"> and McLaney, 2021). They seek specific returns from their investments and utilise various methods to assess and validate the project's profitability and feasibility (Drury and </w:t>
      </w:r>
      <w:proofErr w:type="spellStart"/>
      <w:r w:rsidRPr="00646CA5">
        <w:rPr>
          <w:rFonts w:ascii="Arial" w:hAnsi="Arial" w:cs="Arial"/>
          <w:sz w:val="22"/>
          <w:szCs w:val="22"/>
        </w:rPr>
        <w:t>Tayles</w:t>
      </w:r>
      <w:proofErr w:type="spellEnd"/>
      <w:r w:rsidRPr="00646CA5">
        <w:rPr>
          <w:rFonts w:ascii="Arial" w:hAnsi="Arial" w:cs="Arial"/>
          <w:sz w:val="22"/>
          <w:szCs w:val="22"/>
        </w:rPr>
        <w:t>, 202</w:t>
      </w:r>
      <w:r w:rsidR="004C28BF">
        <w:rPr>
          <w:rFonts w:ascii="Arial" w:hAnsi="Arial" w:cs="Arial"/>
          <w:sz w:val="22"/>
          <w:szCs w:val="22"/>
        </w:rPr>
        <w:t>1</w:t>
      </w:r>
      <w:r w:rsidRPr="00646CA5">
        <w:rPr>
          <w:rFonts w:ascii="Arial" w:hAnsi="Arial" w:cs="Arial"/>
          <w:sz w:val="22"/>
          <w:szCs w:val="22"/>
        </w:rPr>
        <w:t>). A comprehensive analysis, which incorporates net present value (NPV) and internal rate of return (IRR), provides a clear insight into the project's profitability (Osbourne, 2010). NPV serves as a widely used financial tool that accounts for anticipated future costs and revenues, potential risks, and the time value of money (</w:t>
      </w:r>
      <w:proofErr w:type="spellStart"/>
      <w:r w:rsidRPr="00646CA5">
        <w:rPr>
          <w:rFonts w:ascii="Arial" w:hAnsi="Arial" w:cs="Arial"/>
          <w:sz w:val="22"/>
          <w:szCs w:val="22"/>
        </w:rPr>
        <w:t>Ionel</w:t>
      </w:r>
      <w:proofErr w:type="spellEnd"/>
      <w:r w:rsidRPr="00646CA5">
        <w:rPr>
          <w:rFonts w:ascii="Arial" w:hAnsi="Arial" w:cs="Arial"/>
          <w:sz w:val="22"/>
          <w:szCs w:val="22"/>
        </w:rPr>
        <w:t>, 2023). In addition to NPV, organisations may explore techniques such as Account Rate of Return (ARR) and Payback Period. Some companies employ all four methods, while others may opt for just one or two. Furthermore, many smaller businesses often depend on their instincts rather than these methods when making investment choices (</w:t>
      </w:r>
      <w:proofErr w:type="spellStart"/>
      <w:r w:rsidRPr="00646CA5">
        <w:rPr>
          <w:rFonts w:ascii="Arial" w:hAnsi="Arial" w:cs="Arial"/>
          <w:sz w:val="22"/>
          <w:szCs w:val="22"/>
        </w:rPr>
        <w:t>Atrill</w:t>
      </w:r>
      <w:proofErr w:type="spellEnd"/>
      <w:r w:rsidRPr="00646CA5">
        <w:rPr>
          <w:rFonts w:ascii="Arial" w:hAnsi="Arial" w:cs="Arial"/>
          <w:sz w:val="22"/>
          <w:szCs w:val="22"/>
        </w:rPr>
        <w:t xml:space="preserve"> and McLaney, 2021).</w:t>
      </w:r>
    </w:p>
    <w:p w:rsidR="00B60ECB" w:rsidRPr="00646CA5" w:rsidRDefault="00B60ECB" w:rsidP="00646CA5">
      <w:pPr>
        <w:spacing w:line="276" w:lineRule="auto"/>
        <w:rPr>
          <w:rFonts w:ascii="Arial" w:hAnsi="Arial" w:cs="Arial"/>
        </w:rPr>
      </w:pPr>
    </w:p>
    <w:p w:rsidR="00B60ECB" w:rsidRPr="00B85D5D" w:rsidRDefault="00453175" w:rsidP="00646CA5">
      <w:pPr>
        <w:pStyle w:val="Heading1"/>
        <w:spacing w:line="276" w:lineRule="auto"/>
        <w:rPr>
          <w:rFonts w:ascii="Arial" w:hAnsi="Arial" w:cs="Arial"/>
          <w:b/>
          <w:color w:val="000000" w:themeColor="text1"/>
          <w:sz w:val="28"/>
          <w:szCs w:val="28"/>
        </w:rPr>
      </w:pPr>
      <w:bookmarkStart w:id="14" w:name="_Toc188151127"/>
      <w:r w:rsidRPr="00B85D5D">
        <w:rPr>
          <w:rFonts w:ascii="Arial" w:hAnsi="Arial" w:cs="Arial"/>
          <w:b/>
          <w:color w:val="000000" w:themeColor="text1"/>
          <w:sz w:val="28"/>
          <w:szCs w:val="28"/>
        </w:rPr>
        <w:t>6</w:t>
      </w:r>
      <w:r w:rsidR="00B60ECB" w:rsidRPr="00B85D5D">
        <w:rPr>
          <w:rFonts w:ascii="Arial" w:hAnsi="Arial" w:cs="Arial"/>
          <w:b/>
          <w:color w:val="000000" w:themeColor="text1"/>
          <w:sz w:val="28"/>
          <w:szCs w:val="28"/>
        </w:rPr>
        <w:t>. Investment analysis</w:t>
      </w:r>
      <w:bookmarkEnd w:id="14"/>
      <w:r w:rsidR="00B60ECB" w:rsidRPr="00B85D5D">
        <w:rPr>
          <w:rFonts w:ascii="Arial" w:hAnsi="Arial" w:cs="Arial"/>
          <w:b/>
          <w:color w:val="000000" w:themeColor="text1"/>
          <w:sz w:val="28"/>
          <w:szCs w:val="28"/>
        </w:rPr>
        <w:t xml:space="preserve"> </w:t>
      </w:r>
    </w:p>
    <w:p w:rsidR="00B60ECB" w:rsidRPr="00646CA5" w:rsidRDefault="00B60ECB" w:rsidP="00646CA5">
      <w:pPr>
        <w:spacing w:line="276" w:lineRule="auto"/>
        <w:rPr>
          <w:rFonts w:ascii="Arial" w:hAnsi="Arial" w:cs="Arial"/>
        </w:rPr>
      </w:pPr>
    </w:p>
    <w:p w:rsidR="00B60ECB" w:rsidRDefault="00453175" w:rsidP="00646CA5">
      <w:pPr>
        <w:pStyle w:val="Heading2"/>
        <w:spacing w:line="276" w:lineRule="auto"/>
        <w:rPr>
          <w:rFonts w:ascii="Arial" w:hAnsi="Arial" w:cs="Arial"/>
          <w:b/>
          <w:color w:val="000000" w:themeColor="text1"/>
          <w:sz w:val="24"/>
          <w:szCs w:val="24"/>
        </w:rPr>
      </w:pPr>
      <w:bookmarkStart w:id="15" w:name="_Toc188151128"/>
      <w:r w:rsidRPr="00B85D5D">
        <w:rPr>
          <w:rFonts w:ascii="Arial" w:hAnsi="Arial" w:cs="Arial"/>
          <w:b/>
          <w:color w:val="000000" w:themeColor="text1"/>
          <w:sz w:val="24"/>
          <w:szCs w:val="24"/>
        </w:rPr>
        <w:t>6.1</w:t>
      </w:r>
      <w:r w:rsidR="00B60ECB" w:rsidRPr="00B85D5D">
        <w:rPr>
          <w:rFonts w:ascii="Arial" w:hAnsi="Arial" w:cs="Arial"/>
          <w:b/>
          <w:color w:val="000000" w:themeColor="text1"/>
          <w:sz w:val="24"/>
          <w:szCs w:val="24"/>
        </w:rPr>
        <w:t xml:space="preserve"> Net Present Value </w:t>
      </w:r>
      <w:bookmarkEnd w:id="15"/>
      <w:r w:rsidR="00EA7211">
        <w:rPr>
          <w:rFonts w:ascii="Arial" w:hAnsi="Arial" w:cs="Arial"/>
          <w:b/>
          <w:color w:val="000000" w:themeColor="text1"/>
          <w:sz w:val="24"/>
          <w:szCs w:val="24"/>
        </w:rPr>
        <w:t>Method</w:t>
      </w:r>
    </w:p>
    <w:p w:rsidR="00B85D5D" w:rsidRPr="00B85D5D" w:rsidRDefault="00B85D5D" w:rsidP="00B85D5D"/>
    <w:p w:rsidR="00B60ECB" w:rsidRPr="00646CA5" w:rsidRDefault="00B60ECB" w:rsidP="00646CA5">
      <w:pPr>
        <w:spacing w:line="276" w:lineRule="auto"/>
        <w:rPr>
          <w:rFonts w:ascii="Arial" w:hAnsi="Arial" w:cs="Arial"/>
        </w:rPr>
      </w:pPr>
    </w:p>
    <w:p w:rsidR="00B60ECB" w:rsidRPr="00646CA5" w:rsidRDefault="00B60ECB" w:rsidP="00B85D5D">
      <w:pPr>
        <w:spacing w:line="276" w:lineRule="auto"/>
        <w:rPr>
          <w:rFonts w:ascii="Arial" w:hAnsi="Arial" w:cs="Arial"/>
        </w:rPr>
      </w:pPr>
      <w:r w:rsidRPr="00646CA5">
        <w:rPr>
          <w:rFonts w:ascii="Arial" w:hAnsi="Arial" w:cs="Arial"/>
        </w:rPr>
        <w:t>The core idea behind NPV calculation is to adjust future cash flows to reflect their present value, based on the principle that a dollar today is worth more than a dollar in the future. This adjustment involves discounting future cash inflows to their present value with a discount rate that considers the time value of money and the associated risks of those future cash flows, customised for each company and the prevailing economic conditions (</w:t>
      </w:r>
      <w:proofErr w:type="spellStart"/>
      <w:r w:rsidRPr="00646CA5">
        <w:rPr>
          <w:rFonts w:ascii="Arial" w:hAnsi="Arial" w:cs="Arial"/>
        </w:rPr>
        <w:t>Ionel</w:t>
      </w:r>
      <w:proofErr w:type="spellEnd"/>
      <w:r w:rsidRPr="00646CA5">
        <w:rPr>
          <w:rFonts w:ascii="Arial" w:hAnsi="Arial" w:cs="Arial"/>
        </w:rPr>
        <w:t>, 2023).</w:t>
      </w:r>
    </w:p>
    <w:p w:rsidR="00B60ECB" w:rsidRPr="00646CA5" w:rsidRDefault="00B60ECB" w:rsidP="00B85D5D">
      <w:pPr>
        <w:spacing w:line="276" w:lineRule="auto"/>
        <w:rPr>
          <w:rFonts w:ascii="Arial" w:hAnsi="Arial" w:cs="Arial"/>
        </w:rPr>
      </w:pPr>
      <w:r w:rsidRPr="00646CA5">
        <w:rPr>
          <w:rFonts w:ascii="Arial" w:hAnsi="Arial" w:cs="Arial"/>
        </w:rPr>
        <w:t xml:space="preserve">The analysis of all three projects reveals a positive NPV, indicating that stakeholders should proceed with the investment (Drury and </w:t>
      </w:r>
      <w:proofErr w:type="spellStart"/>
      <w:r w:rsidRPr="00646CA5">
        <w:rPr>
          <w:rFonts w:ascii="Arial" w:hAnsi="Arial" w:cs="Arial"/>
        </w:rPr>
        <w:t>Tayles</w:t>
      </w:r>
      <w:proofErr w:type="spellEnd"/>
      <w:r w:rsidRPr="00646CA5">
        <w:rPr>
          <w:rFonts w:ascii="Arial" w:hAnsi="Arial" w:cs="Arial"/>
        </w:rPr>
        <w:t>, 202</w:t>
      </w:r>
      <w:r w:rsidR="004C28BF">
        <w:rPr>
          <w:rFonts w:ascii="Arial" w:hAnsi="Arial" w:cs="Arial"/>
        </w:rPr>
        <w:t>1</w:t>
      </w:r>
      <w:r w:rsidRPr="00646CA5">
        <w:rPr>
          <w:rFonts w:ascii="Arial" w:hAnsi="Arial" w:cs="Arial"/>
        </w:rPr>
        <w:t>). A positive NPV enhances a company's value, whereas a negative NPV diminishes it, reflecting the present value of anticipated cash inflows from a project (</w:t>
      </w:r>
      <w:proofErr w:type="spellStart"/>
      <w:r w:rsidRPr="00646CA5">
        <w:rPr>
          <w:rFonts w:ascii="Arial" w:hAnsi="Arial" w:cs="Arial"/>
        </w:rPr>
        <w:t>Burksaitiene</w:t>
      </w:r>
      <w:proofErr w:type="spellEnd"/>
      <w:r w:rsidRPr="00646CA5">
        <w:rPr>
          <w:rFonts w:ascii="Arial" w:hAnsi="Arial" w:cs="Arial"/>
        </w:rPr>
        <w:t>, 2009). Project A yields an NPV of 752.9, Project B produces an NPV of 1,301.4 and Project C achieves an NPV of 1,315.90. Among the three, Project C stands out as the most favourable option due to its highest NPV, as it not only increases the company's value but also fosters the growth of shareholders' wealth (Gould, 1972; ACCA, 2010).</w:t>
      </w:r>
    </w:p>
    <w:p w:rsidR="00B60ECB" w:rsidRPr="00646CA5" w:rsidRDefault="00B60ECB" w:rsidP="00B85D5D">
      <w:pPr>
        <w:pStyle w:val="NormalWeb"/>
        <w:spacing w:line="276" w:lineRule="auto"/>
        <w:rPr>
          <w:rFonts w:ascii="Arial" w:hAnsi="Arial" w:cs="Arial"/>
          <w:sz w:val="22"/>
          <w:szCs w:val="22"/>
        </w:rPr>
      </w:pPr>
      <w:r w:rsidRPr="00646CA5">
        <w:rPr>
          <w:rFonts w:ascii="Arial" w:hAnsi="Arial" w:cs="Arial"/>
          <w:sz w:val="22"/>
          <w:szCs w:val="22"/>
        </w:rPr>
        <w:lastRenderedPageBreak/>
        <w:t>Projects with a higher NPV are viewed as more economically viable and are favoured in evaluations, assuming all other assessment criteria are met (Maurer, 2009). Some experts argue that selecting the investment with the highest NPV is frequently seen as the most financially beneficial and practical choice; however, they caution against relying solely on this method of analysis, emphasising the importance of understanding core business objectives (</w:t>
      </w:r>
      <w:proofErr w:type="spellStart"/>
      <w:r w:rsidRPr="00646CA5">
        <w:rPr>
          <w:rFonts w:ascii="Arial" w:hAnsi="Arial" w:cs="Arial"/>
          <w:sz w:val="22"/>
          <w:szCs w:val="22"/>
        </w:rPr>
        <w:t>Ionel</w:t>
      </w:r>
      <w:proofErr w:type="spellEnd"/>
      <w:r w:rsidRPr="00646CA5">
        <w:rPr>
          <w:rFonts w:ascii="Arial" w:hAnsi="Arial" w:cs="Arial"/>
          <w:sz w:val="22"/>
          <w:szCs w:val="22"/>
        </w:rPr>
        <w:t>, 2023).</w:t>
      </w:r>
    </w:p>
    <w:p w:rsidR="00B60ECB" w:rsidRPr="00646CA5" w:rsidRDefault="00B60ECB" w:rsidP="00B85D5D">
      <w:pPr>
        <w:spacing w:line="276" w:lineRule="auto"/>
        <w:rPr>
          <w:rFonts w:ascii="Arial" w:hAnsi="Arial" w:cs="Arial"/>
        </w:rPr>
      </w:pPr>
      <w:r w:rsidRPr="00646CA5">
        <w:rPr>
          <w:rFonts w:ascii="Arial" w:hAnsi="Arial" w:cs="Arial"/>
        </w:rPr>
        <w:t>Although companies typically prefer projects with the highest NPV for maximum value addition, they may opt for projects with lower NPV when long-term strategic benefits, such as enhancing brand strength or market presence, are at stake. In such instances, firms might prioritise long-term growth or other strategic objectives over short-term financial gains. This strategic shift brings a promising future and encourages a forward-thinking approach. Nevertheless, the ratio approach, which emphasises metrics like NPV, fails to consider the risks tied to each investment, potentially leading to decisions that ignore possible downsides or uncertainties (ACCA, 2010). Additionally, the NPV framework relies on a specific set of assumptions (Routledge, 2011).</w:t>
      </w:r>
    </w:p>
    <w:p w:rsidR="003675EB" w:rsidRPr="00646CA5" w:rsidRDefault="003675EB" w:rsidP="00646CA5">
      <w:pPr>
        <w:spacing w:line="276" w:lineRule="auto"/>
        <w:rPr>
          <w:rFonts w:ascii="Arial" w:hAnsi="Arial" w:cs="Arial"/>
        </w:rPr>
      </w:pPr>
    </w:p>
    <w:p w:rsidR="00B60ECB" w:rsidRPr="00B85D5D" w:rsidRDefault="003675EB" w:rsidP="00646CA5">
      <w:pPr>
        <w:pStyle w:val="Heading2"/>
        <w:spacing w:line="276" w:lineRule="auto"/>
        <w:rPr>
          <w:rFonts w:ascii="Arial" w:hAnsi="Arial" w:cs="Arial"/>
          <w:b/>
          <w:color w:val="000000" w:themeColor="text1"/>
          <w:sz w:val="24"/>
          <w:szCs w:val="24"/>
        </w:rPr>
      </w:pPr>
      <w:bookmarkStart w:id="16" w:name="_Toc188151129"/>
      <w:r w:rsidRPr="00B85D5D">
        <w:rPr>
          <w:rFonts w:ascii="Arial" w:hAnsi="Arial" w:cs="Arial"/>
          <w:b/>
          <w:color w:val="000000" w:themeColor="text1"/>
          <w:sz w:val="24"/>
          <w:szCs w:val="24"/>
        </w:rPr>
        <w:t>6.2</w:t>
      </w:r>
      <w:r w:rsidR="00B60ECB" w:rsidRPr="00B85D5D">
        <w:rPr>
          <w:rFonts w:ascii="Arial" w:hAnsi="Arial" w:cs="Arial"/>
          <w:b/>
          <w:color w:val="000000" w:themeColor="text1"/>
          <w:sz w:val="24"/>
          <w:szCs w:val="24"/>
        </w:rPr>
        <w:t xml:space="preserve"> IRR</w:t>
      </w:r>
      <w:bookmarkEnd w:id="16"/>
    </w:p>
    <w:p w:rsidR="003675EB" w:rsidRDefault="003675EB" w:rsidP="00646CA5">
      <w:pPr>
        <w:spacing w:line="276" w:lineRule="auto"/>
        <w:rPr>
          <w:rFonts w:ascii="Arial" w:hAnsi="Arial" w:cs="Arial"/>
        </w:rPr>
      </w:pPr>
    </w:p>
    <w:p w:rsidR="00B85D5D" w:rsidRPr="00646CA5" w:rsidRDefault="00B85D5D" w:rsidP="00646CA5">
      <w:pPr>
        <w:spacing w:line="276" w:lineRule="auto"/>
        <w:rPr>
          <w:rFonts w:ascii="Arial" w:hAnsi="Arial" w:cs="Arial"/>
        </w:rPr>
      </w:pPr>
    </w:p>
    <w:p w:rsidR="00B60ECB" w:rsidRPr="00646CA5" w:rsidRDefault="00B60ECB" w:rsidP="00646CA5">
      <w:pPr>
        <w:spacing w:line="276" w:lineRule="auto"/>
        <w:rPr>
          <w:rFonts w:ascii="Arial" w:hAnsi="Arial" w:cs="Arial"/>
        </w:rPr>
      </w:pPr>
      <w:r w:rsidRPr="00646CA5">
        <w:rPr>
          <w:rFonts w:ascii="Arial" w:hAnsi="Arial" w:cs="Arial"/>
        </w:rPr>
        <w:t>IRR, similar to NPV, is a key tool for investment analysis. It works by discounting future cash flows to present value</w:t>
      </w:r>
      <w:r w:rsidR="009C5880">
        <w:rPr>
          <w:rFonts w:ascii="Arial" w:hAnsi="Arial" w:cs="Arial"/>
        </w:rPr>
        <w:t xml:space="preserve"> (</w:t>
      </w:r>
      <w:r w:rsidR="009C5880" w:rsidRPr="00646CA5">
        <w:rPr>
          <w:rFonts w:ascii="Arial" w:hAnsi="Arial" w:cs="Arial"/>
        </w:rPr>
        <w:t>ACCA, 2010).</w:t>
      </w:r>
      <w:r w:rsidRPr="00646CA5">
        <w:rPr>
          <w:rFonts w:ascii="Arial" w:hAnsi="Arial" w:cs="Arial"/>
        </w:rPr>
        <w:t xml:space="preserve"> For example, Project C, which has the highest NPV, was analysed using IRR and yielded a rate of 16</w:t>
      </w:r>
      <w:r w:rsidR="009C5880" w:rsidRPr="00646CA5">
        <w:rPr>
          <w:rFonts w:ascii="Arial" w:hAnsi="Arial" w:cs="Arial"/>
        </w:rPr>
        <w:t>%. The</w:t>
      </w:r>
      <w:r w:rsidRPr="00646CA5">
        <w:rPr>
          <w:rFonts w:ascii="Arial" w:hAnsi="Arial" w:cs="Arial"/>
        </w:rPr>
        <w:t xml:space="preserve"> recommendation is that a project should proceed if its IRR exceeds the company's hurdle rate and it presents a positive NPV (ACCA, 2010). However, it</w:t>
      </w:r>
      <w:r w:rsidR="005060A1">
        <w:rPr>
          <w:rFonts w:ascii="Arial" w:hAnsi="Arial" w:cs="Arial"/>
        </w:rPr>
        <w:t xml:space="preserve"> is</w:t>
      </w:r>
      <w:r w:rsidRPr="00646CA5">
        <w:rPr>
          <w:rFonts w:ascii="Arial" w:hAnsi="Arial" w:cs="Arial"/>
        </w:rPr>
        <w:t xml:space="preserve"> important to be aware that selecting the project with the highest IRR does</w:t>
      </w:r>
      <w:r w:rsidR="00A66261">
        <w:rPr>
          <w:rFonts w:ascii="Arial" w:hAnsi="Arial" w:cs="Arial"/>
        </w:rPr>
        <w:t xml:space="preserve"> not</w:t>
      </w:r>
      <w:r w:rsidRPr="00646CA5">
        <w:rPr>
          <w:rFonts w:ascii="Arial" w:hAnsi="Arial" w:cs="Arial"/>
        </w:rPr>
        <w:t xml:space="preserve"> always guarantee maximum profitability. This is because IRR does</w:t>
      </w:r>
      <w:r w:rsidR="00A66261">
        <w:rPr>
          <w:rFonts w:ascii="Arial" w:hAnsi="Arial" w:cs="Arial"/>
        </w:rPr>
        <w:t xml:space="preserve"> not</w:t>
      </w:r>
      <w:r w:rsidRPr="00646CA5">
        <w:rPr>
          <w:rFonts w:ascii="Arial" w:hAnsi="Arial" w:cs="Arial"/>
        </w:rPr>
        <w:t xml:space="preserve"> consider the "scale of investment" (</w:t>
      </w:r>
      <w:proofErr w:type="spellStart"/>
      <w:r w:rsidRPr="00646CA5">
        <w:rPr>
          <w:rFonts w:ascii="Arial" w:hAnsi="Arial" w:cs="Arial"/>
        </w:rPr>
        <w:t>Atrill</w:t>
      </w:r>
      <w:proofErr w:type="spellEnd"/>
      <w:r w:rsidRPr="00646CA5">
        <w:rPr>
          <w:rFonts w:ascii="Arial" w:hAnsi="Arial" w:cs="Arial"/>
        </w:rPr>
        <w:t xml:space="preserve"> and McLaney, p.310, 2021). As a result, a smaller project could potentially yield comparable or slightly lower returns than a larger project that is three times its size (</w:t>
      </w:r>
      <w:proofErr w:type="spellStart"/>
      <w:r w:rsidRPr="00646CA5">
        <w:rPr>
          <w:rFonts w:ascii="Arial" w:hAnsi="Arial" w:cs="Arial"/>
        </w:rPr>
        <w:t>Atrill</w:t>
      </w:r>
      <w:proofErr w:type="spellEnd"/>
      <w:r w:rsidRPr="00646CA5">
        <w:rPr>
          <w:rFonts w:ascii="Arial" w:hAnsi="Arial" w:cs="Arial"/>
        </w:rPr>
        <w:t xml:space="preserve"> and McLaney, 2021).</w:t>
      </w:r>
    </w:p>
    <w:p w:rsidR="00B60ECB" w:rsidRPr="00646CA5" w:rsidRDefault="00B60ECB" w:rsidP="00646CA5">
      <w:pPr>
        <w:spacing w:line="276" w:lineRule="auto"/>
        <w:rPr>
          <w:rFonts w:ascii="Arial" w:hAnsi="Arial" w:cs="Arial"/>
        </w:rPr>
      </w:pPr>
    </w:p>
    <w:p w:rsidR="00451F97" w:rsidRPr="00B85D5D" w:rsidRDefault="003675EB" w:rsidP="00646CA5">
      <w:pPr>
        <w:pStyle w:val="Heading2"/>
        <w:spacing w:line="276" w:lineRule="auto"/>
        <w:rPr>
          <w:rFonts w:ascii="Arial" w:hAnsi="Arial" w:cs="Arial"/>
          <w:b/>
          <w:color w:val="000000" w:themeColor="text1"/>
          <w:sz w:val="24"/>
          <w:szCs w:val="24"/>
        </w:rPr>
      </w:pPr>
      <w:bookmarkStart w:id="17" w:name="_Toc188151130"/>
      <w:r w:rsidRPr="00B85D5D">
        <w:rPr>
          <w:rFonts w:ascii="Arial" w:hAnsi="Arial" w:cs="Arial"/>
          <w:b/>
          <w:color w:val="000000" w:themeColor="text1"/>
          <w:sz w:val="24"/>
          <w:szCs w:val="24"/>
        </w:rPr>
        <w:t>6.3</w:t>
      </w:r>
      <w:r w:rsidR="003463CD" w:rsidRPr="00B85D5D">
        <w:rPr>
          <w:rFonts w:ascii="Arial" w:hAnsi="Arial" w:cs="Arial"/>
          <w:b/>
          <w:color w:val="000000" w:themeColor="text1"/>
          <w:sz w:val="24"/>
          <w:szCs w:val="24"/>
        </w:rPr>
        <w:t>.</w:t>
      </w:r>
      <w:r w:rsidR="00451F97" w:rsidRPr="00B85D5D">
        <w:rPr>
          <w:rFonts w:ascii="Arial" w:hAnsi="Arial" w:cs="Arial"/>
          <w:b/>
          <w:color w:val="000000" w:themeColor="text1"/>
          <w:sz w:val="24"/>
          <w:szCs w:val="24"/>
        </w:rPr>
        <w:t xml:space="preserve"> Understand the implications of the results</w:t>
      </w:r>
      <w:bookmarkEnd w:id="17"/>
    </w:p>
    <w:p w:rsidR="00B85D5D" w:rsidRDefault="00B85D5D" w:rsidP="00646CA5">
      <w:pPr>
        <w:pStyle w:val="NormalWeb"/>
        <w:spacing w:line="276" w:lineRule="auto"/>
        <w:rPr>
          <w:rFonts w:ascii="Arial" w:hAnsi="Arial" w:cs="Arial"/>
          <w:sz w:val="22"/>
          <w:szCs w:val="22"/>
        </w:rPr>
      </w:pPr>
    </w:p>
    <w:p w:rsidR="00B60ECB" w:rsidRPr="00B85D5D" w:rsidRDefault="00B60ECB" w:rsidP="00646CA5">
      <w:pPr>
        <w:pStyle w:val="NormalWeb"/>
        <w:spacing w:line="276" w:lineRule="auto"/>
        <w:rPr>
          <w:rFonts w:ascii="Arial" w:hAnsi="Arial" w:cs="Arial"/>
        </w:rPr>
      </w:pPr>
      <w:r w:rsidRPr="00B85D5D">
        <w:rPr>
          <w:rFonts w:ascii="Arial" w:hAnsi="Arial" w:cs="Arial"/>
        </w:rPr>
        <w:t xml:space="preserve"> </w:t>
      </w:r>
      <w:proofErr w:type="spellStart"/>
      <w:r w:rsidR="00451F97" w:rsidRPr="00B85D5D">
        <w:rPr>
          <w:rFonts w:ascii="Arial" w:hAnsi="Arial" w:cs="Arial"/>
        </w:rPr>
        <w:t>i</w:t>
      </w:r>
      <w:proofErr w:type="spellEnd"/>
      <w:r w:rsidR="00451F97" w:rsidRPr="00B85D5D">
        <w:rPr>
          <w:rFonts w:ascii="Arial" w:hAnsi="Arial" w:cs="Arial"/>
          <w:b/>
        </w:rPr>
        <w:t>.</w:t>
      </w:r>
      <w:r w:rsidR="00451F97" w:rsidRPr="00B85D5D">
        <w:rPr>
          <w:rFonts w:ascii="Arial" w:hAnsi="Arial" w:cs="Arial"/>
        </w:rPr>
        <w:t xml:space="preserve"> Why</w:t>
      </w:r>
      <w:r w:rsidRPr="00B85D5D">
        <w:rPr>
          <w:rFonts w:ascii="Arial" w:hAnsi="Arial" w:cs="Arial"/>
        </w:rPr>
        <w:t xml:space="preserve"> is NPV the most effective approach for evaluating investment opportunities?</w:t>
      </w:r>
    </w:p>
    <w:p w:rsidR="00B60ECB" w:rsidRPr="00646CA5" w:rsidRDefault="00B60ECB" w:rsidP="00B85D5D">
      <w:pPr>
        <w:spacing w:line="276" w:lineRule="auto"/>
        <w:rPr>
          <w:rFonts w:ascii="Arial" w:hAnsi="Arial" w:cs="Arial"/>
        </w:rPr>
      </w:pPr>
      <w:r w:rsidRPr="00646CA5">
        <w:rPr>
          <w:rFonts w:ascii="Arial" w:hAnsi="Arial" w:cs="Arial"/>
        </w:rPr>
        <w:t>Investors often choose NPV for its comprehensive nature. It reinvests cash flow into the company at the lowest acceptable return rate (Arshad, 2012). The NPV framework evaluates all costs and benefits associated with each project, factoring in the timing of these financial elements in a thorough manner (</w:t>
      </w:r>
      <w:proofErr w:type="spellStart"/>
      <w:r w:rsidRPr="00646CA5">
        <w:rPr>
          <w:rFonts w:ascii="Arial" w:hAnsi="Arial" w:cs="Arial"/>
        </w:rPr>
        <w:t>Atrill</w:t>
      </w:r>
      <w:proofErr w:type="spellEnd"/>
      <w:r w:rsidRPr="00646CA5">
        <w:rPr>
          <w:rFonts w:ascii="Arial" w:hAnsi="Arial" w:cs="Arial"/>
        </w:rPr>
        <w:t xml:space="preserve"> and McLaney, 2021). This method is favoured because it incorporates the time value of money, effectively discounting future returns to their present value. NPV highlights the importance of the minimum acceptable return and potential risks linked to long-term projections, while it applies a heavier discount to cash flows over time, balancing increased risk with diminished reliability (Le, 2021). Additionally, it </w:t>
      </w:r>
      <w:r w:rsidRPr="00646CA5">
        <w:rPr>
          <w:rFonts w:ascii="Arial" w:hAnsi="Arial" w:cs="Arial"/>
        </w:rPr>
        <w:lastRenderedPageBreak/>
        <w:t xml:space="preserve">accounts for all cash flows generated throughout the project's lifespan, unlike other methods that may ignore cash flows beyond a certain period. Furthermore, it increases the company's value and boosts investor prosperity (Hua, 2022). </w:t>
      </w:r>
    </w:p>
    <w:p w:rsidR="00B60ECB" w:rsidRPr="00646CA5" w:rsidRDefault="00B60ECB" w:rsidP="00B85D5D">
      <w:pPr>
        <w:spacing w:line="276" w:lineRule="auto"/>
        <w:rPr>
          <w:rFonts w:ascii="Arial" w:hAnsi="Arial" w:cs="Arial"/>
        </w:rPr>
      </w:pPr>
      <w:r w:rsidRPr="00646CA5">
        <w:rPr>
          <w:rFonts w:ascii="Arial" w:hAnsi="Arial" w:cs="Arial"/>
        </w:rPr>
        <w:t xml:space="preserve">NPV provides more accurate insights when evaluating multiple projects, whereas IRR can lead to misleading conclusions. In contrast to NPV, both the Payback Period and ARR overlook the future value of money; the Payback Period focuses solely on recouping the initial investment without considering subsequent earnings, while ARR depends on accounting profits that can be influenced by accounting decisions, such as the choice of depreciation method, rather than reflecting actual cash flows (Drury and </w:t>
      </w:r>
      <w:proofErr w:type="spellStart"/>
      <w:r w:rsidRPr="00646CA5">
        <w:rPr>
          <w:rFonts w:ascii="Arial" w:hAnsi="Arial" w:cs="Arial"/>
        </w:rPr>
        <w:t>Tayles</w:t>
      </w:r>
      <w:proofErr w:type="spellEnd"/>
      <w:r w:rsidRPr="00646CA5">
        <w:rPr>
          <w:rFonts w:ascii="Arial" w:hAnsi="Arial" w:cs="Arial"/>
        </w:rPr>
        <w:t>, 202</w:t>
      </w:r>
      <w:r w:rsidR="004C28BF">
        <w:rPr>
          <w:rFonts w:ascii="Arial" w:hAnsi="Arial" w:cs="Arial"/>
        </w:rPr>
        <w:t>1</w:t>
      </w:r>
      <w:r w:rsidRPr="00646CA5">
        <w:rPr>
          <w:rFonts w:ascii="Arial" w:hAnsi="Arial" w:cs="Arial"/>
        </w:rPr>
        <w:t>).</w:t>
      </w:r>
    </w:p>
    <w:p w:rsidR="003463CD" w:rsidRPr="00646CA5" w:rsidRDefault="003463CD" w:rsidP="00B85D5D">
      <w:pPr>
        <w:spacing w:line="276" w:lineRule="auto"/>
        <w:rPr>
          <w:rFonts w:ascii="Arial" w:hAnsi="Arial" w:cs="Arial"/>
        </w:rPr>
      </w:pPr>
    </w:p>
    <w:p w:rsidR="00B85D5D" w:rsidRDefault="00B85D5D" w:rsidP="00646CA5">
      <w:pPr>
        <w:spacing w:line="276" w:lineRule="auto"/>
        <w:rPr>
          <w:rFonts w:ascii="Arial" w:hAnsi="Arial" w:cs="Arial"/>
        </w:rPr>
      </w:pPr>
    </w:p>
    <w:p w:rsidR="00B85D5D" w:rsidRDefault="00B85D5D" w:rsidP="00646CA5">
      <w:pPr>
        <w:spacing w:line="276" w:lineRule="auto"/>
        <w:rPr>
          <w:rFonts w:ascii="Arial" w:hAnsi="Arial" w:cs="Arial"/>
          <w:sz w:val="24"/>
          <w:szCs w:val="24"/>
        </w:rPr>
      </w:pPr>
    </w:p>
    <w:p w:rsidR="00451F97" w:rsidRPr="00B85D5D" w:rsidRDefault="00451F97" w:rsidP="00646CA5">
      <w:pPr>
        <w:spacing w:line="276" w:lineRule="auto"/>
        <w:rPr>
          <w:rFonts w:ascii="Arial" w:hAnsi="Arial" w:cs="Arial"/>
          <w:sz w:val="24"/>
          <w:szCs w:val="24"/>
        </w:rPr>
      </w:pPr>
      <w:r w:rsidRPr="00B85D5D">
        <w:rPr>
          <w:rFonts w:ascii="Arial" w:hAnsi="Arial" w:cs="Arial"/>
          <w:sz w:val="24"/>
          <w:szCs w:val="24"/>
        </w:rPr>
        <w:t>ii.</w:t>
      </w:r>
      <w:r w:rsidR="00B60ECB" w:rsidRPr="00B85D5D">
        <w:rPr>
          <w:rFonts w:ascii="Arial" w:hAnsi="Arial" w:cs="Arial"/>
          <w:sz w:val="24"/>
          <w:szCs w:val="24"/>
        </w:rPr>
        <w:t xml:space="preserve"> Non-discounting Methods</w:t>
      </w:r>
    </w:p>
    <w:p w:rsidR="00451F97" w:rsidRPr="00646CA5" w:rsidRDefault="00451F97" w:rsidP="00646CA5">
      <w:pPr>
        <w:spacing w:line="276" w:lineRule="auto"/>
        <w:rPr>
          <w:rFonts w:ascii="Arial" w:hAnsi="Arial" w:cs="Arial"/>
        </w:rPr>
      </w:pPr>
    </w:p>
    <w:p w:rsidR="00B60ECB" w:rsidRPr="00646CA5" w:rsidRDefault="00B60ECB" w:rsidP="00B85D5D">
      <w:pPr>
        <w:spacing w:line="276" w:lineRule="auto"/>
        <w:rPr>
          <w:rFonts w:ascii="Arial" w:hAnsi="Arial" w:cs="Arial"/>
        </w:rPr>
      </w:pPr>
      <w:r w:rsidRPr="00646CA5">
        <w:rPr>
          <w:rFonts w:ascii="Arial" w:hAnsi="Arial" w:cs="Arial"/>
        </w:rPr>
        <w:t xml:space="preserve">The Payback Period, a popular metric for assessing a business's profitability, may not fully indicate the depth of that profitability. However, its focus on the swift recovery of capital makes it a practical tool for addressing a firm's liquidity needs (Drury and </w:t>
      </w:r>
      <w:proofErr w:type="spellStart"/>
      <w:r w:rsidRPr="00646CA5">
        <w:rPr>
          <w:rFonts w:ascii="Arial" w:hAnsi="Arial" w:cs="Arial"/>
        </w:rPr>
        <w:t>Tayles</w:t>
      </w:r>
      <w:proofErr w:type="spellEnd"/>
      <w:r w:rsidRPr="00646CA5">
        <w:rPr>
          <w:rFonts w:ascii="Arial" w:hAnsi="Arial" w:cs="Arial"/>
        </w:rPr>
        <w:t>, 202</w:t>
      </w:r>
      <w:r w:rsidR="004C28BF">
        <w:rPr>
          <w:rFonts w:ascii="Arial" w:hAnsi="Arial" w:cs="Arial"/>
        </w:rPr>
        <w:t>1</w:t>
      </w:r>
      <w:r w:rsidRPr="00646CA5">
        <w:rPr>
          <w:rFonts w:ascii="Arial" w:hAnsi="Arial" w:cs="Arial"/>
        </w:rPr>
        <w:t xml:space="preserve">). This approach can be particularly valuable in situations involving risky business decisions and numerous dilemmas, especially when rapid design and product development changes are necessary, or when cash flow fluctuations introduce significant uncertainty into financial planning (Drury and </w:t>
      </w:r>
      <w:proofErr w:type="spellStart"/>
      <w:r w:rsidRPr="00646CA5">
        <w:rPr>
          <w:rFonts w:ascii="Arial" w:hAnsi="Arial" w:cs="Arial"/>
        </w:rPr>
        <w:t>Tayles</w:t>
      </w:r>
      <w:proofErr w:type="spellEnd"/>
      <w:r w:rsidRPr="00646CA5">
        <w:rPr>
          <w:rFonts w:ascii="Arial" w:hAnsi="Arial" w:cs="Arial"/>
        </w:rPr>
        <w:t>, 202</w:t>
      </w:r>
      <w:r w:rsidR="004C28BF">
        <w:rPr>
          <w:rFonts w:ascii="Arial" w:hAnsi="Arial" w:cs="Arial"/>
        </w:rPr>
        <w:t>1</w:t>
      </w:r>
      <w:r w:rsidRPr="00646CA5">
        <w:rPr>
          <w:rFonts w:ascii="Arial" w:hAnsi="Arial" w:cs="Arial"/>
        </w:rPr>
        <w:t>). Accountants, loan advisors, and public policy consultants often turn to ARR in financial statements, viewing it as a versatile substitute for IRR when the latter is difficult to calculate or unavailable. ARR is useful for evaluating investments and understanding the relationship between market prices and financial data. However, to ensure ARR's reliability and credibility, it</w:t>
      </w:r>
      <w:r w:rsidR="005060A1">
        <w:rPr>
          <w:rFonts w:ascii="Arial" w:hAnsi="Arial" w:cs="Arial"/>
        </w:rPr>
        <w:t xml:space="preserve"> is</w:t>
      </w:r>
      <w:r w:rsidRPr="00646CA5">
        <w:rPr>
          <w:rFonts w:ascii="Arial" w:hAnsi="Arial" w:cs="Arial"/>
        </w:rPr>
        <w:t xml:space="preserve"> crucial to continue conducting data-driven research to assess its validity and practicality as a measurement tool in these contexts (</w:t>
      </w:r>
      <w:proofErr w:type="spellStart"/>
      <w:r w:rsidRPr="00646CA5">
        <w:rPr>
          <w:rFonts w:ascii="Arial" w:hAnsi="Arial" w:cs="Arial"/>
        </w:rPr>
        <w:t>Feenstra</w:t>
      </w:r>
      <w:proofErr w:type="spellEnd"/>
      <w:r w:rsidRPr="00646CA5">
        <w:rPr>
          <w:rFonts w:ascii="Arial" w:hAnsi="Arial" w:cs="Arial"/>
        </w:rPr>
        <w:t xml:space="preserve"> and Wang, 2000).</w:t>
      </w:r>
    </w:p>
    <w:p w:rsidR="00B60ECB" w:rsidRPr="00646CA5" w:rsidRDefault="00B60ECB" w:rsidP="00646CA5">
      <w:pPr>
        <w:spacing w:line="276" w:lineRule="auto"/>
        <w:rPr>
          <w:rFonts w:ascii="Arial" w:hAnsi="Arial" w:cs="Arial"/>
        </w:rPr>
      </w:pPr>
    </w:p>
    <w:p w:rsidR="00451F97" w:rsidRPr="00B85D5D" w:rsidRDefault="00451F97" w:rsidP="00646CA5">
      <w:pPr>
        <w:pStyle w:val="NormalWeb"/>
        <w:spacing w:line="276" w:lineRule="auto"/>
        <w:rPr>
          <w:rFonts w:ascii="Arial" w:hAnsi="Arial" w:cs="Arial"/>
          <w:b/>
        </w:rPr>
      </w:pPr>
      <w:r w:rsidRPr="00B85D5D">
        <w:rPr>
          <w:rFonts w:ascii="Arial" w:hAnsi="Arial" w:cs="Arial"/>
        </w:rPr>
        <w:t>iii.</w:t>
      </w:r>
      <w:r w:rsidR="003463CD" w:rsidRPr="00B85D5D">
        <w:rPr>
          <w:rFonts w:ascii="Arial" w:hAnsi="Arial" w:cs="Arial"/>
        </w:rPr>
        <w:t xml:space="preserve"> </w:t>
      </w:r>
      <w:r w:rsidR="00B60ECB" w:rsidRPr="00B85D5D">
        <w:rPr>
          <w:rFonts w:ascii="Arial" w:hAnsi="Arial" w:cs="Arial"/>
        </w:rPr>
        <w:t>Key elements to evaluate prior to making an investment choice</w:t>
      </w:r>
      <w:r w:rsidR="00B60ECB" w:rsidRPr="00B85D5D">
        <w:rPr>
          <w:rFonts w:ascii="Arial" w:hAnsi="Arial" w:cs="Arial"/>
          <w:b/>
        </w:rPr>
        <w:t>. </w:t>
      </w:r>
    </w:p>
    <w:p w:rsidR="00B60ECB" w:rsidRPr="00646CA5" w:rsidRDefault="00B60ECB" w:rsidP="00B85D5D">
      <w:pPr>
        <w:spacing w:line="276" w:lineRule="auto"/>
        <w:rPr>
          <w:rFonts w:ascii="Arial" w:hAnsi="Arial" w:cs="Arial"/>
        </w:rPr>
      </w:pPr>
      <w:r w:rsidRPr="00646CA5">
        <w:rPr>
          <w:rFonts w:ascii="Arial" w:hAnsi="Arial" w:cs="Arial"/>
        </w:rPr>
        <w:t>NPV and IRR, while crucial financial metrics, do not provide a complete basis for investment decisions; other factors must also be evaluated. When Greenacres considers producing greenhouses and conservatories, it</w:t>
      </w:r>
      <w:r w:rsidR="005060A1">
        <w:rPr>
          <w:rFonts w:ascii="Arial" w:hAnsi="Arial" w:cs="Arial"/>
        </w:rPr>
        <w:t xml:space="preserve"> is</w:t>
      </w:r>
      <w:r w:rsidRPr="00646CA5">
        <w:rPr>
          <w:rFonts w:ascii="Arial" w:hAnsi="Arial" w:cs="Arial"/>
        </w:rPr>
        <w:t xml:space="preserve"> vital that managers gather comprehensive insights about the market. This includes understanding supply and demand dynamics, market saturation, competitor analysis, and customer preferences. This knowledge will ensure that managers are </w:t>
      </w:r>
      <w:r w:rsidR="00BC0605">
        <w:rPr>
          <w:rFonts w:ascii="Arial" w:hAnsi="Arial" w:cs="Arial"/>
        </w:rPr>
        <w:t>well informed</w:t>
      </w:r>
      <w:r w:rsidRPr="00646CA5">
        <w:rPr>
          <w:rFonts w:ascii="Arial" w:hAnsi="Arial" w:cs="Arial"/>
        </w:rPr>
        <w:t xml:space="preserve"> and prepared for any market challenges (</w:t>
      </w:r>
      <w:proofErr w:type="spellStart"/>
      <w:r w:rsidRPr="00646CA5">
        <w:rPr>
          <w:rFonts w:ascii="Arial" w:hAnsi="Arial" w:cs="Arial"/>
        </w:rPr>
        <w:t>Kafuku</w:t>
      </w:r>
      <w:proofErr w:type="spellEnd"/>
      <w:r w:rsidRPr="00646CA5">
        <w:rPr>
          <w:rFonts w:ascii="Arial" w:hAnsi="Arial" w:cs="Arial"/>
        </w:rPr>
        <w:t xml:space="preserve"> </w:t>
      </w:r>
      <w:r w:rsidRPr="00646CA5">
        <w:rPr>
          <w:rFonts w:ascii="Arial" w:hAnsi="Arial" w:cs="Arial"/>
          <w:i/>
        </w:rPr>
        <w:t>et al.,</w:t>
      </w:r>
      <w:r w:rsidRPr="00646CA5">
        <w:rPr>
          <w:rFonts w:ascii="Arial" w:hAnsi="Arial" w:cs="Arial"/>
        </w:rPr>
        <w:t xml:space="preserve"> 2015). Additionally, they must assess product quality, marketing strategies, logistics, and workforce requirements, such as whether to hire more staff or acquire new equipment. A cost-value analysis is recommended (</w:t>
      </w:r>
      <w:proofErr w:type="spellStart"/>
      <w:r w:rsidRPr="00646CA5">
        <w:rPr>
          <w:rFonts w:ascii="Arial" w:hAnsi="Arial" w:cs="Arial"/>
        </w:rPr>
        <w:t>Kafuku</w:t>
      </w:r>
      <w:proofErr w:type="spellEnd"/>
      <w:r w:rsidRPr="00646CA5">
        <w:rPr>
          <w:rFonts w:ascii="Arial" w:hAnsi="Arial" w:cs="Arial"/>
        </w:rPr>
        <w:t xml:space="preserve"> </w:t>
      </w:r>
      <w:r w:rsidRPr="00646CA5">
        <w:rPr>
          <w:rFonts w:ascii="Arial" w:hAnsi="Arial" w:cs="Arial"/>
          <w:i/>
        </w:rPr>
        <w:t>et al</w:t>
      </w:r>
      <w:r w:rsidRPr="00646CA5">
        <w:rPr>
          <w:rFonts w:ascii="Arial" w:hAnsi="Arial" w:cs="Arial"/>
        </w:rPr>
        <w:t>., 2015), and managers should also be aware of potential supply chain disruptions (Damodaran, 2012).</w:t>
      </w:r>
    </w:p>
    <w:p w:rsidR="00B60ECB" w:rsidRPr="00646CA5" w:rsidRDefault="00B60ECB" w:rsidP="00B85D5D">
      <w:pPr>
        <w:spacing w:line="276" w:lineRule="auto"/>
        <w:rPr>
          <w:rFonts w:ascii="Arial" w:hAnsi="Arial" w:cs="Arial"/>
        </w:rPr>
      </w:pPr>
      <w:r w:rsidRPr="00646CA5">
        <w:rPr>
          <w:rFonts w:ascii="Arial" w:hAnsi="Arial" w:cs="Arial"/>
        </w:rPr>
        <w:lastRenderedPageBreak/>
        <w:t>Macro environmental factors, such as interest rates, require careful consideration, especially when a company relies on bank loans for new investments. The fluctuation of interest rates or their excessive elevation can erode the allure of borrowing (</w:t>
      </w:r>
      <w:proofErr w:type="spellStart"/>
      <w:r w:rsidRPr="00646CA5">
        <w:rPr>
          <w:rFonts w:ascii="Arial" w:hAnsi="Arial" w:cs="Arial"/>
        </w:rPr>
        <w:t>Atrill</w:t>
      </w:r>
      <w:proofErr w:type="spellEnd"/>
      <w:r w:rsidRPr="00646CA5">
        <w:rPr>
          <w:rFonts w:ascii="Arial" w:hAnsi="Arial" w:cs="Arial"/>
        </w:rPr>
        <w:t xml:space="preserve"> and McLaney, 2021). However, it is inflation that leads to rising prices for essentials like rent and utilities, significantly inflating fixed expenses, of which companies should be particularly cautious and aware while also anticipating technological advancements (Temple </w:t>
      </w:r>
      <w:r w:rsidRPr="00646CA5">
        <w:rPr>
          <w:rFonts w:ascii="Arial" w:hAnsi="Arial" w:cs="Arial"/>
          <w:i/>
        </w:rPr>
        <w:t>et al.,</w:t>
      </w:r>
      <w:r w:rsidRPr="00646CA5">
        <w:rPr>
          <w:rFonts w:ascii="Arial" w:hAnsi="Arial" w:cs="Arial"/>
        </w:rPr>
        <w:t xml:space="preserve"> 2001; </w:t>
      </w:r>
      <w:proofErr w:type="spellStart"/>
      <w:r w:rsidRPr="00646CA5">
        <w:rPr>
          <w:rFonts w:ascii="Arial" w:hAnsi="Arial" w:cs="Arial"/>
        </w:rPr>
        <w:t>Atrill</w:t>
      </w:r>
      <w:proofErr w:type="spellEnd"/>
      <w:r w:rsidRPr="00646CA5">
        <w:rPr>
          <w:rFonts w:ascii="Arial" w:hAnsi="Arial" w:cs="Arial"/>
        </w:rPr>
        <w:t xml:space="preserve"> and McLaney, 2021). During periods of recession marked by low GDP and high unemployment, companies should consider waiting for economic recovery before pursuing investment opportunities (</w:t>
      </w:r>
      <w:proofErr w:type="spellStart"/>
      <w:r w:rsidRPr="00646CA5">
        <w:rPr>
          <w:rFonts w:ascii="Arial" w:hAnsi="Arial" w:cs="Arial"/>
        </w:rPr>
        <w:t>Atrill</w:t>
      </w:r>
      <w:proofErr w:type="spellEnd"/>
      <w:r w:rsidRPr="00646CA5">
        <w:rPr>
          <w:rFonts w:ascii="Arial" w:hAnsi="Arial" w:cs="Arial"/>
        </w:rPr>
        <w:t xml:space="preserve"> and McLaney, 2021). </w:t>
      </w:r>
    </w:p>
    <w:p w:rsidR="00B60ECB" w:rsidRPr="00646CA5" w:rsidRDefault="00B60ECB" w:rsidP="00B85D5D">
      <w:pPr>
        <w:spacing w:line="276" w:lineRule="auto"/>
        <w:rPr>
          <w:rFonts w:ascii="Arial" w:hAnsi="Arial" w:cs="Arial"/>
        </w:rPr>
      </w:pPr>
      <w:r w:rsidRPr="00646CA5">
        <w:rPr>
          <w:rFonts w:ascii="Arial" w:hAnsi="Arial" w:cs="Arial"/>
        </w:rPr>
        <w:t>Managers must consider the policies of the country, particularly those that promote new projects and investments, as these can lead to economic growth, robust credit expansion, and a wave of investment-friendly reforms (</w:t>
      </w:r>
      <w:proofErr w:type="spellStart"/>
      <w:r w:rsidRPr="00646CA5">
        <w:rPr>
          <w:rFonts w:ascii="Arial" w:hAnsi="Arial" w:cs="Arial"/>
        </w:rPr>
        <w:t>Stamm</w:t>
      </w:r>
      <w:proofErr w:type="spellEnd"/>
      <w:r w:rsidRPr="00646CA5">
        <w:rPr>
          <w:rFonts w:ascii="Arial" w:hAnsi="Arial" w:cs="Arial"/>
        </w:rPr>
        <w:t xml:space="preserve"> and </w:t>
      </w:r>
      <w:proofErr w:type="spellStart"/>
      <w:r w:rsidRPr="00646CA5">
        <w:rPr>
          <w:rFonts w:ascii="Arial" w:hAnsi="Arial" w:cs="Arial"/>
        </w:rPr>
        <w:t>Vorisek</w:t>
      </w:r>
      <w:proofErr w:type="spellEnd"/>
      <w:r w:rsidRPr="00646CA5">
        <w:rPr>
          <w:rFonts w:ascii="Arial" w:hAnsi="Arial" w:cs="Arial"/>
        </w:rPr>
        <w:t>, 2023). Events like Brexit, the COVID-19 pandemic, and the Russia-Ukraine conflict can affect the economic landscape of this nation, potentially driving up prices in the UK. For instance, Greenacres company should carefully evaluate whether consumers will prioritise purchasing greenhouses and conservatories over paying bills and buying food, as this understanding is crucial for strategic decision-making (OECD, 2022). Starting from April 6, 2025, the UK will see an increase in the National Insurance number, and discussions are underway regarding a rise in Capital Gains Tax. Additionally, the 'Employment Rights Bills' propose that sick leave should be compensated from the first day, although this change will not take effect for another two years (</w:t>
      </w:r>
      <w:r w:rsidR="00707428">
        <w:rPr>
          <w:rFonts w:ascii="Arial" w:hAnsi="Arial" w:cs="Arial"/>
        </w:rPr>
        <w:t>HM Revenue &amp; Customs</w:t>
      </w:r>
      <w:r w:rsidRPr="00646CA5">
        <w:rPr>
          <w:rFonts w:ascii="Arial" w:hAnsi="Arial" w:cs="Arial"/>
        </w:rPr>
        <w:t xml:space="preserve">, 2024; </w:t>
      </w:r>
      <w:proofErr w:type="spellStart"/>
      <w:r w:rsidRPr="00646CA5">
        <w:rPr>
          <w:rFonts w:ascii="Arial" w:hAnsi="Arial" w:cs="Arial"/>
        </w:rPr>
        <w:t>Edser</w:t>
      </w:r>
      <w:proofErr w:type="spellEnd"/>
      <w:r w:rsidRPr="00646CA5">
        <w:rPr>
          <w:rFonts w:ascii="Arial" w:hAnsi="Arial" w:cs="Arial"/>
        </w:rPr>
        <w:t xml:space="preserve"> and Race 2024).</w:t>
      </w:r>
    </w:p>
    <w:p w:rsidR="00B60ECB" w:rsidRPr="00646CA5" w:rsidRDefault="00B60ECB" w:rsidP="00B85D5D">
      <w:pPr>
        <w:spacing w:line="276" w:lineRule="auto"/>
        <w:rPr>
          <w:rFonts w:ascii="Arial" w:hAnsi="Arial" w:cs="Arial"/>
        </w:rPr>
      </w:pPr>
      <w:r w:rsidRPr="00646CA5">
        <w:rPr>
          <w:rFonts w:ascii="Arial" w:hAnsi="Arial" w:cs="Arial"/>
        </w:rPr>
        <w:t>The inquiry is whether these reforms will deter new investors, reduce the workforce, elevate prices, prompt a search for less expensive raw materials, encourage short-term investments, and necessitate a subsequent reassessment.</w:t>
      </w:r>
    </w:p>
    <w:p w:rsidR="00B60ECB" w:rsidRPr="00646CA5" w:rsidRDefault="00B60ECB" w:rsidP="00646CA5">
      <w:pPr>
        <w:spacing w:line="276" w:lineRule="auto"/>
        <w:rPr>
          <w:rFonts w:ascii="Arial" w:hAnsi="Arial" w:cs="Arial"/>
        </w:rPr>
      </w:pPr>
    </w:p>
    <w:p w:rsidR="003463CD" w:rsidRPr="00646CA5" w:rsidRDefault="003463CD" w:rsidP="00646CA5">
      <w:pPr>
        <w:spacing w:line="276" w:lineRule="auto"/>
        <w:rPr>
          <w:rFonts w:ascii="Arial" w:hAnsi="Arial" w:cs="Arial"/>
        </w:rPr>
      </w:pPr>
    </w:p>
    <w:p w:rsidR="003463CD" w:rsidRPr="00B85D5D" w:rsidRDefault="00451F97" w:rsidP="00646CA5">
      <w:pPr>
        <w:pStyle w:val="Heading2"/>
        <w:spacing w:line="276" w:lineRule="auto"/>
        <w:rPr>
          <w:rFonts w:ascii="Arial" w:hAnsi="Arial" w:cs="Arial"/>
          <w:b/>
          <w:color w:val="000000" w:themeColor="text1"/>
          <w:sz w:val="24"/>
          <w:szCs w:val="24"/>
        </w:rPr>
      </w:pPr>
      <w:bookmarkStart w:id="18" w:name="_Toc188151131"/>
      <w:r w:rsidRPr="00B85D5D">
        <w:rPr>
          <w:rFonts w:ascii="Arial" w:hAnsi="Arial" w:cs="Arial"/>
          <w:b/>
          <w:color w:val="000000" w:themeColor="text1"/>
          <w:sz w:val="24"/>
          <w:szCs w:val="24"/>
        </w:rPr>
        <w:t>6.4</w:t>
      </w:r>
      <w:r w:rsidR="00B60ECB" w:rsidRPr="00B85D5D">
        <w:rPr>
          <w:rFonts w:ascii="Arial" w:hAnsi="Arial" w:cs="Arial"/>
          <w:b/>
          <w:color w:val="000000" w:themeColor="text1"/>
          <w:sz w:val="24"/>
          <w:szCs w:val="24"/>
        </w:rPr>
        <w:t xml:space="preserve"> Divisible projects</w:t>
      </w:r>
      <w:bookmarkEnd w:id="18"/>
    </w:p>
    <w:p w:rsidR="00451F97" w:rsidRPr="00646CA5" w:rsidRDefault="00451F97" w:rsidP="00646CA5">
      <w:pPr>
        <w:spacing w:line="276" w:lineRule="auto"/>
        <w:rPr>
          <w:rFonts w:ascii="Arial" w:hAnsi="Arial" w:cs="Arial"/>
        </w:rPr>
      </w:pPr>
    </w:p>
    <w:p w:rsidR="00B60ECB" w:rsidRPr="00646CA5" w:rsidRDefault="00B60ECB" w:rsidP="00B85D5D">
      <w:pPr>
        <w:spacing w:line="276" w:lineRule="auto"/>
        <w:rPr>
          <w:rFonts w:ascii="Arial" w:hAnsi="Arial" w:cs="Arial"/>
        </w:rPr>
      </w:pPr>
      <w:r w:rsidRPr="00646CA5">
        <w:rPr>
          <w:rFonts w:ascii="Arial" w:hAnsi="Arial" w:cs="Arial"/>
        </w:rPr>
        <w:t>Divisible projects allow for the selection of a complete project alongside a portion of another (ACCA, 2010). An optimal investment strategy involves choosing the best option for the company to enhance its value (Gordon, 1963). By assessing the cost/benefit ratio, one can more easily compare various projects and create a ranking of the most beneficial ones, supported by solid reasoning (Shively, 2012). However, it</w:t>
      </w:r>
      <w:r w:rsidR="005060A1">
        <w:rPr>
          <w:rFonts w:ascii="Arial" w:hAnsi="Arial" w:cs="Arial"/>
        </w:rPr>
        <w:t xml:space="preserve"> is</w:t>
      </w:r>
      <w:r w:rsidRPr="00646CA5">
        <w:rPr>
          <w:rFonts w:ascii="Arial" w:hAnsi="Arial" w:cs="Arial"/>
        </w:rPr>
        <w:t xml:space="preserve"> crucial to be cautious as a poor choice of discount rate can significantly affect outcomes. Challenges also arise, such as the difficulty in evaluating native wildlife species and the unpredictability of costs and benefits (Shively, 2012). In our example, three projects received funding of £2,500,000, and calculations revealed that investments could be made in projects A and B, as well as 49% of project C. Interestingly, despite project C having the highest NPV, it ranked last in the benefit/cost ratio analysis.</w:t>
      </w:r>
    </w:p>
    <w:p w:rsidR="00B60ECB" w:rsidRPr="00646CA5" w:rsidRDefault="00B60ECB" w:rsidP="00646CA5">
      <w:pPr>
        <w:spacing w:line="276" w:lineRule="auto"/>
        <w:rPr>
          <w:rFonts w:ascii="Arial" w:hAnsi="Arial" w:cs="Arial"/>
        </w:rPr>
      </w:pPr>
    </w:p>
    <w:p w:rsidR="00B60ECB" w:rsidRPr="00A66261" w:rsidRDefault="003463CD" w:rsidP="00646CA5">
      <w:pPr>
        <w:spacing w:line="276" w:lineRule="auto"/>
        <w:rPr>
          <w:rFonts w:ascii="Arial" w:hAnsi="Arial" w:cs="Arial"/>
          <w:b/>
          <w:sz w:val="24"/>
          <w:szCs w:val="24"/>
        </w:rPr>
      </w:pPr>
      <w:r w:rsidRPr="00A66261">
        <w:rPr>
          <w:rFonts w:ascii="Arial" w:hAnsi="Arial" w:cs="Arial"/>
          <w:b/>
          <w:sz w:val="24"/>
          <w:szCs w:val="24"/>
        </w:rPr>
        <w:t>6.</w:t>
      </w:r>
      <w:r w:rsidR="00451F97" w:rsidRPr="00A66261">
        <w:rPr>
          <w:rFonts w:ascii="Arial" w:hAnsi="Arial" w:cs="Arial"/>
          <w:b/>
          <w:sz w:val="24"/>
          <w:szCs w:val="24"/>
        </w:rPr>
        <w:t>5</w:t>
      </w:r>
      <w:r w:rsidR="00B60ECB" w:rsidRPr="00A66261">
        <w:rPr>
          <w:rFonts w:ascii="Arial" w:hAnsi="Arial" w:cs="Arial"/>
          <w:b/>
          <w:sz w:val="24"/>
          <w:szCs w:val="24"/>
        </w:rPr>
        <w:t xml:space="preserve"> Optimal investment policy and resulting total NPV from optimal investment approach </w:t>
      </w:r>
    </w:p>
    <w:p w:rsidR="00B60ECB" w:rsidRPr="00646CA5" w:rsidRDefault="00B60ECB" w:rsidP="00646CA5">
      <w:pPr>
        <w:pStyle w:val="NormalWeb"/>
        <w:spacing w:line="276" w:lineRule="auto"/>
        <w:rPr>
          <w:rFonts w:ascii="Arial" w:hAnsi="Arial" w:cs="Arial"/>
          <w:sz w:val="22"/>
          <w:szCs w:val="22"/>
        </w:rPr>
      </w:pPr>
      <w:r w:rsidRPr="00646CA5">
        <w:rPr>
          <w:rFonts w:ascii="Arial" w:hAnsi="Arial" w:cs="Arial"/>
          <w:sz w:val="22"/>
          <w:szCs w:val="22"/>
        </w:rPr>
        <w:lastRenderedPageBreak/>
        <w:t xml:space="preserve">The analysis revealed that Project B represents the optimal investment choice due to its highest profitability, while also considering its advantages and disadvantages, which contribute to long-term financial stability. Project A and Project C follow in ranking, with the resulting total NPV from the optimal investment approach calculated at </w:t>
      </w:r>
      <w:r w:rsidR="005060A1">
        <w:rPr>
          <w:rFonts w:ascii="Arial" w:hAnsi="Arial" w:cs="Arial"/>
          <w:sz w:val="22"/>
          <w:szCs w:val="22"/>
        </w:rPr>
        <w:t xml:space="preserve">2701.1 </w:t>
      </w:r>
      <w:r w:rsidRPr="00646CA5">
        <w:rPr>
          <w:rFonts w:ascii="Arial" w:hAnsi="Arial" w:cs="Arial"/>
          <w:sz w:val="22"/>
          <w:szCs w:val="22"/>
        </w:rPr>
        <w:t>(see Appendix 3).</w:t>
      </w:r>
    </w:p>
    <w:p w:rsidR="00B60ECB" w:rsidRPr="00B85D5D" w:rsidRDefault="00B60ECB" w:rsidP="00646CA5">
      <w:pPr>
        <w:spacing w:line="276" w:lineRule="auto"/>
        <w:rPr>
          <w:rFonts w:ascii="Arial" w:hAnsi="Arial" w:cs="Arial"/>
          <w:b/>
          <w:color w:val="000000" w:themeColor="text1"/>
          <w:sz w:val="24"/>
          <w:szCs w:val="24"/>
        </w:rPr>
      </w:pPr>
    </w:p>
    <w:p w:rsidR="00B60ECB" w:rsidRPr="00B85D5D" w:rsidRDefault="003463CD" w:rsidP="00646CA5">
      <w:pPr>
        <w:pStyle w:val="Heading2"/>
        <w:spacing w:line="276" w:lineRule="auto"/>
        <w:rPr>
          <w:rFonts w:ascii="Arial" w:hAnsi="Arial" w:cs="Arial"/>
          <w:b/>
          <w:color w:val="000000" w:themeColor="text1"/>
          <w:sz w:val="24"/>
          <w:szCs w:val="24"/>
        </w:rPr>
      </w:pPr>
      <w:bookmarkStart w:id="19" w:name="_Toc188151132"/>
      <w:r w:rsidRPr="00B85D5D">
        <w:rPr>
          <w:rFonts w:ascii="Arial" w:hAnsi="Arial" w:cs="Arial"/>
          <w:b/>
          <w:color w:val="000000" w:themeColor="text1"/>
          <w:sz w:val="24"/>
          <w:szCs w:val="24"/>
        </w:rPr>
        <w:t>6.</w:t>
      </w:r>
      <w:r w:rsidR="00451F97" w:rsidRPr="00B85D5D">
        <w:rPr>
          <w:rFonts w:ascii="Arial" w:hAnsi="Arial" w:cs="Arial"/>
          <w:b/>
          <w:color w:val="000000" w:themeColor="text1"/>
          <w:sz w:val="24"/>
          <w:szCs w:val="24"/>
        </w:rPr>
        <w:t>6</w:t>
      </w:r>
      <w:r w:rsidR="00B60ECB" w:rsidRPr="00B85D5D">
        <w:rPr>
          <w:rFonts w:ascii="Arial" w:hAnsi="Arial" w:cs="Arial"/>
          <w:b/>
          <w:color w:val="000000" w:themeColor="text1"/>
          <w:sz w:val="24"/>
          <w:szCs w:val="24"/>
        </w:rPr>
        <w:t xml:space="preserve"> Sources of finance</w:t>
      </w:r>
      <w:bookmarkEnd w:id="19"/>
    </w:p>
    <w:p w:rsidR="00B60ECB" w:rsidRPr="00646CA5" w:rsidRDefault="00B60ECB" w:rsidP="00646CA5">
      <w:pPr>
        <w:spacing w:line="276" w:lineRule="auto"/>
        <w:rPr>
          <w:rFonts w:ascii="Arial" w:hAnsi="Arial" w:cs="Arial"/>
        </w:rPr>
      </w:pPr>
    </w:p>
    <w:p w:rsidR="00B60ECB" w:rsidRPr="00646CA5" w:rsidRDefault="00B60ECB" w:rsidP="00B85D5D">
      <w:pPr>
        <w:spacing w:line="276" w:lineRule="auto"/>
        <w:rPr>
          <w:rFonts w:ascii="Arial" w:hAnsi="Arial" w:cs="Arial"/>
        </w:rPr>
      </w:pPr>
      <w:r w:rsidRPr="00646CA5">
        <w:rPr>
          <w:rFonts w:ascii="Arial" w:hAnsi="Arial" w:cs="Arial"/>
        </w:rPr>
        <w:t>To make an investment successful, you need a solid plan and the necessary capital to bring your vision to fruition. In the early stages of entrepreneurship, internal investment—using personal or family funds—serves as a particularly valuable source of capital, especially when external financing proves challenging (ACCA, 2010). By investing your own money, you maintain control over the process, retain all profits, stay aware of your budget and timeline, and make all key decisions, such as what to purchase and when. However, the pressure to succeed and generate profits can affect family life, and there is a risk of losing valuable assets like your home or equipment (NIBusinessInfo.co.uk, no data).</w:t>
      </w:r>
    </w:p>
    <w:p w:rsidR="00B60ECB" w:rsidRPr="00646CA5" w:rsidRDefault="00B60ECB" w:rsidP="00B85D5D">
      <w:pPr>
        <w:spacing w:line="276" w:lineRule="auto"/>
        <w:rPr>
          <w:rFonts w:ascii="Arial" w:hAnsi="Arial" w:cs="Arial"/>
        </w:rPr>
      </w:pPr>
      <w:r w:rsidRPr="00646CA5">
        <w:rPr>
          <w:rFonts w:ascii="Arial" w:hAnsi="Arial" w:cs="Arial"/>
        </w:rPr>
        <w:t>Bank loans serve as a source of external financing, offering the necessary capital. If the company secure the loan at a low interest rate, finds the terms favourable, and maintains the option to access additional funds later, you can consider it a beneficial arrangement. However, the company faces the risk of default or the possibility that the bank may impose a risk surcharge on your loan, which could be disadvantageous (Agar, 2005). Additionally, the bank or lenders might reject your application if they determine that your company is "too highly geared” (p. 247, ACCA, 2010)</w:t>
      </w:r>
    </w:p>
    <w:p w:rsidR="00B60ECB" w:rsidRPr="00646CA5" w:rsidRDefault="00B60ECB" w:rsidP="00B85D5D">
      <w:pPr>
        <w:spacing w:line="276" w:lineRule="auto"/>
        <w:rPr>
          <w:rFonts w:ascii="Arial" w:hAnsi="Arial" w:cs="Arial"/>
        </w:rPr>
      </w:pPr>
      <w:r w:rsidRPr="00646CA5">
        <w:rPr>
          <w:rFonts w:ascii="Arial" w:hAnsi="Arial" w:cs="Arial"/>
        </w:rPr>
        <w:t xml:space="preserve">Leasing, another external finance approach, allows companies to pay for an asset over a specified period rather than purchasing it outright with bank loans. This arrangement involves rental payments while the leasing company retains asset ownership, which can be more cost-effective than a direct purchase, particularly after accounting for taxes. If it has already been purchased, the ability to sell the asset back to the original owner adds to the appeal of leasing. It provides businesses with liquidity and the opportunity to utilise the asset </w:t>
      </w:r>
      <w:r w:rsidR="005060A1" w:rsidRPr="00646CA5">
        <w:rPr>
          <w:rFonts w:ascii="Arial" w:hAnsi="Arial" w:cs="Arial"/>
        </w:rPr>
        <w:t>(Agar</w:t>
      </w:r>
      <w:r w:rsidRPr="00646CA5">
        <w:rPr>
          <w:rFonts w:ascii="Arial" w:hAnsi="Arial" w:cs="Arial"/>
        </w:rPr>
        <w:t>,2005). However, it</w:t>
      </w:r>
      <w:r w:rsidR="005060A1">
        <w:rPr>
          <w:rFonts w:ascii="Arial" w:hAnsi="Arial" w:cs="Arial"/>
        </w:rPr>
        <w:t xml:space="preserve"> is</w:t>
      </w:r>
      <w:r w:rsidRPr="00646CA5">
        <w:rPr>
          <w:rFonts w:ascii="Arial" w:hAnsi="Arial" w:cs="Arial"/>
        </w:rPr>
        <w:t xml:space="preserve"> essential to be aware of the potential drawbacks of this financing option, such as the obligation to make payments even if the asset is no longer in use, the lack of ownership until the lease concludes (if desired), potential high costs due to rental fees, and the exclusion of the asset from the balance sheet, which may reduce the company's asset valuation (</w:t>
      </w:r>
      <w:proofErr w:type="spellStart"/>
      <w:r w:rsidRPr="00646CA5">
        <w:rPr>
          <w:rFonts w:ascii="Arial" w:hAnsi="Arial" w:cs="Arial"/>
        </w:rPr>
        <w:t>Alam</w:t>
      </w:r>
      <w:proofErr w:type="spellEnd"/>
      <w:r w:rsidRPr="00646CA5">
        <w:rPr>
          <w:rFonts w:ascii="Arial" w:hAnsi="Arial" w:cs="Arial"/>
        </w:rPr>
        <w:t>, 2021).</w:t>
      </w:r>
    </w:p>
    <w:p w:rsidR="00B60ECB" w:rsidRPr="00646CA5" w:rsidRDefault="00B60ECB" w:rsidP="00B85D5D">
      <w:pPr>
        <w:spacing w:line="276" w:lineRule="auto"/>
        <w:rPr>
          <w:rFonts w:ascii="Arial" w:hAnsi="Arial" w:cs="Arial"/>
        </w:rPr>
      </w:pPr>
      <w:r w:rsidRPr="00646CA5">
        <w:rPr>
          <w:rFonts w:ascii="Arial" w:hAnsi="Arial" w:cs="Arial"/>
        </w:rPr>
        <w:t>Project finance, a strategy that combines debt and equity, is particularly suited for substantial projects such as acquiring factories or building bridges. One of its key benefits is that lenders typically provide 80% of the funding, thereby distributing the risk among all stakeholders. This risk-sharing approach can provide a sense of security. However, it</w:t>
      </w:r>
      <w:r w:rsidR="005060A1">
        <w:rPr>
          <w:rFonts w:ascii="Arial" w:hAnsi="Arial" w:cs="Arial"/>
        </w:rPr>
        <w:t xml:space="preserve"> is</w:t>
      </w:r>
      <w:r w:rsidRPr="00646CA5">
        <w:rPr>
          <w:rFonts w:ascii="Arial" w:hAnsi="Arial" w:cs="Arial"/>
        </w:rPr>
        <w:t xml:space="preserve"> important to note that thorough financial and technical evaluations, while time-consuming, are a necessary step in the process (Agar, 2005).</w:t>
      </w:r>
    </w:p>
    <w:p w:rsidR="00B60ECB" w:rsidRPr="00646CA5" w:rsidRDefault="00B60ECB" w:rsidP="00646CA5">
      <w:pPr>
        <w:spacing w:line="276" w:lineRule="auto"/>
        <w:rPr>
          <w:rFonts w:ascii="Arial" w:hAnsi="Arial" w:cs="Arial"/>
        </w:rPr>
      </w:pPr>
    </w:p>
    <w:p w:rsidR="00B60ECB" w:rsidRPr="00B85D5D" w:rsidRDefault="003463CD" w:rsidP="00646CA5">
      <w:pPr>
        <w:pStyle w:val="Heading1"/>
        <w:spacing w:line="276" w:lineRule="auto"/>
        <w:rPr>
          <w:rFonts w:ascii="Arial" w:hAnsi="Arial" w:cs="Arial"/>
          <w:b/>
          <w:color w:val="000000" w:themeColor="text1"/>
          <w:sz w:val="28"/>
          <w:szCs w:val="28"/>
        </w:rPr>
      </w:pPr>
      <w:bookmarkStart w:id="20" w:name="_Toc188151133"/>
      <w:r w:rsidRPr="00B85D5D">
        <w:rPr>
          <w:rFonts w:ascii="Arial" w:hAnsi="Arial" w:cs="Arial"/>
          <w:b/>
          <w:color w:val="000000" w:themeColor="text1"/>
          <w:sz w:val="28"/>
          <w:szCs w:val="28"/>
        </w:rPr>
        <w:lastRenderedPageBreak/>
        <w:t>7</w:t>
      </w:r>
      <w:r w:rsidR="00B60ECB" w:rsidRPr="00B85D5D">
        <w:rPr>
          <w:rFonts w:ascii="Arial" w:hAnsi="Arial" w:cs="Arial"/>
          <w:b/>
          <w:color w:val="000000" w:themeColor="text1"/>
          <w:sz w:val="28"/>
          <w:szCs w:val="28"/>
        </w:rPr>
        <w:t>. Conclusion</w:t>
      </w:r>
      <w:bookmarkEnd w:id="20"/>
    </w:p>
    <w:p w:rsidR="00B60ECB" w:rsidRPr="00646CA5" w:rsidRDefault="00B60ECB" w:rsidP="00646CA5">
      <w:pPr>
        <w:spacing w:line="276" w:lineRule="auto"/>
        <w:rPr>
          <w:rFonts w:ascii="Arial" w:hAnsi="Arial" w:cs="Arial"/>
        </w:rPr>
      </w:pPr>
    </w:p>
    <w:p w:rsidR="00B60ECB" w:rsidRPr="00646CA5" w:rsidRDefault="00B60ECB" w:rsidP="00646CA5">
      <w:pPr>
        <w:spacing w:line="276" w:lineRule="auto"/>
        <w:rPr>
          <w:rFonts w:ascii="Arial" w:hAnsi="Arial" w:cs="Arial"/>
        </w:rPr>
      </w:pPr>
      <w:r w:rsidRPr="00646CA5">
        <w:rPr>
          <w:rFonts w:ascii="Arial" w:hAnsi="Arial" w:cs="Arial"/>
        </w:rPr>
        <w:t>Financial analysis points to a nuanced conclusion: if the company needs to acquire a factory for producing conservatories and greenhouses, pursuing a financing project is advisable, as it allows for shared risks and requires only a 20% investment from the company (Agar, 2005). However, if the company already has sufficient space, it should consider lease financing for new equipment and vehicles, along with loans for material purchases. In the specific scenario where the existing equipment for rattan furniture production can be leveraged for conservatories and greenhouses, and no new vehicles are necessary, the company should rely solely on bank loans. This would cover the costs for raw materials, marketing, sales, logistics, and hiring specialised personnel for the new products, providing a comprehensive financial solution.</w:t>
      </w:r>
    </w:p>
    <w:p w:rsidR="00B60ECB" w:rsidRPr="00646CA5" w:rsidRDefault="00B60ECB" w:rsidP="00646CA5">
      <w:pPr>
        <w:spacing w:line="276" w:lineRule="auto"/>
        <w:rPr>
          <w:rFonts w:ascii="Arial" w:hAnsi="Arial" w:cs="Arial"/>
        </w:rPr>
      </w:pPr>
    </w:p>
    <w:p w:rsidR="000F18FE" w:rsidRPr="00646CA5" w:rsidRDefault="000F18FE"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3816F3" w:rsidRPr="00646CA5" w:rsidRDefault="003816F3" w:rsidP="00646CA5">
      <w:pPr>
        <w:spacing w:line="276" w:lineRule="auto"/>
        <w:rPr>
          <w:rFonts w:ascii="Arial" w:hAnsi="Arial" w:cs="Arial"/>
        </w:rPr>
      </w:pPr>
    </w:p>
    <w:p w:rsidR="00B85D5D" w:rsidRDefault="00B85D5D" w:rsidP="00646CA5">
      <w:pPr>
        <w:pStyle w:val="Heading1"/>
        <w:spacing w:line="276" w:lineRule="auto"/>
        <w:rPr>
          <w:rFonts w:ascii="Arial" w:hAnsi="Arial" w:cs="Arial"/>
          <w:b/>
          <w:color w:val="000000" w:themeColor="text1"/>
          <w:sz w:val="28"/>
          <w:szCs w:val="28"/>
        </w:rPr>
      </w:pPr>
    </w:p>
    <w:p w:rsidR="00BC0605" w:rsidRDefault="00BC0605" w:rsidP="00646CA5">
      <w:pPr>
        <w:pStyle w:val="Heading1"/>
        <w:spacing w:line="276" w:lineRule="auto"/>
        <w:rPr>
          <w:rFonts w:ascii="Arial" w:hAnsi="Arial" w:cs="Arial"/>
          <w:b/>
          <w:color w:val="000000" w:themeColor="text1"/>
          <w:sz w:val="28"/>
          <w:szCs w:val="28"/>
        </w:rPr>
      </w:pPr>
      <w:bookmarkStart w:id="21" w:name="_Toc188151134"/>
    </w:p>
    <w:p w:rsidR="00BC0605" w:rsidRDefault="00BC0605" w:rsidP="00646CA5">
      <w:pPr>
        <w:pStyle w:val="Heading1"/>
        <w:spacing w:line="276" w:lineRule="auto"/>
        <w:rPr>
          <w:rFonts w:ascii="Arial" w:hAnsi="Arial" w:cs="Arial"/>
          <w:b/>
          <w:color w:val="000000" w:themeColor="text1"/>
          <w:sz w:val="28"/>
          <w:szCs w:val="28"/>
        </w:rPr>
      </w:pPr>
    </w:p>
    <w:p w:rsidR="00BC0605" w:rsidRDefault="00BC0605" w:rsidP="00646CA5">
      <w:pPr>
        <w:pStyle w:val="Heading1"/>
        <w:spacing w:line="276" w:lineRule="auto"/>
        <w:rPr>
          <w:rFonts w:ascii="Arial" w:hAnsi="Arial" w:cs="Arial"/>
          <w:b/>
          <w:color w:val="000000" w:themeColor="text1"/>
          <w:sz w:val="28"/>
          <w:szCs w:val="28"/>
        </w:rPr>
      </w:pPr>
    </w:p>
    <w:p w:rsidR="00BC0605" w:rsidRPr="00BC0605" w:rsidRDefault="00BC0605" w:rsidP="00BC0605"/>
    <w:p w:rsidR="003816F3" w:rsidRDefault="003816F3" w:rsidP="00646CA5">
      <w:pPr>
        <w:pStyle w:val="Heading1"/>
        <w:spacing w:line="276" w:lineRule="auto"/>
        <w:rPr>
          <w:rFonts w:ascii="Arial" w:hAnsi="Arial" w:cs="Arial"/>
          <w:b/>
          <w:color w:val="000000" w:themeColor="text1"/>
          <w:sz w:val="28"/>
          <w:szCs w:val="28"/>
        </w:rPr>
      </w:pPr>
      <w:r w:rsidRPr="00B85D5D">
        <w:rPr>
          <w:rFonts w:ascii="Arial" w:hAnsi="Arial" w:cs="Arial"/>
          <w:b/>
          <w:color w:val="000000" w:themeColor="text1"/>
          <w:sz w:val="28"/>
          <w:szCs w:val="28"/>
        </w:rPr>
        <w:lastRenderedPageBreak/>
        <w:t>8.References</w:t>
      </w:r>
      <w:bookmarkEnd w:id="21"/>
      <w:r w:rsidRPr="00B85D5D">
        <w:rPr>
          <w:rFonts w:ascii="Arial" w:hAnsi="Arial" w:cs="Arial"/>
          <w:b/>
          <w:color w:val="000000" w:themeColor="text1"/>
          <w:sz w:val="28"/>
          <w:szCs w:val="28"/>
        </w:rPr>
        <w:t xml:space="preserve"> </w:t>
      </w:r>
    </w:p>
    <w:p w:rsidR="00BC0605" w:rsidRDefault="00BC0605" w:rsidP="00B85D5D">
      <w:pPr>
        <w:rPr>
          <w:rFonts w:ascii="Arial" w:hAnsi="Arial" w:cs="Arial"/>
          <w:color w:val="000000"/>
          <w:shd w:val="clear" w:color="auto" w:fill="FFFFFF"/>
        </w:rPr>
      </w:pPr>
    </w:p>
    <w:p w:rsidR="00BC0605" w:rsidRDefault="00BC0605" w:rsidP="00B85D5D">
      <w:pPr>
        <w:rPr>
          <w:rFonts w:ascii="Arial" w:hAnsi="Arial" w:cs="Arial"/>
          <w:color w:val="000000"/>
          <w:shd w:val="clear" w:color="auto" w:fill="FFFFFF"/>
        </w:rPr>
      </w:pPr>
    </w:p>
    <w:p w:rsidR="00BC0605" w:rsidRDefault="00B85D5D" w:rsidP="00B85D5D">
      <w:pPr>
        <w:rPr>
          <w:rFonts w:ascii="Arial" w:hAnsi="Arial" w:cs="Arial"/>
          <w:color w:val="000000"/>
          <w:shd w:val="clear" w:color="auto" w:fill="FFFFFF"/>
        </w:rPr>
      </w:pPr>
      <w:r w:rsidRPr="008855C8">
        <w:rPr>
          <w:rFonts w:ascii="Arial" w:hAnsi="Arial" w:cs="Arial"/>
          <w:color w:val="000000"/>
          <w:shd w:val="clear" w:color="auto" w:fill="FFFFFF"/>
        </w:rPr>
        <w:t xml:space="preserve">ACCA (2010) </w:t>
      </w:r>
      <w:r w:rsidRPr="008855C8">
        <w:rPr>
          <w:rFonts w:ascii="Arial" w:hAnsi="Arial" w:cs="Arial"/>
          <w:i/>
          <w:color w:val="000000"/>
          <w:shd w:val="clear" w:color="auto" w:fill="FFFFFF"/>
        </w:rPr>
        <w:t>Paper F9 Financial Management</w:t>
      </w:r>
      <w:r w:rsidRPr="008855C8">
        <w:rPr>
          <w:rFonts w:ascii="Arial" w:hAnsi="Arial" w:cs="Arial"/>
          <w:color w:val="000000"/>
          <w:shd w:val="clear" w:color="auto" w:fill="FFFFFF"/>
        </w:rPr>
        <w:t xml:space="preserve">. London: BPP Learning Media </w:t>
      </w:r>
    </w:p>
    <w:p w:rsidR="00B85D5D" w:rsidRPr="008855C8" w:rsidRDefault="00B85D5D" w:rsidP="00B85D5D">
      <w:pPr>
        <w:rPr>
          <w:rFonts w:ascii="Arial" w:hAnsi="Arial" w:cs="Arial"/>
          <w:color w:val="000000"/>
          <w:shd w:val="clear" w:color="auto" w:fill="FFFFFF"/>
        </w:rPr>
      </w:pPr>
      <w:r w:rsidRPr="008855C8">
        <w:rPr>
          <w:rFonts w:ascii="Arial" w:hAnsi="Arial" w:cs="Arial"/>
          <w:color w:val="000000"/>
          <w:shd w:val="clear" w:color="auto" w:fill="FFFFFF"/>
        </w:rPr>
        <w:t xml:space="preserve">Agar, C. (2005) </w:t>
      </w:r>
      <w:r w:rsidRPr="008855C8">
        <w:rPr>
          <w:rFonts w:ascii="Arial" w:hAnsi="Arial" w:cs="Arial"/>
          <w:i/>
          <w:iCs/>
          <w:color w:val="000000"/>
          <w:shd w:val="clear" w:color="auto" w:fill="FFFFFF"/>
        </w:rPr>
        <w:t xml:space="preserve">Capital investment &amp; </w:t>
      </w:r>
      <w:proofErr w:type="gramStart"/>
      <w:r w:rsidRPr="008855C8">
        <w:rPr>
          <w:rFonts w:ascii="Arial" w:hAnsi="Arial" w:cs="Arial"/>
          <w:i/>
          <w:iCs/>
          <w:color w:val="000000"/>
          <w:shd w:val="clear" w:color="auto" w:fill="FFFFFF"/>
        </w:rPr>
        <w:t>financing :</w:t>
      </w:r>
      <w:proofErr w:type="gramEnd"/>
      <w:r w:rsidRPr="008855C8">
        <w:rPr>
          <w:rFonts w:ascii="Arial" w:hAnsi="Arial" w:cs="Arial"/>
          <w:i/>
          <w:iCs/>
          <w:color w:val="000000"/>
          <w:shd w:val="clear" w:color="auto" w:fill="FFFFFF"/>
        </w:rPr>
        <w:t xml:space="preserve"> a practical guide to financial evaluation. </w:t>
      </w:r>
      <w:r w:rsidRPr="008855C8">
        <w:rPr>
          <w:rFonts w:ascii="Arial" w:hAnsi="Arial" w:cs="Arial"/>
          <w:color w:val="000000"/>
          <w:shd w:val="clear" w:color="auto" w:fill="FFFFFF"/>
        </w:rPr>
        <w:t>Amsterdam; Elsevier Butterworth-Heinemann.</w:t>
      </w:r>
    </w:p>
    <w:p w:rsidR="00B85D5D" w:rsidRPr="008855C8" w:rsidRDefault="00B85D5D" w:rsidP="00B85D5D">
      <w:pPr>
        <w:rPr>
          <w:rFonts w:ascii="Arial" w:hAnsi="Arial" w:cs="Arial"/>
        </w:rPr>
      </w:pPr>
      <w:proofErr w:type="spellStart"/>
      <w:r w:rsidRPr="008855C8">
        <w:rPr>
          <w:rFonts w:ascii="Arial" w:hAnsi="Arial" w:cs="Arial"/>
        </w:rPr>
        <w:t>Alam</w:t>
      </w:r>
      <w:proofErr w:type="spellEnd"/>
      <w:r w:rsidRPr="008855C8">
        <w:rPr>
          <w:rFonts w:ascii="Arial" w:hAnsi="Arial" w:cs="Arial"/>
        </w:rPr>
        <w:t xml:space="preserve">, S.M. I. (2021) </w:t>
      </w:r>
      <w:r w:rsidRPr="008855C8">
        <w:rPr>
          <w:rFonts w:ascii="Arial" w:hAnsi="Arial" w:cs="Arial"/>
          <w:i/>
        </w:rPr>
        <w:t>Lease Financing: Types, Advantages and Disadvantages, and Example</w:t>
      </w:r>
      <w:r w:rsidRPr="008855C8">
        <w:rPr>
          <w:rFonts w:ascii="Arial" w:hAnsi="Arial" w:cs="Arial"/>
        </w:rPr>
        <w:t xml:space="preserve">. Available at: </w:t>
      </w:r>
      <w:r w:rsidRPr="008855C8">
        <w:rPr>
          <w:rFonts w:ascii="Arial" w:hAnsi="Arial" w:cs="Arial"/>
          <w:color w:val="555555"/>
          <w:shd w:val="clear" w:color="auto" w:fill="FFFFFF"/>
        </w:rPr>
        <w:t>DOI:</w:t>
      </w:r>
      <w:hyperlink r:id="rId11" w:tgtFrame="_blank" w:history="1">
        <w:r w:rsidRPr="008855C8">
          <w:rPr>
            <w:rFonts w:ascii="Arial" w:hAnsi="Arial" w:cs="Arial"/>
            <w:color w:val="0000FF"/>
            <w:u w:val="single"/>
            <w:bdr w:val="none" w:sz="0" w:space="0" w:color="auto" w:frame="1"/>
            <w:shd w:val="clear" w:color="auto" w:fill="FFFFFF"/>
          </w:rPr>
          <w:t>10.13140/RG.2.2.33745.40802</w:t>
        </w:r>
      </w:hyperlink>
      <w:r w:rsidRPr="008855C8">
        <w:rPr>
          <w:rFonts w:ascii="Arial" w:hAnsi="Arial" w:cs="Arial"/>
        </w:rPr>
        <w:t xml:space="preserve"> (Accessed 12 January 2025). </w:t>
      </w:r>
    </w:p>
    <w:p w:rsidR="00B85D5D" w:rsidRPr="008855C8" w:rsidRDefault="00B85D5D" w:rsidP="00B85D5D">
      <w:pPr>
        <w:rPr>
          <w:rFonts w:ascii="Arial" w:hAnsi="Arial" w:cs="Arial"/>
        </w:rPr>
      </w:pPr>
      <w:r w:rsidRPr="008855C8">
        <w:rPr>
          <w:rFonts w:ascii="Arial" w:hAnsi="Arial" w:cs="Arial"/>
        </w:rPr>
        <w:t>Arshad, A.  (2012</w:t>
      </w:r>
      <w:proofErr w:type="gramStart"/>
      <w:r w:rsidRPr="008855C8">
        <w:rPr>
          <w:rFonts w:ascii="Arial" w:hAnsi="Arial" w:cs="Arial"/>
        </w:rPr>
        <w:t>)  ‘</w:t>
      </w:r>
      <w:proofErr w:type="gramEnd"/>
      <w:r w:rsidRPr="008855C8">
        <w:rPr>
          <w:rFonts w:ascii="Arial" w:hAnsi="Arial" w:cs="Arial"/>
        </w:rPr>
        <w:t xml:space="preserve">Interdisciplinary  Journal of Contemporary Research in Business’, </w:t>
      </w:r>
      <w:r w:rsidRPr="008855C8">
        <w:rPr>
          <w:rFonts w:ascii="Arial" w:hAnsi="Arial" w:cs="Arial"/>
          <w:i/>
        </w:rPr>
        <w:t xml:space="preserve">Net Present Value is better than Internal Rate of Return, </w:t>
      </w:r>
      <w:r w:rsidRPr="008855C8">
        <w:rPr>
          <w:rFonts w:ascii="Arial" w:hAnsi="Arial" w:cs="Arial"/>
        </w:rPr>
        <w:t xml:space="preserve">4,(8), pp.211-219. Available at:  </w:t>
      </w:r>
      <w:hyperlink r:id="rId12" w:history="1">
        <w:r w:rsidRPr="008855C8">
          <w:rPr>
            <w:rFonts w:ascii="Arial" w:hAnsi="Arial" w:cs="Arial"/>
            <w:color w:val="0000FF"/>
            <w:u w:val="single"/>
          </w:rPr>
          <w:t>https://www.academia.edu/33482682/INTERDISCIPLINARY_JOURNAL_OF_CONTEMPORARY_RESEARCH_IN_BUSINESS_Net_Present_Value_is_better_than_Internal_Rate_o</w:t>
        </w:r>
      </w:hyperlink>
      <w:r w:rsidRPr="008855C8">
        <w:rPr>
          <w:rFonts w:ascii="Arial" w:hAnsi="Arial" w:cs="Arial"/>
        </w:rPr>
        <w:t xml:space="preserve"> (Accessed 16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8855C8">
        <w:rPr>
          <w:rFonts w:ascii="Arial" w:eastAsia="Times New Roman" w:hAnsi="Arial" w:cs="Arial"/>
          <w:color w:val="000000"/>
          <w:lang w:eastAsia="en-GB"/>
        </w:rPr>
        <w:t>Atrill</w:t>
      </w:r>
      <w:proofErr w:type="spellEnd"/>
      <w:r w:rsidRPr="008855C8">
        <w:rPr>
          <w:rFonts w:ascii="Arial" w:eastAsia="Times New Roman" w:hAnsi="Arial" w:cs="Arial"/>
          <w:color w:val="000000"/>
          <w:lang w:eastAsia="en-GB"/>
        </w:rPr>
        <w:t>, P. and McLaney, E. (2021) </w:t>
      </w:r>
      <w:r w:rsidRPr="008855C8">
        <w:rPr>
          <w:rFonts w:ascii="Arial" w:eastAsia="Times New Roman" w:hAnsi="Arial" w:cs="Arial"/>
          <w:i/>
          <w:iCs/>
          <w:color w:val="000000"/>
          <w:lang w:eastAsia="en-GB"/>
        </w:rPr>
        <w:t>Management Accounting for Decision Makers. </w:t>
      </w:r>
      <w:r w:rsidRPr="008855C8">
        <w:rPr>
          <w:rFonts w:ascii="Arial" w:eastAsia="Times New Roman" w:hAnsi="Arial" w:cs="Arial"/>
          <w:iCs/>
          <w:color w:val="000000"/>
          <w:lang w:eastAsia="en-GB"/>
        </w:rPr>
        <w:t>10</w:t>
      </w:r>
      <w:r w:rsidRPr="008855C8">
        <w:rPr>
          <w:rFonts w:ascii="Arial" w:eastAsia="Times New Roman" w:hAnsi="Arial" w:cs="Arial"/>
          <w:iCs/>
          <w:color w:val="000000"/>
          <w:vertAlign w:val="superscript"/>
          <w:lang w:eastAsia="en-GB"/>
        </w:rPr>
        <w:t>th</w:t>
      </w:r>
      <w:r w:rsidRPr="008855C8">
        <w:rPr>
          <w:rFonts w:ascii="Arial" w:eastAsia="Times New Roman" w:hAnsi="Arial" w:cs="Arial"/>
          <w:iCs/>
          <w:color w:val="000000"/>
          <w:lang w:eastAsia="en-GB"/>
        </w:rPr>
        <w:t xml:space="preserve"> </w:t>
      </w:r>
      <w:proofErr w:type="spellStart"/>
      <w:proofErr w:type="gramStart"/>
      <w:r w:rsidRPr="008855C8">
        <w:rPr>
          <w:rFonts w:ascii="Arial" w:eastAsia="Times New Roman" w:hAnsi="Arial" w:cs="Arial"/>
          <w:iCs/>
          <w:color w:val="000000"/>
          <w:lang w:eastAsia="en-GB"/>
        </w:rPr>
        <w:t>edn.</w:t>
      </w:r>
      <w:r w:rsidRPr="008855C8">
        <w:rPr>
          <w:rFonts w:ascii="Arial" w:eastAsia="Times New Roman" w:hAnsi="Arial" w:cs="Arial"/>
          <w:color w:val="000000"/>
          <w:lang w:eastAsia="en-GB"/>
        </w:rPr>
        <w:t>Harlow</w:t>
      </w:r>
      <w:proofErr w:type="spellEnd"/>
      <w:proofErr w:type="gramEnd"/>
      <w:r w:rsidRPr="008855C8">
        <w:rPr>
          <w:rFonts w:ascii="Arial" w:eastAsia="Times New Roman" w:hAnsi="Arial" w:cs="Arial"/>
          <w:color w:val="000000"/>
          <w:lang w:eastAsia="en-GB"/>
        </w:rPr>
        <w:t>: Pearson Education, Limited</w:t>
      </w:r>
      <w:r w:rsidRPr="00B85D5D">
        <w:rPr>
          <w:rFonts w:ascii="Arial" w:eastAsia="Times New Roman" w:hAnsi="Arial" w:cs="Arial"/>
          <w:color w:val="000000"/>
          <w:lang w:eastAsia="en-GB"/>
        </w:rPr>
        <w:t>.</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Barnes, P. (1987) ‘The analysis and use of financial ratios: A review article’, </w:t>
      </w:r>
      <w:r w:rsidRPr="00B85D5D">
        <w:rPr>
          <w:rFonts w:ascii="Arial" w:eastAsia="Times New Roman" w:hAnsi="Arial" w:cs="Arial"/>
          <w:i/>
          <w:iCs/>
          <w:color w:val="000000"/>
          <w:lang w:eastAsia="en-GB"/>
        </w:rPr>
        <w:t>Journal of Business Finance &amp; Accounting, </w:t>
      </w:r>
      <w:r w:rsidRPr="00B85D5D">
        <w:rPr>
          <w:rFonts w:ascii="Arial" w:eastAsia="Times New Roman" w:hAnsi="Arial" w:cs="Arial"/>
          <w:bCs/>
          <w:color w:val="000000"/>
          <w:lang w:eastAsia="en-GB"/>
        </w:rPr>
        <w:t>14</w:t>
      </w:r>
      <w:r w:rsidRPr="00B85D5D">
        <w:rPr>
          <w:rFonts w:ascii="Arial" w:eastAsia="Times New Roman" w:hAnsi="Arial" w:cs="Arial"/>
          <w:color w:val="000000"/>
          <w:lang w:eastAsia="en-GB"/>
        </w:rPr>
        <w:t xml:space="preserve">(4), pp. 449 – 461. Available at: </w:t>
      </w:r>
      <w:hyperlink r:id="rId13" w:history="1">
        <w:r w:rsidRPr="00B85D5D">
          <w:rPr>
            <w:rFonts w:ascii="Arial" w:eastAsia="Times New Roman" w:hAnsi="Arial" w:cs="Arial"/>
            <w:color w:val="0000FF"/>
            <w:u w:val="single"/>
            <w:lang w:eastAsia="en-GB"/>
          </w:rPr>
          <w:t>https://www.superbessaywriters.com/wp-content/uploads/2016/12/week_5_discussion_1_information_0.pdf</w:t>
        </w:r>
      </w:hyperlink>
      <w:r w:rsidRPr="00B85D5D">
        <w:rPr>
          <w:rFonts w:ascii="Arial" w:eastAsia="Times New Roman" w:hAnsi="Arial" w:cs="Arial"/>
          <w:color w:val="000000"/>
          <w:lang w:eastAsia="en-GB"/>
        </w:rPr>
        <w:t xml:space="preserve"> (Accessed 16 January 2025). </w:t>
      </w:r>
    </w:p>
    <w:p w:rsidR="00B85D5D" w:rsidRPr="00B85D5D" w:rsidRDefault="00B85D5D" w:rsidP="00B85D5D">
      <w:pPr>
        <w:spacing w:line="240" w:lineRule="auto"/>
        <w:rPr>
          <w:rFonts w:ascii="Arial" w:hAnsi="Arial" w:cs="Arial"/>
        </w:rPr>
      </w:pPr>
      <w:r w:rsidRPr="00B85D5D">
        <w:rPr>
          <w:rFonts w:ascii="Arial" w:hAnsi="Arial" w:cs="Arial"/>
        </w:rPr>
        <w:t xml:space="preserve">Brigham E. and Houston J. (2007) </w:t>
      </w:r>
      <w:r w:rsidRPr="00B85D5D">
        <w:rPr>
          <w:rFonts w:ascii="Arial" w:hAnsi="Arial" w:cs="Arial"/>
          <w:i/>
        </w:rPr>
        <w:t>Fundamentals of financial management</w:t>
      </w:r>
      <w:r w:rsidRPr="00B85D5D">
        <w:rPr>
          <w:rFonts w:ascii="Arial" w:hAnsi="Arial" w:cs="Arial"/>
        </w:rPr>
        <w:t xml:space="preserve">. Mason: South-Western College Pub. Available at:  </w:t>
      </w:r>
      <w:hyperlink r:id="rId14" w:history="1">
        <w:r w:rsidRPr="00B85D5D">
          <w:rPr>
            <w:rFonts w:ascii="Arial" w:hAnsi="Arial" w:cs="Arial"/>
            <w:color w:val="0000FF"/>
            <w:u w:val="single"/>
          </w:rPr>
          <w:t>http://213.55.90.4/admin/home/Dmu%20Academic%20Resource//Burie%20Campus/Under%20Graduate/Accounting%20and%20Finance/Accounting%20and</w:t>
        </w:r>
      </w:hyperlink>
      <w:r w:rsidRPr="00B85D5D">
        <w:rPr>
          <w:rFonts w:ascii="Arial" w:hAnsi="Arial" w:cs="Arial"/>
        </w:rPr>
        <w:t xml:space="preserve">  (Accessed 9 January).</w:t>
      </w:r>
    </w:p>
    <w:p w:rsidR="00B85D5D" w:rsidRPr="00B85D5D" w:rsidRDefault="00B85D5D" w:rsidP="00B85D5D">
      <w:pPr>
        <w:rPr>
          <w:rFonts w:ascii="Arial" w:hAnsi="Arial" w:cs="Arial"/>
        </w:rPr>
      </w:pPr>
      <w:proofErr w:type="spellStart"/>
      <w:r w:rsidRPr="00B85D5D">
        <w:rPr>
          <w:rFonts w:ascii="Arial" w:hAnsi="Arial" w:cs="Arial"/>
          <w:color w:val="000000"/>
        </w:rPr>
        <w:t>Burksaitiene</w:t>
      </w:r>
      <w:proofErr w:type="spellEnd"/>
      <w:r w:rsidRPr="00B85D5D">
        <w:rPr>
          <w:rFonts w:ascii="Arial" w:hAnsi="Arial" w:cs="Arial"/>
          <w:color w:val="000000"/>
        </w:rPr>
        <w:t>, D. (2009) ‘Measurement of Value Creation: Economic Value Added and Net Present Value’, </w:t>
      </w:r>
      <w:r w:rsidRPr="00B85D5D">
        <w:rPr>
          <w:rFonts w:ascii="Arial" w:hAnsi="Arial" w:cs="Arial"/>
          <w:i/>
          <w:iCs/>
          <w:color w:val="000000"/>
        </w:rPr>
        <w:t xml:space="preserve">Economics &amp; Management, </w:t>
      </w:r>
      <w:r w:rsidRPr="00B85D5D">
        <w:rPr>
          <w:rFonts w:ascii="Arial" w:hAnsi="Arial" w:cs="Arial"/>
          <w:iCs/>
          <w:color w:val="000000"/>
        </w:rPr>
        <w:t>14(1</w:t>
      </w:r>
      <w:r w:rsidRPr="00B85D5D">
        <w:rPr>
          <w:rFonts w:ascii="Arial" w:hAnsi="Arial" w:cs="Arial"/>
          <w:i/>
          <w:iCs/>
          <w:color w:val="000000"/>
        </w:rPr>
        <w:t xml:space="preserve">), </w:t>
      </w:r>
      <w:r w:rsidRPr="00B85D5D">
        <w:rPr>
          <w:rFonts w:ascii="Arial" w:hAnsi="Arial" w:cs="Arial"/>
          <w:color w:val="000000"/>
        </w:rPr>
        <w:t xml:space="preserve">pp. 709–714.Available at: </w:t>
      </w:r>
      <w:hyperlink r:id="rId15" w:tgtFrame="_blank" w:history="1">
        <w:r w:rsidRPr="00B85D5D">
          <w:rPr>
            <w:rFonts w:ascii="Arial" w:hAnsi="Arial" w:cs="Arial"/>
            <w:bCs/>
            <w:color w:val="000000" w:themeColor="text1"/>
            <w:bdr w:val="none" w:sz="0" w:space="0" w:color="auto" w:frame="1"/>
            <w:shd w:val="clear" w:color="auto" w:fill="FFFFFF"/>
          </w:rPr>
          <w:t>bit.ly/3PuRyYK</w:t>
        </w:r>
      </w:hyperlink>
      <w:r w:rsidRPr="00B85D5D">
        <w:rPr>
          <w:rFonts w:ascii="Arial" w:hAnsi="Arial" w:cs="Arial"/>
          <w:b/>
          <w:color w:val="000000" w:themeColor="text1"/>
        </w:rPr>
        <w:t xml:space="preserve"> </w:t>
      </w:r>
      <w:r w:rsidRPr="00B85D5D">
        <w:rPr>
          <w:rFonts w:ascii="Arial" w:hAnsi="Arial" w:cs="Arial"/>
          <w:color w:val="000000" w:themeColor="text1"/>
        </w:rPr>
        <w:t>(Accessed 9 January 2025).</w:t>
      </w:r>
      <w:r w:rsidRPr="00B85D5D">
        <w:rPr>
          <w:rFonts w:ascii="Arial" w:hAnsi="Arial" w:cs="Arial"/>
          <w:color w:val="000000" w:themeColor="text1"/>
          <w:u w:val="single"/>
        </w:rPr>
        <w:t xml:space="preserve"> </w:t>
      </w:r>
    </w:p>
    <w:p w:rsidR="00B85D5D" w:rsidRPr="00B85D5D" w:rsidRDefault="00B85D5D" w:rsidP="00B85D5D">
      <w:pPr>
        <w:rPr>
          <w:rFonts w:ascii="Arial" w:hAnsi="Arial" w:cs="Arial"/>
        </w:rPr>
      </w:pPr>
      <w:r w:rsidRPr="00B85D5D">
        <w:rPr>
          <w:rFonts w:ascii="Arial" w:hAnsi="Arial" w:cs="Arial"/>
        </w:rPr>
        <w:t xml:space="preserve">Business Info (no date) </w:t>
      </w:r>
      <w:r w:rsidR="00707428" w:rsidRPr="00707428">
        <w:rPr>
          <w:rFonts w:ascii="Arial" w:hAnsi="Arial" w:cs="Arial"/>
          <w:i/>
        </w:rPr>
        <w:t>Choose the right finance when starting a business</w:t>
      </w:r>
      <w:r w:rsidR="00707428">
        <w:rPr>
          <w:rFonts w:ascii="Arial" w:hAnsi="Arial" w:cs="Arial"/>
        </w:rPr>
        <w:t xml:space="preserve">. Available at: </w:t>
      </w:r>
      <w:hyperlink r:id="rId16" w:history="1">
        <w:r w:rsidR="00707428" w:rsidRPr="00F326D2">
          <w:rPr>
            <w:rStyle w:val="Hyperlink"/>
            <w:rFonts w:ascii="Arial" w:hAnsi="Arial" w:cs="Arial"/>
          </w:rPr>
          <w:t>https://www.nibusinessinfo.co.uk/content/advantages-and-disadvantages-using-your-own-money-start-business</w:t>
        </w:r>
      </w:hyperlink>
      <w:r w:rsidR="00707428">
        <w:rPr>
          <w:rFonts w:ascii="Arial" w:hAnsi="Arial" w:cs="Arial"/>
          <w:color w:val="0563C1" w:themeColor="hyperlink"/>
          <w:u w:val="single"/>
        </w:rPr>
        <w:t xml:space="preserve"> </w:t>
      </w:r>
      <w:r w:rsidR="00707428" w:rsidRPr="00707428">
        <w:rPr>
          <w:rFonts w:ascii="Arial" w:hAnsi="Arial" w:cs="Arial"/>
          <w:color w:val="000000" w:themeColor="text1"/>
        </w:rPr>
        <w:t>(Accessed 10 January 2025).</w:t>
      </w:r>
      <w:r w:rsidR="00707428" w:rsidRPr="00707428">
        <w:rPr>
          <w:rFonts w:ascii="Arial" w:hAnsi="Arial" w:cs="Arial"/>
          <w:color w:val="000000" w:themeColor="text1"/>
          <w:u w:val="single"/>
        </w:rPr>
        <w:t xml:space="preserve">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(2022) </w:t>
      </w:r>
      <w:r w:rsidRPr="00B85D5D">
        <w:rPr>
          <w:rFonts w:ascii="Arial" w:eastAsia="Times New Roman" w:hAnsi="Arial" w:cs="Arial"/>
          <w:i/>
          <w:color w:val="000000"/>
          <w:lang w:eastAsia="en-GB"/>
        </w:rPr>
        <w:t>Corporate Fact Sheet</w:t>
      </w:r>
      <w:r w:rsidRPr="00B85D5D">
        <w:rPr>
          <w:rFonts w:ascii="Arial" w:eastAsia="Times New Roman" w:hAnsi="Arial" w:cs="Arial"/>
          <w:color w:val="000000"/>
          <w:lang w:eastAsia="en-GB"/>
        </w:rPr>
        <w:t xml:space="preserve">. Available at: </w:t>
      </w:r>
      <w:hyperlink r:id="rId17" w:history="1">
        <w:r w:rsidRPr="00B85D5D">
          <w:rPr>
            <w:rFonts w:ascii="Arial" w:eastAsia="Times New Roman" w:hAnsi="Arial" w:cs="Arial"/>
            <w:color w:val="0000FF"/>
            <w:u w:val="single"/>
            <w:lang w:eastAsia="en-GB"/>
          </w:rPr>
          <w:t>https://www.centrica.com/media/5455/centrica-corporate-factsheet-2022.pdf</w:t>
        </w:r>
      </w:hyperlink>
      <w:r w:rsidRPr="00B85D5D">
        <w:rPr>
          <w:rFonts w:ascii="Arial" w:eastAsia="Times New Roman" w:hAnsi="Arial" w:cs="Arial"/>
          <w:color w:val="000000"/>
          <w:lang w:eastAsia="en-GB"/>
        </w:rPr>
        <w:t xml:space="preserve">  (Accessed 7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Centrica (2022</w:t>
      </w:r>
      <w:r w:rsidRPr="00B85D5D">
        <w:rPr>
          <w:rFonts w:ascii="Arial" w:eastAsia="Times New Roman" w:hAnsi="Arial" w:cs="Arial"/>
          <w:i/>
          <w:color w:val="000000"/>
          <w:lang w:eastAsia="en-GB"/>
        </w:rPr>
        <w:t>) Financial Statements</w:t>
      </w:r>
      <w:r w:rsidRPr="00B85D5D">
        <w:rPr>
          <w:rFonts w:ascii="Arial" w:eastAsia="Times New Roman" w:hAnsi="Arial" w:cs="Arial"/>
          <w:color w:val="000000"/>
          <w:lang w:eastAsia="en-GB"/>
        </w:rPr>
        <w:t xml:space="preserve">. Available at: </w:t>
      </w:r>
      <w:hyperlink r:id="rId18" w:history="1">
        <w:r w:rsidRPr="00B85D5D">
          <w:rPr>
            <w:rFonts w:ascii="Arial" w:eastAsia="Times New Roman" w:hAnsi="Arial" w:cs="Arial"/>
            <w:color w:val="0000FF"/>
            <w:u w:val="single"/>
            <w:lang w:eastAsia="en-GB"/>
          </w:rPr>
          <w:t>https://www.centrica.com/media/wxxls5vu/centrica_ar22_financial-statements.pdf</w:t>
        </w:r>
      </w:hyperlink>
      <w:r w:rsidRPr="00B85D5D">
        <w:rPr>
          <w:rFonts w:ascii="Arial" w:eastAsia="Times New Roman" w:hAnsi="Arial" w:cs="Arial"/>
          <w:color w:val="000000"/>
          <w:lang w:eastAsia="en-GB"/>
        </w:rPr>
        <w:t xml:space="preserve"> (Accessed 14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(2023) </w:t>
      </w:r>
      <w:r w:rsidRPr="00C66C0F">
        <w:rPr>
          <w:rFonts w:ascii="Arial" w:eastAsia="Times New Roman" w:hAnsi="Arial" w:cs="Arial"/>
          <w:i/>
          <w:color w:val="000000"/>
          <w:lang w:eastAsia="en-GB"/>
        </w:rPr>
        <w:t>Centrica plc Preliminary Results for the year ended 31 December 2022</w:t>
      </w:r>
      <w:r w:rsidRPr="00B85D5D">
        <w:rPr>
          <w:rFonts w:ascii="Arial" w:eastAsia="Times New Roman" w:hAnsi="Arial" w:cs="Arial"/>
          <w:color w:val="000000"/>
          <w:lang w:eastAsia="en-GB"/>
        </w:rPr>
        <w:t xml:space="preserve">. Available at: </w:t>
      </w:r>
      <w:hyperlink r:id="rId19" w:history="1">
        <w:r w:rsidRPr="00B85D5D">
          <w:rPr>
            <w:rFonts w:ascii="Arial" w:eastAsia="Times New Roman" w:hAnsi="Arial" w:cs="Arial"/>
            <w:color w:val="0000FF"/>
            <w:u w:val="single"/>
            <w:lang w:eastAsia="en-GB"/>
          </w:rPr>
          <w:t>https://www.centrica.com/media/3uab3hvm/centrica-2022-preliminary-results-announcement-1.pdf</w:t>
        </w:r>
      </w:hyperlink>
      <w:r w:rsidRPr="00B85D5D">
        <w:rPr>
          <w:rFonts w:ascii="Arial" w:eastAsia="Times New Roman" w:hAnsi="Arial" w:cs="Arial"/>
          <w:color w:val="000000"/>
          <w:lang w:eastAsia="en-GB"/>
        </w:rPr>
        <w:t xml:space="preserve"> (Accessed 8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British Gas – </w:t>
      </w:r>
      <w:r w:rsidRPr="00B85D5D">
        <w:rPr>
          <w:rFonts w:ascii="Arial" w:eastAsia="Times New Roman" w:hAnsi="Arial" w:cs="Arial"/>
          <w:i/>
          <w:color w:val="000000"/>
          <w:lang w:eastAsia="en-GB"/>
        </w:rPr>
        <w:t>The UK’s leading energy supplier and provider of home services</w:t>
      </w:r>
      <w:r w:rsidRPr="00B85D5D">
        <w:rPr>
          <w:rFonts w:ascii="Arial" w:eastAsia="Times New Roman" w:hAnsi="Arial" w:cs="Arial"/>
          <w:color w:val="000000"/>
          <w:lang w:eastAsia="en-GB"/>
        </w:rPr>
        <w:t xml:space="preserve">. Available at: </w:t>
      </w:r>
      <w:hyperlink r:id="rId20" w:anchor=":~:text=British%20Gas%20Businesses-,Hive,Visit%20PH%20Jones" w:history="1">
        <w:r w:rsidRPr="00B85D5D">
          <w:rPr>
            <w:rFonts w:ascii="Arial" w:eastAsia="Times New Roman" w:hAnsi="Arial" w:cs="Arial"/>
            <w:color w:val="0000FF"/>
            <w:u w:val="single"/>
            <w:lang w:eastAsia="en-GB"/>
          </w:rPr>
          <w:t>https://www.centrica.com/our-businesses/british-gas/#:~:text=British%20Gas%20Businesses-,Hive,Visit%20PH%20Jones</w:t>
        </w:r>
      </w:hyperlink>
      <w:r w:rsidRPr="00B85D5D">
        <w:rPr>
          <w:rFonts w:ascii="Arial" w:eastAsia="Times New Roman" w:hAnsi="Arial" w:cs="Arial"/>
          <w:color w:val="000000"/>
          <w:lang w:eastAsia="en-GB"/>
        </w:rPr>
        <w:t xml:space="preserve"> (Accessed 10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lastRenderedPageBreak/>
        <w:t>Centrica (2024</w:t>
      </w:r>
      <w:r w:rsidRPr="00C66C0F">
        <w:rPr>
          <w:rFonts w:ascii="Arial" w:eastAsia="Times New Roman" w:hAnsi="Arial" w:cs="Arial"/>
          <w:i/>
          <w:color w:val="000000"/>
          <w:lang w:eastAsia="en-GB"/>
        </w:rPr>
        <w:t>) Centrica as an Investment- What sets Centrica apart as an investment opportunity?</w:t>
      </w:r>
      <w:r w:rsidRPr="00B85D5D">
        <w:rPr>
          <w:rFonts w:ascii="Arial" w:eastAsia="Times New Roman" w:hAnsi="Arial" w:cs="Arial"/>
          <w:color w:val="000000"/>
          <w:lang w:eastAsia="en-GB"/>
        </w:rPr>
        <w:t xml:space="preserve"> Available at:  </w:t>
      </w:r>
      <w:hyperlink r:id="rId21" w:history="1">
        <w:r w:rsidRPr="00B85D5D">
          <w:rPr>
            <w:rFonts w:ascii="Arial" w:eastAsia="Times New Roman" w:hAnsi="Arial" w:cs="Arial"/>
            <w:color w:val="0000FF"/>
            <w:u w:val="single"/>
            <w:lang w:eastAsia="en-GB"/>
          </w:rPr>
          <w:t>https://www.centrica.com/investors/centrica-as-an-investment/</w:t>
        </w:r>
      </w:hyperlink>
      <w:r w:rsidRPr="00B85D5D">
        <w:rPr>
          <w:rFonts w:ascii="Arial" w:eastAsia="Times New Roman" w:hAnsi="Arial" w:cs="Arial"/>
          <w:color w:val="000000"/>
          <w:lang w:eastAsia="en-GB"/>
        </w:rPr>
        <w:t xml:space="preserve">. (Accessed 7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w:t>
      </w:r>
      <w:r w:rsidRPr="00B85D5D">
        <w:rPr>
          <w:rFonts w:ascii="Arial" w:eastAsia="Times New Roman" w:hAnsi="Arial" w:cs="Arial"/>
          <w:i/>
          <w:color w:val="000000"/>
          <w:lang w:eastAsia="en-GB"/>
        </w:rPr>
        <w:t>Centrica Energy Storage Limited – Our Storage Business</w:t>
      </w:r>
      <w:r w:rsidRPr="00B85D5D">
        <w:rPr>
          <w:rFonts w:ascii="Arial" w:eastAsia="Times New Roman" w:hAnsi="Arial" w:cs="Arial"/>
          <w:color w:val="000000"/>
          <w:lang w:eastAsia="en-GB"/>
        </w:rPr>
        <w:t xml:space="preserve">. Available at: </w:t>
      </w:r>
      <w:hyperlink r:id="rId22" w:history="1">
        <w:r w:rsidRPr="00B85D5D">
          <w:rPr>
            <w:rFonts w:ascii="Arial" w:eastAsia="Times New Roman" w:hAnsi="Arial" w:cs="Arial"/>
            <w:color w:val="0000FF"/>
            <w:u w:val="single"/>
            <w:lang w:eastAsia="en-GB"/>
          </w:rPr>
          <w:t>https://www.centrica.com/our-businesses/upstream/centrica-energy-storage-limited-cesplus/</w:t>
        </w:r>
      </w:hyperlink>
      <w:r w:rsidRPr="00B85D5D">
        <w:rPr>
          <w:rFonts w:ascii="Arial" w:eastAsia="Times New Roman" w:hAnsi="Arial" w:cs="Arial"/>
          <w:color w:val="000000"/>
          <w:lang w:eastAsia="en-GB"/>
        </w:rPr>
        <w:t xml:space="preserve"> (Accessed 11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w:t>
      </w:r>
      <w:r w:rsidRPr="00B85D5D">
        <w:rPr>
          <w:rFonts w:ascii="Arial" w:eastAsia="Times New Roman" w:hAnsi="Arial" w:cs="Arial"/>
          <w:i/>
          <w:color w:val="000000"/>
          <w:lang w:eastAsia="en-GB"/>
        </w:rPr>
        <w:t>Dividends.</w:t>
      </w:r>
      <w:r w:rsidRPr="00B85D5D">
        <w:rPr>
          <w:rFonts w:ascii="Arial" w:eastAsia="Times New Roman" w:hAnsi="Arial" w:cs="Arial"/>
          <w:color w:val="000000"/>
          <w:lang w:eastAsia="en-GB"/>
        </w:rPr>
        <w:t xml:space="preserve"> Available at: </w:t>
      </w:r>
      <w:hyperlink r:id="rId23" w:history="1">
        <w:r w:rsidRPr="00B85D5D">
          <w:rPr>
            <w:rFonts w:ascii="Arial" w:eastAsia="Times New Roman" w:hAnsi="Arial" w:cs="Arial"/>
            <w:color w:val="0000FF"/>
            <w:u w:val="single"/>
            <w:lang w:eastAsia="en-GB"/>
          </w:rPr>
          <w:t>https://www.centrica.com/investors/shareholder-centre/dividends/</w:t>
        </w:r>
      </w:hyperlink>
      <w:r w:rsidRPr="00B85D5D">
        <w:rPr>
          <w:rFonts w:ascii="Arial" w:eastAsia="Times New Roman" w:hAnsi="Arial" w:cs="Arial"/>
          <w:color w:val="000000"/>
          <w:lang w:eastAsia="en-GB"/>
        </w:rPr>
        <w:t xml:space="preserve"> (Accessed 14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w:t>
      </w:r>
      <w:r w:rsidRPr="00B85D5D">
        <w:rPr>
          <w:rFonts w:ascii="Arial" w:eastAsia="Times New Roman" w:hAnsi="Arial" w:cs="Arial"/>
          <w:i/>
          <w:color w:val="000000"/>
          <w:lang w:eastAsia="en-GB"/>
        </w:rPr>
        <w:t>Interim results for the period ended 30 June 2023</w:t>
      </w:r>
      <w:r w:rsidRPr="00B85D5D">
        <w:rPr>
          <w:rFonts w:ascii="Arial" w:eastAsia="Times New Roman" w:hAnsi="Arial" w:cs="Arial"/>
          <w:color w:val="000000"/>
          <w:lang w:eastAsia="en-GB"/>
        </w:rPr>
        <w:t xml:space="preserve">. Available at: </w:t>
      </w:r>
      <w:hyperlink r:id="rId24" w:anchor=":~:text=Strong%20performance%20from%20our%20balanced,2022%3A%2014.7p%20loss" w:history="1">
        <w:r w:rsidRPr="00B85D5D">
          <w:rPr>
            <w:rFonts w:ascii="Arial" w:eastAsia="Times New Roman" w:hAnsi="Arial" w:cs="Arial"/>
            <w:color w:val="0000FF"/>
            <w:u w:val="single"/>
            <w:lang w:eastAsia="en-GB"/>
          </w:rPr>
          <w:t>https://www.centrica.com/media-centre/news/2023/interim-results-for-the-period-ended-30-june-2023/#:~:text=Strong%20performance%20from%20our%20balanced,2022%3A%2014.7p%20loss</w:t>
        </w:r>
      </w:hyperlink>
      <w:r w:rsidRPr="00B85D5D">
        <w:rPr>
          <w:rFonts w:ascii="Arial" w:eastAsia="Times New Roman" w:hAnsi="Arial" w:cs="Arial"/>
          <w:color w:val="000000"/>
          <w:lang w:eastAsia="en-GB"/>
        </w:rPr>
        <w:t xml:space="preserve">). (Accessed 8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w:t>
      </w:r>
      <w:r w:rsidRPr="00B85D5D">
        <w:rPr>
          <w:rFonts w:ascii="Arial" w:eastAsia="Times New Roman" w:hAnsi="Arial" w:cs="Arial"/>
          <w:i/>
          <w:color w:val="000000"/>
          <w:lang w:eastAsia="en-GB"/>
        </w:rPr>
        <w:t>Our Strategy and Business Model</w:t>
      </w:r>
      <w:r w:rsidRPr="00B85D5D">
        <w:rPr>
          <w:rFonts w:ascii="Arial" w:eastAsia="Times New Roman" w:hAnsi="Arial" w:cs="Arial"/>
          <w:color w:val="000000"/>
          <w:lang w:eastAsia="en-GB"/>
        </w:rPr>
        <w:t xml:space="preserve">. Available at: </w:t>
      </w:r>
      <w:hyperlink r:id="rId25" w:history="1">
        <w:r w:rsidRPr="00B85D5D">
          <w:rPr>
            <w:rFonts w:ascii="Arial" w:eastAsia="Times New Roman" w:hAnsi="Arial" w:cs="Arial"/>
            <w:color w:val="0000FF"/>
            <w:u w:val="single"/>
            <w:lang w:eastAsia="en-GB"/>
          </w:rPr>
          <w:t>https://www.centrica.com/who-we-are/our-strategy-and-business-model/</w:t>
        </w:r>
      </w:hyperlink>
      <w:r w:rsidRPr="00B85D5D">
        <w:rPr>
          <w:rFonts w:ascii="Arial" w:eastAsia="Times New Roman" w:hAnsi="Arial" w:cs="Arial"/>
          <w:color w:val="000000"/>
          <w:lang w:eastAsia="en-GB"/>
        </w:rPr>
        <w:t xml:space="preserve"> (Accessed 14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Centrica (2024) </w:t>
      </w:r>
      <w:r w:rsidRPr="00B85D5D">
        <w:rPr>
          <w:rFonts w:ascii="Arial" w:eastAsia="Times New Roman" w:hAnsi="Arial" w:cs="Arial"/>
          <w:i/>
          <w:color w:val="000000"/>
          <w:lang w:eastAsia="en-GB"/>
        </w:rPr>
        <w:t>The businesses and brands that make up Centrica</w:t>
      </w:r>
      <w:r w:rsidRPr="00B85D5D">
        <w:rPr>
          <w:rFonts w:ascii="Arial" w:eastAsia="Times New Roman" w:hAnsi="Arial" w:cs="Arial"/>
          <w:color w:val="000000"/>
          <w:lang w:eastAsia="en-GB"/>
        </w:rPr>
        <w:t xml:space="preserve">. Available at: </w:t>
      </w:r>
      <w:hyperlink r:id="rId26" w:history="1">
        <w:r w:rsidRPr="00B85D5D">
          <w:rPr>
            <w:rFonts w:ascii="Arial" w:eastAsia="Times New Roman" w:hAnsi="Arial" w:cs="Arial"/>
            <w:color w:val="0000FF"/>
            <w:u w:val="single"/>
            <w:lang w:eastAsia="en-GB"/>
          </w:rPr>
          <w:t>https://www.centrica.com/our-businesses/</w:t>
        </w:r>
      </w:hyperlink>
      <w:r w:rsidRPr="00B85D5D">
        <w:rPr>
          <w:rFonts w:ascii="Arial" w:eastAsia="Times New Roman" w:hAnsi="Arial" w:cs="Arial"/>
          <w:color w:val="000000"/>
          <w:lang w:eastAsia="en-GB"/>
        </w:rPr>
        <w:t xml:space="preserve"> (Accessed 14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Corporate Finance Institute (2025) </w:t>
      </w:r>
      <w:r w:rsidRPr="00B85D5D">
        <w:rPr>
          <w:rFonts w:ascii="Arial" w:eastAsia="Times New Roman" w:hAnsi="Arial" w:cs="Arial"/>
          <w:i/>
          <w:color w:val="000000"/>
          <w:lang w:eastAsia="en-GB"/>
        </w:rPr>
        <w:t>Net Profit Margin</w:t>
      </w:r>
      <w:r w:rsidRPr="00B85D5D">
        <w:rPr>
          <w:rFonts w:ascii="Arial" w:eastAsia="Times New Roman" w:hAnsi="Arial" w:cs="Arial"/>
          <w:color w:val="000000"/>
          <w:lang w:eastAsia="en-GB"/>
        </w:rPr>
        <w:t xml:space="preserve">. Available at: </w:t>
      </w:r>
      <w:hyperlink r:id="rId27" w:history="1">
        <w:r w:rsidRPr="00B85D5D">
          <w:rPr>
            <w:rFonts w:ascii="Arial" w:eastAsia="Times New Roman" w:hAnsi="Arial" w:cs="Arial"/>
            <w:color w:val="0000FF"/>
            <w:u w:val="single"/>
            <w:lang w:eastAsia="en-GB"/>
          </w:rPr>
          <w:t>https://corporatefinanceinstitute.com/resources/accounting/net-profit-margin-formula/</w:t>
        </w:r>
      </w:hyperlink>
      <w:r w:rsidRPr="00B85D5D">
        <w:rPr>
          <w:rFonts w:ascii="Arial" w:eastAsia="Times New Roman" w:hAnsi="Arial" w:cs="Arial"/>
          <w:color w:val="000000"/>
          <w:lang w:eastAsia="en-GB"/>
        </w:rPr>
        <w:t xml:space="preserve"> (Accessed 13 January 2025). </w:t>
      </w:r>
    </w:p>
    <w:p w:rsidR="00B85D5D" w:rsidRPr="00B85D5D" w:rsidRDefault="00B85D5D" w:rsidP="00B85D5D">
      <w:pPr>
        <w:shd w:val="clear" w:color="auto" w:fill="FFFFFF"/>
        <w:spacing w:before="100" w:beforeAutospacing="1" w:after="100" w:afterAutospacing="1" w:line="240" w:lineRule="auto"/>
        <w:rPr>
          <w:rFonts w:ascii="Arial" w:eastAsia="Times New Roman" w:hAnsi="Arial" w:cs="Arial"/>
          <w:color w:val="232323"/>
          <w:shd w:val="clear" w:color="auto" w:fill="FFFFFF"/>
          <w:lang w:eastAsia="en-GB"/>
        </w:rPr>
      </w:pPr>
      <w:r w:rsidRPr="008855C8">
        <w:rPr>
          <w:rFonts w:ascii="Arial" w:eastAsia="Times New Roman" w:hAnsi="Arial" w:cs="Arial"/>
          <w:color w:val="000000" w:themeColor="text1"/>
          <w:shd w:val="clear" w:color="auto" w:fill="FFFFFF"/>
          <w:lang w:eastAsia="en-GB"/>
        </w:rPr>
        <w:t>Damodaran, A. (2012</w:t>
      </w:r>
      <w:r w:rsidRPr="008855C8">
        <w:rPr>
          <w:rFonts w:ascii="Arial" w:eastAsia="Times New Roman" w:hAnsi="Arial" w:cs="Arial"/>
          <w:i/>
          <w:color w:val="000000" w:themeColor="text1"/>
          <w:shd w:val="clear" w:color="auto" w:fill="FFFFFF"/>
          <w:lang w:eastAsia="en-GB"/>
        </w:rPr>
        <w:t>) Investment Valuation: Tools and Techniques for Determining the Value of Any Asset.</w:t>
      </w:r>
      <w:r w:rsidRPr="008855C8">
        <w:rPr>
          <w:rFonts w:ascii="Arial" w:eastAsia="Times New Roman" w:hAnsi="Arial" w:cs="Arial"/>
          <w:color w:val="000000" w:themeColor="text1"/>
          <w:shd w:val="clear" w:color="auto" w:fill="FFFFFF"/>
          <w:lang w:eastAsia="en-GB"/>
        </w:rPr>
        <w:t xml:space="preserve"> 3rd </w:t>
      </w:r>
      <w:proofErr w:type="spellStart"/>
      <w:r w:rsidRPr="008855C8">
        <w:rPr>
          <w:rFonts w:ascii="Arial" w:eastAsia="Times New Roman" w:hAnsi="Arial" w:cs="Arial"/>
          <w:color w:val="000000" w:themeColor="text1"/>
          <w:shd w:val="clear" w:color="auto" w:fill="FFFFFF"/>
          <w:lang w:eastAsia="en-GB"/>
        </w:rPr>
        <w:t>edn</w:t>
      </w:r>
      <w:proofErr w:type="spellEnd"/>
      <w:r w:rsidRPr="008855C8">
        <w:rPr>
          <w:rFonts w:ascii="Arial" w:eastAsia="Times New Roman" w:hAnsi="Arial" w:cs="Arial"/>
          <w:color w:val="000000" w:themeColor="text1"/>
          <w:shd w:val="clear" w:color="auto" w:fill="FFFFFF"/>
          <w:lang w:eastAsia="en-GB"/>
        </w:rPr>
        <w:t>. Hoboken: Wiley</w:t>
      </w:r>
      <w:r w:rsidRPr="00B85D5D">
        <w:rPr>
          <w:rFonts w:ascii="Arial" w:eastAsia="Times New Roman" w:hAnsi="Arial" w:cs="Arial"/>
          <w:color w:val="232323"/>
          <w:shd w:val="clear" w:color="auto" w:fill="FFFFFF"/>
          <w:lang w:eastAsia="en-GB"/>
        </w:rPr>
        <w:t>.</w:t>
      </w:r>
    </w:p>
    <w:p w:rsidR="00B85D5D" w:rsidRPr="00B85D5D" w:rsidRDefault="00B85D5D" w:rsidP="00B85D5D">
      <w:pPr>
        <w:rPr>
          <w:rFonts w:ascii="Arial" w:hAnsi="Arial" w:cs="Arial"/>
          <w:color w:val="000000"/>
          <w:shd w:val="clear" w:color="auto" w:fill="FFFFFF"/>
        </w:rPr>
      </w:pPr>
      <w:r w:rsidRPr="00B85D5D">
        <w:rPr>
          <w:rFonts w:ascii="Arial" w:hAnsi="Arial" w:cs="Arial"/>
          <w:color w:val="000000"/>
          <w:shd w:val="clear" w:color="auto" w:fill="FFFFFF"/>
        </w:rPr>
        <w:t xml:space="preserve">Drury, C. and </w:t>
      </w:r>
      <w:proofErr w:type="spellStart"/>
      <w:r w:rsidRPr="00B85D5D">
        <w:rPr>
          <w:rFonts w:ascii="Arial" w:hAnsi="Arial" w:cs="Arial"/>
          <w:color w:val="000000"/>
          <w:shd w:val="clear" w:color="auto" w:fill="FFFFFF"/>
        </w:rPr>
        <w:t>Tayles</w:t>
      </w:r>
      <w:proofErr w:type="spellEnd"/>
      <w:r w:rsidRPr="00B85D5D">
        <w:rPr>
          <w:rFonts w:ascii="Arial" w:hAnsi="Arial" w:cs="Arial"/>
          <w:color w:val="000000"/>
          <w:shd w:val="clear" w:color="auto" w:fill="FFFFFF"/>
        </w:rPr>
        <w:t>, M.E. (202</w:t>
      </w:r>
      <w:r w:rsidR="004C28BF">
        <w:rPr>
          <w:rFonts w:ascii="Arial" w:hAnsi="Arial" w:cs="Arial"/>
          <w:color w:val="000000"/>
          <w:shd w:val="clear" w:color="auto" w:fill="FFFFFF"/>
        </w:rPr>
        <w:t>1</w:t>
      </w:r>
      <w:r w:rsidRPr="00B85D5D">
        <w:rPr>
          <w:rFonts w:ascii="Arial" w:hAnsi="Arial" w:cs="Arial"/>
          <w:color w:val="000000"/>
          <w:shd w:val="clear" w:color="auto" w:fill="FFFFFF"/>
        </w:rPr>
        <w:t>) </w:t>
      </w:r>
      <w:r w:rsidRPr="00B85D5D">
        <w:rPr>
          <w:rFonts w:ascii="Arial" w:hAnsi="Arial" w:cs="Arial"/>
          <w:i/>
          <w:iCs/>
          <w:color w:val="000000"/>
          <w:shd w:val="clear" w:color="auto" w:fill="FFFFFF"/>
        </w:rPr>
        <w:t>Management and cost accounting.</w:t>
      </w:r>
      <w:r w:rsidRPr="00B85D5D">
        <w:rPr>
          <w:rFonts w:ascii="Arial" w:hAnsi="Arial" w:cs="Arial"/>
          <w:color w:val="000000"/>
          <w:shd w:val="clear" w:color="auto" w:fill="FFFFFF"/>
        </w:rPr>
        <w:t xml:space="preserve"> 11</w:t>
      </w:r>
      <w:r w:rsidRPr="00B85D5D">
        <w:rPr>
          <w:rFonts w:ascii="Arial" w:hAnsi="Arial" w:cs="Arial"/>
          <w:color w:val="000000"/>
          <w:shd w:val="clear" w:color="auto" w:fill="FFFFFF"/>
          <w:vertAlign w:val="superscript"/>
        </w:rPr>
        <w:t>th</w:t>
      </w:r>
      <w:r w:rsidRPr="00B85D5D">
        <w:rPr>
          <w:rFonts w:ascii="Arial" w:hAnsi="Arial" w:cs="Arial"/>
          <w:color w:val="000000"/>
          <w:shd w:val="clear" w:color="auto" w:fill="FFFFFF"/>
        </w:rPr>
        <w:t xml:space="preserve"> </w:t>
      </w:r>
      <w:proofErr w:type="spellStart"/>
      <w:r w:rsidRPr="00B85D5D">
        <w:rPr>
          <w:rFonts w:ascii="Arial" w:hAnsi="Arial" w:cs="Arial"/>
          <w:color w:val="000000"/>
          <w:shd w:val="clear" w:color="auto" w:fill="FFFFFF"/>
        </w:rPr>
        <w:t>edn</w:t>
      </w:r>
      <w:proofErr w:type="spellEnd"/>
      <w:r w:rsidRPr="00B85D5D">
        <w:rPr>
          <w:rFonts w:ascii="Arial" w:hAnsi="Arial" w:cs="Arial"/>
          <w:color w:val="000000"/>
          <w:shd w:val="clear" w:color="auto" w:fill="FFFFFF"/>
        </w:rPr>
        <w:t xml:space="preserve">. </w:t>
      </w:r>
      <w:proofErr w:type="gramStart"/>
      <w:r w:rsidRPr="00B85D5D">
        <w:rPr>
          <w:rFonts w:ascii="Arial" w:hAnsi="Arial" w:cs="Arial"/>
          <w:color w:val="000000"/>
          <w:shd w:val="clear" w:color="auto" w:fill="FFFFFF"/>
        </w:rPr>
        <w:t>Melbourne:,</w:t>
      </w:r>
      <w:proofErr w:type="gramEnd"/>
      <w:r w:rsidRPr="00B85D5D">
        <w:rPr>
          <w:rFonts w:ascii="Arial" w:hAnsi="Arial" w:cs="Arial"/>
          <w:color w:val="000000"/>
          <w:shd w:val="clear" w:color="auto" w:fill="FFFFFF"/>
        </w:rPr>
        <w:t xml:space="preserve"> Cengage.</w:t>
      </w:r>
    </w:p>
    <w:p w:rsidR="00B85D5D" w:rsidRPr="00B85D5D" w:rsidRDefault="00B85D5D" w:rsidP="00B85D5D">
      <w:pPr>
        <w:rPr>
          <w:rFonts w:ascii="Arial" w:hAnsi="Arial" w:cs="Arial"/>
        </w:rPr>
      </w:pPr>
      <w:proofErr w:type="spellStart"/>
      <w:r w:rsidRPr="00B85D5D">
        <w:rPr>
          <w:rFonts w:ascii="Arial" w:hAnsi="Arial" w:cs="Arial"/>
        </w:rPr>
        <w:t>Edser</w:t>
      </w:r>
      <w:proofErr w:type="spellEnd"/>
      <w:r w:rsidRPr="00B85D5D">
        <w:rPr>
          <w:rFonts w:ascii="Arial" w:hAnsi="Arial" w:cs="Arial"/>
        </w:rPr>
        <w:t xml:space="preserve">, N. and Race, M. (2024) </w:t>
      </w:r>
      <w:r w:rsidRPr="00B85D5D">
        <w:rPr>
          <w:rFonts w:ascii="Arial" w:hAnsi="Arial" w:cs="Arial"/>
          <w:i/>
        </w:rPr>
        <w:t xml:space="preserve">Reeves signals hike in National Insurance for firms. </w:t>
      </w:r>
      <w:r w:rsidRPr="00B85D5D">
        <w:rPr>
          <w:rFonts w:ascii="Arial" w:hAnsi="Arial" w:cs="Arial"/>
        </w:rPr>
        <w:t xml:space="preserve">Available at: </w:t>
      </w:r>
      <w:hyperlink r:id="rId28" w:history="1">
        <w:r w:rsidRPr="00B85D5D">
          <w:rPr>
            <w:rFonts w:ascii="Arial" w:hAnsi="Arial" w:cs="Arial"/>
            <w:color w:val="0000FF"/>
            <w:u w:val="single"/>
          </w:rPr>
          <w:t>https://www.bbc.co.uk/news/articles/c3e9yk24w3eo</w:t>
        </w:r>
      </w:hyperlink>
      <w:r w:rsidRPr="00B85D5D">
        <w:rPr>
          <w:rFonts w:ascii="Arial" w:hAnsi="Arial" w:cs="Arial"/>
        </w:rPr>
        <w:t xml:space="preserve"> (Accessed 9 </w:t>
      </w:r>
      <w:proofErr w:type="gramStart"/>
      <w:r w:rsidRPr="00B85D5D">
        <w:rPr>
          <w:rFonts w:ascii="Arial" w:hAnsi="Arial" w:cs="Arial"/>
        </w:rPr>
        <w:t>January  2025</w:t>
      </w:r>
      <w:proofErr w:type="gramEnd"/>
      <w:r w:rsidRPr="00B85D5D">
        <w:rPr>
          <w:rFonts w:ascii="Arial" w:hAnsi="Arial" w:cs="Arial"/>
        </w:rPr>
        <w:t xml:space="preserve">). </w:t>
      </w:r>
    </w:p>
    <w:p w:rsidR="00B85D5D" w:rsidRPr="00B85D5D" w:rsidRDefault="00B85D5D" w:rsidP="00B85D5D">
      <w:pPr>
        <w:shd w:val="clear" w:color="auto" w:fill="FFFFFF"/>
        <w:spacing w:before="100" w:beforeAutospacing="1" w:after="100" w:afterAutospacing="1" w:line="240" w:lineRule="auto"/>
        <w:rPr>
          <w:rFonts w:ascii="Arial" w:eastAsia="Times New Roman" w:hAnsi="Arial" w:cs="Arial"/>
          <w:lang w:eastAsia="en-GB"/>
        </w:rPr>
      </w:pPr>
      <w:proofErr w:type="spellStart"/>
      <w:r w:rsidRPr="00B85D5D">
        <w:rPr>
          <w:rFonts w:ascii="Arial" w:eastAsia="Times New Roman" w:hAnsi="Arial" w:cs="Arial"/>
          <w:lang w:eastAsia="en-GB"/>
        </w:rPr>
        <w:t>Feenstra</w:t>
      </w:r>
      <w:proofErr w:type="spellEnd"/>
      <w:r w:rsidRPr="00B85D5D">
        <w:rPr>
          <w:rFonts w:ascii="Arial" w:eastAsia="Times New Roman" w:hAnsi="Arial" w:cs="Arial"/>
          <w:lang w:eastAsia="en-GB"/>
        </w:rPr>
        <w:t xml:space="preserve">, D. W. and Wang, H. (2000) </w:t>
      </w:r>
      <w:r w:rsidRPr="00B85D5D">
        <w:rPr>
          <w:rFonts w:ascii="Arial" w:eastAsia="Times New Roman" w:hAnsi="Arial" w:cs="Arial"/>
          <w:i/>
          <w:lang w:eastAsia="en-GB"/>
        </w:rPr>
        <w:t xml:space="preserve">Economic and accounting rates of return. </w:t>
      </w:r>
      <w:r w:rsidRPr="00B85D5D">
        <w:rPr>
          <w:rFonts w:ascii="Arial" w:eastAsia="Times New Roman" w:hAnsi="Arial" w:cs="Arial"/>
          <w:lang w:eastAsia="en-GB"/>
        </w:rPr>
        <w:t xml:space="preserve">Available at: </w:t>
      </w:r>
      <w:hyperlink r:id="rId29" w:history="1">
        <w:r w:rsidRPr="00B85D5D">
          <w:rPr>
            <w:rFonts w:ascii="Arial" w:eastAsia="Times New Roman" w:hAnsi="Arial" w:cs="Arial"/>
            <w:color w:val="2E74B5" w:themeColor="accent5" w:themeShade="BF"/>
            <w:u w:val="single"/>
            <w:lang w:eastAsia="en-GB"/>
          </w:rPr>
          <w:t>https://research.rug.nl/en/publications/economic-and-accounting-rates-of-return-2</w:t>
        </w:r>
      </w:hyperlink>
      <w:r w:rsidRPr="00B85D5D">
        <w:rPr>
          <w:rFonts w:ascii="Arial" w:eastAsia="Times New Roman" w:hAnsi="Arial" w:cs="Arial"/>
          <w:lang w:eastAsia="en-GB"/>
        </w:rPr>
        <w:t xml:space="preserve"> (Accessed 7 January 2025). </w:t>
      </w:r>
    </w:p>
    <w:p w:rsidR="00B85D5D" w:rsidRPr="00B85D5D" w:rsidRDefault="00B85D5D" w:rsidP="00B85D5D">
      <w:pPr>
        <w:shd w:val="clear" w:color="auto" w:fill="FFFFFF"/>
        <w:spacing w:after="173" w:line="240" w:lineRule="auto"/>
        <w:rPr>
          <w:rFonts w:ascii="Arial" w:eastAsia="Times New Roman" w:hAnsi="Arial" w:cs="Arial"/>
          <w:iCs/>
          <w:color w:val="000000"/>
          <w:lang w:eastAsia="en-GB"/>
        </w:rPr>
      </w:pPr>
      <w:r w:rsidRPr="00B85D5D">
        <w:rPr>
          <w:rFonts w:ascii="Arial" w:eastAsia="Times New Roman" w:hAnsi="Arial" w:cs="Arial"/>
          <w:color w:val="000000"/>
          <w:lang w:eastAsia="en-GB"/>
        </w:rPr>
        <w:t>Garcia, E.L.M., Vieira, V.A. and Nath, P. (2024) ‘Myopic marketing management and stock performance in the short term: the moderating role of asset turnover’, </w:t>
      </w:r>
      <w:r w:rsidRPr="00B85D5D">
        <w:rPr>
          <w:rFonts w:ascii="Arial" w:eastAsia="Times New Roman" w:hAnsi="Arial" w:cs="Arial"/>
          <w:i/>
          <w:iCs/>
          <w:color w:val="000000"/>
          <w:lang w:eastAsia="en-GB"/>
        </w:rPr>
        <w:t>Marketing Letters.</w:t>
      </w:r>
      <w:r w:rsidRPr="00B85D5D">
        <w:rPr>
          <w:rFonts w:ascii="Arial" w:eastAsia="Times New Roman" w:hAnsi="Arial" w:cs="Arial"/>
          <w:iCs/>
          <w:color w:val="000000"/>
          <w:lang w:eastAsia="en-GB"/>
        </w:rPr>
        <w:t xml:space="preserve"> Available at: </w:t>
      </w:r>
      <w:hyperlink r:id="rId30" w:history="1">
        <w:r w:rsidRPr="00B85D5D">
          <w:rPr>
            <w:rFonts w:ascii="Arial" w:eastAsia="Times New Roman" w:hAnsi="Arial" w:cs="Arial"/>
            <w:color w:val="0000FF"/>
            <w:u w:val="single"/>
            <w:shd w:val="clear" w:color="auto" w:fill="FFFFFF"/>
            <w:lang w:eastAsia="en-GB"/>
          </w:rPr>
          <w:t>https://doi.org/10.1007/s11002-024-09744-4</w:t>
        </w:r>
      </w:hyperlink>
      <w:r w:rsidRPr="00B85D5D">
        <w:rPr>
          <w:rFonts w:ascii="Arial" w:eastAsia="Times New Roman" w:hAnsi="Arial" w:cs="Arial"/>
          <w:color w:val="222222"/>
          <w:shd w:val="clear" w:color="auto" w:fill="FFFFFF"/>
          <w:lang w:eastAsia="en-GB"/>
        </w:rPr>
        <w:t xml:space="preserve"> </w:t>
      </w:r>
      <w:r w:rsidRPr="00B85D5D">
        <w:rPr>
          <w:rFonts w:ascii="Arial" w:eastAsia="Times New Roman" w:hAnsi="Arial" w:cs="Arial"/>
          <w:iCs/>
          <w:color w:val="000000"/>
          <w:lang w:eastAsia="en-GB"/>
        </w:rPr>
        <w:t xml:space="preserve">(Accessed 15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Global Data (2025) </w:t>
      </w:r>
      <w:r w:rsidRPr="00B85D5D">
        <w:rPr>
          <w:rFonts w:ascii="Arial" w:eastAsia="Times New Roman" w:hAnsi="Arial" w:cs="Arial"/>
          <w:i/>
          <w:color w:val="000000"/>
          <w:lang w:eastAsia="en-GB"/>
        </w:rPr>
        <w:t>Centrica Plc: Overview</w:t>
      </w:r>
      <w:r w:rsidRPr="00B85D5D">
        <w:rPr>
          <w:rFonts w:ascii="Arial" w:eastAsia="Times New Roman" w:hAnsi="Arial" w:cs="Arial"/>
          <w:color w:val="000000"/>
          <w:lang w:eastAsia="en-GB"/>
        </w:rPr>
        <w:t xml:space="preserve">. Available at: </w:t>
      </w:r>
      <w:hyperlink r:id="rId31" w:history="1">
        <w:r w:rsidRPr="00B85D5D">
          <w:rPr>
            <w:rFonts w:ascii="Arial" w:eastAsia="Times New Roman" w:hAnsi="Arial" w:cs="Arial"/>
            <w:color w:val="0000FF"/>
            <w:u w:val="single"/>
            <w:lang w:eastAsia="en-GB"/>
          </w:rPr>
          <w:t>https://www.globaldata.com/company-profile/centrica-plc/</w:t>
        </w:r>
      </w:hyperlink>
      <w:r w:rsidRPr="00B85D5D">
        <w:rPr>
          <w:rFonts w:ascii="Arial" w:eastAsia="Times New Roman" w:hAnsi="Arial" w:cs="Arial"/>
          <w:color w:val="000000"/>
          <w:lang w:eastAsia="en-GB"/>
        </w:rPr>
        <w:t xml:space="preserve"> (Accessed 14 January 2025). </w:t>
      </w:r>
    </w:p>
    <w:p w:rsidR="00B85D5D" w:rsidRPr="00B85D5D" w:rsidRDefault="009D03C2" w:rsidP="00B85D5D">
      <w:pPr>
        <w:rPr>
          <w:rFonts w:ascii="Arial" w:hAnsi="Arial" w:cs="Arial"/>
          <w:color w:val="000000"/>
          <w:spacing w:val="-5"/>
          <w:shd w:val="clear" w:color="auto" w:fill="FFFFFF"/>
        </w:rPr>
      </w:pPr>
      <w:hyperlink r:id="rId32" w:history="1"/>
      <w:r w:rsidR="00B85D5D" w:rsidRPr="00B85D5D">
        <w:rPr>
          <w:rFonts w:ascii="Arial" w:hAnsi="Arial" w:cs="Arial"/>
          <w:color w:val="000000"/>
        </w:rPr>
        <w:t xml:space="preserve">Gordon, M.J. (1963) ‘Optimal Investment and Financing Policy’, </w:t>
      </w:r>
      <w:r w:rsidR="00B85D5D" w:rsidRPr="00B85D5D">
        <w:rPr>
          <w:rFonts w:ascii="Arial" w:hAnsi="Arial" w:cs="Arial"/>
          <w:i/>
          <w:iCs/>
          <w:color w:val="000000"/>
        </w:rPr>
        <w:t>The Journal of Finance, </w:t>
      </w:r>
      <w:r w:rsidR="00B85D5D" w:rsidRPr="00B85D5D">
        <w:rPr>
          <w:rFonts w:ascii="Arial" w:hAnsi="Arial" w:cs="Arial"/>
          <w:bCs/>
          <w:color w:val="000000"/>
        </w:rPr>
        <w:t>18</w:t>
      </w:r>
      <w:r w:rsidR="00B85D5D" w:rsidRPr="00B85D5D">
        <w:rPr>
          <w:rFonts w:ascii="Arial" w:hAnsi="Arial" w:cs="Arial"/>
          <w:color w:val="000000"/>
        </w:rPr>
        <w:t xml:space="preserve">(2), pp. 264–272. Available at: </w:t>
      </w:r>
      <w:hyperlink r:id="rId33" w:history="1">
        <w:r w:rsidR="00B85D5D" w:rsidRPr="00B85D5D">
          <w:rPr>
            <w:rFonts w:ascii="Arial" w:hAnsi="Arial" w:cs="Arial"/>
            <w:color w:val="0563C1" w:themeColor="hyperlink"/>
            <w:spacing w:val="-5"/>
            <w:u w:val="single"/>
            <w:shd w:val="clear" w:color="auto" w:fill="FFFFFF"/>
          </w:rPr>
          <w:t>https://www-jstor-org.ezproxy.uwtsd.ac.uk/stable/2977907?seq=2</w:t>
        </w:r>
      </w:hyperlink>
      <w:r w:rsidR="00B85D5D" w:rsidRPr="00B85D5D">
        <w:rPr>
          <w:rFonts w:ascii="Arial" w:hAnsi="Arial" w:cs="Arial"/>
          <w:color w:val="0563C1" w:themeColor="hyperlink"/>
          <w:spacing w:val="-5"/>
          <w:u w:val="single"/>
          <w:shd w:val="clear" w:color="auto" w:fill="FFFFFF"/>
        </w:rPr>
        <w:t xml:space="preserve"> </w:t>
      </w:r>
      <w:r w:rsidR="00B85D5D" w:rsidRPr="00B85D5D">
        <w:rPr>
          <w:rFonts w:ascii="Arial" w:hAnsi="Arial" w:cs="Arial"/>
          <w:color w:val="000000" w:themeColor="text1"/>
          <w:spacing w:val="-5"/>
          <w:shd w:val="clear" w:color="auto" w:fill="FFFFFF"/>
        </w:rPr>
        <w:t>(Accessed 10 January 2025).</w:t>
      </w:r>
    </w:p>
    <w:p w:rsidR="00B85D5D" w:rsidRPr="00B85D5D" w:rsidRDefault="00B85D5D" w:rsidP="00B85D5D">
      <w:pPr>
        <w:rPr>
          <w:rFonts w:ascii="Arial" w:hAnsi="Arial" w:cs="Arial"/>
        </w:rPr>
      </w:pPr>
      <w:r w:rsidRPr="00B85D5D">
        <w:rPr>
          <w:rFonts w:ascii="Arial" w:eastAsia="Times New Roman" w:hAnsi="Arial" w:cs="Arial"/>
          <w:lang w:eastAsia="en-GB"/>
        </w:rPr>
        <w:t xml:space="preserve">Gould, J. R. (1972) ‘On Investment Criteria for Mutually Exclusive Projects’, </w:t>
      </w:r>
      <w:proofErr w:type="spellStart"/>
      <w:r w:rsidRPr="00B85D5D">
        <w:rPr>
          <w:rFonts w:ascii="Arial" w:eastAsia="Times New Roman" w:hAnsi="Arial" w:cs="Arial"/>
          <w:i/>
          <w:iCs/>
          <w:lang w:eastAsia="en-GB"/>
        </w:rPr>
        <w:t>Economica</w:t>
      </w:r>
      <w:proofErr w:type="spellEnd"/>
      <w:r w:rsidRPr="00B85D5D">
        <w:rPr>
          <w:rFonts w:ascii="Arial" w:eastAsia="Times New Roman" w:hAnsi="Arial" w:cs="Arial"/>
          <w:lang w:eastAsia="en-GB"/>
        </w:rPr>
        <w:t xml:space="preserve">, </w:t>
      </w:r>
      <w:r w:rsidRPr="00B85D5D">
        <w:rPr>
          <w:rFonts w:ascii="Arial" w:eastAsia="Times New Roman" w:hAnsi="Arial" w:cs="Arial"/>
          <w:i/>
          <w:iCs/>
          <w:lang w:eastAsia="en-GB"/>
        </w:rPr>
        <w:t>39</w:t>
      </w:r>
      <w:r w:rsidRPr="00B85D5D">
        <w:rPr>
          <w:rFonts w:ascii="Arial" w:eastAsia="Times New Roman" w:hAnsi="Arial" w:cs="Arial"/>
          <w:lang w:eastAsia="en-GB"/>
        </w:rPr>
        <w:t>(153), 70–77. Available at:</w:t>
      </w:r>
      <w:hyperlink r:id="rId34" w:history="1">
        <w:r w:rsidRPr="00B85D5D">
          <w:rPr>
            <w:rFonts w:ascii="Arial" w:hAnsi="Arial" w:cs="Arial"/>
            <w:color w:val="0563C1" w:themeColor="hyperlink"/>
            <w:u w:val="single"/>
          </w:rPr>
          <w:t>https://www-jstor-org.ezproxy.uwtsd.ac.uk/stable/2552057?seq=3</w:t>
        </w:r>
      </w:hyperlink>
      <w:r w:rsidRPr="00B85D5D">
        <w:rPr>
          <w:rFonts w:ascii="Arial" w:hAnsi="Arial" w:cs="Arial"/>
        </w:rPr>
        <w:t xml:space="preserve"> (Accessed 13 January 2025). </w:t>
      </w:r>
    </w:p>
    <w:p w:rsidR="00B85D5D" w:rsidRPr="00B85D5D" w:rsidRDefault="005060A1" w:rsidP="00B85D5D">
      <w:pPr>
        <w:rPr>
          <w:rFonts w:ascii="Arial" w:hAnsi="Arial" w:cs="Arial"/>
        </w:rPr>
      </w:pPr>
      <w:r>
        <w:rPr>
          <w:rFonts w:ascii="Arial" w:hAnsi="Arial" w:cs="Arial"/>
        </w:rPr>
        <w:lastRenderedPageBreak/>
        <w:t xml:space="preserve">H M </w:t>
      </w:r>
      <w:r w:rsidR="00707428">
        <w:rPr>
          <w:rFonts w:ascii="Arial" w:hAnsi="Arial" w:cs="Arial"/>
        </w:rPr>
        <w:t>Revenue &amp; Customs</w:t>
      </w:r>
      <w:r w:rsidR="00B85D5D" w:rsidRPr="00B85D5D">
        <w:rPr>
          <w:rFonts w:ascii="Arial" w:hAnsi="Arial" w:cs="Arial"/>
        </w:rPr>
        <w:t xml:space="preserve"> (2024</w:t>
      </w:r>
      <w:r w:rsidR="00B85D5D" w:rsidRPr="00B85D5D">
        <w:rPr>
          <w:rFonts w:ascii="Arial" w:hAnsi="Arial" w:cs="Arial"/>
          <w:i/>
        </w:rPr>
        <w:t xml:space="preserve">) Changes to the Class 1 National Insurance Contributions Secondary Threshold, the Secondary Class 1 National Insurance contributions rate, and the Employment Allowance from 6 April 2025. </w:t>
      </w:r>
      <w:r w:rsidR="00B85D5D" w:rsidRPr="00B85D5D">
        <w:rPr>
          <w:rFonts w:ascii="Arial" w:hAnsi="Arial" w:cs="Arial"/>
        </w:rPr>
        <w:t xml:space="preserve">Available at: </w:t>
      </w:r>
      <w:hyperlink r:id="rId35" w:history="1">
        <w:r w:rsidR="00B85D5D" w:rsidRPr="00B85D5D">
          <w:rPr>
            <w:rFonts w:ascii="Arial" w:hAnsi="Arial" w:cs="Arial"/>
            <w:color w:val="0000FF"/>
            <w:u w:val="single"/>
          </w:rPr>
          <w:t>https://www.gov.uk/government/publications/changes-to-the-class-1-national-insurance-contributions-secondary-threshold-the-secondary-class-1-nationa</w:t>
        </w:r>
      </w:hyperlink>
      <w:r w:rsidR="00B85D5D" w:rsidRPr="00B85D5D">
        <w:rPr>
          <w:rFonts w:ascii="Arial" w:hAnsi="Arial" w:cs="Arial"/>
        </w:rPr>
        <w:t xml:space="preserve"> ( Accessed 11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H M Treasury (2024) </w:t>
      </w:r>
      <w:r w:rsidRPr="00AB3895">
        <w:rPr>
          <w:rFonts w:ascii="Arial" w:eastAsia="Times New Roman" w:hAnsi="Arial" w:cs="Arial"/>
          <w:i/>
          <w:color w:val="000000"/>
          <w:lang w:eastAsia="en-GB"/>
        </w:rPr>
        <w:t>Changes to the Energy (Oil and Gas) Profits Levy</w:t>
      </w:r>
      <w:r w:rsidRPr="00B85D5D">
        <w:rPr>
          <w:rFonts w:ascii="Arial" w:eastAsia="Times New Roman" w:hAnsi="Arial" w:cs="Arial"/>
          <w:color w:val="000000"/>
          <w:lang w:eastAsia="en-GB"/>
        </w:rPr>
        <w:t xml:space="preserve">. Available at: </w:t>
      </w:r>
      <w:hyperlink r:id="rId36" w:anchor=":~:t" w:history="1">
        <w:r w:rsidRPr="00B85D5D">
          <w:rPr>
            <w:rFonts w:ascii="Arial" w:eastAsia="Times New Roman" w:hAnsi="Arial" w:cs="Arial"/>
            <w:color w:val="0000FF"/>
            <w:u w:val="single"/>
            <w:lang w:eastAsia="en-GB"/>
          </w:rPr>
          <w:t>https://www.gov.uk/government/publications/july-statement-2024-changes-to-the-energy-oil-and-gas-profits-levy/changes-to-the-energy-oil-and-gas-profits-levy#:~:t</w:t>
        </w:r>
      </w:hyperlink>
      <w:r w:rsidRPr="00B85D5D">
        <w:rPr>
          <w:rFonts w:ascii="Arial" w:eastAsia="Times New Roman" w:hAnsi="Arial" w:cs="Arial"/>
          <w:color w:val="000000"/>
          <w:lang w:eastAsia="en-GB"/>
        </w:rPr>
        <w:t xml:space="preserve"> (Accessed 12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Hayes, A. (2024) </w:t>
      </w:r>
      <w:r w:rsidRPr="00B85D5D">
        <w:rPr>
          <w:rFonts w:ascii="Arial" w:eastAsia="Times New Roman" w:hAnsi="Arial" w:cs="Arial"/>
          <w:i/>
          <w:color w:val="000000"/>
          <w:lang w:eastAsia="en-GB"/>
        </w:rPr>
        <w:t>Acid-Test Ratio: Definition, Formula, and Example</w:t>
      </w:r>
      <w:r w:rsidRPr="00B85D5D">
        <w:rPr>
          <w:rFonts w:ascii="Arial" w:eastAsia="Times New Roman" w:hAnsi="Arial" w:cs="Arial"/>
          <w:color w:val="000000"/>
          <w:lang w:eastAsia="en-GB"/>
        </w:rPr>
        <w:t xml:space="preserve">. Available at:  </w:t>
      </w:r>
      <w:hyperlink r:id="rId37" w:history="1">
        <w:r w:rsidRPr="00B85D5D">
          <w:rPr>
            <w:rFonts w:ascii="Arial" w:eastAsia="Times New Roman" w:hAnsi="Arial" w:cs="Arial"/>
            <w:color w:val="0000FF"/>
            <w:u w:val="single"/>
            <w:lang w:eastAsia="en-GB"/>
          </w:rPr>
          <w:t>https://www.investopedia.com/terms/a/acidtest.asp</w:t>
        </w:r>
      </w:hyperlink>
      <w:r w:rsidRPr="00B85D5D">
        <w:rPr>
          <w:rFonts w:ascii="Arial" w:eastAsia="Times New Roman" w:hAnsi="Arial" w:cs="Arial"/>
          <w:color w:val="000000"/>
          <w:lang w:eastAsia="en-GB"/>
        </w:rPr>
        <w:t xml:space="preserve">. (Accessed 8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Hayes, A. (2024) </w:t>
      </w:r>
      <w:r w:rsidRPr="00B85D5D">
        <w:rPr>
          <w:rFonts w:ascii="Arial" w:eastAsia="Times New Roman" w:hAnsi="Arial" w:cs="Arial"/>
          <w:i/>
          <w:color w:val="000000"/>
          <w:lang w:eastAsia="en-GB"/>
        </w:rPr>
        <w:t>Return on Capital Employed (ROCE): Ratio, Interpretation, and Example.</w:t>
      </w:r>
      <w:r w:rsidRPr="00B85D5D">
        <w:rPr>
          <w:rFonts w:ascii="Arial" w:eastAsia="Times New Roman" w:hAnsi="Arial" w:cs="Arial"/>
          <w:color w:val="000000"/>
          <w:lang w:eastAsia="en-GB"/>
        </w:rPr>
        <w:t xml:space="preserve"> Available at: </w:t>
      </w:r>
      <w:hyperlink r:id="rId38" w:history="1">
        <w:r w:rsidRPr="00B85D5D">
          <w:rPr>
            <w:rFonts w:ascii="Arial" w:eastAsia="Times New Roman" w:hAnsi="Arial" w:cs="Arial"/>
            <w:color w:val="0000FF"/>
            <w:u w:val="single"/>
            <w:lang w:eastAsia="en-GB"/>
          </w:rPr>
          <w:t>https://www.investopedia.com/terms/r/roce.asp</w:t>
        </w:r>
      </w:hyperlink>
      <w:r w:rsidRPr="00B85D5D">
        <w:rPr>
          <w:rFonts w:ascii="Arial" w:eastAsia="Times New Roman" w:hAnsi="Arial" w:cs="Arial"/>
          <w:color w:val="000000"/>
          <w:lang w:eastAsia="en-GB"/>
        </w:rPr>
        <w:t xml:space="preserve"> (Accessed 16 January). </w:t>
      </w:r>
    </w:p>
    <w:p w:rsidR="00B85D5D" w:rsidRPr="00B85D5D" w:rsidRDefault="00B85D5D" w:rsidP="00B85D5D">
      <w:pPr>
        <w:shd w:val="clear" w:color="auto" w:fill="FFFFFF"/>
        <w:spacing w:after="173" w:line="240" w:lineRule="auto"/>
        <w:rPr>
          <w:rFonts w:ascii="Arial" w:hAnsi="Arial" w:cs="Arial"/>
          <w:color w:val="000000"/>
          <w:shd w:val="clear" w:color="auto" w:fill="FFFFFF"/>
        </w:rPr>
      </w:pPr>
      <w:proofErr w:type="spellStart"/>
      <w:r w:rsidRPr="00B85D5D">
        <w:rPr>
          <w:rFonts w:ascii="Arial" w:hAnsi="Arial" w:cs="Arial"/>
          <w:color w:val="000000"/>
          <w:shd w:val="clear" w:color="auto" w:fill="FFFFFF"/>
        </w:rPr>
        <w:t>Heikal</w:t>
      </w:r>
      <w:proofErr w:type="spellEnd"/>
      <w:r w:rsidRPr="00B85D5D">
        <w:rPr>
          <w:rFonts w:ascii="Arial" w:hAnsi="Arial" w:cs="Arial"/>
          <w:color w:val="000000"/>
          <w:shd w:val="clear" w:color="auto" w:fill="FFFFFF"/>
        </w:rPr>
        <w:t xml:space="preserve">, M., </w:t>
      </w:r>
      <w:proofErr w:type="spellStart"/>
      <w:r w:rsidRPr="00B85D5D">
        <w:rPr>
          <w:rFonts w:ascii="Arial" w:hAnsi="Arial" w:cs="Arial"/>
          <w:color w:val="000000"/>
          <w:shd w:val="clear" w:color="auto" w:fill="FFFFFF"/>
        </w:rPr>
        <w:t>Khaddafi</w:t>
      </w:r>
      <w:proofErr w:type="spellEnd"/>
      <w:r w:rsidRPr="00B85D5D">
        <w:rPr>
          <w:rFonts w:ascii="Arial" w:hAnsi="Arial" w:cs="Arial"/>
          <w:color w:val="000000"/>
          <w:shd w:val="clear" w:color="auto" w:fill="FFFFFF"/>
        </w:rPr>
        <w:t xml:space="preserve">, M. and Ummah, </w:t>
      </w:r>
      <w:proofErr w:type="gramStart"/>
      <w:r w:rsidRPr="00B85D5D">
        <w:rPr>
          <w:rFonts w:ascii="Arial" w:hAnsi="Arial" w:cs="Arial"/>
          <w:color w:val="000000"/>
          <w:shd w:val="clear" w:color="auto" w:fill="FFFFFF"/>
        </w:rPr>
        <w:t>A.( 2014</w:t>
      </w:r>
      <w:proofErr w:type="gramEnd"/>
      <w:r w:rsidRPr="00B85D5D">
        <w:rPr>
          <w:rFonts w:ascii="Arial" w:hAnsi="Arial" w:cs="Arial"/>
          <w:color w:val="000000"/>
          <w:shd w:val="clear" w:color="auto" w:fill="FFFFFF"/>
        </w:rPr>
        <w:t>)’ Influence analysis of return on assets (ROA), return on equity (ROE), net profit margin (NPM), debt to equity ratio (DER), and current ratio (CR), against corporate profit growth in automotive in Indonesia Stock Exchange’, </w:t>
      </w:r>
      <w:r w:rsidRPr="00B85D5D">
        <w:rPr>
          <w:rFonts w:ascii="Arial" w:hAnsi="Arial" w:cs="Arial"/>
          <w:i/>
          <w:iCs/>
          <w:color w:val="000000"/>
          <w:shd w:val="clear" w:color="auto" w:fill="FFFFFF"/>
        </w:rPr>
        <w:t>International Journal of Academic Research in Business and Social Sciences, </w:t>
      </w:r>
      <w:r w:rsidRPr="00B85D5D">
        <w:rPr>
          <w:rFonts w:ascii="Arial" w:hAnsi="Arial" w:cs="Arial"/>
          <w:bCs/>
          <w:color w:val="000000"/>
          <w:shd w:val="clear" w:color="auto" w:fill="FFFFFF"/>
        </w:rPr>
        <w:t>4</w:t>
      </w:r>
      <w:r w:rsidRPr="00B85D5D">
        <w:rPr>
          <w:rFonts w:ascii="Arial" w:hAnsi="Arial" w:cs="Arial"/>
          <w:color w:val="000000"/>
          <w:shd w:val="clear" w:color="auto" w:fill="FFFFFF"/>
        </w:rPr>
        <w:t xml:space="preserve">(12), pp. 101. Available at: </w:t>
      </w:r>
      <w:hyperlink r:id="rId39" w:history="1">
        <w:r w:rsidRPr="00B85D5D">
          <w:rPr>
            <w:rFonts w:ascii="Arial" w:hAnsi="Arial" w:cs="Arial"/>
            <w:color w:val="0000FF"/>
            <w:u w:val="single"/>
            <w:shd w:val="clear" w:color="auto" w:fill="FFFFFF"/>
          </w:rPr>
          <w:t>https://www.researchgate.net/publication/276311841_Influence_Analysis_of_Return_on_Assets_ROA_Return_on_Equity_ROE_Net_Profit_Margin_NPM_Debt_To_Equity_Ratio_DE</w:t>
        </w:r>
      </w:hyperlink>
      <w:r w:rsidRPr="00B85D5D">
        <w:rPr>
          <w:rFonts w:ascii="Arial" w:hAnsi="Arial" w:cs="Arial"/>
          <w:color w:val="000000"/>
          <w:shd w:val="clear" w:color="auto" w:fill="FFFFFF"/>
        </w:rPr>
        <w:t xml:space="preserve"> (Accessed 12 January). </w:t>
      </w:r>
    </w:p>
    <w:p w:rsidR="00B85D5D" w:rsidRPr="00B85D5D" w:rsidRDefault="00B85D5D" w:rsidP="00B85D5D">
      <w:pPr>
        <w:rPr>
          <w:rFonts w:ascii="Arial" w:hAnsi="Arial" w:cs="Arial"/>
        </w:rPr>
      </w:pPr>
      <w:r w:rsidRPr="00B85D5D">
        <w:rPr>
          <w:rFonts w:ascii="Arial" w:hAnsi="Arial" w:cs="Arial"/>
        </w:rPr>
        <w:t>Hua, K. (2022</w:t>
      </w:r>
      <w:proofErr w:type="gramStart"/>
      <w:r w:rsidRPr="00B85D5D">
        <w:rPr>
          <w:rFonts w:ascii="Arial" w:hAnsi="Arial" w:cs="Arial"/>
        </w:rPr>
        <w:t>)  ‘</w:t>
      </w:r>
      <w:proofErr w:type="gramEnd"/>
      <w:r w:rsidRPr="00B85D5D">
        <w:rPr>
          <w:rFonts w:ascii="Arial" w:hAnsi="Arial" w:cs="Arial"/>
        </w:rPr>
        <w:t xml:space="preserve">Better Ways to Make Investment Decisions Advances in Economics’,  </w:t>
      </w:r>
      <w:r w:rsidRPr="00B85D5D">
        <w:rPr>
          <w:rFonts w:ascii="Arial" w:hAnsi="Arial" w:cs="Arial"/>
          <w:i/>
        </w:rPr>
        <w:t>Proceedings of the 2022 2nd International Conference on Enterprise Management and Economic Development (ICEMED 2022</w:t>
      </w:r>
      <w:r w:rsidRPr="00B85D5D">
        <w:rPr>
          <w:rFonts w:ascii="Arial" w:hAnsi="Arial" w:cs="Arial"/>
        </w:rPr>
        <w:t xml:space="preserve">) ISSN:2353 -5428. Shanghai and online, 1 July, pp. 353- 357.  Available at: </w:t>
      </w:r>
      <w:hyperlink r:id="rId40" w:history="1">
        <w:r w:rsidRPr="00B85D5D">
          <w:rPr>
            <w:rFonts w:ascii="Arial" w:hAnsi="Arial" w:cs="Arial"/>
            <w:color w:val="0000FF"/>
            <w:u w:val="single"/>
          </w:rPr>
          <w:t>https://www.atlantis-press.com/proceedings/icemed-22/125975371</w:t>
        </w:r>
      </w:hyperlink>
      <w:r w:rsidRPr="00B85D5D">
        <w:rPr>
          <w:rFonts w:ascii="Arial" w:hAnsi="Arial" w:cs="Arial"/>
        </w:rPr>
        <w:t xml:space="preserve"> (Accessed 12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B85D5D">
        <w:rPr>
          <w:rFonts w:ascii="Arial" w:eastAsia="Times New Roman" w:hAnsi="Arial" w:cs="Arial"/>
          <w:color w:val="000000"/>
          <w:lang w:eastAsia="en-GB"/>
        </w:rPr>
        <w:t>Ionel</w:t>
      </w:r>
      <w:proofErr w:type="spellEnd"/>
      <w:r w:rsidRPr="00B85D5D">
        <w:rPr>
          <w:rFonts w:ascii="Arial" w:eastAsia="Times New Roman" w:hAnsi="Arial" w:cs="Arial"/>
          <w:color w:val="000000"/>
          <w:lang w:eastAsia="en-GB"/>
        </w:rPr>
        <w:t>, E. (2023) ‘Supplier selection strategy – NPV comparison’, </w:t>
      </w:r>
      <w:proofErr w:type="spellStart"/>
      <w:r w:rsidRPr="00B85D5D">
        <w:rPr>
          <w:rFonts w:ascii="Arial" w:eastAsia="Times New Roman" w:hAnsi="Arial" w:cs="Arial"/>
          <w:i/>
          <w:iCs/>
          <w:color w:val="000000"/>
          <w:lang w:eastAsia="en-GB"/>
        </w:rPr>
        <w:t>Jurnalul</w:t>
      </w:r>
      <w:proofErr w:type="spellEnd"/>
      <w:r w:rsidRPr="00B85D5D">
        <w:rPr>
          <w:rFonts w:ascii="Arial" w:eastAsia="Times New Roman" w:hAnsi="Arial" w:cs="Arial"/>
          <w:i/>
          <w:iCs/>
          <w:color w:val="000000"/>
          <w:lang w:eastAsia="en-GB"/>
        </w:rPr>
        <w:t xml:space="preserve"> economic, </w:t>
      </w:r>
      <w:proofErr w:type="gramStart"/>
      <w:r w:rsidRPr="00B85D5D">
        <w:rPr>
          <w:rFonts w:ascii="Arial" w:eastAsia="Times New Roman" w:hAnsi="Arial" w:cs="Arial"/>
          <w:bCs/>
          <w:color w:val="000000"/>
          <w:lang w:eastAsia="en-GB"/>
        </w:rPr>
        <w:t>XXVI</w:t>
      </w:r>
      <w:r w:rsidRPr="00B85D5D">
        <w:rPr>
          <w:rFonts w:ascii="Arial" w:eastAsia="Times New Roman" w:hAnsi="Arial" w:cs="Arial"/>
          <w:color w:val="000000"/>
          <w:lang w:eastAsia="en-GB"/>
        </w:rPr>
        <w:t>(</w:t>
      </w:r>
      <w:proofErr w:type="gramEnd"/>
      <w:r w:rsidRPr="00B85D5D">
        <w:rPr>
          <w:rFonts w:ascii="Arial" w:eastAsia="Times New Roman" w:hAnsi="Arial" w:cs="Arial"/>
          <w:color w:val="000000"/>
          <w:lang w:eastAsia="en-GB"/>
        </w:rPr>
        <w:t xml:space="preserve">85), pp. 78–85. Available at: </w:t>
      </w:r>
      <w:hyperlink r:id="rId41" w:history="1">
        <w:r w:rsidRPr="00B85D5D">
          <w:rPr>
            <w:rFonts w:ascii="Arial" w:hAnsi="Arial" w:cs="Arial"/>
            <w:color w:val="0563C1" w:themeColor="hyperlink"/>
            <w:u w:val="single"/>
          </w:rPr>
          <w:t>https://rejournal.eu/sites/rejournal.versatech.ro/files/articole/2023-06-28/3721/7yionel.pdf</w:t>
        </w:r>
      </w:hyperlink>
      <w:r w:rsidRPr="00B85D5D">
        <w:rPr>
          <w:rFonts w:ascii="Arial" w:hAnsi="Arial" w:cs="Arial"/>
          <w:color w:val="0563C1" w:themeColor="hyperlink"/>
          <w:u w:val="single"/>
        </w:rPr>
        <w:t xml:space="preserve"> </w:t>
      </w:r>
      <w:r w:rsidRPr="00B85D5D">
        <w:rPr>
          <w:rFonts w:ascii="Arial" w:hAnsi="Arial" w:cs="Arial"/>
          <w:color w:val="000000" w:themeColor="text1"/>
        </w:rPr>
        <w:t>(Accessed 10 January 2025).</w:t>
      </w:r>
      <w:r w:rsidRPr="00B85D5D">
        <w:rPr>
          <w:rFonts w:ascii="Arial" w:hAnsi="Arial" w:cs="Arial"/>
          <w:color w:val="000000" w:themeColor="text1"/>
          <w:u w:val="single"/>
        </w:rPr>
        <w:t xml:space="preserve">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Jenkins, A. (2024), </w:t>
      </w:r>
      <w:r w:rsidRPr="00B85D5D">
        <w:rPr>
          <w:rFonts w:ascii="Arial" w:eastAsia="Times New Roman" w:hAnsi="Arial" w:cs="Arial"/>
          <w:i/>
          <w:color w:val="000000"/>
          <w:lang w:eastAsia="en-GB"/>
        </w:rPr>
        <w:t>Inventory Turnover Ratio Defined: Formula, Tips &amp; Examples</w:t>
      </w:r>
      <w:r w:rsidRPr="00B85D5D">
        <w:rPr>
          <w:rFonts w:ascii="Arial" w:eastAsia="Times New Roman" w:hAnsi="Arial" w:cs="Arial"/>
          <w:color w:val="000000"/>
          <w:lang w:eastAsia="en-GB"/>
        </w:rPr>
        <w:t xml:space="preserve">. Available at:  </w:t>
      </w:r>
      <w:proofErr w:type="gramStart"/>
      <w:r w:rsidRPr="00B85D5D">
        <w:rPr>
          <w:rFonts w:ascii="Arial" w:eastAsia="Times New Roman" w:hAnsi="Arial" w:cs="Arial"/>
          <w:color w:val="000000"/>
          <w:lang w:eastAsia="en-GB"/>
        </w:rPr>
        <w:t>https://www.netsuite.com/portal/resource/articles/inventory-management/inventory-turnover-ratio.shtml  (</w:t>
      </w:r>
      <w:proofErr w:type="gramEnd"/>
      <w:r w:rsidRPr="00B85D5D">
        <w:rPr>
          <w:rFonts w:ascii="Arial" w:eastAsia="Times New Roman" w:hAnsi="Arial" w:cs="Arial"/>
          <w:color w:val="000000"/>
          <w:lang w:eastAsia="en-GB"/>
        </w:rPr>
        <w:t xml:space="preserve">Accessed 7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B85D5D">
        <w:rPr>
          <w:rFonts w:ascii="Arial" w:eastAsia="Times New Roman" w:hAnsi="Arial" w:cs="Arial"/>
          <w:color w:val="000000"/>
          <w:lang w:eastAsia="en-GB"/>
        </w:rPr>
        <w:t>Johanns</w:t>
      </w:r>
      <w:proofErr w:type="spellEnd"/>
      <w:r w:rsidRPr="00B85D5D">
        <w:rPr>
          <w:rFonts w:ascii="Arial" w:eastAsia="Times New Roman" w:hAnsi="Arial" w:cs="Arial"/>
          <w:color w:val="000000"/>
          <w:lang w:eastAsia="en-GB"/>
        </w:rPr>
        <w:t xml:space="preserve">, A. M. and </w:t>
      </w:r>
      <w:proofErr w:type="spellStart"/>
      <w:r w:rsidRPr="00B85D5D">
        <w:rPr>
          <w:rFonts w:ascii="Arial" w:eastAsia="Times New Roman" w:hAnsi="Arial" w:cs="Arial"/>
          <w:color w:val="000000"/>
          <w:lang w:eastAsia="en-GB"/>
        </w:rPr>
        <w:t>Hofstrand</w:t>
      </w:r>
      <w:proofErr w:type="spellEnd"/>
      <w:r w:rsidRPr="00B85D5D">
        <w:rPr>
          <w:rFonts w:ascii="Arial" w:eastAsia="Times New Roman" w:hAnsi="Arial" w:cs="Arial"/>
          <w:color w:val="000000"/>
          <w:lang w:eastAsia="en-GB"/>
        </w:rPr>
        <w:t>, D. (2019</w:t>
      </w:r>
      <w:r w:rsidRPr="00B85D5D">
        <w:rPr>
          <w:rFonts w:ascii="Arial" w:eastAsia="Times New Roman" w:hAnsi="Arial" w:cs="Arial"/>
          <w:i/>
          <w:color w:val="000000"/>
          <w:lang w:eastAsia="en-GB"/>
        </w:rPr>
        <w:t>) Understanding profitability</w:t>
      </w:r>
      <w:r w:rsidRPr="00B85D5D">
        <w:rPr>
          <w:rFonts w:ascii="Arial" w:eastAsia="Times New Roman" w:hAnsi="Arial" w:cs="Arial"/>
          <w:color w:val="000000"/>
          <w:lang w:eastAsia="en-GB"/>
        </w:rPr>
        <w:t xml:space="preserve">. Available at: </w:t>
      </w:r>
      <w:hyperlink r:id="rId42" w:history="1">
        <w:r w:rsidRPr="00B85D5D">
          <w:rPr>
            <w:rFonts w:ascii="Arial" w:eastAsia="Times New Roman" w:hAnsi="Arial" w:cs="Arial"/>
            <w:color w:val="0000FF"/>
            <w:u w:val="single"/>
            <w:lang w:eastAsia="en-GB"/>
          </w:rPr>
          <w:t>https://www.extension.iastate.edu/agdm/wholefarm/html/c3-24.html</w:t>
        </w:r>
      </w:hyperlink>
      <w:r w:rsidRPr="00B85D5D">
        <w:rPr>
          <w:rFonts w:ascii="Arial" w:eastAsia="Times New Roman" w:hAnsi="Arial" w:cs="Arial"/>
          <w:color w:val="000000"/>
          <w:lang w:eastAsia="en-GB"/>
        </w:rPr>
        <w:t xml:space="preserve"> (Accessed 12 January 2025). </w:t>
      </w:r>
    </w:p>
    <w:p w:rsidR="00B85D5D" w:rsidRPr="00B85D5D" w:rsidRDefault="00B85D5D" w:rsidP="00B85D5D">
      <w:pPr>
        <w:shd w:val="clear" w:color="auto" w:fill="FFFFFF"/>
        <w:spacing w:after="173" w:line="240" w:lineRule="auto"/>
        <w:rPr>
          <w:rFonts w:ascii="Arial" w:eastAsia="Times New Roman" w:hAnsi="Arial" w:cs="Arial"/>
          <w:iCs/>
          <w:color w:val="000000"/>
          <w:lang w:eastAsia="en-GB"/>
        </w:rPr>
      </w:pPr>
      <w:proofErr w:type="spellStart"/>
      <w:r w:rsidRPr="00B85D5D">
        <w:rPr>
          <w:rFonts w:ascii="Arial" w:eastAsia="Times New Roman" w:hAnsi="Arial" w:cs="Arial"/>
          <w:color w:val="000000"/>
          <w:lang w:eastAsia="en-GB"/>
        </w:rPr>
        <w:t>Joos</w:t>
      </w:r>
      <w:proofErr w:type="spellEnd"/>
      <w:r w:rsidRPr="00B85D5D">
        <w:rPr>
          <w:rFonts w:ascii="Arial" w:eastAsia="Times New Roman" w:hAnsi="Arial" w:cs="Arial"/>
          <w:color w:val="000000"/>
          <w:lang w:eastAsia="en-GB"/>
        </w:rPr>
        <w:t xml:space="preserve">, P. and </w:t>
      </w:r>
      <w:proofErr w:type="spellStart"/>
      <w:r w:rsidRPr="00B85D5D">
        <w:rPr>
          <w:rFonts w:ascii="Arial" w:eastAsia="Times New Roman" w:hAnsi="Arial" w:cs="Arial"/>
          <w:color w:val="000000"/>
          <w:lang w:eastAsia="en-GB"/>
        </w:rPr>
        <w:t>Plesko</w:t>
      </w:r>
      <w:proofErr w:type="spellEnd"/>
      <w:r w:rsidRPr="00B85D5D">
        <w:rPr>
          <w:rFonts w:ascii="Arial" w:eastAsia="Times New Roman" w:hAnsi="Arial" w:cs="Arial"/>
          <w:color w:val="000000"/>
          <w:lang w:eastAsia="en-GB"/>
        </w:rPr>
        <w:t xml:space="preserve">, G.A. (2005) ‘Valuing Loss </w:t>
      </w:r>
      <w:proofErr w:type="spellStart"/>
      <w:r w:rsidRPr="00B85D5D">
        <w:rPr>
          <w:rFonts w:ascii="Arial" w:eastAsia="Times New Roman" w:hAnsi="Arial" w:cs="Arial"/>
          <w:color w:val="000000"/>
          <w:lang w:eastAsia="en-GB"/>
        </w:rPr>
        <w:t>Firms</w:t>
      </w:r>
      <w:proofErr w:type="gramStart"/>
      <w:r w:rsidRPr="00B85D5D">
        <w:rPr>
          <w:rFonts w:ascii="Arial" w:eastAsia="Times New Roman" w:hAnsi="Arial" w:cs="Arial"/>
          <w:color w:val="000000"/>
          <w:lang w:eastAsia="en-GB"/>
        </w:rPr>
        <w:t>’,</w:t>
      </w:r>
      <w:r w:rsidRPr="00B85D5D">
        <w:rPr>
          <w:rFonts w:ascii="Arial" w:eastAsia="Times New Roman" w:hAnsi="Arial" w:cs="Arial"/>
          <w:i/>
          <w:iCs/>
          <w:color w:val="000000"/>
          <w:lang w:eastAsia="en-GB"/>
        </w:rPr>
        <w:t>The</w:t>
      </w:r>
      <w:proofErr w:type="spellEnd"/>
      <w:proofErr w:type="gramEnd"/>
      <w:r w:rsidRPr="00B85D5D">
        <w:rPr>
          <w:rFonts w:ascii="Arial" w:eastAsia="Times New Roman" w:hAnsi="Arial" w:cs="Arial"/>
          <w:i/>
          <w:iCs/>
          <w:color w:val="000000"/>
          <w:lang w:eastAsia="en-GB"/>
        </w:rPr>
        <w:t xml:space="preserve"> Accounting Review, </w:t>
      </w:r>
      <w:r w:rsidRPr="00B85D5D">
        <w:rPr>
          <w:rFonts w:ascii="Arial" w:eastAsia="Times New Roman" w:hAnsi="Arial" w:cs="Arial"/>
          <w:bCs/>
          <w:color w:val="000000"/>
          <w:lang w:eastAsia="en-GB"/>
        </w:rPr>
        <w:t>80</w:t>
      </w:r>
      <w:r w:rsidRPr="00B85D5D">
        <w:rPr>
          <w:rFonts w:ascii="Arial" w:eastAsia="Times New Roman" w:hAnsi="Arial" w:cs="Arial"/>
          <w:color w:val="000000"/>
          <w:lang w:eastAsia="en-GB"/>
        </w:rPr>
        <w:t xml:space="preserve">(3), pp. 847–870. Available at: </w:t>
      </w:r>
      <w:hyperlink r:id="rId43" w:history="1">
        <w:r w:rsidRPr="00B85D5D">
          <w:rPr>
            <w:rFonts w:ascii="Arial" w:eastAsia="Times New Roman" w:hAnsi="Arial" w:cs="Arial"/>
            <w:color w:val="0000FF"/>
            <w:u w:val="single"/>
            <w:lang w:eastAsia="en-GB"/>
          </w:rPr>
          <w:t>https://www.jstor.org/stable/4093179</w:t>
        </w:r>
      </w:hyperlink>
      <w:proofErr w:type="gramStart"/>
      <w:r w:rsidRPr="00B85D5D">
        <w:rPr>
          <w:rFonts w:ascii="Arial" w:eastAsia="Times New Roman" w:hAnsi="Arial" w:cs="Arial"/>
          <w:color w:val="000000"/>
          <w:lang w:eastAsia="en-GB"/>
        </w:rPr>
        <w:t xml:space="preserve">   </w:t>
      </w:r>
      <w:r w:rsidRPr="00B85D5D">
        <w:rPr>
          <w:rFonts w:ascii="Arial" w:eastAsia="Times New Roman" w:hAnsi="Arial" w:cs="Arial"/>
          <w:iCs/>
          <w:color w:val="000000"/>
          <w:lang w:eastAsia="en-GB"/>
        </w:rPr>
        <w:t>(</w:t>
      </w:r>
      <w:proofErr w:type="gramEnd"/>
      <w:r w:rsidRPr="00B85D5D">
        <w:rPr>
          <w:rFonts w:ascii="Arial" w:eastAsia="Times New Roman" w:hAnsi="Arial" w:cs="Arial"/>
          <w:iCs/>
          <w:color w:val="000000"/>
          <w:lang w:eastAsia="en-GB"/>
        </w:rPr>
        <w:t xml:space="preserve">Accessed 15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B85D5D">
        <w:rPr>
          <w:rFonts w:ascii="Arial" w:eastAsia="Times New Roman" w:hAnsi="Arial" w:cs="Arial"/>
          <w:color w:val="000000"/>
          <w:lang w:eastAsia="en-GB"/>
        </w:rPr>
        <w:t>Kafuku</w:t>
      </w:r>
      <w:proofErr w:type="spellEnd"/>
      <w:r w:rsidRPr="00B85D5D">
        <w:rPr>
          <w:rFonts w:ascii="Arial" w:eastAsia="Times New Roman" w:hAnsi="Arial" w:cs="Arial"/>
          <w:color w:val="000000"/>
          <w:lang w:eastAsia="en-GB"/>
        </w:rPr>
        <w:t xml:space="preserve">, J.M., </w:t>
      </w:r>
      <w:proofErr w:type="spellStart"/>
      <w:r w:rsidRPr="00B85D5D">
        <w:rPr>
          <w:rFonts w:ascii="Arial" w:eastAsia="Times New Roman" w:hAnsi="Arial" w:cs="Arial"/>
          <w:color w:val="000000"/>
          <w:lang w:eastAsia="en-GB"/>
        </w:rPr>
        <w:t>Saman</w:t>
      </w:r>
      <w:proofErr w:type="spellEnd"/>
      <w:r w:rsidRPr="00B85D5D">
        <w:rPr>
          <w:rFonts w:ascii="Arial" w:eastAsia="Times New Roman" w:hAnsi="Arial" w:cs="Arial"/>
          <w:color w:val="000000"/>
          <w:lang w:eastAsia="en-GB"/>
        </w:rPr>
        <w:t xml:space="preserve">, M.Z.M., Yusof, S.M., Sharif, S. and </w:t>
      </w:r>
      <w:proofErr w:type="spellStart"/>
      <w:r w:rsidRPr="00B85D5D">
        <w:rPr>
          <w:rFonts w:ascii="Arial" w:eastAsia="Times New Roman" w:hAnsi="Arial" w:cs="Arial"/>
          <w:color w:val="000000"/>
          <w:lang w:eastAsia="en-GB"/>
        </w:rPr>
        <w:t>Zakuan</w:t>
      </w:r>
      <w:proofErr w:type="spellEnd"/>
      <w:r w:rsidRPr="00B85D5D">
        <w:rPr>
          <w:rFonts w:ascii="Arial" w:eastAsia="Times New Roman" w:hAnsi="Arial" w:cs="Arial"/>
          <w:color w:val="000000"/>
          <w:lang w:eastAsia="en-GB"/>
        </w:rPr>
        <w:t>, N. (2015) ‘Investment Decision Issues from Remanufacturing System Perspective: Literature Review and Further Research’, </w:t>
      </w:r>
      <w:r w:rsidRPr="00B85D5D">
        <w:rPr>
          <w:rFonts w:ascii="Arial" w:eastAsia="Times New Roman" w:hAnsi="Arial" w:cs="Arial"/>
          <w:i/>
          <w:iCs/>
          <w:color w:val="000000"/>
          <w:lang w:eastAsia="en-GB"/>
        </w:rPr>
        <w:t>Procedia CIRP, </w:t>
      </w:r>
      <w:r w:rsidRPr="00B85D5D">
        <w:rPr>
          <w:rFonts w:ascii="Arial" w:eastAsia="Times New Roman" w:hAnsi="Arial" w:cs="Arial"/>
          <w:bCs/>
          <w:color w:val="000000"/>
          <w:lang w:eastAsia="en-GB"/>
        </w:rPr>
        <w:t>26</w:t>
      </w:r>
      <w:r w:rsidRPr="00B85D5D">
        <w:rPr>
          <w:rFonts w:ascii="Arial" w:eastAsia="Times New Roman" w:hAnsi="Arial" w:cs="Arial"/>
          <w:color w:val="000000"/>
          <w:lang w:eastAsia="en-GB"/>
        </w:rPr>
        <w:t xml:space="preserve">(1), pp. 589–594. Available at: </w:t>
      </w:r>
      <w:hyperlink r:id="rId44" w:history="1">
        <w:r w:rsidRPr="00B85D5D">
          <w:rPr>
            <w:rFonts w:ascii="Arial" w:eastAsia="Times New Roman" w:hAnsi="Arial" w:cs="Arial"/>
            <w:color w:val="0000FF"/>
            <w:u w:val="single"/>
            <w:lang w:eastAsia="en-GB"/>
          </w:rPr>
          <w:t>https://www.sciencedirect.com/science/article/pii/S2212827114008567</w:t>
        </w:r>
      </w:hyperlink>
      <w:r w:rsidRPr="00B85D5D">
        <w:rPr>
          <w:rFonts w:ascii="Arial" w:eastAsia="Times New Roman" w:hAnsi="Arial" w:cs="Arial"/>
          <w:color w:val="000000"/>
          <w:lang w:eastAsia="en-GB"/>
        </w:rPr>
        <w:t xml:space="preserve"> (Accessed 12 January 2025). </w:t>
      </w:r>
    </w:p>
    <w:p w:rsidR="00B85D5D" w:rsidRPr="00B85D5D" w:rsidRDefault="00B85D5D" w:rsidP="00B85D5D">
      <w:pPr>
        <w:rPr>
          <w:rFonts w:ascii="Arial" w:hAnsi="Arial" w:cs="Arial"/>
        </w:rPr>
      </w:pPr>
      <w:r w:rsidRPr="00B85D5D">
        <w:rPr>
          <w:rFonts w:ascii="Arial" w:hAnsi="Arial" w:cs="Arial"/>
        </w:rPr>
        <w:t xml:space="preserve">Le, S. (2021). ‘The Applications of NPV in Different Types of Markets’, </w:t>
      </w:r>
      <w:r w:rsidRPr="00B85D5D">
        <w:rPr>
          <w:rFonts w:ascii="Arial" w:hAnsi="Arial" w:cs="Arial"/>
          <w:i/>
          <w:color w:val="000000" w:themeColor="text1"/>
        </w:rPr>
        <w:t xml:space="preserve">Conference: 2021 3rd International Conference on Economic Management and Cultural Industry (ICEMCI 2021). </w:t>
      </w:r>
      <w:r w:rsidRPr="00B85D5D">
        <w:rPr>
          <w:rFonts w:ascii="Arial" w:hAnsi="Arial" w:cs="Arial"/>
          <w:color w:val="000000" w:themeColor="text1"/>
        </w:rPr>
        <w:lastRenderedPageBreak/>
        <w:t xml:space="preserve">University of California Santa Barbara, January, pp. 1054 – 1059. Available at: </w:t>
      </w:r>
      <w:hyperlink r:id="rId45" w:history="1">
        <w:r w:rsidRPr="00B85D5D">
          <w:rPr>
            <w:rFonts w:ascii="Arial" w:hAnsi="Arial" w:cs="Arial"/>
            <w:color w:val="0000FF"/>
            <w:u w:val="single"/>
          </w:rPr>
          <w:t>https://www.researchgate.net/publication/357610504_The_Applications_of_NPV_in_Different_Types_of_Markets</w:t>
        </w:r>
      </w:hyperlink>
      <w:r w:rsidRPr="00B85D5D">
        <w:rPr>
          <w:rFonts w:ascii="Arial" w:hAnsi="Arial" w:cs="Arial"/>
          <w:color w:val="000000" w:themeColor="text1"/>
        </w:rPr>
        <w:t xml:space="preserve"> (Accessed 17 January, 2025). </w:t>
      </w:r>
    </w:p>
    <w:p w:rsidR="00B85D5D" w:rsidRPr="00B85D5D" w:rsidRDefault="00B85D5D" w:rsidP="00B85D5D">
      <w:pPr>
        <w:shd w:val="clear" w:color="auto" w:fill="FFFFFF"/>
        <w:spacing w:after="173" w:line="240" w:lineRule="auto"/>
        <w:rPr>
          <w:rFonts w:ascii="Arial" w:hAnsi="Arial" w:cs="Arial"/>
          <w:iCs/>
          <w:color w:val="000000"/>
        </w:rPr>
      </w:pPr>
      <w:r w:rsidRPr="00B85D5D">
        <w:rPr>
          <w:rFonts w:ascii="Arial" w:eastAsia="Times New Roman" w:hAnsi="Arial" w:cs="Arial"/>
          <w:color w:val="000000"/>
          <w:lang w:eastAsia="en-GB"/>
        </w:rPr>
        <w:t>Lee, H-H., Zhou, J. and Hsu, P-H. (2015) ‘The role of innovation in inventory turnover performance’, </w:t>
      </w:r>
      <w:r w:rsidRPr="00B85D5D">
        <w:rPr>
          <w:rFonts w:ascii="Arial" w:eastAsia="Times New Roman" w:hAnsi="Arial" w:cs="Arial"/>
          <w:i/>
          <w:iCs/>
          <w:color w:val="000000"/>
          <w:lang w:eastAsia="en-GB"/>
        </w:rPr>
        <w:t>Decision Support Systems, </w:t>
      </w:r>
      <w:r w:rsidRPr="00B85D5D">
        <w:rPr>
          <w:rFonts w:ascii="Arial" w:eastAsia="Times New Roman" w:hAnsi="Arial" w:cs="Arial"/>
          <w:bCs/>
          <w:color w:val="000000"/>
          <w:lang w:eastAsia="en-GB"/>
        </w:rPr>
        <w:t>76</w:t>
      </w:r>
      <w:r w:rsidRPr="00B85D5D">
        <w:rPr>
          <w:rFonts w:ascii="Arial" w:eastAsia="Times New Roman" w:hAnsi="Arial" w:cs="Arial"/>
          <w:color w:val="000000"/>
          <w:lang w:eastAsia="en-GB"/>
        </w:rPr>
        <w:t xml:space="preserve">(1), pp. 35–44. Available at: </w:t>
      </w:r>
      <w:hyperlink r:id="rId46" w:history="1">
        <w:r w:rsidRPr="00B85D5D">
          <w:rPr>
            <w:rFonts w:ascii="Arial" w:eastAsia="Times New Roman" w:hAnsi="Arial" w:cs="Arial"/>
            <w:color w:val="0000FF"/>
            <w:u w:val="single"/>
            <w:lang w:eastAsia="en-GB"/>
          </w:rPr>
          <w:t>https://www.sciencedirect.com/science/article/abs/pii/S0167923615000305</w:t>
        </w:r>
      </w:hyperlink>
      <w:r w:rsidRPr="00B85D5D">
        <w:rPr>
          <w:rFonts w:ascii="Arial" w:eastAsia="Times New Roman" w:hAnsi="Arial" w:cs="Arial"/>
          <w:color w:val="000000"/>
          <w:lang w:eastAsia="en-GB"/>
        </w:rPr>
        <w:t xml:space="preserve"> </w:t>
      </w:r>
      <w:r w:rsidRPr="00B85D5D">
        <w:rPr>
          <w:rFonts w:ascii="Arial" w:hAnsi="Arial" w:cs="Arial"/>
          <w:iCs/>
          <w:color w:val="000000"/>
        </w:rPr>
        <w:t xml:space="preserve">(Accessed 15 January 2025). </w:t>
      </w:r>
    </w:p>
    <w:p w:rsidR="00B85D5D" w:rsidRPr="00B85D5D" w:rsidRDefault="00B85D5D" w:rsidP="00B85D5D">
      <w:pPr>
        <w:shd w:val="clear" w:color="auto" w:fill="FFFFFF"/>
        <w:spacing w:after="173" w:line="240" w:lineRule="auto"/>
        <w:rPr>
          <w:rFonts w:ascii="Arial" w:hAnsi="Arial" w:cs="Arial"/>
          <w:color w:val="000000"/>
        </w:rPr>
      </w:pPr>
      <w:r w:rsidRPr="00B85D5D">
        <w:rPr>
          <w:rFonts w:ascii="Arial" w:eastAsia="Times New Roman" w:hAnsi="Arial" w:cs="Arial"/>
          <w:color w:val="000000"/>
          <w:lang w:eastAsia="en-GB"/>
        </w:rPr>
        <w:t xml:space="preserve">Levine, S (2019) ‘HIGH HOPES Share Prices Are Hoisted by Sales and </w:t>
      </w:r>
      <w:proofErr w:type="spellStart"/>
      <w:r w:rsidRPr="00B85D5D">
        <w:rPr>
          <w:rFonts w:ascii="Arial" w:eastAsia="Times New Roman" w:hAnsi="Arial" w:cs="Arial"/>
          <w:color w:val="000000"/>
          <w:lang w:eastAsia="en-GB"/>
        </w:rPr>
        <w:t>Profi</w:t>
      </w:r>
      <w:proofErr w:type="spellEnd"/>
      <w:r w:rsidRPr="00B85D5D">
        <w:rPr>
          <w:rFonts w:ascii="Arial" w:eastAsia="Times New Roman" w:hAnsi="Arial" w:cs="Arial"/>
          <w:color w:val="000000"/>
          <w:lang w:eastAsia="en-GB"/>
        </w:rPr>
        <w:t xml:space="preserve"> t’, </w:t>
      </w:r>
      <w:r w:rsidRPr="00B85D5D">
        <w:rPr>
          <w:rFonts w:ascii="Arial" w:eastAsia="Times New Roman" w:hAnsi="Arial" w:cs="Arial"/>
          <w:i/>
          <w:iCs/>
          <w:color w:val="000000"/>
          <w:lang w:eastAsia="en-GB"/>
        </w:rPr>
        <w:t>Better Investing, </w:t>
      </w:r>
      <w:r w:rsidRPr="00B85D5D">
        <w:rPr>
          <w:rFonts w:ascii="Arial" w:eastAsia="Times New Roman" w:hAnsi="Arial" w:cs="Arial"/>
          <w:bCs/>
          <w:color w:val="000000"/>
          <w:lang w:eastAsia="en-GB"/>
        </w:rPr>
        <w:t>69</w:t>
      </w:r>
      <w:r w:rsidRPr="00B85D5D">
        <w:rPr>
          <w:rFonts w:ascii="Arial" w:eastAsia="Times New Roman" w:hAnsi="Arial" w:cs="Arial"/>
          <w:color w:val="000000"/>
          <w:lang w:eastAsia="en-GB"/>
        </w:rPr>
        <w:t xml:space="preserve">(2), pp. 37-39. Available at: </w:t>
      </w:r>
      <w:hyperlink r:id="rId47" w:history="1">
        <w:r w:rsidRPr="00B85D5D">
          <w:rPr>
            <w:rFonts w:ascii="Arial" w:eastAsia="Times New Roman" w:hAnsi="Arial" w:cs="Arial"/>
            <w:color w:val="0000FF"/>
            <w:u w:val="single"/>
            <w:lang w:eastAsia="en-GB"/>
          </w:rPr>
          <w:t>https://www.proquest.com/magazines/high-hopes-share-prices-are-hoisted-sales-profi-t/docview/2305776112/se-2?accountid=130472</w:t>
        </w:r>
      </w:hyperlink>
      <w:r w:rsidRPr="00B85D5D">
        <w:rPr>
          <w:rFonts w:ascii="Arial" w:eastAsia="Times New Roman" w:hAnsi="Arial" w:cs="Arial"/>
          <w:color w:val="000000"/>
          <w:lang w:eastAsia="en-GB"/>
        </w:rPr>
        <w:t xml:space="preserve"> </w:t>
      </w:r>
      <w:r w:rsidRPr="00B85D5D">
        <w:rPr>
          <w:rFonts w:ascii="Arial" w:hAnsi="Arial" w:cs="Arial"/>
          <w:color w:val="000000"/>
        </w:rPr>
        <w:t xml:space="preserve">(Accessed 16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Levine, S. (2024</w:t>
      </w:r>
      <w:r w:rsidRPr="00B85D5D">
        <w:rPr>
          <w:rFonts w:ascii="Arial" w:eastAsia="Times New Roman" w:hAnsi="Arial" w:cs="Arial"/>
          <w:i/>
          <w:color w:val="000000"/>
          <w:lang w:eastAsia="en-GB"/>
        </w:rPr>
        <w:t>) What is Earning Per Share (EPS)?</w:t>
      </w:r>
      <w:r w:rsidRPr="00B85D5D">
        <w:rPr>
          <w:rFonts w:ascii="Arial" w:eastAsia="Times New Roman" w:hAnsi="Arial" w:cs="Arial"/>
          <w:color w:val="000000"/>
          <w:lang w:eastAsia="en-GB"/>
        </w:rPr>
        <w:t xml:space="preserve"> Available at: </w:t>
      </w:r>
      <w:hyperlink r:id="rId48" w:anchor=":~:TEXT=A%20COMPANY%20CAN%20BOOST%20ITS,CAUSE%20ITS%20EPS%20TO%20DROP" w:history="1">
        <w:r w:rsidRPr="00B85D5D">
          <w:rPr>
            <w:rFonts w:ascii="Arial" w:eastAsia="Times New Roman" w:hAnsi="Arial" w:cs="Arial"/>
            <w:color w:val="0000FF"/>
            <w:u w:val="single"/>
            <w:lang w:eastAsia="en-GB"/>
          </w:rPr>
          <w:t>https://www.fool.com/TERMS/E/EARNINGS-PER-SHARE/#:~:TEXT=A%20COMPANY%20CAN%20BOOST%20ITS,CAUSE%20ITS%20EPS%20TO%20DROP</w:t>
        </w:r>
      </w:hyperlink>
      <w:r w:rsidRPr="00B85D5D">
        <w:rPr>
          <w:rFonts w:ascii="Arial" w:eastAsia="Times New Roman" w:hAnsi="Arial" w:cs="Arial"/>
          <w:color w:val="000000"/>
          <w:lang w:eastAsia="en-GB"/>
        </w:rPr>
        <w:t xml:space="preserve"> (Accessed 15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London Stock Exchange (2024) </w:t>
      </w:r>
      <w:r w:rsidRPr="00B85D5D">
        <w:rPr>
          <w:rFonts w:ascii="Arial" w:eastAsia="Times New Roman" w:hAnsi="Arial" w:cs="Arial"/>
          <w:i/>
          <w:color w:val="000000"/>
          <w:lang w:eastAsia="en-GB"/>
        </w:rPr>
        <w:t>Centrica.</w:t>
      </w:r>
      <w:r w:rsidRPr="00B85D5D">
        <w:rPr>
          <w:rFonts w:ascii="Arial" w:eastAsia="Times New Roman" w:hAnsi="Arial" w:cs="Arial"/>
          <w:color w:val="000000"/>
          <w:lang w:eastAsia="en-GB"/>
        </w:rPr>
        <w:t xml:space="preserve"> Available at: </w:t>
      </w:r>
      <w:hyperlink r:id="rId49" w:history="1">
        <w:r w:rsidRPr="00B85D5D">
          <w:rPr>
            <w:rFonts w:ascii="Arial" w:eastAsia="Times New Roman" w:hAnsi="Arial" w:cs="Arial"/>
            <w:color w:val="0000FF"/>
            <w:u w:val="single"/>
            <w:lang w:eastAsia="en-GB"/>
          </w:rPr>
          <w:t>https://www.londonstockexchange.com/stock/CNA/centrica-plc/trade-recap</w:t>
        </w:r>
      </w:hyperlink>
      <w:r w:rsidRPr="00B85D5D">
        <w:rPr>
          <w:rFonts w:ascii="Arial" w:eastAsia="Times New Roman" w:hAnsi="Arial" w:cs="Arial"/>
          <w:color w:val="000000"/>
          <w:lang w:eastAsia="en-GB"/>
        </w:rPr>
        <w:t xml:space="preserve"> (Accessed 15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Marr, B. (2012) </w:t>
      </w:r>
      <w:r w:rsidRPr="00B85D5D">
        <w:rPr>
          <w:rFonts w:ascii="Arial" w:eastAsia="Times New Roman" w:hAnsi="Arial" w:cs="Arial"/>
          <w:i/>
          <w:iCs/>
          <w:color w:val="000000"/>
          <w:lang w:eastAsia="en-GB"/>
        </w:rPr>
        <w:t xml:space="preserve">Key performance </w:t>
      </w:r>
      <w:proofErr w:type="gramStart"/>
      <w:r w:rsidRPr="00B85D5D">
        <w:rPr>
          <w:rFonts w:ascii="Arial" w:eastAsia="Times New Roman" w:hAnsi="Arial" w:cs="Arial"/>
          <w:i/>
          <w:iCs/>
          <w:color w:val="000000"/>
          <w:lang w:eastAsia="en-GB"/>
        </w:rPr>
        <w:t>indicators :</w:t>
      </w:r>
      <w:proofErr w:type="gramEnd"/>
      <w:r w:rsidRPr="00B85D5D">
        <w:rPr>
          <w:rFonts w:ascii="Arial" w:eastAsia="Times New Roman" w:hAnsi="Arial" w:cs="Arial"/>
          <w:i/>
          <w:iCs/>
          <w:color w:val="000000"/>
          <w:lang w:eastAsia="en-GB"/>
        </w:rPr>
        <w:t xml:space="preserve"> the 75 measures every manager needs to know. </w:t>
      </w:r>
      <w:r w:rsidRPr="00B85D5D">
        <w:rPr>
          <w:rFonts w:ascii="Arial" w:eastAsia="Times New Roman" w:hAnsi="Arial" w:cs="Arial"/>
          <w:color w:val="000000"/>
          <w:lang w:eastAsia="en-GB"/>
        </w:rPr>
        <w:t xml:space="preserve">1 </w:t>
      </w:r>
      <w:proofErr w:type="spellStart"/>
      <w:r w:rsidRPr="00B85D5D">
        <w:rPr>
          <w:rFonts w:ascii="Arial" w:eastAsia="Times New Roman" w:hAnsi="Arial" w:cs="Arial"/>
          <w:color w:val="000000"/>
          <w:lang w:eastAsia="en-GB"/>
        </w:rPr>
        <w:t>edn</w:t>
      </w:r>
      <w:proofErr w:type="spellEnd"/>
      <w:r w:rsidRPr="00B85D5D">
        <w:rPr>
          <w:rFonts w:ascii="Arial" w:eastAsia="Times New Roman" w:hAnsi="Arial" w:cs="Arial"/>
          <w:color w:val="000000"/>
          <w:lang w:eastAsia="en-GB"/>
        </w:rPr>
        <w:t>. Harlow, England: Pearson.</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Marsh, C. (2012) </w:t>
      </w:r>
      <w:r w:rsidRPr="00B85D5D">
        <w:rPr>
          <w:rFonts w:ascii="Arial" w:eastAsia="Times New Roman" w:hAnsi="Arial" w:cs="Arial"/>
          <w:i/>
          <w:iCs/>
          <w:color w:val="000000"/>
          <w:lang w:eastAsia="en-GB"/>
        </w:rPr>
        <w:t>Financial management for non-financial managers. </w:t>
      </w:r>
      <w:proofErr w:type="gramStart"/>
      <w:r w:rsidRPr="00B85D5D">
        <w:rPr>
          <w:rFonts w:ascii="Arial" w:eastAsia="Times New Roman" w:hAnsi="Arial" w:cs="Arial"/>
          <w:color w:val="000000"/>
          <w:lang w:eastAsia="en-GB"/>
        </w:rPr>
        <w:t>London :</w:t>
      </w:r>
      <w:proofErr w:type="gramEnd"/>
      <w:r w:rsidRPr="00B85D5D">
        <w:rPr>
          <w:rFonts w:ascii="Arial" w:eastAsia="Times New Roman" w:hAnsi="Arial" w:cs="Arial"/>
          <w:color w:val="000000"/>
          <w:lang w:eastAsia="en-GB"/>
        </w:rPr>
        <w:t xml:space="preserve"> Kogan Page.</w:t>
      </w:r>
    </w:p>
    <w:p w:rsidR="00B85D5D" w:rsidRPr="00B85D5D" w:rsidRDefault="00B85D5D" w:rsidP="00B85D5D">
      <w:pPr>
        <w:shd w:val="clear" w:color="auto" w:fill="FFFFFF"/>
        <w:spacing w:after="173" w:line="240" w:lineRule="auto"/>
        <w:rPr>
          <w:rFonts w:ascii="Arial" w:eastAsia="Times New Roman" w:hAnsi="Arial" w:cs="Arial"/>
          <w:color w:val="000000" w:themeColor="text1"/>
          <w:lang w:eastAsia="en-GB"/>
        </w:rPr>
      </w:pPr>
      <w:r w:rsidRPr="00B85D5D">
        <w:rPr>
          <w:rFonts w:ascii="Arial" w:eastAsia="Times New Roman" w:hAnsi="Arial" w:cs="Arial"/>
          <w:color w:val="000000"/>
          <w:lang w:eastAsia="en-GB"/>
        </w:rPr>
        <w:t xml:space="preserve">Maurer, M. (2009) ‘Specific net present value: An improved method for assessing modularisation costs in water services with growing demand’, </w:t>
      </w:r>
      <w:r w:rsidRPr="00B85D5D">
        <w:rPr>
          <w:rFonts w:ascii="Arial" w:eastAsia="Times New Roman" w:hAnsi="Arial" w:cs="Arial"/>
          <w:i/>
          <w:iCs/>
          <w:color w:val="000000"/>
          <w:lang w:eastAsia="en-GB"/>
        </w:rPr>
        <w:t>Water research, </w:t>
      </w:r>
      <w:r w:rsidRPr="00B85D5D">
        <w:rPr>
          <w:rFonts w:ascii="Arial" w:eastAsia="Times New Roman" w:hAnsi="Arial" w:cs="Arial"/>
          <w:bCs/>
          <w:color w:val="000000"/>
          <w:lang w:eastAsia="en-GB"/>
        </w:rPr>
        <w:t>43</w:t>
      </w:r>
      <w:r w:rsidRPr="00B85D5D">
        <w:rPr>
          <w:rFonts w:ascii="Arial" w:eastAsia="Times New Roman" w:hAnsi="Arial" w:cs="Arial"/>
          <w:color w:val="000000"/>
          <w:lang w:eastAsia="en-GB"/>
        </w:rPr>
        <w:t xml:space="preserve">(8), pp. 2121–2130. Available at: </w:t>
      </w:r>
      <w:hyperlink r:id="rId50" w:history="1">
        <w:r w:rsidRPr="00B85D5D">
          <w:rPr>
            <w:rFonts w:ascii="Arial" w:hAnsi="Arial" w:cs="Arial"/>
            <w:color w:val="0563C1" w:themeColor="hyperlink"/>
            <w:u w:val="single"/>
          </w:rPr>
          <w:t>https://www.sciencedirect.com/science/article/pii/S0043135409000888</w:t>
        </w:r>
      </w:hyperlink>
      <w:r w:rsidRPr="00B85D5D">
        <w:rPr>
          <w:rFonts w:ascii="Arial" w:hAnsi="Arial" w:cs="Arial"/>
          <w:color w:val="0563C1" w:themeColor="hyperlink"/>
          <w:u w:val="single"/>
        </w:rPr>
        <w:t xml:space="preserve"> (</w:t>
      </w:r>
      <w:r w:rsidRPr="00B85D5D">
        <w:rPr>
          <w:rFonts w:ascii="Arial" w:hAnsi="Arial" w:cs="Arial"/>
          <w:color w:val="000000" w:themeColor="text1"/>
        </w:rPr>
        <w:t xml:space="preserve">Accessed 17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Maverick, J.B. (2025) </w:t>
      </w:r>
      <w:r w:rsidRPr="00B85D5D">
        <w:rPr>
          <w:rFonts w:ascii="Arial" w:eastAsia="Times New Roman" w:hAnsi="Arial" w:cs="Arial"/>
          <w:i/>
          <w:color w:val="000000"/>
          <w:lang w:eastAsia="en-GB"/>
        </w:rPr>
        <w:t xml:space="preserve">Strategies Used </w:t>
      </w:r>
      <w:proofErr w:type="gramStart"/>
      <w:r w:rsidRPr="00B85D5D">
        <w:rPr>
          <w:rFonts w:ascii="Arial" w:eastAsia="Times New Roman" w:hAnsi="Arial" w:cs="Arial"/>
          <w:i/>
          <w:color w:val="000000"/>
          <w:lang w:eastAsia="en-GB"/>
        </w:rPr>
        <w:t>To</w:t>
      </w:r>
      <w:proofErr w:type="gramEnd"/>
      <w:r w:rsidRPr="00B85D5D">
        <w:rPr>
          <w:rFonts w:ascii="Arial" w:eastAsia="Times New Roman" w:hAnsi="Arial" w:cs="Arial"/>
          <w:i/>
          <w:color w:val="000000"/>
          <w:lang w:eastAsia="en-GB"/>
        </w:rPr>
        <w:t xml:space="preserve"> Reduce A Company’s Debt-to-capital Ratio</w:t>
      </w:r>
      <w:r w:rsidRPr="00B85D5D">
        <w:rPr>
          <w:rFonts w:ascii="Arial" w:eastAsia="Times New Roman" w:hAnsi="Arial" w:cs="Arial"/>
          <w:color w:val="000000"/>
          <w:lang w:eastAsia="en-GB"/>
        </w:rPr>
        <w:t xml:space="preserve">. Available at: </w:t>
      </w:r>
      <w:hyperlink r:id="rId51" w:anchor=":~:text=Com" w:history="1">
        <w:r w:rsidRPr="00B85D5D">
          <w:rPr>
            <w:rFonts w:ascii="Arial" w:eastAsia="Times New Roman" w:hAnsi="Arial" w:cs="Arial"/>
            <w:color w:val="0000FF"/>
            <w:u w:val="single"/>
            <w:lang w:eastAsia="en-GB"/>
          </w:rPr>
          <w:t>https://www.investopedia.com/ask/answers/040715/what-are-some-strategies-companies-commonly-use-reduce-their-debt-capital-ratio.asp#:~:text=Com</w:t>
        </w:r>
      </w:hyperlink>
      <w:r w:rsidRPr="00B85D5D">
        <w:rPr>
          <w:rFonts w:ascii="Arial" w:eastAsia="Times New Roman" w:hAnsi="Arial" w:cs="Arial"/>
          <w:color w:val="000000"/>
          <w:lang w:eastAsia="en-GB"/>
        </w:rPr>
        <w:t xml:space="preserve"> (Accessed 9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McIsaac, I. (2004) </w:t>
      </w:r>
      <w:r w:rsidRPr="00025721">
        <w:rPr>
          <w:rFonts w:ascii="Arial" w:eastAsia="Times New Roman" w:hAnsi="Arial" w:cs="Arial"/>
          <w:i/>
          <w:color w:val="000000"/>
          <w:lang w:eastAsia="en-GB"/>
        </w:rPr>
        <w:t>Understanding Annual Reports and Company Accounts</w:t>
      </w:r>
      <w:r w:rsidRPr="00B85D5D">
        <w:rPr>
          <w:rFonts w:ascii="Arial" w:eastAsia="Times New Roman" w:hAnsi="Arial" w:cs="Arial"/>
          <w:color w:val="000000"/>
          <w:lang w:eastAsia="en-GB"/>
        </w:rPr>
        <w:t xml:space="preserve">. Available at: </w:t>
      </w:r>
      <w:hyperlink r:id="rId52" w:history="1">
        <w:r w:rsidRPr="00B85D5D">
          <w:rPr>
            <w:rFonts w:ascii="Arial" w:eastAsia="Times New Roman" w:hAnsi="Arial" w:cs="Arial"/>
            <w:color w:val="0000FF"/>
            <w:u w:val="single"/>
            <w:lang w:eastAsia="en-GB"/>
          </w:rPr>
          <w:t>http://www.mcisaac.co.uk/document/section4.htm</w:t>
        </w:r>
      </w:hyperlink>
      <w:r w:rsidRPr="00B85D5D">
        <w:rPr>
          <w:rFonts w:ascii="Arial" w:eastAsia="Times New Roman" w:hAnsi="Arial" w:cs="Arial"/>
          <w:color w:val="000000"/>
          <w:lang w:eastAsia="en-GB"/>
        </w:rPr>
        <w:t xml:space="preserve"> (Accessed 7January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Munich Business School (2024) </w:t>
      </w:r>
      <w:r w:rsidRPr="00025721">
        <w:rPr>
          <w:rFonts w:ascii="Arial" w:eastAsia="Times New Roman" w:hAnsi="Arial" w:cs="Arial"/>
          <w:i/>
          <w:color w:val="000000"/>
          <w:lang w:eastAsia="en-GB"/>
        </w:rPr>
        <w:t>Total Assets Simply Explained</w:t>
      </w:r>
      <w:r w:rsidRPr="00B85D5D">
        <w:rPr>
          <w:rFonts w:ascii="Arial" w:eastAsia="Times New Roman" w:hAnsi="Arial" w:cs="Arial"/>
          <w:color w:val="000000"/>
          <w:lang w:eastAsia="en-GB"/>
        </w:rPr>
        <w:t xml:space="preserve">. Available at: </w:t>
      </w:r>
      <w:hyperlink r:id="rId53" w:history="1">
        <w:r w:rsidRPr="00B85D5D">
          <w:rPr>
            <w:rFonts w:ascii="Arial" w:eastAsia="Times New Roman" w:hAnsi="Arial" w:cs="Arial"/>
            <w:color w:val="0000FF"/>
            <w:u w:val="single"/>
            <w:lang w:eastAsia="en-GB"/>
          </w:rPr>
          <w:t>https://www.munich-business-school.de/en/l/business-studies-dictionary/financial-knowledge/total-assets</w:t>
        </w:r>
      </w:hyperlink>
      <w:r w:rsidRPr="00B85D5D">
        <w:rPr>
          <w:rFonts w:ascii="Arial" w:eastAsia="Times New Roman" w:hAnsi="Arial" w:cs="Arial"/>
          <w:color w:val="000000"/>
          <w:lang w:eastAsia="en-GB"/>
        </w:rPr>
        <w:t xml:space="preserve"> (Accessed 14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B85D5D">
        <w:rPr>
          <w:rFonts w:ascii="Arial" w:eastAsia="Times New Roman" w:hAnsi="Arial" w:cs="Arial"/>
          <w:color w:val="000000"/>
          <w:lang w:eastAsia="en-GB"/>
        </w:rPr>
        <w:t>Nastiti</w:t>
      </w:r>
      <w:proofErr w:type="spellEnd"/>
      <w:r w:rsidRPr="00B85D5D">
        <w:rPr>
          <w:rFonts w:ascii="Arial" w:eastAsia="Times New Roman" w:hAnsi="Arial" w:cs="Arial"/>
          <w:color w:val="000000"/>
          <w:lang w:eastAsia="en-GB"/>
        </w:rPr>
        <w:t xml:space="preserve">, N.S., Widodo, S. and </w:t>
      </w:r>
      <w:proofErr w:type="spellStart"/>
      <w:r w:rsidRPr="00B85D5D">
        <w:rPr>
          <w:rFonts w:ascii="Arial" w:eastAsia="Times New Roman" w:hAnsi="Arial" w:cs="Arial"/>
          <w:color w:val="000000"/>
          <w:lang w:eastAsia="en-GB"/>
        </w:rPr>
        <w:t>Budiyono</w:t>
      </w:r>
      <w:proofErr w:type="spellEnd"/>
      <w:r w:rsidRPr="00B85D5D">
        <w:rPr>
          <w:rFonts w:ascii="Arial" w:eastAsia="Times New Roman" w:hAnsi="Arial" w:cs="Arial"/>
          <w:color w:val="000000"/>
          <w:lang w:eastAsia="en-GB"/>
        </w:rPr>
        <w:t>, I. (2023) ‘The Effect of Quick Ratio (</w:t>
      </w:r>
      <w:proofErr w:type="spellStart"/>
      <w:r w:rsidRPr="00B85D5D">
        <w:rPr>
          <w:rFonts w:ascii="Arial" w:eastAsia="Times New Roman" w:hAnsi="Arial" w:cs="Arial"/>
          <w:color w:val="000000"/>
          <w:lang w:eastAsia="en-GB"/>
        </w:rPr>
        <w:t>Qr</w:t>
      </w:r>
      <w:proofErr w:type="spellEnd"/>
      <w:r w:rsidRPr="00B85D5D">
        <w:rPr>
          <w:rFonts w:ascii="Arial" w:eastAsia="Times New Roman" w:hAnsi="Arial" w:cs="Arial"/>
          <w:color w:val="000000"/>
          <w:lang w:eastAsia="en-GB"/>
        </w:rPr>
        <w:t>), Return on Asset (</w:t>
      </w:r>
      <w:proofErr w:type="spellStart"/>
      <w:r w:rsidRPr="00B85D5D">
        <w:rPr>
          <w:rFonts w:ascii="Arial" w:eastAsia="Times New Roman" w:hAnsi="Arial" w:cs="Arial"/>
          <w:color w:val="000000"/>
          <w:lang w:eastAsia="en-GB"/>
        </w:rPr>
        <w:t>Roa</w:t>
      </w:r>
      <w:proofErr w:type="spellEnd"/>
      <w:r w:rsidRPr="00B85D5D">
        <w:rPr>
          <w:rFonts w:ascii="Arial" w:eastAsia="Times New Roman" w:hAnsi="Arial" w:cs="Arial"/>
          <w:color w:val="000000"/>
          <w:lang w:eastAsia="en-GB"/>
        </w:rPr>
        <w:t>), Debt to Equity Ratio (Der), and Book Value Per Share (</w:t>
      </w:r>
      <w:proofErr w:type="spellStart"/>
      <w:r w:rsidRPr="00B85D5D">
        <w:rPr>
          <w:rFonts w:ascii="Arial" w:eastAsia="Times New Roman" w:hAnsi="Arial" w:cs="Arial"/>
          <w:color w:val="000000"/>
          <w:lang w:eastAsia="en-GB"/>
        </w:rPr>
        <w:t>Bvs</w:t>
      </w:r>
      <w:proofErr w:type="spellEnd"/>
      <w:r w:rsidRPr="00B85D5D">
        <w:rPr>
          <w:rFonts w:ascii="Arial" w:eastAsia="Times New Roman" w:hAnsi="Arial" w:cs="Arial"/>
          <w:color w:val="000000"/>
          <w:lang w:eastAsia="en-GB"/>
        </w:rPr>
        <w:t>) on Stock Price of Companies Listed in Jakarta Islamic Index (</w:t>
      </w:r>
      <w:proofErr w:type="spellStart"/>
      <w:r w:rsidRPr="00B85D5D">
        <w:rPr>
          <w:rFonts w:ascii="Arial" w:eastAsia="Times New Roman" w:hAnsi="Arial" w:cs="Arial"/>
          <w:color w:val="000000"/>
          <w:lang w:eastAsia="en-GB"/>
        </w:rPr>
        <w:t>Jii</w:t>
      </w:r>
      <w:proofErr w:type="spellEnd"/>
      <w:r w:rsidRPr="00B85D5D">
        <w:rPr>
          <w:rFonts w:ascii="Arial" w:eastAsia="Times New Roman" w:hAnsi="Arial" w:cs="Arial"/>
          <w:color w:val="000000"/>
          <w:lang w:eastAsia="en-GB"/>
        </w:rPr>
        <w:t xml:space="preserve">) for the 2017-2021 Periods’, </w:t>
      </w:r>
      <w:proofErr w:type="spellStart"/>
      <w:r w:rsidRPr="00B85D5D">
        <w:rPr>
          <w:rFonts w:ascii="Arial" w:eastAsia="Times New Roman" w:hAnsi="Arial" w:cs="Arial"/>
          <w:i/>
          <w:iCs/>
          <w:color w:val="000000"/>
          <w:lang w:eastAsia="en-GB"/>
        </w:rPr>
        <w:t>Keunis</w:t>
      </w:r>
      <w:proofErr w:type="spellEnd"/>
      <w:r w:rsidRPr="00B85D5D">
        <w:rPr>
          <w:rFonts w:ascii="Arial" w:eastAsia="Times New Roman" w:hAnsi="Arial" w:cs="Arial"/>
          <w:i/>
          <w:iCs/>
          <w:color w:val="000000"/>
          <w:lang w:eastAsia="en-GB"/>
        </w:rPr>
        <w:t>, </w:t>
      </w:r>
      <w:r w:rsidRPr="00B85D5D">
        <w:rPr>
          <w:rFonts w:ascii="Arial" w:eastAsia="Times New Roman" w:hAnsi="Arial" w:cs="Arial"/>
          <w:bCs/>
          <w:color w:val="000000"/>
          <w:lang w:eastAsia="en-GB"/>
        </w:rPr>
        <w:t>11</w:t>
      </w:r>
      <w:r w:rsidRPr="00B85D5D">
        <w:rPr>
          <w:rFonts w:ascii="Arial" w:eastAsia="Times New Roman" w:hAnsi="Arial" w:cs="Arial"/>
          <w:color w:val="000000"/>
          <w:lang w:eastAsia="en-GB"/>
        </w:rPr>
        <w:t xml:space="preserve">(2), pp. 146–156. Available at: </w:t>
      </w:r>
      <w:hyperlink r:id="rId54" w:history="1">
        <w:r w:rsidRPr="00B85D5D">
          <w:rPr>
            <w:rFonts w:ascii="Arial" w:eastAsia="Times New Roman" w:hAnsi="Arial" w:cs="Arial"/>
            <w:color w:val="0000FF"/>
            <w:u w:val="single"/>
            <w:lang w:eastAsia="en-GB"/>
          </w:rPr>
          <w:t>https://research-ebsco-com.ezproxy.uwtsd.ac.uk/c/onvpsy/search/details/hnrqaodpgz?db=bth&amp;limiters=None&amp;q=quick+ratio</w:t>
        </w:r>
      </w:hyperlink>
      <w:r w:rsidRPr="00B85D5D">
        <w:rPr>
          <w:rFonts w:ascii="Arial" w:eastAsia="Times New Roman" w:hAnsi="Arial" w:cs="Arial"/>
          <w:color w:val="000000"/>
          <w:lang w:eastAsia="en-GB"/>
        </w:rPr>
        <w:t xml:space="preserve"> (Accessed 16 January).</w:t>
      </w:r>
    </w:p>
    <w:p w:rsidR="00B85D5D" w:rsidRPr="00B85D5D" w:rsidRDefault="00B85D5D" w:rsidP="00B85D5D">
      <w:pPr>
        <w:rPr>
          <w:rFonts w:ascii="Arial" w:hAnsi="Arial" w:cs="Arial"/>
        </w:rPr>
      </w:pPr>
      <w:r w:rsidRPr="00B85D5D">
        <w:rPr>
          <w:rFonts w:ascii="Arial" w:hAnsi="Arial" w:cs="Arial"/>
        </w:rPr>
        <w:t xml:space="preserve">NIBusinessInfo.Co.UK (no date) </w:t>
      </w:r>
      <w:r w:rsidRPr="00B85D5D">
        <w:rPr>
          <w:rFonts w:ascii="Arial" w:hAnsi="Arial" w:cs="Arial"/>
          <w:i/>
        </w:rPr>
        <w:t>Choose the right finance when starting a business</w:t>
      </w:r>
      <w:r w:rsidRPr="00B85D5D">
        <w:rPr>
          <w:rFonts w:ascii="Arial" w:hAnsi="Arial" w:cs="Arial"/>
        </w:rPr>
        <w:t xml:space="preserve">. Available at: </w:t>
      </w:r>
      <w:hyperlink r:id="rId55" w:history="1">
        <w:r w:rsidRPr="00B85D5D">
          <w:rPr>
            <w:rFonts w:ascii="Arial" w:hAnsi="Arial" w:cs="Arial"/>
            <w:color w:val="0000FF"/>
            <w:u w:val="single"/>
          </w:rPr>
          <w:t>https://www.nibusinessinfo.co.uk/content/advantages-and-disadvantages-using-your-own-money-start-business</w:t>
        </w:r>
      </w:hyperlink>
      <w:r w:rsidRPr="00B85D5D">
        <w:rPr>
          <w:rFonts w:ascii="Arial" w:hAnsi="Arial" w:cs="Arial"/>
        </w:rPr>
        <w:t xml:space="preserve"> (Accessed 11 January 2025). </w:t>
      </w:r>
    </w:p>
    <w:p w:rsidR="00B85D5D" w:rsidRPr="00B85D5D" w:rsidRDefault="00B85D5D" w:rsidP="00B85D5D">
      <w:pPr>
        <w:rPr>
          <w:rFonts w:ascii="Arial" w:hAnsi="Arial" w:cs="Arial"/>
          <w:color w:val="000000" w:themeColor="text1"/>
          <w:u w:val="single"/>
        </w:rPr>
      </w:pPr>
      <w:r w:rsidRPr="00B85D5D">
        <w:rPr>
          <w:rFonts w:ascii="Arial" w:hAnsi="Arial" w:cs="Arial"/>
        </w:rPr>
        <w:lastRenderedPageBreak/>
        <w:t>OECD (2022</w:t>
      </w:r>
      <w:r w:rsidRPr="00B85D5D">
        <w:rPr>
          <w:rFonts w:ascii="Arial" w:hAnsi="Arial" w:cs="Arial"/>
          <w:i/>
        </w:rPr>
        <w:t>) Impact of the Russian invasion of Ukraine on financial market conditions and resilience</w:t>
      </w:r>
      <w:r w:rsidRPr="00B85D5D">
        <w:rPr>
          <w:rFonts w:ascii="Arial" w:hAnsi="Arial" w:cs="Arial"/>
        </w:rPr>
        <w:t>.  Available at:</w:t>
      </w:r>
      <w:hyperlink r:id="rId56" w:history="1">
        <w:r w:rsidRPr="00B85D5D">
          <w:rPr>
            <w:rFonts w:ascii="Arial" w:hAnsi="Arial" w:cs="Arial"/>
            <w:color w:val="0563C1" w:themeColor="hyperlink"/>
            <w:u w:val="single"/>
          </w:rPr>
          <w:t>https://www.oecd.org/content/dam/oecd/en/publications/reports/2022/05/impacts-of-the-russian-invasion-of-ukraine-on-financial-market-conditions-and</w:t>
        </w:r>
      </w:hyperlink>
      <w:r w:rsidRPr="00B85D5D">
        <w:rPr>
          <w:rFonts w:ascii="Arial" w:hAnsi="Arial" w:cs="Arial"/>
          <w:color w:val="0563C1" w:themeColor="hyperlink"/>
          <w:u w:val="single"/>
        </w:rPr>
        <w:t xml:space="preserve"> </w:t>
      </w:r>
      <w:r w:rsidRPr="00B85D5D">
        <w:rPr>
          <w:rFonts w:ascii="Arial" w:hAnsi="Arial" w:cs="Arial"/>
          <w:color w:val="000000" w:themeColor="text1"/>
        </w:rPr>
        <w:t>(Accessed  10 January 2025).</w:t>
      </w:r>
      <w:r w:rsidRPr="00B85D5D">
        <w:rPr>
          <w:rFonts w:ascii="Arial" w:hAnsi="Arial" w:cs="Arial"/>
          <w:color w:val="000000" w:themeColor="text1"/>
          <w:u w:val="single"/>
        </w:rPr>
        <w:t xml:space="preserve">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Osbourne, M.J. (2010) ‘A resolution to the NPV–IRR debate?’, </w:t>
      </w:r>
      <w:r w:rsidRPr="00B85D5D">
        <w:rPr>
          <w:rFonts w:ascii="Arial" w:eastAsia="Times New Roman" w:hAnsi="Arial" w:cs="Arial"/>
          <w:i/>
          <w:iCs/>
          <w:color w:val="000000"/>
          <w:lang w:eastAsia="en-GB"/>
        </w:rPr>
        <w:t>Quarterly Review of Economics &amp; Finance, </w:t>
      </w:r>
      <w:r w:rsidRPr="00B85D5D">
        <w:rPr>
          <w:rFonts w:ascii="Arial" w:eastAsia="Times New Roman" w:hAnsi="Arial" w:cs="Arial"/>
          <w:bCs/>
          <w:color w:val="000000"/>
          <w:lang w:eastAsia="en-GB"/>
        </w:rPr>
        <w:t>50</w:t>
      </w:r>
      <w:r w:rsidRPr="00B85D5D">
        <w:rPr>
          <w:rFonts w:ascii="Arial" w:eastAsia="Times New Roman" w:hAnsi="Arial" w:cs="Arial"/>
          <w:color w:val="000000"/>
          <w:lang w:eastAsia="en-GB"/>
        </w:rPr>
        <w:t xml:space="preserve">(2), pp. 234–239. Available at: </w:t>
      </w:r>
      <w:hyperlink r:id="rId57" w:history="1">
        <w:r w:rsidRPr="00B85D5D">
          <w:rPr>
            <w:rFonts w:ascii="Arial" w:eastAsia="Times New Roman" w:hAnsi="Arial" w:cs="Arial"/>
            <w:color w:val="0000FF"/>
            <w:u w:val="single"/>
            <w:lang w:eastAsia="en-GB"/>
          </w:rPr>
          <w:t>https://www.sciencedirect.com/science/article/pii/S1062976910000037</w:t>
        </w:r>
      </w:hyperlink>
      <w:r w:rsidRPr="00B85D5D">
        <w:rPr>
          <w:rFonts w:ascii="Arial" w:eastAsia="Times New Roman" w:hAnsi="Arial" w:cs="Arial"/>
          <w:color w:val="000000"/>
          <w:lang w:eastAsia="en-GB"/>
        </w:rPr>
        <w:t xml:space="preserve"> (Accessed 17 January, 2025).</w:t>
      </w:r>
    </w:p>
    <w:p w:rsidR="00B85D5D" w:rsidRPr="008855C8" w:rsidRDefault="00B85D5D" w:rsidP="008855C8">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Price Bailey (2025) </w:t>
      </w:r>
      <w:r w:rsidRPr="00025721">
        <w:rPr>
          <w:rFonts w:ascii="Arial" w:eastAsia="Times New Roman" w:hAnsi="Arial" w:cs="Arial"/>
          <w:i/>
          <w:color w:val="000000"/>
          <w:lang w:eastAsia="en-GB"/>
        </w:rPr>
        <w:t>Over half of remaining UK domestic energy suppliers technically insolvent.</w:t>
      </w:r>
      <w:r w:rsidRPr="00B85D5D">
        <w:rPr>
          <w:rFonts w:ascii="Arial" w:eastAsia="Times New Roman" w:hAnsi="Arial" w:cs="Arial"/>
          <w:color w:val="000000"/>
          <w:lang w:eastAsia="en-GB"/>
        </w:rPr>
        <w:t xml:space="preserve"> Available at: </w:t>
      </w:r>
      <w:hyperlink r:id="rId58" w:history="1">
        <w:r w:rsidRPr="00B85D5D">
          <w:rPr>
            <w:rFonts w:ascii="Arial" w:eastAsia="Times New Roman" w:hAnsi="Arial" w:cs="Arial"/>
            <w:color w:val="0000FF"/>
            <w:u w:val="single"/>
            <w:lang w:eastAsia="en-GB"/>
          </w:rPr>
          <w:t>https://www.pricebailey.co.uk/press-releases/domestic-energy-suppliers/</w:t>
        </w:r>
      </w:hyperlink>
      <w:r w:rsidRPr="00B85D5D">
        <w:rPr>
          <w:rFonts w:ascii="Arial" w:eastAsia="Times New Roman" w:hAnsi="Arial" w:cs="Arial"/>
          <w:color w:val="000000"/>
          <w:lang w:eastAsia="en-GB"/>
        </w:rPr>
        <w:t xml:space="preserve"> (Accessed 14 January). </w:t>
      </w:r>
    </w:p>
    <w:p w:rsidR="00707428" w:rsidRPr="00707428" w:rsidRDefault="00B85D5D" w:rsidP="00707428">
      <w:pPr>
        <w:shd w:val="clear" w:color="auto" w:fill="FFFFFF"/>
        <w:spacing w:after="173" w:line="240" w:lineRule="auto"/>
        <w:rPr>
          <w:rFonts w:ascii="Arial" w:eastAsia="Times New Roman" w:hAnsi="Arial" w:cs="Arial"/>
          <w:iCs/>
          <w:color w:val="000000" w:themeColor="text1"/>
          <w:bdr w:val="none" w:sz="0" w:space="0" w:color="auto" w:frame="1"/>
          <w:shd w:val="clear" w:color="auto" w:fill="FFFFFF"/>
          <w:lang w:eastAsia="en-GB"/>
        </w:rPr>
      </w:pPr>
      <w:r w:rsidRPr="008855C8">
        <w:rPr>
          <w:rFonts w:ascii="Arial" w:eastAsia="Times New Roman" w:hAnsi="Arial" w:cs="Arial"/>
          <w:color w:val="000000" w:themeColor="text1"/>
          <w:bdr w:val="none" w:sz="0" w:space="0" w:color="auto" w:frame="1"/>
          <w:shd w:val="clear" w:color="auto" w:fill="FFFFFF"/>
          <w:lang w:eastAsia="en-GB"/>
        </w:rPr>
        <w:t>Routledge, B. R. (2011) 'Corporate Decision-Making, Net Present Value, and the Environment'</w:t>
      </w:r>
      <w:r w:rsidRPr="008855C8">
        <w:rPr>
          <w:rFonts w:ascii="Arial" w:eastAsia="Times New Roman" w:hAnsi="Arial" w:cs="Arial"/>
          <w:color w:val="000000" w:themeColor="text1"/>
          <w:shd w:val="clear" w:color="auto" w:fill="FFFFFF"/>
          <w:lang w:eastAsia="en-GB"/>
        </w:rPr>
        <w:t>,</w:t>
      </w:r>
      <w:r w:rsidRPr="008855C8">
        <w:rPr>
          <w:rFonts w:ascii="Arial" w:eastAsia="Times New Roman" w:hAnsi="Arial" w:cs="Arial"/>
          <w:color w:val="000000" w:themeColor="text1"/>
          <w:bdr w:val="none" w:sz="0" w:space="0" w:color="auto" w:frame="1"/>
          <w:shd w:val="clear" w:color="auto" w:fill="FFFFFF"/>
          <w:lang w:eastAsia="en-GB"/>
        </w:rPr>
        <w:t> in Bansal, P. and Hoffman, A. J.  (eds)</w:t>
      </w:r>
      <w:r w:rsidRPr="008855C8">
        <w:rPr>
          <w:rFonts w:ascii="Arial" w:eastAsia="Times New Roman" w:hAnsi="Arial" w:cs="Arial"/>
          <w:color w:val="000000" w:themeColor="text1"/>
          <w:shd w:val="clear" w:color="auto" w:fill="FFFFFF"/>
          <w:lang w:eastAsia="en-GB"/>
        </w:rPr>
        <w:t>, </w:t>
      </w:r>
      <w:r w:rsidRPr="008855C8">
        <w:rPr>
          <w:rFonts w:ascii="Arial" w:eastAsia="Times New Roman" w:hAnsi="Arial" w:cs="Arial"/>
          <w:i/>
          <w:iCs/>
          <w:color w:val="000000" w:themeColor="text1"/>
          <w:bdr w:val="none" w:sz="0" w:space="0" w:color="auto" w:frame="1"/>
          <w:shd w:val="clear" w:color="auto" w:fill="FFFFFF"/>
          <w:lang w:eastAsia="en-GB"/>
        </w:rPr>
        <w:t xml:space="preserve">The Oxford Handbook of Business and the Natural Environment. </w:t>
      </w:r>
      <w:r w:rsidRPr="008855C8">
        <w:rPr>
          <w:rFonts w:ascii="Arial" w:eastAsia="Times New Roman" w:hAnsi="Arial" w:cs="Arial"/>
          <w:iCs/>
          <w:color w:val="000000" w:themeColor="text1"/>
          <w:bdr w:val="none" w:sz="0" w:space="0" w:color="auto" w:frame="1"/>
          <w:shd w:val="clear" w:color="auto" w:fill="FFFFFF"/>
          <w:lang w:eastAsia="en-GB"/>
        </w:rPr>
        <w:t>London:</w:t>
      </w:r>
      <w:r w:rsidRPr="008855C8">
        <w:rPr>
          <w:rFonts w:ascii="Arial" w:eastAsia="Times New Roman" w:hAnsi="Arial" w:cs="Arial"/>
          <w:i/>
          <w:iCs/>
          <w:color w:val="000000" w:themeColor="text1"/>
          <w:bdr w:val="none" w:sz="0" w:space="0" w:color="auto" w:frame="1"/>
          <w:shd w:val="clear" w:color="auto" w:fill="FFFFFF"/>
          <w:lang w:eastAsia="en-GB"/>
        </w:rPr>
        <w:t xml:space="preserve"> </w:t>
      </w:r>
      <w:r w:rsidRPr="008855C8">
        <w:rPr>
          <w:rFonts w:ascii="Arial" w:eastAsia="Times New Roman" w:hAnsi="Arial" w:cs="Arial"/>
          <w:iCs/>
          <w:color w:val="000000" w:themeColor="text1"/>
          <w:bdr w:val="none" w:sz="0" w:space="0" w:color="auto" w:frame="1"/>
          <w:shd w:val="clear" w:color="auto" w:fill="FFFFFF"/>
          <w:lang w:eastAsia="en-GB"/>
        </w:rPr>
        <w:t xml:space="preserve">Oxford University Press, pp. 502 – 516. </w:t>
      </w:r>
      <w:r w:rsidR="00707428">
        <w:rPr>
          <w:rFonts w:ascii="Arial" w:eastAsia="Times New Roman" w:hAnsi="Arial" w:cs="Arial"/>
          <w:iCs/>
          <w:color w:val="000000" w:themeColor="text1"/>
          <w:bdr w:val="none" w:sz="0" w:space="0" w:color="auto" w:frame="1"/>
          <w:shd w:val="clear" w:color="auto" w:fill="FFFFFF"/>
          <w:lang w:eastAsia="en-GB"/>
        </w:rPr>
        <w:t xml:space="preserve">Available at: </w:t>
      </w:r>
      <w:hyperlink r:id="rId59" w:history="1">
        <w:r w:rsidR="00707428" w:rsidRPr="00F326D2">
          <w:rPr>
            <w:rStyle w:val="Hyperlink"/>
            <w:rFonts w:ascii="Helvetica" w:hAnsi="Helvetica" w:cs="Helvetica"/>
            <w:sz w:val="23"/>
            <w:szCs w:val="23"/>
            <w:bdr w:val="none" w:sz="0" w:space="0" w:color="auto" w:frame="1"/>
            <w:shd w:val="clear" w:color="auto" w:fill="FFFFFF"/>
          </w:rPr>
          <w:t>https://doi.org/10.1093/oxfordhb/9780199584451.003.0027</w:t>
        </w:r>
      </w:hyperlink>
      <w:r w:rsidR="00707428">
        <w:rPr>
          <w:rFonts w:ascii="Helvetica" w:hAnsi="Helvetica" w:cs="Helvetica"/>
          <w:color w:val="006FB7"/>
          <w:sz w:val="23"/>
          <w:szCs w:val="23"/>
          <w:u w:val="single"/>
          <w:bdr w:val="none" w:sz="0" w:space="0" w:color="auto" w:frame="1"/>
          <w:shd w:val="clear" w:color="auto" w:fill="FFFFFF"/>
        </w:rPr>
        <w:t xml:space="preserve"> </w:t>
      </w:r>
      <w:r w:rsidR="00707428" w:rsidRPr="00B85D5D">
        <w:rPr>
          <w:rFonts w:ascii="Arial" w:eastAsia="Times New Roman" w:hAnsi="Arial" w:cs="Arial"/>
          <w:color w:val="000000"/>
          <w:lang w:eastAsia="en-GB"/>
        </w:rPr>
        <w:t>(Accessed 1</w:t>
      </w:r>
      <w:r w:rsidR="00707428">
        <w:rPr>
          <w:rFonts w:ascii="Arial" w:eastAsia="Times New Roman" w:hAnsi="Arial" w:cs="Arial"/>
          <w:color w:val="000000"/>
          <w:lang w:eastAsia="en-GB"/>
        </w:rPr>
        <w:t>0</w:t>
      </w:r>
      <w:r w:rsidR="00707428" w:rsidRPr="00B85D5D">
        <w:rPr>
          <w:rFonts w:ascii="Arial" w:eastAsia="Times New Roman" w:hAnsi="Arial" w:cs="Arial"/>
          <w:color w:val="000000"/>
          <w:lang w:eastAsia="en-GB"/>
        </w:rPr>
        <w:t xml:space="preserve"> January, 2025).</w:t>
      </w:r>
    </w:p>
    <w:p w:rsidR="00B85D5D" w:rsidRPr="00B85D5D" w:rsidRDefault="00B85D5D" w:rsidP="00B85D5D">
      <w:pPr>
        <w:rPr>
          <w:rFonts w:ascii="Arial" w:hAnsi="Arial" w:cs="Arial"/>
        </w:rPr>
      </w:pPr>
      <w:r w:rsidRPr="00B85D5D">
        <w:rPr>
          <w:rFonts w:ascii="Arial" w:hAnsi="Arial" w:cs="Arial"/>
        </w:rPr>
        <w:t>Shively, G. (2012</w:t>
      </w:r>
      <w:r w:rsidRPr="00B85D5D">
        <w:rPr>
          <w:rFonts w:ascii="Arial" w:hAnsi="Arial" w:cs="Arial"/>
          <w:i/>
        </w:rPr>
        <w:t xml:space="preserve">) </w:t>
      </w:r>
      <w:r w:rsidRPr="00B85D5D">
        <w:rPr>
          <w:rFonts w:ascii="Arial" w:hAnsi="Arial" w:cs="Arial"/>
          <w:i/>
          <w:color w:val="000000"/>
          <w:spacing w:val="-5"/>
          <w:shd w:val="clear" w:color="auto" w:fill="FFFFFF"/>
        </w:rPr>
        <w:t xml:space="preserve">An Overview of Benefit-Cost Analysis. </w:t>
      </w:r>
      <w:r w:rsidRPr="00B85D5D">
        <w:rPr>
          <w:rFonts w:ascii="Arial" w:hAnsi="Arial" w:cs="Arial"/>
          <w:color w:val="000000"/>
          <w:spacing w:val="-5"/>
          <w:shd w:val="clear" w:color="auto" w:fill="FFFFFF"/>
        </w:rPr>
        <w:t xml:space="preserve">Available at: </w:t>
      </w:r>
      <w:hyperlink r:id="rId60" w:history="1">
        <w:r w:rsidRPr="00B85D5D">
          <w:rPr>
            <w:rFonts w:ascii="Arial" w:hAnsi="Arial" w:cs="Arial"/>
            <w:color w:val="0000FF"/>
            <w:spacing w:val="-5"/>
            <w:u w:val="single"/>
            <w:shd w:val="clear" w:color="auto" w:fill="FFFFFF"/>
          </w:rPr>
          <w:t>https://www.researchgate.net/publication/255661807_An_Overview_of_Benefit-Cost_Analysis</w:t>
        </w:r>
      </w:hyperlink>
      <w:r w:rsidRPr="00B85D5D">
        <w:rPr>
          <w:rFonts w:ascii="Arial" w:hAnsi="Arial" w:cs="Arial"/>
          <w:color w:val="000000"/>
          <w:spacing w:val="-5"/>
          <w:shd w:val="clear" w:color="auto" w:fill="FFFFFF"/>
        </w:rPr>
        <w:t xml:space="preserve"> (Accessed 8 January 2025). </w:t>
      </w:r>
      <w:r w:rsidRPr="00B85D5D">
        <w:rPr>
          <w:rFonts w:ascii="Arial" w:hAnsi="Arial" w:cs="Arial"/>
        </w:rPr>
        <w:t xml:space="preserve">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Simply Wall St. (2025) </w:t>
      </w:r>
      <w:r w:rsidRPr="00B85D5D">
        <w:rPr>
          <w:rFonts w:ascii="Arial" w:eastAsia="Times New Roman" w:hAnsi="Arial" w:cs="Arial"/>
          <w:i/>
          <w:color w:val="000000"/>
          <w:lang w:eastAsia="en-GB"/>
        </w:rPr>
        <w:t>We Like These Underlying Return on Capital Trends at E. ON (ETR: EOAN).</w:t>
      </w:r>
      <w:r w:rsidRPr="00B85D5D">
        <w:rPr>
          <w:rFonts w:ascii="Arial" w:eastAsia="Times New Roman" w:hAnsi="Arial" w:cs="Arial"/>
          <w:color w:val="000000"/>
          <w:lang w:eastAsia="en-GB"/>
        </w:rPr>
        <w:t xml:space="preserve"> Available at: </w:t>
      </w:r>
      <w:hyperlink r:id="rId61" w:history="1">
        <w:r w:rsidRPr="00B85D5D">
          <w:rPr>
            <w:rFonts w:ascii="Arial" w:eastAsia="Times New Roman" w:hAnsi="Arial" w:cs="Arial"/>
            <w:color w:val="0000FF"/>
            <w:u w:val="single"/>
            <w:lang w:eastAsia="en-GB"/>
          </w:rPr>
          <w:t>https://simplywall.st/stocks/de/utilities/etr-eoan/eon-shares/news/we-like-these-underlying-return-on-capital-trends-at-eon-etr-2</w:t>
        </w:r>
      </w:hyperlink>
      <w:r w:rsidRPr="00B85D5D">
        <w:rPr>
          <w:rFonts w:ascii="Arial" w:eastAsia="Times New Roman" w:hAnsi="Arial" w:cs="Arial"/>
          <w:color w:val="000000"/>
          <w:lang w:eastAsia="en-GB"/>
        </w:rPr>
        <w:t xml:space="preserve"> (Accessed 11 January 2025). </w:t>
      </w:r>
    </w:p>
    <w:p w:rsidR="00B85D5D" w:rsidRPr="00B85D5D" w:rsidRDefault="00B85D5D" w:rsidP="00B85D5D">
      <w:pPr>
        <w:rPr>
          <w:rFonts w:ascii="Arial" w:hAnsi="Arial" w:cs="Arial"/>
          <w:color w:val="000000" w:themeColor="text1"/>
          <w:u w:val="single"/>
        </w:rPr>
      </w:pPr>
      <w:proofErr w:type="spellStart"/>
      <w:r w:rsidRPr="00B85D5D">
        <w:rPr>
          <w:rFonts w:ascii="Arial" w:hAnsi="Arial" w:cs="Arial"/>
        </w:rPr>
        <w:t>Stamm</w:t>
      </w:r>
      <w:proofErr w:type="spellEnd"/>
      <w:r w:rsidRPr="00B85D5D">
        <w:rPr>
          <w:rFonts w:ascii="Arial" w:hAnsi="Arial" w:cs="Arial"/>
        </w:rPr>
        <w:t xml:space="preserve">, K. and </w:t>
      </w:r>
      <w:proofErr w:type="spellStart"/>
      <w:r w:rsidRPr="00B85D5D">
        <w:rPr>
          <w:rFonts w:ascii="Arial" w:hAnsi="Arial" w:cs="Arial"/>
        </w:rPr>
        <w:t>Vorisek</w:t>
      </w:r>
      <w:proofErr w:type="spellEnd"/>
      <w:r w:rsidRPr="00B85D5D">
        <w:rPr>
          <w:rFonts w:ascii="Arial" w:hAnsi="Arial" w:cs="Arial"/>
        </w:rPr>
        <w:t xml:space="preserve">, D. (2023) </w:t>
      </w:r>
      <w:r w:rsidRPr="00B85D5D">
        <w:rPr>
          <w:rFonts w:ascii="Arial" w:hAnsi="Arial" w:cs="Arial"/>
          <w:i/>
        </w:rPr>
        <w:t>The Global Investment Slowdown – Challenges and Policies</w:t>
      </w:r>
      <w:r w:rsidRPr="00B85D5D">
        <w:rPr>
          <w:rFonts w:ascii="Arial" w:hAnsi="Arial" w:cs="Arial"/>
        </w:rPr>
        <w:t xml:space="preserve">.  Available at: </w:t>
      </w:r>
      <w:hyperlink r:id="rId62" w:history="1">
        <w:r w:rsidRPr="00B85D5D">
          <w:rPr>
            <w:rFonts w:ascii="Arial" w:hAnsi="Arial" w:cs="Arial"/>
            <w:color w:val="2E74B5" w:themeColor="accent5" w:themeShade="BF"/>
            <w:u w:val="single"/>
          </w:rPr>
          <w:t>https://documents1.worldbank.org/curated/en/099351003152335049/pdf/IDU0726e2460074a604ccb0be1e003a8396efcce.pdf</w:t>
        </w:r>
      </w:hyperlink>
      <w:r w:rsidRPr="00B85D5D">
        <w:rPr>
          <w:rFonts w:ascii="Arial" w:hAnsi="Arial" w:cs="Arial"/>
          <w:color w:val="2E74B5" w:themeColor="accent5" w:themeShade="BF"/>
          <w:u w:val="single"/>
        </w:rPr>
        <w:t xml:space="preserve"> </w:t>
      </w:r>
      <w:r w:rsidRPr="00B85D5D">
        <w:rPr>
          <w:rFonts w:ascii="Arial" w:hAnsi="Arial" w:cs="Arial"/>
          <w:color w:val="000000" w:themeColor="text1"/>
        </w:rPr>
        <w:t>(Accessed 8 January 2025).</w:t>
      </w:r>
      <w:r w:rsidRPr="00B85D5D">
        <w:rPr>
          <w:rFonts w:ascii="Arial" w:hAnsi="Arial" w:cs="Arial"/>
          <w:color w:val="000000" w:themeColor="text1"/>
          <w:u w:val="single"/>
        </w:rPr>
        <w:t xml:space="preserve"> </w:t>
      </w:r>
    </w:p>
    <w:p w:rsidR="00B85D5D" w:rsidRPr="00B85D5D" w:rsidRDefault="00B85D5D" w:rsidP="00B85D5D">
      <w:pPr>
        <w:shd w:val="clear" w:color="auto" w:fill="FFFFFF"/>
        <w:spacing w:after="173" w:line="240" w:lineRule="auto"/>
        <w:rPr>
          <w:rFonts w:ascii="Arial" w:hAnsi="Arial" w:cs="Arial"/>
        </w:rPr>
      </w:pPr>
      <w:proofErr w:type="spellStart"/>
      <w:r w:rsidRPr="00B85D5D">
        <w:rPr>
          <w:rFonts w:ascii="Arial" w:hAnsi="Arial" w:cs="Arial"/>
        </w:rPr>
        <w:t>Stobierski</w:t>
      </w:r>
      <w:proofErr w:type="spellEnd"/>
      <w:r w:rsidRPr="00B85D5D">
        <w:rPr>
          <w:rFonts w:ascii="Arial" w:hAnsi="Arial" w:cs="Arial"/>
        </w:rPr>
        <w:t xml:space="preserve">, T. (2020) </w:t>
      </w:r>
      <w:r w:rsidRPr="00025721">
        <w:rPr>
          <w:rFonts w:ascii="Arial" w:hAnsi="Arial" w:cs="Arial"/>
          <w:i/>
        </w:rPr>
        <w:t>13 Financial performance measures managers should monitor</w:t>
      </w:r>
      <w:r w:rsidRPr="00B85D5D">
        <w:rPr>
          <w:rFonts w:ascii="Arial" w:hAnsi="Arial" w:cs="Arial"/>
        </w:rPr>
        <w:t xml:space="preserve">. Available at: </w:t>
      </w:r>
      <w:hyperlink r:id="rId63" w:anchor=":~:text=Gross%20Profit%20Margin.%20Gross%20profit%20margin%20is,not%20include" w:history="1">
        <w:r w:rsidRPr="00B85D5D">
          <w:rPr>
            <w:rFonts w:ascii="Arial" w:hAnsi="Arial" w:cs="Arial"/>
            <w:color w:val="0000FF"/>
            <w:u w:val="single"/>
          </w:rPr>
          <w:t>https://online.hbs.edu/blog/post/financial-performance-measures#:~:text=Gross%20Profit%20Margin.%20Gross%20profit%20margin%20is,not%20include</w:t>
        </w:r>
      </w:hyperlink>
      <w:r w:rsidRPr="00B85D5D">
        <w:rPr>
          <w:rFonts w:ascii="Arial" w:hAnsi="Arial" w:cs="Arial"/>
        </w:rPr>
        <w:t xml:space="preserve"> (Accessed 10 January).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Temple, P., </w:t>
      </w:r>
      <w:proofErr w:type="spellStart"/>
      <w:r w:rsidRPr="00B85D5D">
        <w:rPr>
          <w:rFonts w:ascii="Arial" w:eastAsia="Times New Roman" w:hAnsi="Arial" w:cs="Arial"/>
          <w:color w:val="000000"/>
          <w:lang w:eastAsia="en-GB"/>
        </w:rPr>
        <w:t>Urga</w:t>
      </w:r>
      <w:proofErr w:type="spellEnd"/>
      <w:r w:rsidRPr="00B85D5D">
        <w:rPr>
          <w:rFonts w:ascii="Arial" w:eastAsia="Times New Roman" w:hAnsi="Arial" w:cs="Arial"/>
          <w:color w:val="000000"/>
          <w:lang w:eastAsia="en-GB"/>
        </w:rPr>
        <w:t>, G. and Driver, C. (2001) ‘The influence of uncertainty on investment in the UK: a macro or micro phenomenon? </w:t>
      </w:r>
      <w:r w:rsidRPr="00B85D5D">
        <w:rPr>
          <w:rFonts w:ascii="Arial" w:eastAsia="Times New Roman" w:hAnsi="Arial" w:cs="Arial"/>
          <w:i/>
          <w:iCs/>
          <w:color w:val="000000"/>
          <w:lang w:eastAsia="en-GB"/>
        </w:rPr>
        <w:t>Scottish Journal of Political Economy, </w:t>
      </w:r>
      <w:r w:rsidRPr="00B85D5D">
        <w:rPr>
          <w:rFonts w:ascii="Arial" w:eastAsia="Times New Roman" w:hAnsi="Arial" w:cs="Arial"/>
          <w:bCs/>
          <w:color w:val="000000"/>
          <w:lang w:eastAsia="en-GB"/>
        </w:rPr>
        <w:t>48</w:t>
      </w:r>
      <w:r w:rsidRPr="00B85D5D">
        <w:rPr>
          <w:rFonts w:ascii="Arial" w:eastAsia="Times New Roman" w:hAnsi="Arial" w:cs="Arial"/>
          <w:color w:val="000000"/>
          <w:lang w:eastAsia="en-GB"/>
        </w:rPr>
        <w:t xml:space="preserve">(4), pp. 361–382. Available at: </w:t>
      </w:r>
      <w:hyperlink r:id="rId64" w:history="1">
        <w:r w:rsidRPr="00B85D5D">
          <w:rPr>
            <w:rFonts w:ascii="Arial" w:hAnsi="Arial" w:cs="Arial"/>
            <w:color w:val="0563C1" w:themeColor="hyperlink"/>
            <w:u w:val="single"/>
          </w:rPr>
          <w:t>https://onlinelibrary.wiley.com/doi/epdf/10.1111/1467-9485.00204?saml_referrer</w:t>
        </w:r>
      </w:hyperlink>
      <w:r w:rsidRPr="00B85D5D">
        <w:rPr>
          <w:rFonts w:ascii="Arial" w:hAnsi="Arial" w:cs="Arial"/>
        </w:rPr>
        <w:t xml:space="preserve"> </w:t>
      </w:r>
      <w:proofErr w:type="gramStart"/>
      <w:r w:rsidRPr="00B85D5D">
        <w:rPr>
          <w:rFonts w:ascii="Arial" w:hAnsi="Arial" w:cs="Arial"/>
        </w:rPr>
        <w:t xml:space="preserve">   (</w:t>
      </w:r>
      <w:proofErr w:type="gramEnd"/>
      <w:r w:rsidRPr="00B85D5D">
        <w:rPr>
          <w:rFonts w:ascii="Arial" w:hAnsi="Arial" w:cs="Arial"/>
        </w:rPr>
        <w:t xml:space="preserve">Accessed 16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Walsh, C. (2008) </w:t>
      </w:r>
      <w:r w:rsidRPr="00B85D5D">
        <w:rPr>
          <w:rFonts w:ascii="Arial" w:eastAsia="Times New Roman" w:hAnsi="Arial" w:cs="Arial"/>
          <w:i/>
          <w:iCs/>
          <w:color w:val="000000"/>
          <w:lang w:eastAsia="en-GB"/>
        </w:rPr>
        <w:t xml:space="preserve">Key management </w:t>
      </w:r>
      <w:proofErr w:type="gramStart"/>
      <w:r w:rsidRPr="00B85D5D">
        <w:rPr>
          <w:rFonts w:ascii="Arial" w:eastAsia="Times New Roman" w:hAnsi="Arial" w:cs="Arial"/>
          <w:i/>
          <w:iCs/>
          <w:color w:val="000000"/>
          <w:lang w:eastAsia="en-GB"/>
        </w:rPr>
        <w:t>ratios :</w:t>
      </w:r>
      <w:proofErr w:type="gramEnd"/>
      <w:r w:rsidRPr="00B85D5D">
        <w:rPr>
          <w:rFonts w:ascii="Arial" w:eastAsia="Times New Roman" w:hAnsi="Arial" w:cs="Arial"/>
          <w:i/>
          <w:iCs/>
          <w:color w:val="000000"/>
          <w:lang w:eastAsia="en-GB"/>
        </w:rPr>
        <w:t xml:space="preserve"> the 100+ ratios every manager needs to know. </w:t>
      </w:r>
      <w:r w:rsidRPr="00B85D5D">
        <w:rPr>
          <w:rFonts w:ascii="Arial" w:eastAsia="Times New Roman" w:hAnsi="Arial" w:cs="Arial"/>
          <w:color w:val="000000"/>
          <w:lang w:eastAsia="en-GB"/>
        </w:rPr>
        <w:t>Harlow, England: FT Prentice Hall.</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r w:rsidRPr="00B85D5D">
        <w:rPr>
          <w:rFonts w:ascii="Arial" w:eastAsia="Times New Roman" w:hAnsi="Arial" w:cs="Arial"/>
          <w:color w:val="000000"/>
          <w:lang w:eastAsia="en-GB"/>
        </w:rPr>
        <w:t xml:space="preserve">Wesleyan Financial Services (2025) </w:t>
      </w:r>
      <w:r w:rsidRPr="00B85D5D">
        <w:rPr>
          <w:rFonts w:ascii="Arial" w:eastAsia="Times New Roman" w:hAnsi="Arial" w:cs="Arial"/>
          <w:i/>
          <w:color w:val="000000"/>
          <w:lang w:eastAsia="en-GB"/>
        </w:rPr>
        <w:t>Short-term vs long-term investing</w:t>
      </w:r>
      <w:r w:rsidRPr="00B85D5D">
        <w:rPr>
          <w:rFonts w:ascii="Arial" w:eastAsia="Times New Roman" w:hAnsi="Arial" w:cs="Arial"/>
          <w:color w:val="000000"/>
          <w:lang w:eastAsia="en-GB"/>
        </w:rPr>
        <w:t xml:space="preserve">. Available at: </w:t>
      </w:r>
      <w:hyperlink r:id="rId65" w:anchor=":~:text=Potentially%20less%20risk&amp;text=With%20a%20short-term%20outlook,and%20a%" w:history="1">
        <w:r w:rsidRPr="00B85D5D">
          <w:rPr>
            <w:rFonts w:ascii="Arial" w:eastAsia="Times New Roman" w:hAnsi="Arial" w:cs="Arial"/>
            <w:color w:val="0000FF"/>
            <w:u w:val="single"/>
            <w:lang w:eastAsia="en-GB"/>
          </w:rPr>
          <w:t>https://www.wesleyan.co.uk/savings-and-investments/long-vs-short-term-investing#:~:text=Potentially%20less%20risk&amp;text=With%20a%20short-term%20outlook,and%20a%</w:t>
        </w:r>
      </w:hyperlink>
      <w:r w:rsidRPr="00B85D5D">
        <w:rPr>
          <w:rFonts w:ascii="Arial" w:eastAsia="Times New Roman" w:hAnsi="Arial" w:cs="Arial"/>
          <w:color w:val="000000"/>
          <w:lang w:eastAsia="en-GB"/>
        </w:rPr>
        <w:t xml:space="preserve"> (Accessed 10 January 2025). </w:t>
      </w:r>
    </w:p>
    <w:p w:rsidR="00B85D5D" w:rsidRPr="00B85D5D" w:rsidRDefault="00B85D5D" w:rsidP="00B85D5D">
      <w:pPr>
        <w:shd w:val="clear" w:color="auto" w:fill="FFFFFF"/>
        <w:spacing w:after="173" w:line="240" w:lineRule="auto"/>
        <w:rPr>
          <w:rFonts w:ascii="Arial" w:eastAsia="Times New Roman" w:hAnsi="Arial" w:cs="Arial"/>
          <w:color w:val="000000"/>
          <w:lang w:eastAsia="en-GB"/>
        </w:rPr>
      </w:pPr>
      <w:proofErr w:type="spellStart"/>
      <w:r w:rsidRPr="00B85D5D">
        <w:rPr>
          <w:rFonts w:ascii="Arial" w:eastAsia="Times New Roman" w:hAnsi="Arial" w:cs="Arial"/>
          <w:color w:val="000000"/>
          <w:lang w:eastAsia="en-GB"/>
        </w:rPr>
        <w:t>Zimon</w:t>
      </w:r>
      <w:proofErr w:type="spellEnd"/>
      <w:r w:rsidRPr="00B85D5D">
        <w:rPr>
          <w:rFonts w:ascii="Arial" w:eastAsia="Times New Roman" w:hAnsi="Arial" w:cs="Arial"/>
          <w:color w:val="000000"/>
          <w:lang w:eastAsia="en-GB"/>
        </w:rPr>
        <w:t xml:space="preserve">, G. (2020) ‘Financial liquidity management strategies in Polish energy companies’, </w:t>
      </w:r>
      <w:r w:rsidRPr="00B85D5D">
        <w:rPr>
          <w:rFonts w:ascii="Arial" w:eastAsia="Times New Roman" w:hAnsi="Arial" w:cs="Arial"/>
          <w:i/>
          <w:color w:val="000000"/>
          <w:lang w:eastAsia="en-GB"/>
        </w:rPr>
        <w:t>International Journal of Energy Economics and Policy</w:t>
      </w:r>
      <w:r w:rsidRPr="00B85D5D">
        <w:rPr>
          <w:rFonts w:ascii="Arial" w:eastAsia="Times New Roman" w:hAnsi="Arial" w:cs="Arial"/>
          <w:color w:val="000000"/>
          <w:lang w:eastAsia="en-GB"/>
        </w:rPr>
        <w:t xml:space="preserve">,10(3), pp. 365-368. Available at: </w:t>
      </w:r>
      <w:hyperlink r:id="rId66" w:history="1">
        <w:r w:rsidRPr="00B85D5D">
          <w:rPr>
            <w:rFonts w:ascii="Arial" w:eastAsia="Times New Roman" w:hAnsi="Arial" w:cs="Arial"/>
            <w:color w:val="0000FF"/>
            <w:u w:val="single"/>
            <w:lang w:eastAsia="en-GB"/>
          </w:rPr>
          <w:t>https://www.econjournals.com/index.php/ijeep/article/view/9150</w:t>
        </w:r>
      </w:hyperlink>
      <w:r w:rsidRPr="00B85D5D">
        <w:rPr>
          <w:rFonts w:ascii="Arial" w:eastAsia="Times New Roman" w:hAnsi="Arial" w:cs="Arial"/>
          <w:color w:val="000000"/>
          <w:lang w:eastAsia="en-GB"/>
        </w:rPr>
        <w:t xml:space="preserve"> (Accessed 8 January 2025). </w:t>
      </w:r>
    </w:p>
    <w:p w:rsidR="00B85D5D" w:rsidRPr="00646CA5" w:rsidRDefault="00B85D5D" w:rsidP="00646CA5">
      <w:pPr>
        <w:spacing w:line="276" w:lineRule="auto"/>
        <w:rPr>
          <w:rFonts w:ascii="Arial" w:hAnsi="Arial" w:cs="Arial"/>
        </w:rPr>
      </w:pPr>
    </w:p>
    <w:p w:rsidR="003816F3" w:rsidRPr="00646CA5" w:rsidRDefault="003816F3" w:rsidP="00646CA5">
      <w:pPr>
        <w:spacing w:line="276" w:lineRule="auto"/>
        <w:rPr>
          <w:rFonts w:ascii="Arial" w:hAnsi="Arial" w:cs="Arial"/>
          <w:lang w:eastAsia="en-GB"/>
        </w:rPr>
      </w:pPr>
    </w:p>
    <w:p w:rsidR="003816F3" w:rsidRPr="00646CA5" w:rsidRDefault="003816F3" w:rsidP="00646CA5">
      <w:pPr>
        <w:spacing w:line="276" w:lineRule="auto"/>
        <w:rPr>
          <w:rFonts w:ascii="Arial" w:hAnsi="Arial" w:cs="Arial"/>
          <w:lang w:eastAsia="en-GB"/>
        </w:rPr>
      </w:pPr>
    </w:p>
    <w:p w:rsidR="006F1517" w:rsidRDefault="003816F3" w:rsidP="00646CA5">
      <w:pPr>
        <w:pStyle w:val="Heading1"/>
        <w:spacing w:line="276" w:lineRule="auto"/>
        <w:rPr>
          <w:rFonts w:ascii="Arial" w:hAnsi="Arial" w:cs="Arial"/>
          <w:b/>
          <w:color w:val="000000" w:themeColor="text1"/>
          <w:sz w:val="28"/>
          <w:szCs w:val="28"/>
        </w:rPr>
      </w:pPr>
      <w:bookmarkStart w:id="22" w:name="_Toc188151135"/>
      <w:r w:rsidRPr="00B85D5D">
        <w:rPr>
          <w:rFonts w:ascii="Arial" w:hAnsi="Arial" w:cs="Arial"/>
          <w:b/>
          <w:color w:val="000000" w:themeColor="text1"/>
          <w:sz w:val="28"/>
          <w:szCs w:val="28"/>
        </w:rPr>
        <w:t>9. Appendices</w:t>
      </w:r>
      <w:bookmarkEnd w:id="22"/>
    </w:p>
    <w:p w:rsidR="00B85D5D" w:rsidRDefault="00B85D5D" w:rsidP="00B85D5D"/>
    <w:p w:rsidR="00B85D5D" w:rsidRPr="00B85D5D" w:rsidRDefault="00B85D5D" w:rsidP="00B85D5D"/>
    <w:p w:rsidR="00150973" w:rsidRPr="00646CA5" w:rsidRDefault="00150973" w:rsidP="00646CA5">
      <w:pPr>
        <w:spacing w:line="276" w:lineRule="auto"/>
        <w:rPr>
          <w:rFonts w:ascii="Arial" w:hAnsi="Arial" w:cs="Arial"/>
        </w:rPr>
      </w:pPr>
    </w:p>
    <w:p w:rsidR="006F1517" w:rsidRDefault="00150973" w:rsidP="00646CA5">
      <w:pPr>
        <w:pStyle w:val="Heading2"/>
        <w:spacing w:line="276" w:lineRule="auto"/>
        <w:rPr>
          <w:rFonts w:ascii="Arial" w:hAnsi="Arial" w:cs="Arial"/>
          <w:b/>
          <w:color w:val="000000" w:themeColor="text1"/>
          <w:sz w:val="24"/>
          <w:szCs w:val="24"/>
        </w:rPr>
      </w:pPr>
      <w:r w:rsidRPr="00646CA5">
        <w:rPr>
          <w:rFonts w:ascii="Arial" w:hAnsi="Arial" w:cs="Arial"/>
          <w:sz w:val="22"/>
          <w:szCs w:val="22"/>
        </w:rPr>
        <w:t xml:space="preserve"> </w:t>
      </w:r>
      <w:bookmarkStart w:id="23" w:name="_Toc188151136"/>
      <w:r w:rsidRPr="00B85D5D">
        <w:rPr>
          <w:rFonts w:ascii="Arial" w:hAnsi="Arial" w:cs="Arial"/>
          <w:b/>
          <w:color w:val="000000" w:themeColor="text1"/>
          <w:sz w:val="24"/>
          <w:szCs w:val="24"/>
        </w:rPr>
        <w:t>Appendix</w:t>
      </w:r>
      <w:r w:rsidR="009D27A7" w:rsidRPr="00B85D5D">
        <w:rPr>
          <w:rFonts w:ascii="Arial" w:hAnsi="Arial" w:cs="Arial"/>
          <w:b/>
          <w:color w:val="000000" w:themeColor="text1"/>
          <w:sz w:val="24"/>
          <w:szCs w:val="24"/>
        </w:rPr>
        <w:t>1:</w:t>
      </w:r>
      <w:r w:rsidRPr="00B85D5D">
        <w:rPr>
          <w:rFonts w:ascii="Arial" w:hAnsi="Arial" w:cs="Arial"/>
          <w:b/>
          <w:color w:val="000000" w:themeColor="text1"/>
          <w:sz w:val="24"/>
          <w:szCs w:val="24"/>
        </w:rPr>
        <w:t xml:space="preserve"> Explanatory</w:t>
      </w:r>
      <w:r w:rsidR="00644A1B" w:rsidRPr="00B85D5D">
        <w:rPr>
          <w:rFonts w:ascii="Arial" w:hAnsi="Arial" w:cs="Arial"/>
          <w:b/>
          <w:color w:val="000000" w:themeColor="text1"/>
          <w:sz w:val="24"/>
          <w:szCs w:val="24"/>
        </w:rPr>
        <w:t xml:space="preserve"> notes</w:t>
      </w:r>
      <w:bookmarkEnd w:id="23"/>
      <w:r w:rsidR="00644A1B" w:rsidRPr="00B85D5D">
        <w:rPr>
          <w:rFonts w:ascii="Arial" w:hAnsi="Arial" w:cs="Arial"/>
          <w:b/>
          <w:color w:val="000000" w:themeColor="text1"/>
          <w:sz w:val="24"/>
          <w:szCs w:val="24"/>
        </w:rPr>
        <w:t xml:space="preserve"> </w:t>
      </w:r>
    </w:p>
    <w:p w:rsidR="008D6CF6" w:rsidRPr="008D6CF6" w:rsidRDefault="008D6CF6" w:rsidP="008D6CF6"/>
    <w:p w:rsidR="00644A1B" w:rsidRPr="00646CA5" w:rsidRDefault="00644A1B" w:rsidP="00B85D5D">
      <w:pPr>
        <w:spacing w:line="276" w:lineRule="auto"/>
        <w:rPr>
          <w:rFonts w:ascii="Arial" w:hAnsi="Arial" w:cs="Arial"/>
        </w:rPr>
      </w:pPr>
      <w:r w:rsidRPr="00646CA5">
        <w:rPr>
          <w:rFonts w:ascii="Arial" w:hAnsi="Arial" w:cs="Arial"/>
        </w:rPr>
        <w:t xml:space="preserve">I relied on Investing.com as my primary source of information. Although I initially intended to use the Centrica website, which only provides financial statements for two years (2021/2022), I ultimately chose Investing.com for my analysis. You can find all calculations and key ratios in Appendix 2. In this </w:t>
      </w:r>
      <w:r w:rsidR="00025721">
        <w:rPr>
          <w:rFonts w:ascii="Arial" w:hAnsi="Arial" w:cs="Arial"/>
        </w:rPr>
        <w:t>A</w:t>
      </w:r>
      <w:r w:rsidRPr="00646CA5">
        <w:rPr>
          <w:rFonts w:ascii="Arial" w:hAnsi="Arial" w:cs="Arial"/>
        </w:rPr>
        <w:t>ppendix, I also explain how I determined the average industry index over four years, ensuring transparency in my analysis process.</w:t>
      </w:r>
    </w:p>
    <w:p w:rsidR="003816F3" w:rsidRPr="00646CA5" w:rsidRDefault="003816F3" w:rsidP="00B85D5D">
      <w:pPr>
        <w:spacing w:line="276" w:lineRule="auto"/>
        <w:rPr>
          <w:rFonts w:ascii="Arial" w:hAnsi="Arial" w:cs="Arial"/>
        </w:rPr>
      </w:pPr>
    </w:p>
    <w:p w:rsidR="003816F3" w:rsidRDefault="009D03C2" w:rsidP="00646CA5">
      <w:pPr>
        <w:spacing w:line="276" w:lineRule="auto"/>
        <w:rPr>
          <w:rStyle w:val="Hyperlink"/>
          <w:rFonts w:ascii="Arial" w:hAnsi="Arial" w:cs="Arial"/>
        </w:rPr>
      </w:pPr>
      <w:hyperlink r:id="rId67" w:history="1">
        <w:r w:rsidR="00150973" w:rsidRPr="00646CA5">
          <w:rPr>
            <w:rStyle w:val="Hyperlink"/>
            <w:rFonts w:ascii="Arial" w:hAnsi="Arial" w:cs="Arial"/>
          </w:rPr>
          <w:t>https://www.investing.com/equities/centrica-income-statement</w:t>
        </w:r>
      </w:hyperlink>
    </w:p>
    <w:p w:rsidR="00BC0605" w:rsidRDefault="00BC0605" w:rsidP="00646CA5">
      <w:pPr>
        <w:spacing w:line="276" w:lineRule="auto"/>
        <w:rPr>
          <w:rFonts w:ascii="Arial" w:hAnsi="Arial" w:cs="Arial"/>
        </w:rPr>
      </w:pPr>
      <w:hyperlink r:id="rId68" w:history="1">
        <w:r w:rsidRPr="00B70837">
          <w:rPr>
            <w:rStyle w:val="Hyperlink"/>
            <w:rFonts w:ascii="Arial" w:hAnsi="Arial" w:cs="Arial"/>
          </w:rPr>
          <w:t>https://www.investing.com/equities/centrica</w:t>
        </w:r>
      </w:hyperlink>
    </w:p>
    <w:p w:rsidR="00BC0605" w:rsidRDefault="00BC0605" w:rsidP="00646CA5">
      <w:pPr>
        <w:spacing w:line="276" w:lineRule="auto"/>
        <w:rPr>
          <w:rFonts w:ascii="Arial" w:hAnsi="Arial" w:cs="Arial"/>
        </w:rPr>
      </w:pPr>
      <w:hyperlink r:id="rId69" w:history="1">
        <w:r w:rsidRPr="00B70837">
          <w:rPr>
            <w:rStyle w:val="Hyperlink"/>
            <w:rFonts w:ascii="Arial" w:hAnsi="Arial" w:cs="Arial"/>
          </w:rPr>
          <w:t>https://www.investing.com/equities/centrica-balance-sheet</w:t>
        </w:r>
      </w:hyperlink>
    </w:p>
    <w:p w:rsidR="00BC0605" w:rsidRDefault="00BC0605" w:rsidP="00646CA5">
      <w:pPr>
        <w:spacing w:line="276" w:lineRule="auto"/>
        <w:rPr>
          <w:rFonts w:ascii="Arial" w:hAnsi="Arial" w:cs="Arial"/>
        </w:rPr>
      </w:pPr>
      <w:hyperlink r:id="rId70" w:history="1">
        <w:r w:rsidRPr="00B70837">
          <w:rPr>
            <w:rStyle w:val="Hyperlink"/>
            <w:rFonts w:ascii="Arial" w:hAnsi="Arial" w:cs="Arial"/>
          </w:rPr>
          <w:t>https://www.investing.com/equities/centrica-cash-flow</w:t>
        </w:r>
      </w:hyperlink>
    </w:p>
    <w:p w:rsidR="00BC0605" w:rsidRPr="00646CA5" w:rsidRDefault="00BC0605" w:rsidP="00646CA5">
      <w:pPr>
        <w:spacing w:line="276" w:lineRule="auto"/>
        <w:rPr>
          <w:rFonts w:ascii="Arial" w:hAnsi="Arial" w:cs="Arial"/>
        </w:rPr>
      </w:pPr>
      <w:r w:rsidRPr="00BC0605">
        <w:rPr>
          <w:rFonts w:ascii="Arial" w:hAnsi="Arial" w:cs="Arial"/>
        </w:rPr>
        <w:t>https://www.investing.com/equities/centrica-ratios</w:t>
      </w:r>
    </w:p>
    <w:p w:rsidR="00150973" w:rsidRDefault="00150973" w:rsidP="00646CA5">
      <w:pPr>
        <w:spacing w:line="276" w:lineRule="auto"/>
        <w:rPr>
          <w:rFonts w:ascii="Arial" w:hAnsi="Arial" w:cs="Arial"/>
        </w:rPr>
      </w:pPr>
    </w:p>
    <w:p w:rsidR="00B85D5D" w:rsidRDefault="00B85D5D"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8D6CF6" w:rsidRDefault="008D6CF6" w:rsidP="00646CA5">
      <w:pPr>
        <w:spacing w:line="276" w:lineRule="auto"/>
        <w:rPr>
          <w:rFonts w:ascii="Arial" w:hAnsi="Arial" w:cs="Arial"/>
        </w:rPr>
      </w:pPr>
    </w:p>
    <w:p w:rsidR="00150973" w:rsidRPr="00B85D5D" w:rsidRDefault="00150973" w:rsidP="00646CA5">
      <w:pPr>
        <w:pStyle w:val="Heading2"/>
        <w:spacing w:line="276" w:lineRule="auto"/>
        <w:rPr>
          <w:rFonts w:ascii="Arial" w:hAnsi="Arial" w:cs="Arial"/>
          <w:b/>
          <w:color w:val="000000" w:themeColor="text1"/>
          <w:sz w:val="24"/>
          <w:szCs w:val="24"/>
        </w:rPr>
      </w:pPr>
      <w:bookmarkStart w:id="24" w:name="_Toc188151137"/>
      <w:bookmarkStart w:id="25" w:name="_GoBack"/>
      <w:bookmarkEnd w:id="25"/>
      <w:r w:rsidRPr="00B85D5D">
        <w:rPr>
          <w:rFonts w:ascii="Arial" w:hAnsi="Arial" w:cs="Arial"/>
          <w:b/>
          <w:color w:val="000000" w:themeColor="text1"/>
          <w:sz w:val="24"/>
          <w:szCs w:val="24"/>
        </w:rPr>
        <w:t xml:space="preserve">Appendix </w:t>
      </w:r>
      <w:r w:rsidR="009D27A7" w:rsidRPr="00B85D5D">
        <w:rPr>
          <w:rFonts w:ascii="Arial" w:hAnsi="Arial" w:cs="Arial"/>
          <w:b/>
          <w:color w:val="000000" w:themeColor="text1"/>
          <w:sz w:val="24"/>
          <w:szCs w:val="24"/>
        </w:rPr>
        <w:t>2:</w:t>
      </w:r>
      <w:r w:rsidR="00A051A5" w:rsidRPr="00B85D5D">
        <w:rPr>
          <w:rFonts w:ascii="Arial" w:hAnsi="Arial" w:cs="Arial"/>
          <w:b/>
          <w:color w:val="000000" w:themeColor="text1"/>
          <w:sz w:val="24"/>
          <w:szCs w:val="24"/>
        </w:rPr>
        <w:t xml:space="preserve"> </w:t>
      </w:r>
      <w:r w:rsidR="009D27A7" w:rsidRPr="00B85D5D">
        <w:rPr>
          <w:rFonts w:ascii="Arial" w:hAnsi="Arial" w:cs="Arial"/>
          <w:b/>
          <w:color w:val="000000" w:themeColor="text1"/>
          <w:sz w:val="24"/>
          <w:szCs w:val="24"/>
        </w:rPr>
        <w:t xml:space="preserve"> Calculation of Centrica's Key Financial Ratios</w:t>
      </w:r>
      <w:bookmarkEnd w:id="24"/>
    </w:p>
    <w:p w:rsidR="00A051A5" w:rsidRPr="00646CA5" w:rsidRDefault="00A051A5" w:rsidP="00646CA5">
      <w:pPr>
        <w:spacing w:line="276" w:lineRule="auto"/>
        <w:rPr>
          <w:rFonts w:ascii="Arial" w:hAnsi="Arial" w:cs="Arial"/>
        </w:rPr>
      </w:pPr>
    </w:p>
    <w:tbl>
      <w:tblPr>
        <w:tblW w:w="11240" w:type="dxa"/>
        <w:tblInd w:w="-1097" w:type="dxa"/>
        <w:tblCellMar>
          <w:top w:w="15" w:type="dxa"/>
          <w:bottom w:w="15" w:type="dxa"/>
        </w:tblCellMar>
        <w:tblLook w:val="04A0" w:firstRow="1" w:lastRow="0" w:firstColumn="1" w:lastColumn="0" w:noHBand="0" w:noVBand="1"/>
      </w:tblPr>
      <w:tblGrid>
        <w:gridCol w:w="3420"/>
        <w:gridCol w:w="1180"/>
        <w:gridCol w:w="1180"/>
        <w:gridCol w:w="1180"/>
        <w:gridCol w:w="1180"/>
        <w:gridCol w:w="1900"/>
        <w:gridCol w:w="1200"/>
      </w:tblGrid>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Metric</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2020</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2021</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2022</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2023</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Industry</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Profitability</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3100" w:type="dxa"/>
            <w:gridSpan w:val="2"/>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Return on Capital Employed (ROCE) (%)</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19.48%</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2.68%</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113.36%</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128.29%</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Net Profit Margin (%)</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0.33%</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8.21%</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-3.29%</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14.85%</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11.3</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Gross Profit Margin (%)</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21.23%</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4.89%</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36.79%</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50.79%</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34.04</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Assets Turnover (times)</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1.3</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1.62</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3.24</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2.59</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0.52</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Return on Owners' Equity (%)</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2.97%</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44.00%</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-61.09%</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92.81%</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Liquidity</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3100" w:type="dxa"/>
            <w:gridSpan w:val="2"/>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Current Ratio (times)</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1.36</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1.1</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0.95</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1.44</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1.05 MRQ</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Acid Test Ratio</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1.31</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1.07</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0.89</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1.34</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0.64 MRQ</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Efficiency</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3100" w:type="dxa"/>
            <w:gridSpan w:val="2"/>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Stock Turnover (times)</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32.12</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22.51</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12.16</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12.36</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17.58</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Stock Turnover (days)</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11</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16</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30</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30</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Debtors (days)</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77</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121</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109</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67</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Creditors (days)</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123</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175</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208</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154</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Gearing</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3100" w:type="dxa"/>
            <w:gridSpan w:val="2"/>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Total Debt/Equity Ratio (%)</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344.42%</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139.00%</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261.00%</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76.44%</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143.59 MRQ</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Investment</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3100" w:type="dxa"/>
            <w:gridSpan w:val="2"/>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Earnings per Share (EPS)</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0.007</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0.2</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-0.13</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0.7</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Dividend Cover (times)</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-4.44</w:t>
            </w:r>
          </w:p>
        </w:tc>
        <w:tc>
          <w:tcPr>
            <w:tcW w:w="118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17.63</w:t>
            </w:r>
          </w:p>
        </w:tc>
        <w:tc>
          <w:tcPr>
            <w:tcW w:w="19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r w:rsidR="00A051A5" w:rsidRPr="00646CA5" w:rsidTr="00A051A5">
        <w:trPr>
          <w:trHeight w:val="300"/>
        </w:trPr>
        <w:tc>
          <w:tcPr>
            <w:tcW w:w="342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Interest Cover (times)</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8.15</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1.24</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37.75</w:t>
            </w:r>
          </w:p>
        </w:tc>
        <w:tc>
          <w:tcPr>
            <w:tcW w:w="118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42.89</w:t>
            </w:r>
          </w:p>
        </w:tc>
        <w:tc>
          <w:tcPr>
            <w:tcW w:w="19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p>
        </w:tc>
        <w:tc>
          <w:tcPr>
            <w:tcW w:w="1200" w:type="dxa"/>
            <w:tcBorders>
              <w:top w:val="nil"/>
              <w:left w:val="nil"/>
              <w:bottom w:val="nil"/>
              <w:right w:val="nil"/>
            </w:tcBorders>
            <w:shd w:val="clear" w:color="C0E4F5" w:fill="C0E4F5"/>
            <w:noWrap/>
            <w:vAlign w:val="bottom"/>
            <w:hideMark/>
          </w:tcPr>
          <w:p w:rsidR="00A051A5" w:rsidRPr="00B85D5D" w:rsidRDefault="00A051A5" w:rsidP="00646CA5">
            <w:pPr>
              <w:spacing w:line="276" w:lineRule="auto"/>
              <w:rPr>
                <w:rFonts w:ascii="Arial" w:hAnsi="Arial" w:cs="Arial"/>
                <w:lang w:eastAsia="en-GB"/>
              </w:rPr>
            </w:pPr>
            <w:r w:rsidRPr="00B85D5D">
              <w:rPr>
                <w:rFonts w:ascii="Arial" w:hAnsi="Arial" w:cs="Arial"/>
                <w:lang w:eastAsia="en-GB"/>
              </w:rPr>
              <w:t>-</w:t>
            </w:r>
          </w:p>
        </w:tc>
      </w:tr>
    </w:tbl>
    <w:p w:rsidR="00150973" w:rsidRPr="00646CA5" w:rsidRDefault="00150973" w:rsidP="00646CA5">
      <w:pPr>
        <w:spacing w:line="276" w:lineRule="auto"/>
        <w:rPr>
          <w:rFonts w:ascii="Arial" w:hAnsi="Arial" w:cs="Arial"/>
        </w:rPr>
      </w:pPr>
    </w:p>
    <w:p w:rsidR="008D6CF6" w:rsidRDefault="008D6CF6" w:rsidP="00646CA5">
      <w:pPr>
        <w:spacing w:line="276" w:lineRule="auto"/>
        <w:rPr>
          <w:rFonts w:ascii="Arial" w:hAnsi="Arial" w:cs="Arial"/>
        </w:rPr>
      </w:pPr>
    </w:p>
    <w:p w:rsidR="008E476F" w:rsidRDefault="008E476F" w:rsidP="00646CA5">
      <w:pPr>
        <w:spacing w:line="276" w:lineRule="auto"/>
        <w:rPr>
          <w:rFonts w:ascii="Arial" w:hAnsi="Arial" w:cs="Arial"/>
        </w:rPr>
      </w:pPr>
    </w:p>
    <w:p w:rsidR="008D6CF6" w:rsidRDefault="008D6CF6" w:rsidP="00646CA5">
      <w:pPr>
        <w:spacing w:line="276" w:lineRule="auto"/>
        <w:rPr>
          <w:rFonts w:ascii="Arial" w:hAnsi="Arial" w:cs="Arial"/>
        </w:rPr>
      </w:pPr>
    </w:p>
    <w:p w:rsidR="00150973" w:rsidRPr="008D6CF6" w:rsidRDefault="00A051A5" w:rsidP="00646CA5">
      <w:pPr>
        <w:spacing w:line="276" w:lineRule="auto"/>
        <w:rPr>
          <w:rFonts w:ascii="Arial" w:hAnsi="Arial" w:cs="Arial"/>
          <w:b/>
          <w:sz w:val="28"/>
          <w:szCs w:val="28"/>
        </w:rPr>
      </w:pPr>
      <w:r w:rsidRPr="008D6CF6">
        <w:rPr>
          <w:rFonts w:ascii="Arial" w:hAnsi="Arial" w:cs="Arial"/>
          <w:b/>
          <w:sz w:val="28"/>
          <w:szCs w:val="28"/>
        </w:rPr>
        <w:t xml:space="preserve">Calculations </w:t>
      </w:r>
    </w:p>
    <w:p w:rsidR="00A051A5" w:rsidRPr="008D6CF6" w:rsidRDefault="00A051A5" w:rsidP="00646CA5">
      <w:pPr>
        <w:spacing w:line="276" w:lineRule="auto"/>
        <w:rPr>
          <w:rFonts w:ascii="Arial" w:hAnsi="Arial" w:cs="Arial"/>
          <w:sz w:val="24"/>
          <w:szCs w:val="24"/>
          <w:lang w:eastAsia="en-GB"/>
        </w:rPr>
      </w:pPr>
      <w:r w:rsidRPr="008D6CF6">
        <w:rPr>
          <w:rFonts w:ascii="Arial" w:hAnsi="Arial" w:cs="Arial"/>
          <w:b/>
          <w:sz w:val="24"/>
          <w:szCs w:val="24"/>
          <w:lang w:eastAsia="en-GB"/>
        </w:rPr>
        <w:t>Profitability</w:t>
      </w:r>
      <w:r w:rsidRPr="008D6CF6">
        <w:rPr>
          <w:rFonts w:ascii="Arial" w:hAnsi="Arial" w:cs="Arial"/>
          <w:sz w:val="24"/>
          <w:szCs w:val="24"/>
          <w:lang w:eastAsia="en-GB"/>
        </w:rPr>
        <w:t>:</w:t>
      </w:r>
    </w:p>
    <w:p w:rsidR="00A051A5" w:rsidRPr="00646CA5" w:rsidRDefault="00A051A5" w:rsidP="00646CA5">
      <w:pPr>
        <w:pStyle w:val="ListParagraph"/>
        <w:numPr>
          <w:ilvl w:val="0"/>
          <w:numId w:val="1"/>
        </w:numPr>
        <w:spacing w:line="276" w:lineRule="auto"/>
        <w:rPr>
          <w:rFonts w:ascii="Arial" w:hAnsi="Arial" w:cs="Arial"/>
          <w:lang w:eastAsia="en-GB"/>
        </w:rPr>
      </w:pPr>
      <w:r w:rsidRPr="00646CA5">
        <w:rPr>
          <w:rFonts w:ascii="Arial" w:hAnsi="Arial" w:cs="Arial"/>
          <w:lang w:eastAsia="en-GB"/>
        </w:rPr>
        <w:t>Return on Capital Employed (ROCE):</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2020: 1,842 / (17,119 - 7,665)) x 100 = 19.48%</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2021: 244 / (27,086 - 17,976)) x 100 = 2.68%</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2022: 8,306 / (29,038 - 21,711)) x 100 = 113.36%</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2023:13,124 / (21,366 - 11,136)) x 100 = 128.29%</w:t>
      </w:r>
    </w:p>
    <w:p w:rsidR="00A051A5" w:rsidRPr="00646CA5" w:rsidRDefault="00A051A5" w:rsidP="00646CA5">
      <w:pPr>
        <w:pStyle w:val="ListParagraph"/>
        <w:numPr>
          <w:ilvl w:val="0"/>
          <w:numId w:val="1"/>
        </w:numPr>
        <w:spacing w:line="276" w:lineRule="auto"/>
        <w:rPr>
          <w:rFonts w:ascii="Arial" w:hAnsi="Arial" w:cs="Arial"/>
          <w:lang w:eastAsia="en-GB"/>
        </w:rPr>
      </w:pPr>
      <w:r w:rsidRPr="00646CA5">
        <w:rPr>
          <w:rFonts w:ascii="Arial" w:hAnsi="Arial" w:cs="Arial"/>
          <w:lang w:eastAsia="en-GB"/>
        </w:rPr>
        <w:t>Net Profit Margin:</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2020: (41 / 12,249) x 100 = 0.33%</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2021: (1,210 / 14,744) x 100 = 8.21%</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2022: (-782 / 23,741) x 100 = (3.29) %</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2023: (3,929 / 26,458) x 100 = 14.85%</w:t>
      </w:r>
    </w:p>
    <w:p w:rsidR="00A051A5" w:rsidRPr="00646CA5" w:rsidRDefault="00A051A5" w:rsidP="00646CA5">
      <w:pPr>
        <w:pStyle w:val="ListParagraph"/>
        <w:numPr>
          <w:ilvl w:val="0"/>
          <w:numId w:val="1"/>
        </w:numPr>
        <w:spacing w:line="276" w:lineRule="auto"/>
        <w:rPr>
          <w:rFonts w:ascii="Arial" w:hAnsi="Arial" w:cs="Arial"/>
          <w:lang w:eastAsia="en-GB"/>
        </w:rPr>
      </w:pPr>
      <w:r w:rsidRPr="00646CA5">
        <w:rPr>
          <w:rFonts w:ascii="Arial" w:hAnsi="Arial" w:cs="Arial"/>
          <w:lang w:eastAsia="en-GB"/>
        </w:rPr>
        <w:t>Gross Profit Margin:</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2020: (2,601 / 12,249) x 100 = 21.23%</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2021: (721 / 14,744) x 100 = 4.89%</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2022: (8,734 / 23,741) x 100 = 36.79%</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2023: (13,437 / 26,458) x 100 = 50.79%</w:t>
      </w:r>
    </w:p>
    <w:p w:rsidR="00A051A5" w:rsidRPr="00646CA5" w:rsidRDefault="00A051A5" w:rsidP="00646CA5">
      <w:pPr>
        <w:pStyle w:val="ListParagraph"/>
        <w:numPr>
          <w:ilvl w:val="0"/>
          <w:numId w:val="1"/>
        </w:numPr>
        <w:spacing w:line="276" w:lineRule="auto"/>
        <w:rPr>
          <w:rFonts w:ascii="Arial" w:hAnsi="Arial" w:cs="Arial"/>
          <w:lang w:eastAsia="en-GB"/>
        </w:rPr>
      </w:pPr>
      <w:r w:rsidRPr="00646CA5">
        <w:rPr>
          <w:rFonts w:ascii="Arial" w:hAnsi="Arial" w:cs="Arial"/>
          <w:lang w:eastAsia="en-GB"/>
        </w:rPr>
        <w:t>Assets Turnover:</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2020: 12,249 / (17,119 - 7,665) = 1.30 times</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2021: 14,744 / (27,086 - 17,976) = 1.62 times</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2022: 23,741 / (29,038 - 21,711) = 3.24 times</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2023: 26,458 / (21,366 - 11,136) = 2.59 times</w:t>
      </w:r>
    </w:p>
    <w:p w:rsidR="00A051A5" w:rsidRPr="00646CA5" w:rsidRDefault="00A051A5" w:rsidP="00646CA5">
      <w:pPr>
        <w:pStyle w:val="ListParagraph"/>
        <w:numPr>
          <w:ilvl w:val="0"/>
          <w:numId w:val="1"/>
        </w:numPr>
        <w:spacing w:line="276" w:lineRule="auto"/>
        <w:rPr>
          <w:rFonts w:ascii="Arial" w:hAnsi="Arial" w:cs="Arial"/>
          <w:lang w:eastAsia="en-GB"/>
        </w:rPr>
      </w:pPr>
      <w:r w:rsidRPr="00646CA5">
        <w:rPr>
          <w:rFonts w:ascii="Arial" w:hAnsi="Arial" w:cs="Arial"/>
          <w:lang w:eastAsia="en-GB"/>
        </w:rPr>
        <w:t>Return on Owners' Equity:</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2020: (41 / 1,382) x 100 = 2.97%</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2021: (1,210 / 2,750) x 100 = 44%</w:t>
      </w:r>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2022: (-782 / 1,280) x 100 = (</w:t>
      </w:r>
      <w:proofErr w:type="gramStart"/>
      <w:r w:rsidRPr="00646CA5">
        <w:rPr>
          <w:rFonts w:ascii="Arial" w:hAnsi="Arial" w:cs="Arial"/>
          <w:lang w:eastAsia="en-GB"/>
        </w:rPr>
        <w:t>61.09)%</w:t>
      </w:r>
      <w:proofErr w:type="gramEnd"/>
    </w:p>
    <w:p w:rsidR="00A051A5" w:rsidRPr="00646CA5" w:rsidRDefault="00A051A5" w:rsidP="00646CA5">
      <w:pPr>
        <w:pStyle w:val="ListParagraph"/>
        <w:numPr>
          <w:ilvl w:val="1"/>
          <w:numId w:val="1"/>
        </w:numPr>
        <w:spacing w:line="276" w:lineRule="auto"/>
        <w:rPr>
          <w:rFonts w:ascii="Arial" w:hAnsi="Arial" w:cs="Arial"/>
          <w:lang w:eastAsia="en-GB"/>
        </w:rPr>
      </w:pPr>
      <w:r w:rsidRPr="00646CA5">
        <w:rPr>
          <w:rFonts w:ascii="Arial" w:hAnsi="Arial" w:cs="Arial"/>
          <w:lang w:eastAsia="en-GB"/>
        </w:rPr>
        <w:t>2023: (3,929 / 4,233) x 100 = 92.81%</w:t>
      </w:r>
    </w:p>
    <w:p w:rsidR="00A051A5" w:rsidRPr="00646CA5" w:rsidRDefault="009D03C2" w:rsidP="00646CA5">
      <w:pPr>
        <w:spacing w:line="276" w:lineRule="auto"/>
        <w:rPr>
          <w:rFonts w:ascii="Arial" w:hAnsi="Arial" w:cs="Arial"/>
          <w:lang w:eastAsia="en-GB"/>
        </w:rPr>
      </w:pPr>
      <w:r>
        <w:rPr>
          <w:rFonts w:ascii="Arial" w:hAnsi="Arial" w:cs="Arial"/>
          <w:lang w:eastAsia="en-GB"/>
        </w:rPr>
        <w:pict>
          <v:rect id="_x0000_i1025" style="width:0;height:1.5pt" o:hralign="center" o:hrstd="t" o:hr="t" fillcolor="#a0a0a0" stroked="f"/>
        </w:pict>
      </w:r>
    </w:p>
    <w:p w:rsidR="00A051A5" w:rsidRPr="008D6CF6" w:rsidRDefault="00A051A5" w:rsidP="00646CA5">
      <w:pPr>
        <w:spacing w:line="276" w:lineRule="auto"/>
        <w:rPr>
          <w:rFonts w:ascii="Arial" w:hAnsi="Arial" w:cs="Arial"/>
          <w:b/>
          <w:sz w:val="24"/>
          <w:szCs w:val="24"/>
          <w:lang w:eastAsia="en-GB"/>
        </w:rPr>
      </w:pPr>
      <w:r w:rsidRPr="008D6CF6">
        <w:rPr>
          <w:rFonts w:ascii="Arial" w:hAnsi="Arial" w:cs="Arial"/>
          <w:b/>
          <w:sz w:val="24"/>
          <w:szCs w:val="24"/>
          <w:lang w:eastAsia="en-GB"/>
        </w:rPr>
        <w:t>Liquidity:</w:t>
      </w:r>
    </w:p>
    <w:p w:rsidR="00A051A5" w:rsidRPr="00646CA5" w:rsidRDefault="00A051A5" w:rsidP="00646CA5">
      <w:pPr>
        <w:pStyle w:val="ListParagraph"/>
        <w:numPr>
          <w:ilvl w:val="0"/>
          <w:numId w:val="2"/>
        </w:numPr>
        <w:spacing w:line="276" w:lineRule="auto"/>
        <w:rPr>
          <w:rFonts w:ascii="Arial" w:hAnsi="Arial" w:cs="Arial"/>
          <w:lang w:eastAsia="en-GB"/>
        </w:rPr>
      </w:pPr>
      <w:r w:rsidRPr="00646CA5">
        <w:rPr>
          <w:rFonts w:ascii="Arial" w:hAnsi="Arial" w:cs="Arial"/>
          <w:lang w:eastAsia="en-GB"/>
        </w:rPr>
        <w:t>Current Ratio:</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2020: 10,412 / 7,665 = 1.36 times</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2021: 19,885 / 17,976 = 1.10 times</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2022: 20,688 / 21,711 = 0.95 times</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2023: 16,066 / 11,136 = 1.44 times</w:t>
      </w:r>
    </w:p>
    <w:p w:rsidR="00A051A5" w:rsidRPr="00646CA5" w:rsidRDefault="00A051A5" w:rsidP="00646CA5">
      <w:pPr>
        <w:pStyle w:val="ListParagraph"/>
        <w:numPr>
          <w:ilvl w:val="0"/>
          <w:numId w:val="2"/>
        </w:numPr>
        <w:spacing w:line="276" w:lineRule="auto"/>
        <w:rPr>
          <w:rFonts w:ascii="Arial" w:hAnsi="Arial" w:cs="Arial"/>
          <w:lang w:eastAsia="en-GB"/>
        </w:rPr>
      </w:pPr>
      <w:r w:rsidRPr="00646CA5">
        <w:rPr>
          <w:rFonts w:ascii="Arial" w:hAnsi="Arial" w:cs="Arial"/>
          <w:lang w:eastAsia="en-GB"/>
        </w:rPr>
        <w:t>Acid Test Ratio:</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2020: (10,412 - 324) / 7,665 = 1.31</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2021: (19,885 - 644) / 17,976 = 1.07</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2022: (20,688 - 1,269) / 21,711 = 0.89</w:t>
      </w:r>
    </w:p>
    <w:p w:rsidR="00A051A5" w:rsidRPr="00646CA5" w:rsidRDefault="00A051A5" w:rsidP="00646CA5">
      <w:pPr>
        <w:pStyle w:val="ListParagraph"/>
        <w:numPr>
          <w:ilvl w:val="1"/>
          <w:numId w:val="2"/>
        </w:numPr>
        <w:spacing w:line="276" w:lineRule="auto"/>
        <w:rPr>
          <w:rFonts w:ascii="Arial" w:hAnsi="Arial" w:cs="Arial"/>
          <w:lang w:eastAsia="en-GB"/>
        </w:rPr>
      </w:pPr>
      <w:r w:rsidRPr="00646CA5">
        <w:rPr>
          <w:rFonts w:ascii="Arial" w:hAnsi="Arial" w:cs="Arial"/>
          <w:lang w:eastAsia="en-GB"/>
        </w:rPr>
        <w:t>2023: (16,066 - 1,079) / 11,136 = 1.34</w:t>
      </w:r>
    </w:p>
    <w:p w:rsidR="00A051A5" w:rsidRPr="00646CA5" w:rsidRDefault="009D03C2" w:rsidP="00646CA5">
      <w:pPr>
        <w:spacing w:line="276" w:lineRule="auto"/>
        <w:rPr>
          <w:rFonts w:ascii="Arial" w:hAnsi="Arial" w:cs="Arial"/>
          <w:lang w:eastAsia="en-GB"/>
        </w:rPr>
      </w:pPr>
      <w:r>
        <w:rPr>
          <w:rFonts w:ascii="Arial" w:hAnsi="Arial" w:cs="Arial"/>
          <w:lang w:eastAsia="en-GB"/>
        </w:rPr>
        <w:pict>
          <v:rect id="_x0000_i1026" style="width:0;height:1.5pt" o:hralign="center" o:hrstd="t" o:hr="t" fillcolor="#a0a0a0" stroked="f"/>
        </w:pict>
      </w:r>
    </w:p>
    <w:p w:rsidR="008D6CF6" w:rsidRDefault="008D6CF6" w:rsidP="00646CA5">
      <w:pPr>
        <w:spacing w:line="276" w:lineRule="auto"/>
        <w:rPr>
          <w:rFonts w:ascii="Arial" w:hAnsi="Arial" w:cs="Arial"/>
          <w:lang w:eastAsia="en-GB"/>
        </w:rPr>
      </w:pPr>
    </w:p>
    <w:p w:rsidR="00A051A5" w:rsidRPr="00646CA5" w:rsidRDefault="00A051A5" w:rsidP="00646CA5">
      <w:pPr>
        <w:spacing w:line="276" w:lineRule="auto"/>
        <w:rPr>
          <w:rFonts w:ascii="Arial" w:hAnsi="Arial" w:cs="Arial"/>
          <w:lang w:eastAsia="en-GB"/>
        </w:rPr>
      </w:pPr>
      <w:r w:rsidRPr="008D6CF6">
        <w:rPr>
          <w:rFonts w:ascii="Arial" w:hAnsi="Arial" w:cs="Arial"/>
          <w:b/>
          <w:sz w:val="24"/>
          <w:szCs w:val="24"/>
          <w:lang w:eastAsia="en-GB"/>
        </w:rPr>
        <w:lastRenderedPageBreak/>
        <w:t>Efficiency</w:t>
      </w:r>
      <w:r w:rsidRPr="00646CA5">
        <w:rPr>
          <w:rFonts w:ascii="Arial" w:hAnsi="Arial" w:cs="Arial"/>
          <w:lang w:eastAsia="en-GB"/>
        </w:rPr>
        <w:t>:</w:t>
      </w:r>
    </w:p>
    <w:p w:rsidR="00A051A5" w:rsidRPr="00646CA5" w:rsidRDefault="00A051A5" w:rsidP="00646CA5">
      <w:pPr>
        <w:pStyle w:val="ListParagraph"/>
        <w:numPr>
          <w:ilvl w:val="0"/>
          <w:numId w:val="3"/>
        </w:numPr>
        <w:spacing w:line="276" w:lineRule="auto"/>
        <w:rPr>
          <w:rFonts w:ascii="Arial" w:hAnsi="Arial" w:cs="Arial"/>
          <w:lang w:eastAsia="en-GB"/>
        </w:rPr>
      </w:pPr>
      <w:r w:rsidRPr="00646CA5">
        <w:rPr>
          <w:rFonts w:ascii="Arial" w:hAnsi="Arial" w:cs="Arial"/>
          <w:lang w:eastAsia="en-GB"/>
        </w:rPr>
        <w:t>Stock Turnover:</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2020: 10,407 / 324 = 32.12 times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2021: 14,500 / 644 = 22.51 times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2022: 15,435 / 1,269 = 12.16 times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2023: 13,334 / 1,079 = 12.36 times</w:t>
      </w:r>
    </w:p>
    <w:p w:rsidR="00A051A5" w:rsidRPr="00646CA5" w:rsidRDefault="00A051A5" w:rsidP="00646CA5">
      <w:pPr>
        <w:pStyle w:val="ListParagraph"/>
        <w:numPr>
          <w:ilvl w:val="0"/>
          <w:numId w:val="3"/>
        </w:numPr>
        <w:spacing w:line="276" w:lineRule="auto"/>
        <w:rPr>
          <w:rFonts w:ascii="Arial" w:hAnsi="Arial" w:cs="Arial"/>
          <w:lang w:eastAsia="en-GB"/>
        </w:rPr>
      </w:pPr>
      <w:r w:rsidRPr="00646CA5">
        <w:rPr>
          <w:rFonts w:ascii="Arial" w:hAnsi="Arial" w:cs="Arial"/>
          <w:lang w:eastAsia="en-GB"/>
        </w:rPr>
        <w:t>Stock Turnover:</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2020: (324 / 10,407) x 365 = 11.36=11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2021: (644 / 14,500) x 365 = 16.21 =16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2022: (1,269 / 15,435) x 365 = 30.00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2023: (1,079 / 13,334) x 365 = 29.53 = 30 days</w:t>
      </w:r>
    </w:p>
    <w:p w:rsidR="00A051A5" w:rsidRPr="00646CA5" w:rsidRDefault="00A051A5" w:rsidP="00646CA5">
      <w:pPr>
        <w:pStyle w:val="ListParagraph"/>
        <w:numPr>
          <w:ilvl w:val="0"/>
          <w:numId w:val="3"/>
        </w:numPr>
        <w:spacing w:line="276" w:lineRule="auto"/>
        <w:rPr>
          <w:rFonts w:ascii="Arial" w:hAnsi="Arial" w:cs="Arial"/>
          <w:lang w:eastAsia="en-GB"/>
        </w:rPr>
      </w:pPr>
      <w:r w:rsidRPr="00646CA5">
        <w:rPr>
          <w:rFonts w:ascii="Arial" w:hAnsi="Arial" w:cs="Arial"/>
          <w:lang w:eastAsia="en-GB"/>
        </w:rPr>
        <w:t>Debtors: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2020: (2,576 / 12,249) x 365 = 76.76=77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2021: (4,884 / 14,744) x 365 = 120.90=121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2022: (7,095 / 23,741) x 365 = 109.08 =109days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2023: (4,890 / 26,458) x 365 = 67.46=67 days</w:t>
      </w:r>
    </w:p>
    <w:p w:rsidR="00A051A5" w:rsidRPr="00646CA5" w:rsidRDefault="00A051A5" w:rsidP="00646CA5">
      <w:pPr>
        <w:pStyle w:val="ListParagraph"/>
        <w:numPr>
          <w:ilvl w:val="0"/>
          <w:numId w:val="3"/>
        </w:numPr>
        <w:spacing w:line="276" w:lineRule="auto"/>
        <w:rPr>
          <w:rFonts w:ascii="Arial" w:hAnsi="Arial" w:cs="Arial"/>
          <w:lang w:eastAsia="en-GB"/>
        </w:rPr>
      </w:pPr>
      <w:r w:rsidRPr="00646CA5">
        <w:rPr>
          <w:rFonts w:ascii="Arial" w:hAnsi="Arial" w:cs="Arial"/>
          <w:lang w:eastAsia="en-GB"/>
        </w:rPr>
        <w:t>Creditors: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2020: 3,494 / 10,407 x 365 = 122.54=123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2021: 6,960 / 14,500 x 365 = 175.2=175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2022: 8,808 / 15,435 x 365 = 208.28 =208 days</w:t>
      </w:r>
    </w:p>
    <w:p w:rsidR="00A051A5" w:rsidRPr="00646CA5" w:rsidRDefault="00A051A5" w:rsidP="00646CA5">
      <w:pPr>
        <w:pStyle w:val="ListParagraph"/>
        <w:numPr>
          <w:ilvl w:val="1"/>
          <w:numId w:val="3"/>
        </w:numPr>
        <w:spacing w:line="276" w:lineRule="auto"/>
        <w:rPr>
          <w:rFonts w:ascii="Arial" w:hAnsi="Arial" w:cs="Arial"/>
          <w:lang w:eastAsia="en-GB"/>
        </w:rPr>
      </w:pPr>
      <w:r w:rsidRPr="00646CA5">
        <w:rPr>
          <w:rFonts w:ascii="Arial" w:hAnsi="Arial" w:cs="Arial"/>
          <w:lang w:eastAsia="en-GB"/>
        </w:rPr>
        <w:t>2023: 5,635 / 13,334 x 365 = 154.25 =154 days</w:t>
      </w:r>
    </w:p>
    <w:p w:rsidR="00A051A5" w:rsidRPr="00646CA5" w:rsidRDefault="009D03C2" w:rsidP="00646CA5">
      <w:pPr>
        <w:spacing w:line="276" w:lineRule="auto"/>
        <w:rPr>
          <w:rFonts w:ascii="Arial" w:hAnsi="Arial" w:cs="Arial"/>
          <w:lang w:eastAsia="en-GB"/>
        </w:rPr>
      </w:pPr>
      <w:r>
        <w:rPr>
          <w:rFonts w:ascii="Arial" w:hAnsi="Arial" w:cs="Arial"/>
          <w:lang w:eastAsia="en-GB"/>
        </w:rPr>
        <w:pict>
          <v:rect id="_x0000_i1027" style="width:0;height:1.5pt" o:hralign="center" o:hrstd="t" o:hr="t" fillcolor="#a0a0a0" stroked="f"/>
        </w:pict>
      </w:r>
    </w:p>
    <w:p w:rsidR="00A051A5" w:rsidRPr="008D6CF6" w:rsidRDefault="00A051A5" w:rsidP="00646CA5">
      <w:pPr>
        <w:spacing w:line="276" w:lineRule="auto"/>
        <w:rPr>
          <w:rFonts w:ascii="Arial" w:hAnsi="Arial" w:cs="Arial"/>
          <w:b/>
          <w:sz w:val="24"/>
          <w:szCs w:val="24"/>
          <w:lang w:eastAsia="en-GB"/>
        </w:rPr>
      </w:pPr>
      <w:r w:rsidRPr="008D6CF6">
        <w:rPr>
          <w:rFonts w:ascii="Arial" w:hAnsi="Arial" w:cs="Arial"/>
          <w:b/>
          <w:sz w:val="24"/>
          <w:szCs w:val="24"/>
          <w:lang w:eastAsia="en-GB"/>
        </w:rPr>
        <w:t>Gearing:</w:t>
      </w:r>
    </w:p>
    <w:p w:rsidR="00A051A5" w:rsidRPr="00646CA5" w:rsidRDefault="00A051A5" w:rsidP="00646CA5">
      <w:pPr>
        <w:pStyle w:val="ListParagraph"/>
        <w:numPr>
          <w:ilvl w:val="0"/>
          <w:numId w:val="4"/>
        </w:numPr>
        <w:spacing w:line="276" w:lineRule="auto"/>
        <w:rPr>
          <w:rFonts w:ascii="Arial" w:hAnsi="Arial" w:cs="Arial"/>
          <w:lang w:eastAsia="en-GB"/>
        </w:rPr>
      </w:pPr>
      <w:r w:rsidRPr="00646CA5">
        <w:rPr>
          <w:rFonts w:ascii="Arial" w:hAnsi="Arial" w:cs="Arial"/>
          <w:lang w:eastAsia="en-GB"/>
        </w:rPr>
        <w:t>Total Debt / Equity Ratio:</w:t>
      </w:r>
    </w:p>
    <w:p w:rsidR="00A051A5" w:rsidRPr="00646CA5" w:rsidRDefault="00A051A5" w:rsidP="00646CA5">
      <w:pPr>
        <w:pStyle w:val="ListParagraph"/>
        <w:numPr>
          <w:ilvl w:val="1"/>
          <w:numId w:val="4"/>
        </w:numPr>
        <w:spacing w:line="276" w:lineRule="auto"/>
        <w:rPr>
          <w:rFonts w:ascii="Arial" w:hAnsi="Arial" w:cs="Arial"/>
          <w:lang w:eastAsia="en-GB"/>
        </w:rPr>
      </w:pPr>
      <w:r w:rsidRPr="00646CA5">
        <w:rPr>
          <w:rFonts w:ascii="Arial" w:hAnsi="Arial" w:cs="Arial"/>
          <w:lang w:eastAsia="en-GB"/>
        </w:rPr>
        <w:t>2020: 4,760 / 1,382 x 100% = 344.42%</w:t>
      </w:r>
    </w:p>
    <w:p w:rsidR="00A051A5" w:rsidRPr="00646CA5" w:rsidRDefault="00A051A5" w:rsidP="00646CA5">
      <w:pPr>
        <w:pStyle w:val="ListParagraph"/>
        <w:numPr>
          <w:ilvl w:val="1"/>
          <w:numId w:val="4"/>
        </w:numPr>
        <w:spacing w:line="276" w:lineRule="auto"/>
        <w:rPr>
          <w:rFonts w:ascii="Arial" w:hAnsi="Arial" w:cs="Arial"/>
          <w:lang w:eastAsia="en-GB"/>
        </w:rPr>
      </w:pPr>
      <w:r w:rsidRPr="00646CA5">
        <w:rPr>
          <w:rFonts w:ascii="Arial" w:hAnsi="Arial" w:cs="Arial"/>
          <w:lang w:eastAsia="en-GB"/>
        </w:rPr>
        <w:t>2021: 3,825 / 2,750 x 100% = 139%</w:t>
      </w:r>
    </w:p>
    <w:p w:rsidR="00A051A5" w:rsidRPr="00646CA5" w:rsidRDefault="00A051A5" w:rsidP="00646CA5">
      <w:pPr>
        <w:pStyle w:val="ListParagraph"/>
        <w:numPr>
          <w:ilvl w:val="1"/>
          <w:numId w:val="4"/>
        </w:numPr>
        <w:spacing w:line="276" w:lineRule="auto"/>
        <w:rPr>
          <w:rFonts w:ascii="Arial" w:hAnsi="Arial" w:cs="Arial"/>
          <w:lang w:eastAsia="en-GB"/>
        </w:rPr>
      </w:pPr>
      <w:r w:rsidRPr="00646CA5">
        <w:rPr>
          <w:rFonts w:ascii="Arial" w:hAnsi="Arial" w:cs="Arial"/>
          <w:lang w:eastAsia="en-GB"/>
        </w:rPr>
        <w:t>2022: 3,342 / 1,280 x 100% = 261%</w:t>
      </w:r>
    </w:p>
    <w:p w:rsidR="00A051A5" w:rsidRPr="00646CA5" w:rsidRDefault="00A051A5" w:rsidP="00646CA5">
      <w:pPr>
        <w:pStyle w:val="ListParagraph"/>
        <w:numPr>
          <w:ilvl w:val="1"/>
          <w:numId w:val="4"/>
        </w:numPr>
        <w:spacing w:line="276" w:lineRule="auto"/>
        <w:rPr>
          <w:rFonts w:ascii="Arial" w:hAnsi="Arial" w:cs="Arial"/>
          <w:lang w:eastAsia="en-GB"/>
        </w:rPr>
      </w:pPr>
      <w:r w:rsidRPr="00646CA5">
        <w:rPr>
          <w:rFonts w:ascii="Arial" w:hAnsi="Arial" w:cs="Arial"/>
          <w:lang w:eastAsia="en-GB"/>
        </w:rPr>
        <w:t>2023: 3,236 / 4,233 x 100% = 76.44%</w:t>
      </w:r>
    </w:p>
    <w:p w:rsidR="00A051A5" w:rsidRPr="00646CA5" w:rsidRDefault="009D03C2" w:rsidP="00646CA5">
      <w:pPr>
        <w:spacing w:line="276" w:lineRule="auto"/>
        <w:rPr>
          <w:rFonts w:ascii="Arial" w:hAnsi="Arial" w:cs="Arial"/>
          <w:lang w:eastAsia="en-GB"/>
        </w:rPr>
      </w:pPr>
      <w:r>
        <w:rPr>
          <w:rFonts w:ascii="Arial" w:hAnsi="Arial" w:cs="Arial"/>
          <w:lang w:eastAsia="en-GB"/>
        </w:rPr>
        <w:pict>
          <v:rect id="_x0000_i1028" style="width:0;height:1.5pt" o:hralign="center" o:hrstd="t" o:hr="t" fillcolor="#a0a0a0" stroked="f"/>
        </w:pict>
      </w:r>
    </w:p>
    <w:p w:rsidR="00A051A5" w:rsidRPr="008D6CF6" w:rsidRDefault="00A051A5" w:rsidP="00646CA5">
      <w:pPr>
        <w:spacing w:line="276" w:lineRule="auto"/>
        <w:rPr>
          <w:rFonts w:ascii="Arial" w:hAnsi="Arial" w:cs="Arial"/>
          <w:b/>
          <w:sz w:val="24"/>
          <w:szCs w:val="24"/>
          <w:lang w:eastAsia="en-GB"/>
        </w:rPr>
      </w:pPr>
      <w:r w:rsidRPr="008D6CF6">
        <w:rPr>
          <w:rFonts w:ascii="Arial" w:hAnsi="Arial" w:cs="Arial"/>
          <w:b/>
          <w:sz w:val="24"/>
          <w:szCs w:val="24"/>
          <w:lang w:eastAsia="en-GB"/>
        </w:rPr>
        <w:t>Investment:</w:t>
      </w:r>
    </w:p>
    <w:p w:rsidR="00A051A5" w:rsidRPr="00646CA5" w:rsidRDefault="00A051A5" w:rsidP="00646CA5">
      <w:pPr>
        <w:pStyle w:val="ListParagraph"/>
        <w:numPr>
          <w:ilvl w:val="0"/>
          <w:numId w:val="5"/>
        </w:numPr>
        <w:spacing w:line="276" w:lineRule="auto"/>
        <w:rPr>
          <w:rFonts w:ascii="Arial" w:hAnsi="Arial" w:cs="Arial"/>
          <w:lang w:eastAsia="en-GB"/>
        </w:rPr>
      </w:pPr>
      <w:r w:rsidRPr="00646CA5">
        <w:rPr>
          <w:rFonts w:ascii="Arial" w:hAnsi="Arial" w:cs="Arial"/>
          <w:lang w:eastAsia="en-GB"/>
        </w:rPr>
        <w:t>Earnings per Share (EPS):</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2020: 41 / 5,825 = 0.007</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2021: 1,210 / 5,836 = 0.20</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2022: (782) / 5,869 = (0.13)</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2023: 3,929 / 5,569 = 0.70</w:t>
      </w:r>
    </w:p>
    <w:p w:rsidR="00A051A5" w:rsidRPr="00646CA5" w:rsidRDefault="00A051A5" w:rsidP="00646CA5">
      <w:pPr>
        <w:pStyle w:val="ListParagraph"/>
        <w:numPr>
          <w:ilvl w:val="0"/>
          <w:numId w:val="5"/>
        </w:numPr>
        <w:spacing w:line="276" w:lineRule="auto"/>
        <w:rPr>
          <w:rFonts w:ascii="Arial" w:hAnsi="Arial" w:cs="Arial"/>
          <w:lang w:eastAsia="en-GB"/>
        </w:rPr>
      </w:pPr>
      <w:r w:rsidRPr="00646CA5">
        <w:rPr>
          <w:rFonts w:ascii="Arial" w:hAnsi="Arial" w:cs="Arial"/>
          <w:lang w:eastAsia="en-GB"/>
        </w:rPr>
        <w:t>Dividend Cover:</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2022: (-782) / 176 = (4.44)</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2023: 3,929 / 222.77 = 17.63 times</w:t>
      </w:r>
    </w:p>
    <w:p w:rsidR="00A051A5" w:rsidRPr="00646CA5" w:rsidRDefault="00A051A5" w:rsidP="00646CA5">
      <w:pPr>
        <w:pStyle w:val="ListParagraph"/>
        <w:numPr>
          <w:ilvl w:val="0"/>
          <w:numId w:val="5"/>
        </w:numPr>
        <w:spacing w:line="276" w:lineRule="auto"/>
        <w:rPr>
          <w:rFonts w:ascii="Arial" w:hAnsi="Arial" w:cs="Arial"/>
          <w:lang w:eastAsia="en-GB"/>
        </w:rPr>
      </w:pPr>
      <w:r w:rsidRPr="00646CA5">
        <w:rPr>
          <w:rFonts w:ascii="Arial" w:hAnsi="Arial" w:cs="Arial"/>
          <w:lang w:eastAsia="en-GB"/>
        </w:rPr>
        <w:t>Interest Cover:</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2020: 1,842 / 226 = 8.15</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2021: 244 / 196 = 1.24</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2022: 8,306 / 220 = 37.75</w:t>
      </w:r>
    </w:p>
    <w:p w:rsidR="00A051A5" w:rsidRPr="00646CA5" w:rsidRDefault="00A051A5" w:rsidP="00646CA5">
      <w:pPr>
        <w:pStyle w:val="ListParagraph"/>
        <w:numPr>
          <w:ilvl w:val="1"/>
          <w:numId w:val="5"/>
        </w:numPr>
        <w:spacing w:line="276" w:lineRule="auto"/>
        <w:rPr>
          <w:rFonts w:ascii="Arial" w:hAnsi="Arial" w:cs="Arial"/>
          <w:lang w:eastAsia="en-GB"/>
        </w:rPr>
      </w:pPr>
      <w:r w:rsidRPr="00646CA5">
        <w:rPr>
          <w:rFonts w:ascii="Arial" w:hAnsi="Arial" w:cs="Arial"/>
          <w:lang w:eastAsia="en-GB"/>
        </w:rPr>
        <w:t>2023: 13,124 / 306 = 42.89</w:t>
      </w:r>
    </w:p>
    <w:p w:rsidR="00A051A5" w:rsidRPr="00646CA5" w:rsidRDefault="00A051A5" w:rsidP="00646CA5">
      <w:pPr>
        <w:spacing w:line="276" w:lineRule="auto"/>
        <w:rPr>
          <w:rFonts w:ascii="Arial" w:hAnsi="Arial" w:cs="Arial"/>
          <w:lang w:eastAsia="en-GB"/>
        </w:rPr>
      </w:pPr>
    </w:p>
    <w:p w:rsidR="00A051A5" w:rsidRPr="00646CA5" w:rsidRDefault="00A051A5" w:rsidP="00646CA5">
      <w:pPr>
        <w:spacing w:line="276" w:lineRule="auto"/>
        <w:rPr>
          <w:rFonts w:ascii="Arial" w:hAnsi="Arial" w:cs="Arial"/>
          <w:lang w:eastAsia="en-GB"/>
        </w:rPr>
      </w:pPr>
    </w:p>
    <w:p w:rsidR="00A051A5" w:rsidRPr="008D6CF6" w:rsidRDefault="00A051A5" w:rsidP="00646CA5">
      <w:pPr>
        <w:spacing w:line="276" w:lineRule="auto"/>
        <w:rPr>
          <w:rFonts w:ascii="Arial" w:hAnsi="Arial" w:cs="Arial"/>
          <w:b/>
        </w:rPr>
      </w:pPr>
      <w:r w:rsidRPr="008D6CF6">
        <w:rPr>
          <w:rFonts w:ascii="Arial" w:hAnsi="Arial" w:cs="Arial"/>
          <w:b/>
        </w:rPr>
        <w:t xml:space="preserve">Profitability </w:t>
      </w:r>
    </w:p>
    <w:p w:rsidR="00A051A5" w:rsidRPr="00646CA5" w:rsidRDefault="00A051A5" w:rsidP="00646CA5">
      <w:pPr>
        <w:pStyle w:val="ListParagraph"/>
        <w:numPr>
          <w:ilvl w:val="0"/>
          <w:numId w:val="6"/>
        </w:numPr>
        <w:spacing w:line="276" w:lineRule="auto"/>
        <w:rPr>
          <w:rFonts w:ascii="Arial" w:hAnsi="Arial" w:cs="Arial"/>
        </w:rPr>
      </w:pPr>
      <w:r w:rsidRPr="00646CA5">
        <w:rPr>
          <w:rFonts w:ascii="Arial" w:hAnsi="Arial" w:cs="Arial"/>
        </w:rPr>
        <w:t>Return on Capital Employed - Operating profit (EBIT) / (Total assets - current liabilities) x 100</w:t>
      </w:r>
    </w:p>
    <w:p w:rsidR="00A051A5" w:rsidRPr="00646CA5" w:rsidRDefault="00A051A5" w:rsidP="00646CA5">
      <w:pPr>
        <w:pStyle w:val="ListParagraph"/>
        <w:numPr>
          <w:ilvl w:val="0"/>
          <w:numId w:val="6"/>
        </w:numPr>
        <w:spacing w:line="276" w:lineRule="auto"/>
        <w:rPr>
          <w:rFonts w:ascii="Arial" w:hAnsi="Arial" w:cs="Arial"/>
        </w:rPr>
      </w:pPr>
      <w:r w:rsidRPr="00646CA5">
        <w:rPr>
          <w:rFonts w:ascii="Arial" w:hAnsi="Arial" w:cs="Arial"/>
        </w:rPr>
        <w:t>Net profit - (Net Income / Total Revenues) x 100</w:t>
      </w:r>
    </w:p>
    <w:p w:rsidR="00A051A5" w:rsidRPr="008D6CF6" w:rsidRDefault="00A051A5" w:rsidP="00646CA5">
      <w:pPr>
        <w:spacing w:line="276" w:lineRule="auto"/>
        <w:rPr>
          <w:rFonts w:ascii="Arial" w:hAnsi="Arial" w:cs="Arial"/>
        </w:rPr>
      </w:pPr>
      <w:r w:rsidRPr="008D6CF6">
        <w:rPr>
          <w:rFonts w:ascii="Arial" w:hAnsi="Arial" w:cs="Arial"/>
        </w:rPr>
        <w:t>Net profit (4 years):</w:t>
      </w:r>
    </w:p>
    <w:p w:rsidR="00A051A5" w:rsidRPr="00646CA5" w:rsidRDefault="00A051A5" w:rsidP="00646CA5">
      <w:pPr>
        <w:spacing w:line="276" w:lineRule="auto"/>
        <w:rPr>
          <w:rFonts w:ascii="Arial" w:hAnsi="Arial" w:cs="Arial"/>
        </w:rPr>
      </w:pPr>
      <w:r w:rsidRPr="00646CA5">
        <w:rPr>
          <w:rFonts w:ascii="Arial" w:hAnsi="Arial" w:cs="Arial"/>
        </w:rPr>
        <w:t>0.33 + 8.20 + (3.29) + 14.85 = 20.09 / 4 = 5.02%</w:t>
      </w:r>
    </w:p>
    <w:p w:rsidR="00A051A5" w:rsidRPr="00646CA5" w:rsidRDefault="00A051A5" w:rsidP="00646CA5">
      <w:pPr>
        <w:spacing w:line="276" w:lineRule="auto"/>
        <w:rPr>
          <w:rFonts w:ascii="Arial" w:hAnsi="Arial" w:cs="Arial"/>
        </w:rPr>
      </w:pPr>
      <w:r w:rsidRPr="00646CA5">
        <w:rPr>
          <w:rFonts w:ascii="Arial" w:hAnsi="Arial" w:cs="Arial"/>
        </w:rPr>
        <w:t>Average industry 14.12 / 5 = 2.824 x 4 = 11.296%</w:t>
      </w:r>
    </w:p>
    <w:p w:rsidR="00A051A5" w:rsidRPr="00646CA5" w:rsidRDefault="00A051A5" w:rsidP="00646CA5">
      <w:pPr>
        <w:pStyle w:val="ListParagraph"/>
        <w:numPr>
          <w:ilvl w:val="0"/>
          <w:numId w:val="6"/>
        </w:numPr>
        <w:spacing w:line="276" w:lineRule="auto"/>
        <w:rPr>
          <w:rFonts w:ascii="Arial" w:hAnsi="Arial" w:cs="Arial"/>
        </w:rPr>
      </w:pPr>
      <w:r w:rsidRPr="00646CA5">
        <w:rPr>
          <w:rFonts w:ascii="Arial" w:hAnsi="Arial" w:cs="Arial"/>
        </w:rPr>
        <w:t xml:space="preserve">Gross Profit - EBITA / Total Revenues x 100 </w:t>
      </w:r>
    </w:p>
    <w:p w:rsidR="00A051A5" w:rsidRPr="00646CA5" w:rsidRDefault="00A051A5" w:rsidP="00646CA5">
      <w:pPr>
        <w:spacing w:line="276" w:lineRule="auto"/>
        <w:rPr>
          <w:rFonts w:ascii="Arial" w:hAnsi="Arial" w:cs="Arial"/>
        </w:rPr>
      </w:pPr>
      <w:r w:rsidRPr="00646CA5">
        <w:rPr>
          <w:rFonts w:ascii="Arial" w:hAnsi="Arial" w:cs="Arial"/>
        </w:rPr>
        <w:t>Gross profit (4 years)</w:t>
      </w:r>
    </w:p>
    <w:p w:rsidR="00A051A5" w:rsidRPr="00646CA5" w:rsidRDefault="00A051A5" w:rsidP="00646CA5">
      <w:pPr>
        <w:spacing w:line="276" w:lineRule="auto"/>
        <w:rPr>
          <w:rFonts w:ascii="Arial" w:hAnsi="Arial" w:cs="Arial"/>
        </w:rPr>
      </w:pPr>
      <w:r w:rsidRPr="00646CA5">
        <w:rPr>
          <w:rFonts w:ascii="Arial" w:hAnsi="Arial" w:cs="Arial"/>
        </w:rPr>
        <w:t>21.23 + 4.89 + 36.79 + 50.79 = 113.7 / 4 = 28.43 %</w:t>
      </w:r>
    </w:p>
    <w:p w:rsidR="00A051A5" w:rsidRPr="00646CA5" w:rsidRDefault="00A051A5" w:rsidP="00646CA5">
      <w:pPr>
        <w:spacing w:line="276" w:lineRule="auto"/>
        <w:rPr>
          <w:rFonts w:ascii="Arial" w:hAnsi="Arial" w:cs="Arial"/>
        </w:rPr>
      </w:pPr>
      <w:r w:rsidRPr="00646CA5">
        <w:rPr>
          <w:rFonts w:ascii="Arial" w:hAnsi="Arial" w:cs="Arial"/>
        </w:rPr>
        <w:t>Average industry 42.55 / 5 = 8.51 x 4 = 34.04 %</w:t>
      </w:r>
    </w:p>
    <w:p w:rsidR="00A051A5" w:rsidRPr="00646CA5" w:rsidRDefault="00A051A5" w:rsidP="00646CA5">
      <w:pPr>
        <w:pStyle w:val="ListParagraph"/>
        <w:numPr>
          <w:ilvl w:val="0"/>
          <w:numId w:val="6"/>
        </w:numPr>
        <w:spacing w:line="276" w:lineRule="auto"/>
        <w:rPr>
          <w:rFonts w:ascii="Arial" w:hAnsi="Arial" w:cs="Arial"/>
        </w:rPr>
      </w:pPr>
      <w:r w:rsidRPr="00646CA5">
        <w:rPr>
          <w:rFonts w:ascii="Arial" w:hAnsi="Arial" w:cs="Arial"/>
        </w:rPr>
        <w:t xml:space="preserve">Assets turnover (Total Revenues/ (Total assets - current liabilities) </w:t>
      </w:r>
    </w:p>
    <w:p w:rsidR="00A051A5" w:rsidRPr="00646CA5" w:rsidRDefault="00A051A5" w:rsidP="00646CA5">
      <w:pPr>
        <w:pStyle w:val="ListParagraph"/>
        <w:numPr>
          <w:ilvl w:val="0"/>
          <w:numId w:val="6"/>
        </w:numPr>
        <w:spacing w:line="276" w:lineRule="auto"/>
        <w:rPr>
          <w:rFonts w:ascii="Arial" w:hAnsi="Arial" w:cs="Arial"/>
        </w:rPr>
      </w:pPr>
      <w:r w:rsidRPr="00646CA5">
        <w:rPr>
          <w:rFonts w:ascii="Arial" w:hAnsi="Arial" w:cs="Arial"/>
        </w:rPr>
        <w:t>Return on owners’ equity (Net Income / Total shareholders’ equity x 100</w:t>
      </w:r>
    </w:p>
    <w:p w:rsidR="00A051A5" w:rsidRPr="00646CA5" w:rsidRDefault="00A051A5" w:rsidP="00646CA5">
      <w:pPr>
        <w:spacing w:line="276" w:lineRule="auto"/>
        <w:rPr>
          <w:rFonts w:ascii="Arial" w:hAnsi="Arial" w:cs="Arial"/>
        </w:rPr>
      </w:pPr>
      <w:r w:rsidRPr="00646CA5">
        <w:rPr>
          <w:rFonts w:ascii="Arial" w:hAnsi="Arial" w:cs="Arial"/>
        </w:rPr>
        <w:t>ROE (4 years)</w:t>
      </w:r>
    </w:p>
    <w:p w:rsidR="00A051A5" w:rsidRPr="00646CA5" w:rsidRDefault="00A051A5" w:rsidP="00646CA5">
      <w:pPr>
        <w:spacing w:line="276" w:lineRule="auto"/>
        <w:rPr>
          <w:rFonts w:ascii="Arial" w:hAnsi="Arial" w:cs="Arial"/>
        </w:rPr>
      </w:pPr>
      <w:r w:rsidRPr="00646CA5">
        <w:rPr>
          <w:rFonts w:ascii="Arial" w:hAnsi="Arial" w:cs="Arial"/>
        </w:rPr>
        <w:t>2.97 + 44 + (61.09) + 92.81 = 139.78/4 = 34.95 %</w:t>
      </w:r>
    </w:p>
    <w:p w:rsidR="00A051A5" w:rsidRPr="00646CA5" w:rsidRDefault="00A051A5" w:rsidP="00646CA5">
      <w:pPr>
        <w:spacing w:line="276" w:lineRule="auto"/>
        <w:rPr>
          <w:rFonts w:ascii="Arial" w:hAnsi="Arial" w:cs="Arial"/>
        </w:rPr>
      </w:pPr>
      <w:r w:rsidRPr="00646CA5">
        <w:rPr>
          <w:rFonts w:ascii="Arial" w:hAnsi="Arial" w:cs="Arial"/>
        </w:rPr>
        <w:t xml:space="preserve">Average industry 1.75/ 5= 0.35 x 4 = 1.4 % </w:t>
      </w:r>
    </w:p>
    <w:p w:rsidR="00A051A5" w:rsidRPr="00646CA5" w:rsidRDefault="00A051A5" w:rsidP="00646CA5">
      <w:pPr>
        <w:spacing w:line="276" w:lineRule="auto"/>
        <w:rPr>
          <w:rFonts w:ascii="Arial" w:hAnsi="Arial" w:cs="Arial"/>
        </w:rPr>
      </w:pPr>
    </w:p>
    <w:p w:rsidR="00A051A5" w:rsidRPr="008D6CF6" w:rsidRDefault="00A051A5" w:rsidP="00646CA5">
      <w:pPr>
        <w:spacing w:line="276" w:lineRule="auto"/>
        <w:rPr>
          <w:rFonts w:ascii="Arial" w:hAnsi="Arial" w:cs="Arial"/>
          <w:b/>
        </w:rPr>
      </w:pPr>
      <w:r w:rsidRPr="008D6CF6">
        <w:rPr>
          <w:rFonts w:ascii="Arial" w:hAnsi="Arial" w:cs="Arial"/>
          <w:b/>
        </w:rPr>
        <w:t xml:space="preserve"> Liquidity </w:t>
      </w:r>
    </w:p>
    <w:p w:rsidR="00A051A5" w:rsidRPr="00646CA5" w:rsidRDefault="00A051A5" w:rsidP="00646CA5">
      <w:pPr>
        <w:pStyle w:val="ListParagraph"/>
        <w:numPr>
          <w:ilvl w:val="0"/>
          <w:numId w:val="7"/>
        </w:numPr>
        <w:spacing w:line="276" w:lineRule="auto"/>
        <w:rPr>
          <w:rFonts w:ascii="Arial" w:hAnsi="Arial" w:cs="Arial"/>
        </w:rPr>
      </w:pPr>
      <w:r w:rsidRPr="00646CA5">
        <w:rPr>
          <w:rFonts w:ascii="Arial" w:hAnsi="Arial" w:cs="Arial"/>
        </w:rPr>
        <w:t xml:space="preserve">Current Ratio (Current Assets / Current Liabilities) </w:t>
      </w:r>
    </w:p>
    <w:p w:rsidR="00A051A5" w:rsidRPr="00646CA5" w:rsidRDefault="00A051A5" w:rsidP="00646CA5">
      <w:pPr>
        <w:pStyle w:val="ListParagraph"/>
        <w:numPr>
          <w:ilvl w:val="0"/>
          <w:numId w:val="7"/>
        </w:numPr>
        <w:spacing w:line="276" w:lineRule="auto"/>
        <w:rPr>
          <w:rFonts w:ascii="Arial" w:hAnsi="Arial" w:cs="Arial"/>
        </w:rPr>
      </w:pPr>
      <w:r w:rsidRPr="00646CA5">
        <w:rPr>
          <w:rFonts w:ascii="Arial" w:hAnsi="Arial" w:cs="Arial"/>
        </w:rPr>
        <w:t xml:space="preserve">Acid Test Ratio (Current Assets – Inventory) /Current Liabilities          </w:t>
      </w:r>
    </w:p>
    <w:p w:rsidR="00A051A5" w:rsidRPr="00646CA5" w:rsidRDefault="00A051A5" w:rsidP="00646CA5">
      <w:pPr>
        <w:spacing w:line="276" w:lineRule="auto"/>
        <w:rPr>
          <w:rFonts w:ascii="Arial" w:hAnsi="Arial" w:cs="Arial"/>
        </w:rPr>
      </w:pPr>
    </w:p>
    <w:p w:rsidR="00A051A5" w:rsidRPr="008D6CF6" w:rsidRDefault="00A051A5" w:rsidP="00646CA5">
      <w:pPr>
        <w:spacing w:line="276" w:lineRule="auto"/>
        <w:rPr>
          <w:rFonts w:ascii="Arial" w:hAnsi="Arial" w:cs="Arial"/>
          <w:b/>
        </w:rPr>
      </w:pPr>
      <w:r w:rsidRPr="008D6CF6">
        <w:rPr>
          <w:rFonts w:ascii="Arial" w:hAnsi="Arial" w:cs="Arial"/>
          <w:b/>
        </w:rPr>
        <w:t xml:space="preserve">Efficiency </w:t>
      </w:r>
    </w:p>
    <w:p w:rsidR="00A051A5" w:rsidRPr="00646CA5" w:rsidRDefault="00A051A5" w:rsidP="00646CA5">
      <w:pPr>
        <w:pStyle w:val="ListParagraph"/>
        <w:numPr>
          <w:ilvl w:val="0"/>
          <w:numId w:val="8"/>
        </w:numPr>
        <w:spacing w:line="276" w:lineRule="auto"/>
        <w:rPr>
          <w:rFonts w:ascii="Arial" w:hAnsi="Arial" w:cs="Arial"/>
        </w:rPr>
      </w:pPr>
      <w:r w:rsidRPr="00646CA5">
        <w:rPr>
          <w:rFonts w:ascii="Arial" w:hAnsi="Arial" w:cs="Arial"/>
        </w:rPr>
        <w:t xml:space="preserve">Stock Turnover (Total Operating Expenses / Inventory) </w:t>
      </w:r>
    </w:p>
    <w:p w:rsidR="00A051A5" w:rsidRPr="00646CA5" w:rsidRDefault="00A051A5" w:rsidP="00646CA5">
      <w:pPr>
        <w:pStyle w:val="ListParagraph"/>
        <w:numPr>
          <w:ilvl w:val="0"/>
          <w:numId w:val="8"/>
        </w:numPr>
        <w:spacing w:line="276" w:lineRule="auto"/>
        <w:rPr>
          <w:rFonts w:ascii="Arial" w:hAnsi="Arial" w:cs="Arial"/>
        </w:rPr>
      </w:pPr>
      <w:r w:rsidRPr="00646CA5">
        <w:rPr>
          <w:rFonts w:ascii="Arial" w:hAnsi="Arial" w:cs="Arial"/>
        </w:rPr>
        <w:t xml:space="preserve">Stock Turnover (Inventory/ Total Operating Expenses x 365) </w:t>
      </w:r>
    </w:p>
    <w:p w:rsidR="00A051A5" w:rsidRPr="00646CA5" w:rsidRDefault="00A051A5" w:rsidP="00646CA5">
      <w:pPr>
        <w:pStyle w:val="ListParagraph"/>
        <w:numPr>
          <w:ilvl w:val="0"/>
          <w:numId w:val="8"/>
        </w:numPr>
        <w:spacing w:line="276" w:lineRule="auto"/>
        <w:rPr>
          <w:rFonts w:ascii="Arial" w:hAnsi="Arial" w:cs="Arial"/>
        </w:rPr>
      </w:pPr>
      <w:r w:rsidRPr="00646CA5">
        <w:rPr>
          <w:rFonts w:ascii="Arial" w:hAnsi="Arial" w:cs="Arial"/>
        </w:rPr>
        <w:t>Debtors (Receivable) (Accounts receivable + Other Receivable) / Total Revenues x 365</w:t>
      </w:r>
    </w:p>
    <w:p w:rsidR="00A051A5" w:rsidRPr="00646CA5" w:rsidRDefault="00A051A5" w:rsidP="00646CA5">
      <w:pPr>
        <w:pStyle w:val="ListParagraph"/>
        <w:numPr>
          <w:ilvl w:val="0"/>
          <w:numId w:val="8"/>
        </w:numPr>
        <w:spacing w:line="276" w:lineRule="auto"/>
        <w:rPr>
          <w:rFonts w:ascii="Arial" w:hAnsi="Arial" w:cs="Arial"/>
          <w:color w:val="232526"/>
          <w:shd w:val="clear" w:color="auto" w:fill="FAFAFB"/>
        </w:rPr>
      </w:pPr>
      <w:r w:rsidRPr="00646CA5">
        <w:rPr>
          <w:rFonts w:ascii="Arial" w:hAnsi="Arial" w:cs="Arial"/>
        </w:rPr>
        <w:t xml:space="preserve">Creditors (Account payable + Accrued Expenses + Short-term Borrowings + Current Portion of Long -Long-term debt + Current Portion of Long-Term Debt/ Leases + Current Portion of Leases + Current Income Payable / Total Operating Expenses) x 365 </w:t>
      </w:r>
      <w:r w:rsidRPr="00646CA5">
        <w:rPr>
          <w:rFonts w:ascii="Arial" w:hAnsi="Arial" w:cs="Arial"/>
          <w:color w:val="232526"/>
          <w:shd w:val="clear" w:color="auto" w:fill="FAFAFB"/>
        </w:rPr>
        <w:t xml:space="preserve"> </w:t>
      </w:r>
    </w:p>
    <w:p w:rsidR="00A051A5" w:rsidRDefault="00A051A5" w:rsidP="00646CA5">
      <w:pPr>
        <w:spacing w:line="276" w:lineRule="auto"/>
        <w:rPr>
          <w:rFonts w:ascii="Arial" w:hAnsi="Arial" w:cs="Arial"/>
        </w:rPr>
      </w:pPr>
    </w:p>
    <w:p w:rsidR="008D6CF6" w:rsidRPr="00646CA5" w:rsidRDefault="008D6CF6" w:rsidP="00646CA5">
      <w:pPr>
        <w:spacing w:line="276" w:lineRule="auto"/>
        <w:rPr>
          <w:rFonts w:ascii="Arial" w:hAnsi="Arial" w:cs="Arial"/>
        </w:rPr>
      </w:pPr>
    </w:p>
    <w:p w:rsidR="00A051A5" w:rsidRPr="008D6CF6" w:rsidRDefault="00A051A5" w:rsidP="00646CA5">
      <w:pPr>
        <w:spacing w:line="276" w:lineRule="auto"/>
        <w:rPr>
          <w:rFonts w:ascii="Arial" w:hAnsi="Arial" w:cs="Arial"/>
          <w:b/>
        </w:rPr>
      </w:pPr>
      <w:r w:rsidRPr="008D6CF6">
        <w:rPr>
          <w:rFonts w:ascii="Arial" w:hAnsi="Arial" w:cs="Arial"/>
          <w:b/>
        </w:rPr>
        <w:lastRenderedPageBreak/>
        <w:t xml:space="preserve">Gearing </w:t>
      </w:r>
    </w:p>
    <w:p w:rsidR="00A051A5" w:rsidRPr="00646CA5" w:rsidRDefault="00A051A5" w:rsidP="00646CA5">
      <w:pPr>
        <w:pStyle w:val="ListParagraph"/>
        <w:numPr>
          <w:ilvl w:val="0"/>
          <w:numId w:val="9"/>
        </w:numPr>
        <w:spacing w:line="276" w:lineRule="auto"/>
        <w:rPr>
          <w:rFonts w:ascii="Arial" w:hAnsi="Arial" w:cs="Arial"/>
          <w:lang w:eastAsia="en-GB"/>
        </w:rPr>
      </w:pPr>
      <w:r w:rsidRPr="00646CA5">
        <w:rPr>
          <w:rFonts w:ascii="Arial" w:hAnsi="Arial" w:cs="Arial"/>
          <w:lang w:eastAsia="en-GB"/>
        </w:rPr>
        <w:t xml:space="preserve">Total Debt / Equity ratio  </w:t>
      </w:r>
    </w:p>
    <w:p w:rsidR="00A051A5" w:rsidRPr="00646CA5" w:rsidRDefault="00A051A5" w:rsidP="00646CA5">
      <w:pPr>
        <w:spacing w:line="276" w:lineRule="auto"/>
        <w:rPr>
          <w:rFonts w:ascii="Arial" w:hAnsi="Arial" w:cs="Arial"/>
        </w:rPr>
      </w:pPr>
    </w:p>
    <w:p w:rsidR="00A051A5" w:rsidRPr="008D6CF6" w:rsidRDefault="00A051A5" w:rsidP="00646CA5">
      <w:pPr>
        <w:spacing w:line="276" w:lineRule="auto"/>
        <w:rPr>
          <w:rFonts w:ascii="Arial" w:hAnsi="Arial" w:cs="Arial"/>
          <w:b/>
        </w:rPr>
      </w:pPr>
      <w:r w:rsidRPr="008D6CF6">
        <w:rPr>
          <w:rFonts w:ascii="Arial" w:hAnsi="Arial" w:cs="Arial"/>
          <w:b/>
        </w:rPr>
        <w:t xml:space="preserve">Investment </w:t>
      </w:r>
    </w:p>
    <w:p w:rsidR="00A051A5" w:rsidRPr="00646CA5" w:rsidRDefault="00A051A5" w:rsidP="00646CA5">
      <w:pPr>
        <w:spacing w:line="276" w:lineRule="auto"/>
        <w:rPr>
          <w:rFonts w:ascii="Arial" w:hAnsi="Arial" w:cs="Arial"/>
        </w:rPr>
      </w:pPr>
    </w:p>
    <w:p w:rsidR="00A051A5" w:rsidRPr="00646CA5" w:rsidRDefault="00A051A5" w:rsidP="00646CA5">
      <w:pPr>
        <w:pStyle w:val="ListParagraph"/>
        <w:numPr>
          <w:ilvl w:val="0"/>
          <w:numId w:val="9"/>
        </w:numPr>
        <w:spacing w:line="276" w:lineRule="auto"/>
        <w:rPr>
          <w:rFonts w:ascii="Arial" w:hAnsi="Arial" w:cs="Arial"/>
        </w:rPr>
      </w:pPr>
      <w:r w:rsidRPr="00646CA5">
        <w:rPr>
          <w:rFonts w:ascii="Arial" w:hAnsi="Arial" w:cs="Arial"/>
        </w:rPr>
        <w:t>Earnings per share - Net Income/ Basic Weighted Average Shares Outstanding</w:t>
      </w:r>
    </w:p>
    <w:p w:rsidR="00A051A5" w:rsidRPr="00646CA5" w:rsidRDefault="00A051A5" w:rsidP="00646CA5">
      <w:pPr>
        <w:pStyle w:val="ListParagraph"/>
        <w:numPr>
          <w:ilvl w:val="0"/>
          <w:numId w:val="9"/>
        </w:numPr>
        <w:spacing w:line="276" w:lineRule="auto"/>
        <w:rPr>
          <w:rFonts w:ascii="Arial" w:hAnsi="Arial" w:cs="Arial"/>
        </w:rPr>
      </w:pPr>
      <w:r w:rsidRPr="00646CA5">
        <w:rPr>
          <w:rFonts w:ascii="Arial" w:hAnsi="Arial" w:cs="Arial"/>
        </w:rPr>
        <w:t>Dividend cover (Net Income / Total Dividends paid)</w:t>
      </w:r>
    </w:p>
    <w:p w:rsidR="00A051A5" w:rsidRPr="00646CA5" w:rsidRDefault="00A051A5" w:rsidP="00646CA5">
      <w:pPr>
        <w:spacing w:line="276" w:lineRule="auto"/>
        <w:rPr>
          <w:rFonts w:ascii="Arial" w:hAnsi="Arial" w:cs="Arial"/>
        </w:rPr>
      </w:pPr>
      <w:r w:rsidRPr="00646CA5">
        <w:rPr>
          <w:rFonts w:ascii="Arial" w:hAnsi="Arial" w:cs="Arial"/>
        </w:rPr>
        <w:t>Total dividends paid = Dividends per share x Basic Weighted Average Shares Outstanding</w:t>
      </w:r>
    </w:p>
    <w:p w:rsidR="00A051A5" w:rsidRPr="00646CA5" w:rsidRDefault="00A051A5" w:rsidP="00646CA5">
      <w:pPr>
        <w:spacing w:line="276" w:lineRule="auto"/>
        <w:rPr>
          <w:rFonts w:ascii="Arial" w:hAnsi="Arial" w:cs="Arial"/>
        </w:rPr>
      </w:pPr>
      <w:r w:rsidRPr="00646CA5">
        <w:rPr>
          <w:rFonts w:ascii="Arial" w:hAnsi="Arial" w:cs="Arial"/>
        </w:rPr>
        <w:t>2022        0.03 x 5869 = 176</w:t>
      </w:r>
    </w:p>
    <w:p w:rsidR="00A051A5" w:rsidRPr="00646CA5" w:rsidRDefault="00A051A5" w:rsidP="00646CA5">
      <w:pPr>
        <w:spacing w:line="276" w:lineRule="auto"/>
        <w:rPr>
          <w:rFonts w:ascii="Arial" w:hAnsi="Arial" w:cs="Arial"/>
        </w:rPr>
      </w:pPr>
      <w:r w:rsidRPr="00646CA5">
        <w:rPr>
          <w:rFonts w:ascii="Arial" w:hAnsi="Arial" w:cs="Arial"/>
        </w:rPr>
        <w:t xml:space="preserve">2023        0.04 x 5569 =222.77  </w:t>
      </w:r>
    </w:p>
    <w:p w:rsidR="00A051A5" w:rsidRPr="00646CA5" w:rsidRDefault="00A051A5" w:rsidP="00646CA5">
      <w:pPr>
        <w:spacing w:line="276" w:lineRule="auto"/>
        <w:rPr>
          <w:rFonts w:ascii="Arial" w:hAnsi="Arial" w:cs="Arial"/>
        </w:rPr>
      </w:pPr>
      <w:r w:rsidRPr="00646CA5">
        <w:rPr>
          <w:rFonts w:ascii="Arial" w:hAnsi="Arial" w:cs="Arial"/>
        </w:rPr>
        <w:t xml:space="preserve">2020/ 2021 -   No dividends paid </w:t>
      </w:r>
    </w:p>
    <w:p w:rsidR="00A051A5" w:rsidRDefault="00A051A5" w:rsidP="00646CA5">
      <w:pPr>
        <w:pStyle w:val="ListParagraph"/>
        <w:numPr>
          <w:ilvl w:val="0"/>
          <w:numId w:val="10"/>
        </w:numPr>
        <w:spacing w:line="276" w:lineRule="auto"/>
        <w:rPr>
          <w:rFonts w:ascii="Arial" w:hAnsi="Arial" w:cs="Arial"/>
        </w:rPr>
      </w:pPr>
      <w:r w:rsidRPr="00646CA5">
        <w:rPr>
          <w:rFonts w:ascii="Arial" w:hAnsi="Arial" w:cs="Arial"/>
        </w:rPr>
        <w:t>Interest Cover - (EBIT   / Interest expense)</w:t>
      </w: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8D6CF6">
      <w:pPr>
        <w:spacing w:line="276" w:lineRule="auto"/>
        <w:rPr>
          <w:rFonts w:ascii="Arial" w:hAnsi="Arial" w:cs="Arial"/>
        </w:rPr>
      </w:pPr>
    </w:p>
    <w:p w:rsidR="008D6CF6" w:rsidRDefault="008D6CF6" w:rsidP="00646CA5">
      <w:pPr>
        <w:pStyle w:val="Heading2"/>
        <w:spacing w:line="276" w:lineRule="auto"/>
        <w:rPr>
          <w:rFonts w:ascii="Arial" w:eastAsiaTheme="minorHAnsi" w:hAnsi="Arial" w:cs="Arial"/>
          <w:color w:val="auto"/>
          <w:sz w:val="22"/>
          <w:szCs w:val="22"/>
        </w:rPr>
      </w:pPr>
    </w:p>
    <w:p w:rsidR="008E476F" w:rsidRDefault="008E476F" w:rsidP="008E476F"/>
    <w:p w:rsidR="008E476F" w:rsidRDefault="008E476F" w:rsidP="00646CA5">
      <w:pPr>
        <w:pStyle w:val="Heading2"/>
        <w:spacing w:line="276" w:lineRule="auto"/>
        <w:rPr>
          <w:rFonts w:asciiTheme="minorHAnsi" w:eastAsiaTheme="minorHAnsi" w:hAnsiTheme="minorHAnsi" w:cstheme="minorBidi"/>
          <w:color w:val="auto"/>
          <w:sz w:val="22"/>
          <w:szCs w:val="22"/>
        </w:rPr>
      </w:pPr>
      <w:bookmarkStart w:id="26" w:name="_Toc188151138"/>
    </w:p>
    <w:p w:rsidR="00A051A5" w:rsidRDefault="009D27A7" w:rsidP="00646CA5">
      <w:pPr>
        <w:pStyle w:val="Heading2"/>
        <w:spacing w:line="276" w:lineRule="auto"/>
        <w:rPr>
          <w:rFonts w:ascii="Arial" w:hAnsi="Arial" w:cs="Arial"/>
          <w:b/>
          <w:color w:val="000000" w:themeColor="text1"/>
          <w:sz w:val="24"/>
          <w:szCs w:val="24"/>
        </w:rPr>
      </w:pPr>
      <w:r w:rsidRPr="008D6CF6">
        <w:rPr>
          <w:rFonts w:ascii="Arial" w:hAnsi="Arial" w:cs="Arial"/>
          <w:b/>
          <w:color w:val="000000" w:themeColor="text1"/>
          <w:sz w:val="24"/>
          <w:szCs w:val="24"/>
        </w:rPr>
        <w:t>Appendix 3</w:t>
      </w:r>
      <w:r w:rsidR="008D6CF6">
        <w:rPr>
          <w:rFonts w:ascii="Arial" w:hAnsi="Arial" w:cs="Arial"/>
          <w:b/>
          <w:color w:val="000000" w:themeColor="text1"/>
          <w:sz w:val="24"/>
          <w:szCs w:val="24"/>
        </w:rPr>
        <w:t>: Greenacres</w:t>
      </w:r>
      <w:bookmarkEnd w:id="26"/>
      <w:r w:rsidR="008D6CF6">
        <w:rPr>
          <w:rFonts w:ascii="Arial" w:hAnsi="Arial" w:cs="Arial"/>
          <w:b/>
          <w:color w:val="000000" w:themeColor="text1"/>
          <w:sz w:val="24"/>
          <w:szCs w:val="24"/>
        </w:rPr>
        <w:t xml:space="preserve"> </w:t>
      </w:r>
    </w:p>
    <w:p w:rsidR="006700BC" w:rsidRPr="00646CA5" w:rsidRDefault="006700BC" w:rsidP="00646CA5">
      <w:pPr>
        <w:spacing w:line="276" w:lineRule="auto"/>
        <w:rPr>
          <w:rFonts w:ascii="Arial" w:hAnsi="Arial" w:cs="Arial"/>
        </w:rPr>
      </w:pPr>
    </w:p>
    <w:tbl>
      <w:tblPr>
        <w:tblW w:w="8789" w:type="dxa"/>
        <w:tblCellMar>
          <w:top w:w="15" w:type="dxa"/>
          <w:bottom w:w="15" w:type="dxa"/>
        </w:tblCellMar>
        <w:tblLook w:val="04A0" w:firstRow="1" w:lastRow="0" w:firstColumn="1" w:lastColumn="0" w:noHBand="0" w:noVBand="1"/>
      </w:tblPr>
      <w:tblGrid>
        <w:gridCol w:w="3439"/>
        <w:gridCol w:w="1180"/>
        <w:gridCol w:w="1180"/>
        <w:gridCol w:w="1180"/>
        <w:gridCol w:w="1180"/>
        <w:gridCol w:w="667"/>
      </w:tblGrid>
      <w:tr w:rsidR="002F0BB6" w:rsidRPr="00646CA5" w:rsidTr="008D6CF6">
        <w:trPr>
          <w:trHeight w:val="300"/>
        </w:trPr>
        <w:tc>
          <w:tcPr>
            <w:tcW w:w="3439"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80"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630"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r>
      <w:tr w:rsidR="006700BC" w:rsidRPr="00646CA5" w:rsidTr="008D6CF6">
        <w:trPr>
          <w:trHeight w:val="300"/>
        </w:trPr>
        <w:tc>
          <w:tcPr>
            <w:tcW w:w="3439" w:type="dxa"/>
            <w:tcBorders>
              <w:top w:val="nil"/>
              <w:left w:val="nil"/>
              <w:bottom w:val="nil"/>
              <w:right w:val="nil"/>
            </w:tcBorders>
            <w:noWrap/>
            <w:vAlign w:val="bottom"/>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noWrap/>
            <w:vAlign w:val="bottom"/>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noWrap/>
            <w:vAlign w:val="bottom"/>
          </w:tcPr>
          <w:p w:rsidR="006700BC" w:rsidRPr="00646CA5" w:rsidRDefault="008D6CF6" w:rsidP="00646CA5">
            <w:pPr>
              <w:spacing w:line="276" w:lineRule="auto"/>
              <w:rPr>
                <w:rFonts w:ascii="Arial" w:hAnsi="Arial" w:cs="Arial"/>
                <w:lang w:eastAsia="en-GB"/>
              </w:rPr>
            </w:pPr>
            <w:r>
              <w:rPr>
                <w:rFonts w:ascii="Arial" w:hAnsi="Arial" w:cs="Arial"/>
                <w:lang w:eastAsia="en-GB"/>
              </w:rPr>
              <w:t>Project A</w:t>
            </w:r>
          </w:p>
        </w:tc>
        <w:tc>
          <w:tcPr>
            <w:tcW w:w="1180" w:type="dxa"/>
            <w:tcBorders>
              <w:top w:val="nil"/>
              <w:left w:val="nil"/>
              <w:bottom w:val="nil"/>
              <w:right w:val="nil"/>
            </w:tcBorders>
            <w:noWrap/>
            <w:vAlign w:val="bottom"/>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noWrap/>
            <w:vAlign w:val="bottom"/>
          </w:tcPr>
          <w:p w:rsidR="006700BC" w:rsidRPr="00646CA5" w:rsidRDefault="006700BC" w:rsidP="00646CA5">
            <w:pPr>
              <w:spacing w:line="276" w:lineRule="auto"/>
              <w:rPr>
                <w:rFonts w:ascii="Arial" w:hAnsi="Arial" w:cs="Arial"/>
                <w:lang w:eastAsia="en-GB"/>
              </w:rPr>
            </w:pPr>
          </w:p>
        </w:tc>
        <w:tc>
          <w:tcPr>
            <w:tcW w:w="630" w:type="dxa"/>
            <w:tcBorders>
              <w:top w:val="nil"/>
              <w:left w:val="nil"/>
              <w:bottom w:val="nil"/>
              <w:right w:val="nil"/>
            </w:tcBorders>
            <w:noWrap/>
            <w:vAlign w:val="bottom"/>
          </w:tcPr>
          <w:p w:rsidR="006700BC" w:rsidRPr="00646CA5" w:rsidRDefault="006700BC" w:rsidP="00646CA5">
            <w:pPr>
              <w:spacing w:line="276" w:lineRule="auto"/>
              <w:rPr>
                <w:rFonts w:ascii="Arial" w:hAnsi="Arial" w:cs="Arial"/>
                <w:lang w:eastAsia="en-GB"/>
              </w:rPr>
            </w:pP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Cost of Capital</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6%</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Time </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2</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w:t>
            </w:r>
          </w:p>
        </w:tc>
        <w:tc>
          <w:tcPr>
            <w:tcW w:w="63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w:t>
            </w: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FV</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-660</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300</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400</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450</w:t>
            </w: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500</w:t>
            </w:r>
          </w:p>
        </w:tc>
      </w:tr>
      <w:tr w:rsidR="002F0BB6" w:rsidRPr="00646CA5" w:rsidTr="008D6CF6">
        <w:trPr>
          <w:trHeight w:val="300"/>
        </w:trPr>
        <w:tc>
          <w:tcPr>
            <w:tcW w:w="3439"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DF</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0.943</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0.89</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0.84</w:t>
            </w:r>
          </w:p>
        </w:tc>
        <w:tc>
          <w:tcPr>
            <w:tcW w:w="63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0.792</w:t>
            </w: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PV</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-660</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282.9</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356</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378</w:t>
            </w: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396</w:t>
            </w:r>
          </w:p>
        </w:tc>
      </w:tr>
      <w:tr w:rsidR="002F0BB6" w:rsidRPr="00646CA5" w:rsidTr="008D6CF6">
        <w:trPr>
          <w:trHeight w:val="300"/>
        </w:trPr>
        <w:tc>
          <w:tcPr>
            <w:tcW w:w="3439"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NPV</w:t>
            </w:r>
            <w:proofErr w:type="gramStart"/>
            <w:r w:rsidRPr="008D6CF6">
              <w:rPr>
                <w:rFonts w:ascii="Arial" w:hAnsi="Arial" w:cs="Arial"/>
                <w:sz w:val="18"/>
                <w:szCs w:val="18"/>
                <w:lang w:eastAsia="en-GB"/>
              </w:rPr>
              <w:t>=(</w:t>
            </w:r>
            <w:proofErr w:type="gramEnd"/>
            <w:r w:rsidRPr="008D6CF6">
              <w:rPr>
                <w:rFonts w:ascii="Arial" w:hAnsi="Arial" w:cs="Arial"/>
                <w:sz w:val="18"/>
                <w:szCs w:val="18"/>
                <w:lang w:eastAsia="en-GB"/>
              </w:rPr>
              <w:t>660)+282.9+356+378+396=752.9</w:t>
            </w: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2F0BB6" w:rsidRPr="00646CA5" w:rsidTr="008D6CF6">
        <w:trPr>
          <w:trHeight w:val="300"/>
        </w:trPr>
        <w:tc>
          <w:tcPr>
            <w:tcW w:w="3439"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NPV</w:t>
            </w:r>
            <w:r w:rsidR="000E0B3C" w:rsidRPr="008D6CF6">
              <w:rPr>
                <w:rFonts w:ascii="Arial" w:hAnsi="Arial" w:cs="Arial"/>
                <w:sz w:val="18"/>
                <w:szCs w:val="18"/>
                <w:lang w:eastAsia="en-GB"/>
              </w:rPr>
              <w:t xml:space="preserve"> = 752.9</w:t>
            </w: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630"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bl>
    <w:p w:rsidR="002F0BB6" w:rsidRPr="00646CA5" w:rsidRDefault="002F0BB6" w:rsidP="00646CA5">
      <w:pPr>
        <w:spacing w:line="276" w:lineRule="auto"/>
        <w:rPr>
          <w:rFonts w:ascii="Arial" w:hAnsi="Arial" w:cs="Arial"/>
          <w:sz w:val="18"/>
          <w:szCs w:val="18"/>
        </w:rPr>
      </w:pPr>
    </w:p>
    <w:p w:rsidR="006700BC" w:rsidRPr="00646CA5" w:rsidRDefault="006700BC" w:rsidP="00646CA5">
      <w:pPr>
        <w:spacing w:line="276" w:lineRule="auto"/>
        <w:rPr>
          <w:rFonts w:ascii="Arial" w:hAnsi="Arial" w:cs="Arial"/>
        </w:rPr>
      </w:pPr>
    </w:p>
    <w:p w:rsidR="006700BC" w:rsidRPr="00646CA5" w:rsidRDefault="006700BC" w:rsidP="00646CA5">
      <w:pPr>
        <w:spacing w:line="276" w:lineRule="auto"/>
        <w:rPr>
          <w:rFonts w:ascii="Arial" w:hAnsi="Arial" w:cs="Arial"/>
        </w:rPr>
      </w:pPr>
    </w:p>
    <w:tbl>
      <w:tblPr>
        <w:tblW w:w="9026" w:type="dxa"/>
        <w:tblCellMar>
          <w:top w:w="15" w:type="dxa"/>
          <w:bottom w:w="15" w:type="dxa"/>
        </w:tblCellMar>
        <w:tblLook w:val="04A0" w:firstRow="1" w:lastRow="0" w:firstColumn="1" w:lastColumn="0" w:noHBand="0" w:noVBand="1"/>
      </w:tblPr>
      <w:tblGrid>
        <w:gridCol w:w="3686"/>
        <w:gridCol w:w="892"/>
        <w:gridCol w:w="1112"/>
        <w:gridCol w:w="1112"/>
        <w:gridCol w:w="1112"/>
        <w:gridCol w:w="1112"/>
      </w:tblGrid>
      <w:tr w:rsidR="000E0B3C" w:rsidRPr="00646CA5" w:rsidTr="008D6CF6">
        <w:trPr>
          <w:trHeight w:val="781"/>
        </w:trPr>
        <w:tc>
          <w:tcPr>
            <w:tcW w:w="3686"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p>
        </w:tc>
        <w:tc>
          <w:tcPr>
            <w:tcW w:w="892"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r w:rsidRPr="00646CA5">
              <w:rPr>
                <w:rFonts w:ascii="Arial" w:hAnsi="Arial" w:cs="Arial"/>
                <w:lang w:eastAsia="en-GB"/>
              </w:rPr>
              <w:t>Project B</w:t>
            </w:r>
          </w:p>
        </w:tc>
        <w:tc>
          <w:tcPr>
            <w:tcW w:w="1112"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shd w:val="clear" w:color="C0E4F5" w:fill="C0E4F5"/>
            <w:noWrap/>
            <w:vAlign w:val="bottom"/>
            <w:hideMark/>
          </w:tcPr>
          <w:p w:rsidR="002F0BB6" w:rsidRPr="00646CA5" w:rsidRDefault="002F0BB6" w:rsidP="00646CA5">
            <w:pPr>
              <w:spacing w:line="276" w:lineRule="auto"/>
              <w:rPr>
                <w:rFonts w:ascii="Arial" w:hAnsi="Arial" w:cs="Arial"/>
                <w:lang w:eastAsia="en-GB"/>
              </w:rPr>
            </w:pPr>
          </w:p>
        </w:tc>
      </w:tr>
      <w:tr w:rsidR="000E0B3C" w:rsidRPr="00646CA5" w:rsidTr="000E0B3C">
        <w:trPr>
          <w:trHeight w:val="300"/>
        </w:trPr>
        <w:tc>
          <w:tcPr>
            <w:tcW w:w="3686" w:type="dxa"/>
            <w:tcBorders>
              <w:top w:val="nil"/>
              <w:left w:val="nil"/>
              <w:bottom w:val="nil"/>
              <w:right w:val="nil"/>
            </w:tcBorders>
            <w:noWrap/>
            <w:vAlign w:val="bottom"/>
            <w:hideMark/>
          </w:tcPr>
          <w:p w:rsidR="002F0BB6" w:rsidRPr="008D6CF6" w:rsidRDefault="000E0B3C"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Cost of Capital </w:t>
            </w:r>
          </w:p>
        </w:tc>
        <w:tc>
          <w:tcPr>
            <w:tcW w:w="89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6%</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89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89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89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Time </w:t>
            </w:r>
          </w:p>
        </w:tc>
        <w:tc>
          <w:tcPr>
            <w:tcW w:w="89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2</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3</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w:t>
            </w:r>
          </w:p>
        </w:tc>
      </w:tr>
      <w:tr w:rsidR="000E0B3C" w:rsidRPr="00646CA5" w:rsidTr="000E0B3C">
        <w:trPr>
          <w:trHeight w:val="300"/>
        </w:trPr>
        <w:tc>
          <w:tcPr>
            <w:tcW w:w="3686"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FV</w:t>
            </w:r>
          </w:p>
        </w:tc>
        <w:tc>
          <w:tcPr>
            <w:tcW w:w="89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-1000</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500</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550</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700</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950</w:t>
            </w:r>
          </w:p>
        </w:tc>
      </w:tr>
      <w:tr w:rsidR="000E0B3C" w:rsidRPr="00646CA5" w:rsidTr="000E0B3C">
        <w:trPr>
          <w:trHeight w:val="300"/>
        </w:trPr>
        <w:tc>
          <w:tcPr>
            <w:tcW w:w="3686"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DF</w:t>
            </w:r>
          </w:p>
        </w:tc>
        <w:tc>
          <w:tcPr>
            <w:tcW w:w="89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0.943</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0.89</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0.84</w:t>
            </w: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0.792</w:t>
            </w:r>
          </w:p>
        </w:tc>
      </w:tr>
      <w:tr w:rsidR="000E0B3C" w:rsidRPr="00646CA5" w:rsidTr="000E0B3C">
        <w:trPr>
          <w:trHeight w:val="300"/>
        </w:trPr>
        <w:tc>
          <w:tcPr>
            <w:tcW w:w="3686"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PV</w:t>
            </w:r>
          </w:p>
        </w:tc>
        <w:tc>
          <w:tcPr>
            <w:tcW w:w="89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-1000</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471.5</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489.5</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588</w:t>
            </w: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r w:rsidRPr="008D6CF6">
              <w:rPr>
                <w:rFonts w:ascii="Arial" w:hAnsi="Arial" w:cs="Arial"/>
                <w:sz w:val="18"/>
                <w:szCs w:val="18"/>
                <w:lang w:eastAsia="en-GB"/>
              </w:rPr>
              <w:t>752.4</w:t>
            </w:r>
          </w:p>
        </w:tc>
      </w:tr>
      <w:tr w:rsidR="000E0B3C" w:rsidRPr="00646CA5" w:rsidTr="000E0B3C">
        <w:trPr>
          <w:trHeight w:val="300"/>
        </w:trPr>
        <w:tc>
          <w:tcPr>
            <w:tcW w:w="3686" w:type="dxa"/>
            <w:tcBorders>
              <w:top w:val="nil"/>
              <w:left w:val="nil"/>
              <w:bottom w:val="nil"/>
              <w:right w:val="nil"/>
            </w:tcBorders>
            <w:noWrap/>
            <w:vAlign w:val="bottom"/>
            <w:hideMark/>
          </w:tcPr>
          <w:p w:rsidR="002F0BB6" w:rsidRPr="008D6CF6" w:rsidRDefault="000E0B3C" w:rsidP="00646CA5">
            <w:pPr>
              <w:spacing w:line="276" w:lineRule="auto"/>
              <w:rPr>
                <w:rFonts w:ascii="Arial" w:hAnsi="Arial" w:cs="Arial"/>
                <w:color w:val="000000"/>
                <w:sz w:val="18"/>
                <w:szCs w:val="18"/>
                <w:lang w:eastAsia="en-GB"/>
              </w:rPr>
            </w:pPr>
            <w:r w:rsidRPr="008D6CF6">
              <w:rPr>
                <w:rFonts w:ascii="Arial" w:hAnsi="Arial" w:cs="Arial"/>
                <w:sz w:val="18"/>
                <w:szCs w:val="18"/>
                <w:lang w:eastAsia="en-GB"/>
              </w:rPr>
              <w:t>NPV</w:t>
            </w:r>
            <w:proofErr w:type="gramStart"/>
            <w:r w:rsidRPr="008D6CF6">
              <w:rPr>
                <w:rFonts w:ascii="Arial" w:hAnsi="Arial" w:cs="Arial"/>
                <w:sz w:val="18"/>
                <w:szCs w:val="18"/>
                <w:lang w:eastAsia="en-GB"/>
              </w:rPr>
              <w:t>=(</w:t>
            </w:r>
            <w:proofErr w:type="gramEnd"/>
            <w:r w:rsidRPr="008D6CF6">
              <w:rPr>
                <w:rFonts w:ascii="Arial" w:hAnsi="Arial" w:cs="Arial"/>
                <w:sz w:val="18"/>
                <w:szCs w:val="18"/>
                <w:lang w:eastAsia="en-GB"/>
              </w:rPr>
              <w:t>1000)+471,5+489.5+588+752.4</w:t>
            </w:r>
          </w:p>
        </w:tc>
        <w:tc>
          <w:tcPr>
            <w:tcW w:w="89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shd w:val="clear" w:color="C0E4F5" w:fill="C0E4F5"/>
            <w:noWrap/>
            <w:vAlign w:val="bottom"/>
            <w:hideMark/>
          </w:tcPr>
          <w:p w:rsidR="002F0BB6" w:rsidRPr="008D6CF6" w:rsidRDefault="000E0B3C"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NPV=1301.4 </w:t>
            </w:r>
          </w:p>
        </w:tc>
        <w:tc>
          <w:tcPr>
            <w:tcW w:w="89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c>
          <w:tcPr>
            <w:tcW w:w="1112" w:type="dxa"/>
            <w:tcBorders>
              <w:top w:val="nil"/>
              <w:left w:val="nil"/>
              <w:bottom w:val="nil"/>
              <w:right w:val="nil"/>
            </w:tcBorders>
            <w:shd w:val="clear" w:color="C0E4F5" w:fill="C0E4F5"/>
            <w:noWrap/>
            <w:vAlign w:val="bottom"/>
            <w:hideMark/>
          </w:tcPr>
          <w:p w:rsidR="002F0BB6" w:rsidRPr="008D6CF6" w:rsidRDefault="002F0BB6" w:rsidP="00646CA5">
            <w:pPr>
              <w:spacing w:line="276" w:lineRule="auto"/>
              <w:rPr>
                <w:rFonts w:ascii="Arial" w:hAnsi="Arial" w:cs="Arial"/>
                <w:sz w:val="18"/>
                <w:szCs w:val="18"/>
                <w:lang w:eastAsia="en-GB"/>
              </w:rPr>
            </w:pPr>
          </w:p>
        </w:tc>
      </w:tr>
      <w:tr w:rsidR="000E0B3C" w:rsidRPr="00646CA5" w:rsidTr="000E0B3C">
        <w:trPr>
          <w:trHeight w:val="300"/>
        </w:trPr>
        <w:tc>
          <w:tcPr>
            <w:tcW w:w="3686" w:type="dxa"/>
            <w:tcBorders>
              <w:top w:val="nil"/>
              <w:left w:val="nil"/>
              <w:bottom w:val="nil"/>
              <w:right w:val="nil"/>
            </w:tcBorders>
            <w:noWrap/>
            <w:vAlign w:val="bottom"/>
            <w:hideMark/>
          </w:tcPr>
          <w:p w:rsidR="002F0BB6" w:rsidRDefault="002F0BB6" w:rsidP="00646CA5">
            <w:pPr>
              <w:spacing w:line="276" w:lineRule="auto"/>
              <w:rPr>
                <w:rFonts w:ascii="Arial" w:hAnsi="Arial" w:cs="Arial"/>
                <w:lang w:eastAsia="en-GB"/>
              </w:rPr>
            </w:pPr>
          </w:p>
          <w:p w:rsidR="008E476F" w:rsidRPr="00646CA5" w:rsidRDefault="008E476F" w:rsidP="00646CA5">
            <w:pPr>
              <w:spacing w:line="276" w:lineRule="auto"/>
              <w:rPr>
                <w:rFonts w:ascii="Arial" w:hAnsi="Arial" w:cs="Arial"/>
                <w:lang w:eastAsia="en-GB"/>
              </w:rPr>
            </w:pPr>
          </w:p>
        </w:tc>
        <w:tc>
          <w:tcPr>
            <w:tcW w:w="892" w:type="dxa"/>
            <w:tcBorders>
              <w:top w:val="nil"/>
              <w:left w:val="nil"/>
              <w:bottom w:val="nil"/>
              <w:right w:val="nil"/>
            </w:tcBorders>
            <w:noWrap/>
            <w:vAlign w:val="bottom"/>
            <w:hideMark/>
          </w:tcPr>
          <w:p w:rsidR="002F0BB6" w:rsidRPr="00646CA5" w:rsidRDefault="000E0B3C" w:rsidP="00646CA5">
            <w:pPr>
              <w:spacing w:line="276" w:lineRule="auto"/>
              <w:rPr>
                <w:rFonts w:ascii="Arial" w:hAnsi="Arial" w:cs="Arial"/>
                <w:lang w:eastAsia="en-GB"/>
              </w:rPr>
            </w:pPr>
            <w:r w:rsidRPr="00646CA5">
              <w:rPr>
                <w:rFonts w:ascii="Arial" w:hAnsi="Arial" w:cs="Arial"/>
                <w:lang w:eastAsia="en-GB"/>
              </w:rPr>
              <w:t>.</w:t>
            </w:r>
          </w:p>
        </w:tc>
        <w:tc>
          <w:tcPr>
            <w:tcW w:w="1112"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c>
          <w:tcPr>
            <w:tcW w:w="1112" w:type="dxa"/>
            <w:tcBorders>
              <w:top w:val="nil"/>
              <w:left w:val="nil"/>
              <w:bottom w:val="nil"/>
              <w:right w:val="nil"/>
            </w:tcBorders>
            <w:noWrap/>
            <w:vAlign w:val="bottom"/>
            <w:hideMark/>
          </w:tcPr>
          <w:p w:rsidR="002F0BB6" w:rsidRPr="00646CA5" w:rsidRDefault="002F0BB6" w:rsidP="00646CA5">
            <w:pPr>
              <w:spacing w:line="276" w:lineRule="auto"/>
              <w:rPr>
                <w:rFonts w:ascii="Arial" w:hAnsi="Arial" w:cs="Arial"/>
                <w:lang w:eastAsia="en-GB"/>
              </w:rPr>
            </w:pPr>
          </w:p>
        </w:tc>
      </w:tr>
    </w:tbl>
    <w:p w:rsidR="006700BC" w:rsidRPr="00646CA5" w:rsidRDefault="006700BC" w:rsidP="00646CA5">
      <w:pPr>
        <w:spacing w:line="276" w:lineRule="auto"/>
        <w:rPr>
          <w:rFonts w:ascii="Arial" w:hAnsi="Arial" w:cs="Arial"/>
        </w:rPr>
      </w:pPr>
    </w:p>
    <w:tbl>
      <w:tblPr>
        <w:tblW w:w="8948" w:type="dxa"/>
        <w:tblInd w:w="-284" w:type="dxa"/>
        <w:tblCellMar>
          <w:top w:w="15" w:type="dxa"/>
          <w:bottom w:w="15" w:type="dxa"/>
        </w:tblCellMar>
        <w:tblLook w:val="04A0" w:firstRow="1" w:lastRow="0" w:firstColumn="1" w:lastColumn="0" w:noHBand="0" w:noVBand="1"/>
      </w:tblPr>
      <w:tblGrid>
        <w:gridCol w:w="3134"/>
        <w:gridCol w:w="1180"/>
        <w:gridCol w:w="1180"/>
        <w:gridCol w:w="1180"/>
        <w:gridCol w:w="1180"/>
        <w:gridCol w:w="1180"/>
      </w:tblGrid>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r w:rsidRPr="00646CA5">
              <w:rPr>
                <w:rFonts w:ascii="Arial" w:hAnsi="Arial" w:cs="Arial"/>
                <w:lang w:eastAsia="en-GB"/>
              </w:rPr>
              <w:t xml:space="preserve">Project C </w:t>
            </w:r>
          </w:p>
        </w:tc>
        <w:tc>
          <w:tcPr>
            <w:tcW w:w="1180"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p>
        </w:tc>
        <w:tc>
          <w:tcPr>
            <w:tcW w:w="1180" w:type="dxa"/>
            <w:tcBorders>
              <w:top w:val="nil"/>
              <w:left w:val="nil"/>
              <w:bottom w:val="nil"/>
              <w:right w:val="nil"/>
            </w:tcBorders>
            <w:shd w:val="clear" w:color="C0E4F5" w:fill="C0E4F5"/>
            <w:noWrap/>
            <w:vAlign w:val="bottom"/>
            <w:hideMark/>
          </w:tcPr>
          <w:p w:rsidR="006700BC" w:rsidRPr="00646CA5" w:rsidRDefault="006700BC" w:rsidP="00646CA5">
            <w:pPr>
              <w:spacing w:line="276" w:lineRule="auto"/>
              <w:rPr>
                <w:rFonts w:ascii="Arial" w:hAnsi="Arial" w:cs="Arial"/>
                <w:lang w:eastAsia="en-GB"/>
              </w:rPr>
            </w:pPr>
          </w:p>
        </w:tc>
      </w:tr>
      <w:tr w:rsidR="006700BC" w:rsidRPr="00646CA5" w:rsidTr="00CC68E3">
        <w:trPr>
          <w:trHeight w:val="300"/>
        </w:trPr>
        <w:tc>
          <w:tcPr>
            <w:tcW w:w="3048"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Cost of Capital </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6%</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r>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r>
      <w:tr w:rsidR="006700BC" w:rsidRPr="00646CA5" w:rsidTr="00CC68E3">
        <w:trPr>
          <w:trHeight w:val="300"/>
        </w:trPr>
        <w:tc>
          <w:tcPr>
            <w:tcW w:w="3048"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Time </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0</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2</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3</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4</w:t>
            </w:r>
          </w:p>
        </w:tc>
      </w:tr>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FV</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-1700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500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800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1050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1200</w:t>
            </w:r>
          </w:p>
        </w:tc>
      </w:tr>
      <w:tr w:rsidR="006700BC" w:rsidRPr="00646CA5" w:rsidTr="00CC68E3">
        <w:trPr>
          <w:trHeight w:val="300"/>
        </w:trPr>
        <w:tc>
          <w:tcPr>
            <w:tcW w:w="3048"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DF</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0.943</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0.89</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0.84</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0.792</w:t>
            </w:r>
          </w:p>
        </w:tc>
      </w:tr>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PV</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-1700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471.5</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712</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882</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950.4</w:t>
            </w:r>
          </w:p>
        </w:tc>
      </w:tr>
      <w:tr w:rsidR="006700BC" w:rsidRPr="00646CA5" w:rsidTr="00CC68E3">
        <w:trPr>
          <w:trHeight w:val="300"/>
        </w:trPr>
        <w:tc>
          <w:tcPr>
            <w:tcW w:w="3048"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r>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r>
      <w:tr w:rsidR="006700BC" w:rsidRPr="00646CA5" w:rsidTr="00CC68E3">
        <w:trPr>
          <w:trHeight w:val="300"/>
        </w:trPr>
        <w:tc>
          <w:tcPr>
            <w:tcW w:w="3048" w:type="dxa"/>
            <w:tcBorders>
              <w:top w:val="nil"/>
              <w:left w:val="nil"/>
              <w:bottom w:val="nil"/>
              <w:right w:val="nil"/>
            </w:tcBorders>
            <w:noWrap/>
            <w:vAlign w:val="bottom"/>
            <w:hideMark/>
          </w:tcPr>
          <w:p w:rsidR="006700BC"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NPV</w:t>
            </w:r>
            <w:proofErr w:type="gramStart"/>
            <w:r w:rsidRPr="008D6CF6">
              <w:rPr>
                <w:rFonts w:ascii="Arial" w:hAnsi="Arial" w:cs="Arial"/>
                <w:sz w:val="18"/>
                <w:szCs w:val="18"/>
                <w:lang w:eastAsia="en-GB"/>
              </w:rPr>
              <w:t>=(</w:t>
            </w:r>
            <w:proofErr w:type="gramEnd"/>
            <w:r w:rsidRPr="008D6CF6">
              <w:rPr>
                <w:rFonts w:ascii="Arial" w:hAnsi="Arial" w:cs="Arial"/>
                <w:sz w:val="18"/>
                <w:szCs w:val="18"/>
                <w:lang w:eastAsia="en-GB"/>
              </w:rPr>
              <w:t>1700)+471.5+712+882+950.4</w:t>
            </w: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6700BC" w:rsidRPr="008D6CF6" w:rsidRDefault="006700BC" w:rsidP="00646CA5">
            <w:pPr>
              <w:spacing w:line="276" w:lineRule="auto"/>
              <w:rPr>
                <w:rFonts w:ascii="Arial" w:hAnsi="Arial" w:cs="Arial"/>
                <w:sz w:val="18"/>
                <w:szCs w:val="18"/>
                <w:lang w:eastAsia="en-GB"/>
              </w:rPr>
            </w:pPr>
          </w:p>
        </w:tc>
      </w:tr>
      <w:tr w:rsidR="00CC68E3" w:rsidRPr="00646CA5" w:rsidTr="00CC68E3">
        <w:trPr>
          <w:trHeight w:val="300"/>
        </w:trPr>
        <w:tc>
          <w:tcPr>
            <w:tcW w:w="3048"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NPV</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r w:rsidRPr="008D6CF6">
              <w:rPr>
                <w:rFonts w:ascii="Arial" w:hAnsi="Arial" w:cs="Arial"/>
                <w:sz w:val="18"/>
                <w:szCs w:val="18"/>
                <w:lang w:eastAsia="en-GB"/>
              </w:rPr>
              <w:t>1,315.90</w:t>
            </w: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6700BC" w:rsidRPr="008D6CF6" w:rsidRDefault="006700BC" w:rsidP="00646CA5">
            <w:pPr>
              <w:spacing w:line="276" w:lineRule="auto"/>
              <w:rPr>
                <w:rFonts w:ascii="Arial" w:hAnsi="Arial" w:cs="Arial"/>
                <w:sz w:val="18"/>
                <w:szCs w:val="18"/>
                <w:lang w:eastAsia="en-GB"/>
              </w:rPr>
            </w:pPr>
          </w:p>
        </w:tc>
      </w:tr>
    </w:tbl>
    <w:p w:rsidR="00CC68E3" w:rsidRPr="00646CA5" w:rsidRDefault="00CC68E3" w:rsidP="00646CA5">
      <w:pPr>
        <w:spacing w:line="276" w:lineRule="auto"/>
        <w:rPr>
          <w:rFonts w:ascii="Arial" w:hAnsi="Arial" w:cs="Arial"/>
        </w:rPr>
      </w:pPr>
    </w:p>
    <w:p w:rsidR="00CC68E3" w:rsidRPr="008D6CF6" w:rsidRDefault="00CC68E3" w:rsidP="00646CA5">
      <w:pPr>
        <w:spacing w:line="276" w:lineRule="auto"/>
        <w:rPr>
          <w:rFonts w:ascii="Arial" w:hAnsi="Arial" w:cs="Arial"/>
          <w:b/>
        </w:rPr>
      </w:pPr>
      <w:r w:rsidRPr="008D6CF6">
        <w:rPr>
          <w:rFonts w:ascii="Arial" w:hAnsi="Arial" w:cs="Arial"/>
          <w:b/>
        </w:rPr>
        <w:t xml:space="preserve">IRR Project C </w:t>
      </w:r>
    </w:p>
    <w:tbl>
      <w:tblPr>
        <w:tblW w:w="8931" w:type="dxa"/>
        <w:tblInd w:w="-284" w:type="dxa"/>
        <w:tblCellMar>
          <w:top w:w="15" w:type="dxa"/>
          <w:bottom w:w="15" w:type="dxa"/>
        </w:tblCellMar>
        <w:tblLook w:val="04A0" w:firstRow="1" w:lastRow="0" w:firstColumn="1" w:lastColumn="0" w:noHBand="0" w:noVBand="1"/>
      </w:tblPr>
      <w:tblGrid>
        <w:gridCol w:w="1464"/>
        <w:gridCol w:w="1180"/>
        <w:gridCol w:w="2280"/>
        <w:gridCol w:w="1180"/>
        <w:gridCol w:w="1180"/>
        <w:gridCol w:w="1180"/>
        <w:gridCol w:w="667"/>
      </w:tblGrid>
      <w:tr w:rsidR="00CC68E3" w:rsidRPr="00646CA5" w:rsidTr="008D6CF6">
        <w:trPr>
          <w:trHeight w:val="300"/>
        </w:trPr>
        <w:tc>
          <w:tcPr>
            <w:tcW w:w="1464"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20% (Capital allowance)</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467"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r>
      <w:tr w:rsidR="00CC68E3" w:rsidRPr="00646CA5" w:rsidTr="008D6CF6">
        <w:trPr>
          <w:trHeight w:val="300"/>
        </w:trPr>
        <w:tc>
          <w:tcPr>
            <w:tcW w:w="1464"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467"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r>
      <w:tr w:rsidR="00CC68E3" w:rsidRPr="00646CA5" w:rsidTr="008D6CF6">
        <w:trPr>
          <w:trHeight w:val="300"/>
        </w:trPr>
        <w:tc>
          <w:tcPr>
            <w:tcW w:w="1464"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 xml:space="preserve">Time </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0</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2</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3</w:t>
            </w:r>
          </w:p>
        </w:tc>
        <w:tc>
          <w:tcPr>
            <w:tcW w:w="467"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4</w:t>
            </w:r>
          </w:p>
        </w:tc>
      </w:tr>
      <w:tr w:rsidR="00CC68E3" w:rsidRPr="00646CA5" w:rsidTr="008D6CF6">
        <w:trPr>
          <w:trHeight w:val="300"/>
        </w:trPr>
        <w:tc>
          <w:tcPr>
            <w:tcW w:w="1464"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FV</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-1700</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500</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800</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1050</w:t>
            </w:r>
          </w:p>
        </w:tc>
        <w:tc>
          <w:tcPr>
            <w:tcW w:w="467"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1200</w:t>
            </w:r>
          </w:p>
        </w:tc>
      </w:tr>
      <w:tr w:rsidR="00CC68E3" w:rsidRPr="00646CA5" w:rsidTr="008D6CF6">
        <w:trPr>
          <w:trHeight w:val="300"/>
        </w:trPr>
        <w:tc>
          <w:tcPr>
            <w:tcW w:w="1464"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DF</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0.833</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0.694</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0.579</w:t>
            </w:r>
          </w:p>
        </w:tc>
        <w:tc>
          <w:tcPr>
            <w:tcW w:w="467"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0.482</w:t>
            </w:r>
          </w:p>
        </w:tc>
      </w:tr>
      <w:tr w:rsidR="00CC68E3" w:rsidRPr="00646CA5" w:rsidTr="008D6CF6">
        <w:trPr>
          <w:trHeight w:val="300"/>
        </w:trPr>
        <w:tc>
          <w:tcPr>
            <w:tcW w:w="1464"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PV</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-1700</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416.5</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555.2</w:t>
            </w: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607.95</w:t>
            </w:r>
          </w:p>
        </w:tc>
        <w:tc>
          <w:tcPr>
            <w:tcW w:w="467"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578.4</w:t>
            </w:r>
          </w:p>
        </w:tc>
      </w:tr>
      <w:tr w:rsidR="00CC68E3" w:rsidRPr="00646CA5" w:rsidTr="008D6CF6">
        <w:trPr>
          <w:trHeight w:val="300"/>
        </w:trPr>
        <w:tc>
          <w:tcPr>
            <w:tcW w:w="1464"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467"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r>
      <w:tr w:rsidR="00CC68E3" w:rsidRPr="00646CA5" w:rsidTr="008D6CF6">
        <w:trPr>
          <w:trHeight w:val="300"/>
        </w:trPr>
        <w:tc>
          <w:tcPr>
            <w:tcW w:w="1464"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c>
          <w:tcPr>
            <w:tcW w:w="467" w:type="dxa"/>
            <w:tcBorders>
              <w:top w:val="nil"/>
              <w:left w:val="nil"/>
              <w:bottom w:val="nil"/>
              <w:right w:val="nil"/>
            </w:tcBorders>
            <w:noWrap/>
            <w:vAlign w:val="bottom"/>
            <w:hideMark/>
          </w:tcPr>
          <w:p w:rsidR="00CC68E3" w:rsidRPr="008D6CF6" w:rsidRDefault="00CC68E3" w:rsidP="00646CA5">
            <w:pPr>
              <w:spacing w:line="276" w:lineRule="auto"/>
              <w:rPr>
                <w:rFonts w:ascii="Arial" w:hAnsi="Arial" w:cs="Arial"/>
                <w:sz w:val="18"/>
                <w:szCs w:val="18"/>
                <w:lang w:eastAsia="en-GB"/>
              </w:rPr>
            </w:pPr>
          </w:p>
        </w:tc>
      </w:tr>
      <w:tr w:rsidR="00CC68E3" w:rsidRPr="00646CA5" w:rsidTr="008D6CF6">
        <w:trPr>
          <w:trHeight w:val="300"/>
        </w:trPr>
        <w:tc>
          <w:tcPr>
            <w:tcW w:w="1464"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NPV</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22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r w:rsidRPr="008D6CF6">
              <w:rPr>
                <w:rFonts w:ascii="Arial" w:hAnsi="Arial" w:cs="Arial"/>
                <w:sz w:val="18"/>
                <w:szCs w:val="18"/>
                <w:lang w:eastAsia="en-GB"/>
              </w:rPr>
              <w:t>458.05</w:t>
            </w: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c>
          <w:tcPr>
            <w:tcW w:w="467" w:type="dxa"/>
            <w:tcBorders>
              <w:top w:val="nil"/>
              <w:left w:val="nil"/>
              <w:bottom w:val="nil"/>
              <w:right w:val="nil"/>
            </w:tcBorders>
            <w:shd w:val="clear" w:color="C0E4F5" w:fill="C0E4F5"/>
            <w:noWrap/>
            <w:vAlign w:val="bottom"/>
            <w:hideMark/>
          </w:tcPr>
          <w:p w:rsidR="00CC68E3" w:rsidRPr="008D6CF6" w:rsidRDefault="00CC68E3" w:rsidP="00646CA5">
            <w:pPr>
              <w:spacing w:line="276" w:lineRule="auto"/>
              <w:rPr>
                <w:rFonts w:ascii="Arial" w:hAnsi="Arial" w:cs="Arial"/>
                <w:sz w:val="18"/>
                <w:szCs w:val="18"/>
                <w:lang w:eastAsia="en-GB"/>
              </w:rPr>
            </w:pPr>
          </w:p>
        </w:tc>
      </w:tr>
    </w:tbl>
    <w:p w:rsidR="00150973" w:rsidRPr="00646CA5" w:rsidRDefault="00CC68E3" w:rsidP="00646CA5">
      <w:pPr>
        <w:spacing w:line="276" w:lineRule="auto"/>
        <w:rPr>
          <w:rFonts w:ascii="Arial" w:hAnsi="Arial" w:cs="Arial"/>
        </w:rPr>
      </w:pPr>
      <w:r w:rsidRPr="00646CA5">
        <w:rPr>
          <w:rFonts w:ascii="Arial" w:hAnsi="Arial" w:cs="Arial"/>
        </w:rPr>
        <w:t>NPV</w:t>
      </w:r>
      <w:proofErr w:type="gramStart"/>
      <w:r w:rsidRPr="00646CA5">
        <w:rPr>
          <w:rFonts w:ascii="Arial" w:hAnsi="Arial" w:cs="Arial"/>
        </w:rPr>
        <w:t>=(</w:t>
      </w:r>
      <w:proofErr w:type="gramEnd"/>
      <w:r w:rsidRPr="00646CA5">
        <w:rPr>
          <w:rFonts w:ascii="Arial" w:hAnsi="Arial" w:cs="Arial"/>
        </w:rPr>
        <w:t>1700)+416.5+555.2+607.95+578.4=458.05</w:t>
      </w:r>
    </w:p>
    <w:p w:rsidR="00CC68E3" w:rsidRDefault="00CC68E3" w:rsidP="00646CA5">
      <w:pPr>
        <w:spacing w:line="276" w:lineRule="auto"/>
        <w:rPr>
          <w:rFonts w:ascii="Arial" w:hAnsi="Arial" w:cs="Arial"/>
        </w:rPr>
      </w:pPr>
    </w:p>
    <w:p w:rsidR="00CC68E3" w:rsidRDefault="00CC68E3" w:rsidP="00646CA5">
      <w:pPr>
        <w:spacing w:line="276" w:lineRule="auto"/>
        <w:rPr>
          <w:rFonts w:ascii="Arial" w:hAnsi="Arial" w:cs="Arial"/>
          <w:b/>
          <w:sz w:val="28"/>
          <w:szCs w:val="28"/>
        </w:rPr>
      </w:pPr>
      <w:r w:rsidRPr="008D6CF6">
        <w:rPr>
          <w:rFonts w:ascii="Arial" w:hAnsi="Arial" w:cs="Arial"/>
          <w:b/>
          <w:sz w:val="28"/>
          <w:szCs w:val="28"/>
        </w:rPr>
        <w:t xml:space="preserve">IRR Project C </w:t>
      </w:r>
    </w:p>
    <w:p w:rsidR="008D6CF6" w:rsidRPr="008D6CF6" w:rsidRDefault="008D6CF6" w:rsidP="00646CA5">
      <w:pPr>
        <w:spacing w:line="276" w:lineRule="auto"/>
        <w:rPr>
          <w:rFonts w:ascii="Arial" w:hAnsi="Arial" w:cs="Arial"/>
          <w:b/>
          <w:sz w:val="28"/>
          <w:szCs w:val="28"/>
        </w:rPr>
      </w:pPr>
    </w:p>
    <w:p w:rsidR="00CC68E3" w:rsidRPr="00646CA5" w:rsidRDefault="00CC68E3" w:rsidP="00646CA5">
      <w:pPr>
        <w:spacing w:line="276" w:lineRule="auto"/>
        <w:rPr>
          <w:rFonts w:ascii="Arial" w:hAnsi="Arial" w:cs="Arial"/>
        </w:rPr>
      </w:pPr>
      <w:r w:rsidRPr="00646CA5">
        <w:rPr>
          <w:rFonts w:ascii="Arial" w:hAnsi="Arial" w:cs="Arial"/>
        </w:rPr>
        <w:t xml:space="preserve">1315.90 + 458.05 = 1773.95 </w:t>
      </w:r>
    </w:p>
    <w:p w:rsidR="007F3B1A" w:rsidRPr="00646CA5" w:rsidRDefault="00CC68E3" w:rsidP="00646CA5">
      <w:pPr>
        <w:spacing w:line="276" w:lineRule="auto"/>
        <w:rPr>
          <w:rFonts w:ascii="Arial" w:hAnsi="Arial" w:cs="Arial"/>
        </w:rPr>
      </w:pPr>
      <w:r w:rsidRPr="00646CA5">
        <w:rPr>
          <w:rFonts w:ascii="Arial" w:hAnsi="Arial" w:cs="Arial"/>
        </w:rPr>
        <w:t xml:space="preserve">6% - 20% = 14 % </w:t>
      </w:r>
    </w:p>
    <w:p w:rsidR="007F3B1A" w:rsidRPr="00646CA5" w:rsidRDefault="00CC68E3" w:rsidP="00646CA5">
      <w:pPr>
        <w:spacing w:line="276" w:lineRule="auto"/>
        <w:rPr>
          <w:rFonts w:ascii="Arial" w:hAnsi="Arial" w:cs="Arial"/>
        </w:rPr>
      </w:pPr>
      <w:r w:rsidRPr="00646CA5">
        <w:rPr>
          <w:rFonts w:ascii="Arial" w:hAnsi="Arial" w:cs="Arial"/>
        </w:rPr>
        <w:t xml:space="preserve">IF 1773.95= 14% </w:t>
      </w:r>
    </w:p>
    <w:p w:rsidR="007F3B1A" w:rsidRPr="00646CA5" w:rsidRDefault="00CC68E3" w:rsidP="00646CA5">
      <w:pPr>
        <w:spacing w:line="276" w:lineRule="auto"/>
        <w:rPr>
          <w:rFonts w:ascii="Arial" w:hAnsi="Arial" w:cs="Arial"/>
        </w:rPr>
      </w:pPr>
      <w:r w:rsidRPr="00646CA5">
        <w:rPr>
          <w:rFonts w:ascii="Arial" w:hAnsi="Arial" w:cs="Arial"/>
        </w:rPr>
        <w:t>1% = 1773.95/ 14= 126.7</w:t>
      </w:r>
      <w:r w:rsidR="007F3B1A" w:rsidRPr="00646CA5">
        <w:rPr>
          <w:rFonts w:ascii="Arial" w:hAnsi="Arial" w:cs="Arial"/>
        </w:rPr>
        <w:t>1</w:t>
      </w:r>
      <w:r w:rsidRPr="00646CA5">
        <w:rPr>
          <w:rFonts w:ascii="Arial" w:hAnsi="Arial" w:cs="Arial"/>
        </w:rPr>
        <w:t xml:space="preserve"> </w:t>
      </w:r>
    </w:p>
    <w:p w:rsidR="007F3B1A" w:rsidRPr="00646CA5" w:rsidRDefault="00CC68E3" w:rsidP="00646CA5">
      <w:pPr>
        <w:spacing w:line="276" w:lineRule="auto"/>
        <w:rPr>
          <w:rFonts w:ascii="Arial" w:hAnsi="Arial" w:cs="Arial"/>
        </w:rPr>
      </w:pPr>
      <w:r w:rsidRPr="00646CA5">
        <w:rPr>
          <w:rFonts w:ascii="Arial" w:hAnsi="Arial" w:cs="Arial"/>
        </w:rPr>
        <w:t>1315.90 = 1315.90/ 126.7</w:t>
      </w:r>
      <w:r w:rsidR="007F3B1A" w:rsidRPr="00646CA5">
        <w:rPr>
          <w:rFonts w:ascii="Arial" w:hAnsi="Arial" w:cs="Arial"/>
        </w:rPr>
        <w:t>1</w:t>
      </w:r>
      <w:r w:rsidRPr="00646CA5">
        <w:rPr>
          <w:rFonts w:ascii="Arial" w:hAnsi="Arial" w:cs="Arial"/>
        </w:rPr>
        <w:t xml:space="preserve">= 10.39%= 10 % </w:t>
      </w:r>
    </w:p>
    <w:p w:rsidR="00CC68E3" w:rsidRPr="008D6CF6" w:rsidRDefault="00CC68E3" w:rsidP="00646CA5">
      <w:pPr>
        <w:spacing w:line="276" w:lineRule="auto"/>
        <w:rPr>
          <w:rFonts w:ascii="Arial" w:hAnsi="Arial" w:cs="Arial"/>
          <w:b/>
        </w:rPr>
      </w:pPr>
      <w:r w:rsidRPr="008D6CF6">
        <w:rPr>
          <w:rFonts w:ascii="Arial" w:hAnsi="Arial" w:cs="Arial"/>
          <w:b/>
        </w:rPr>
        <w:t>IRR Project C = 6% + 10% = 16%</w:t>
      </w:r>
    </w:p>
    <w:tbl>
      <w:tblPr>
        <w:tblpPr w:leftFromText="180" w:rightFromText="180" w:vertAnchor="page" w:horzAnchor="margin" w:tblpXSpec="center" w:tblpY="586"/>
        <w:tblW w:w="11373" w:type="dxa"/>
        <w:tblCellMar>
          <w:top w:w="15" w:type="dxa"/>
          <w:bottom w:w="15" w:type="dxa"/>
        </w:tblCellMar>
        <w:tblLook w:val="04A0" w:firstRow="1" w:lastRow="0" w:firstColumn="1" w:lastColumn="0" w:noHBand="0" w:noVBand="1"/>
      </w:tblPr>
      <w:tblGrid>
        <w:gridCol w:w="3220"/>
        <w:gridCol w:w="1180"/>
        <w:gridCol w:w="1393"/>
        <w:gridCol w:w="1800"/>
        <w:gridCol w:w="1180"/>
        <w:gridCol w:w="1039"/>
        <w:gridCol w:w="1561"/>
      </w:tblGrid>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4A15FD" w:rsidRDefault="00DA3623" w:rsidP="008D6CF6">
            <w:pPr>
              <w:spacing w:line="276" w:lineRule="auto"/>
              <w:rPr>
                <w:rFonts w:ascii="Arial" w:hAnsi="Arial" w:cs="Arial"/>
                <w:b/>
                <w:lang w:eastAsia="en-GB"/>
              </w:rPr>
            </w:pPr>
            <w:r w:rsidRPr="004A15FD">
              <w:rPr>
                <w:rFonts w:ascii="Arial" w:hAnsi="Arial" w:cs="Arial"/>
                <w:b/>
                <w:lang w:eastAsia="en-GB"/>
              </w:rPr>
              <w:lastRenderedPageBreak/>
              <w:t xml:space="preserve">Optimal </w:t>
            </w:r>
            <w:r w:rsidR="00DC304F" w:rsidRPr="004A15FD">
              <w:rPr>
                <w:rFonts w:ascii="Arial" w:hAnsi="Arial" w:cs="Arial"/>
                <w:b/>
                <w:lang w:eastAsia="en-GB"/>
              </w:rPr>
              <w:t>investment</w:t>
            </w:r>
            <w:r w:rsidRPr="004A15FD">
              <w:rPr>
                <w:rFonts w:ascii="Arial" w:hAnsi="Arial" w:cs="Arial"/>
                <w:b/>
                <w:lang w:eastAsia="en-GB"/>
              </w:rPr>
              <w:t xml:space="preserve"> policy </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C304F" w:rsidP="008D6CF6">
            <w:pPr>
              <w:spacing w:line="276" w:lineRule="auto"/>
              <w:rPr>
                <w:rFonts w:ascii="Arial" w:hAnsi="Arial" w:cs="Arial"/>
                <w:sz w:val="18"/>
                <w:szCs w:val="18"/>
                <w:lang w:eastAsia="en-GB"/>
              </w:rPr>
            </w:pPr>
            <w:r w:rsidRPr="008D6CF6">
              <w:rPr>
                <w:rFonts w:ascii="Arial" w:hAnsi="Arial" w:cs="Arial"/>
                <w:sz w:val="18"/>
                <w:szCs w:val="18"/>
                <w:lang w:eastAsia="en-GB"/>
              </w:rPr>
              <w:t>Investment</w:t>
            </w:r>
            <w:r w:rsidR="00DA3623" w:rsidRPr="008D6CF6">
              <w:rPr>
                <w:rFonts w:ascii="Arial" w:hAnsi="Arial" w:cs="Arial"/>
                <w:sz w:val="18"/>
                <w:szCs w:val="18"/>
                <w:lang w:eastAsia="en-GB"/>
              </w:rPr>
              <w:t xml:space="preserve"> </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6%</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Cost-</w:t>
            </w: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Ranking</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Cost </w:t>
            </w: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NPV</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Benefit </w:t>
            </w: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£'000</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£'000</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Ration</w:t>
            </w: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Project A </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660</w:t>
            </w: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752.9</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1.14</w:t>
            </w:r>
          </w:p>
        </w:tc>
        <w:tc>
          <w:tcPr>
            <w:tcW w:w="1561" w:type="dxa"/>
            <w:tcBorders>
              <w:top w:val="nil"/>
              <w:left w:val="nil"/>
              <w:bottom w:val="nil"/>
              <w:right w:val="nil"/>
            </w:tcBorders>
            <w:shd w:val="clear" w:color="C0E4F5" w:fill="C0E4F5"/>
            <w:noWrap/>
            <w:vAlign w:val="bottom"/>
            <w:hideMark/>
          </w:tcPr>
          <w:p w:rsidR="00DA3623" w:rsidRPr="008D6CF6" w:rsidRDefault="00CA10BC"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2</w:t>
            </w: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B</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1000</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1,301.40</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1.3</w:t>
            </w:r>
          </w:p>
        </w:tc>
        <w:tc>
          <w:tcPr>
            <w:tcW w:w="1561" w:type="dxa"/>
            <w:tcBorders>
              <w:top w:val="nil"/>
              <w:left w:val="nil"/>
              <w:bottom w:val="nil"/>
              <w:right w:val="nil"/>
            </w:tcBorders>
            <w:noWrap/>
            <w:vAlign w:val="bottom"/>
            <w:hideMark/>
          </w:tcPr>
          <w:p w:rsidR="00DA3623" w:rsidRPr="008D6CF6" w:rsidRDefault="00CA10BC"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1</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C</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1700</w:t>
            </w: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1,315.90</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0.774</w:t>
            </w:r>
          </w:p>
        </w:tc>
        <w:tc>
          <w:tcPr>
            <w:tcW w:w="1561" w:type="dxa"/>
            <w:tcBorders>
              <w:top w:val="nil"/>
              <w:left w:val="nil"/>
              <w:bottom w:val="nil"/>
              <w:right w:val="nil"/>
            </w:tcBorders>
            <w:shd w:val="clear" w:color="C0E4F5" w:fill="C0E4F5"/>
            <w:noWrap/>
            <w:vAlign w:val="bottom"/>
            <w:hideMark/>
          </w:tcPr>
          <w:p w:rsidR="00DA3623" w:rsidRPr="008D6CF6" w:rsidRDefault="00CA10BC"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3</w:t>
            </w: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A= 752.9/660=1.14</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B=1301.4/1000=1.3</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31"/>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C= 1315.9/1700=0.774</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65"/>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53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Cost Benefit Ratio = NPV/Cost of Capital</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Resulting NPV from optimal </w:t>
            </w:r>
            <w:r w:rsidR="00DC304F" w:rsidRPr="008D6CF6">
              <w:rPr>
                <w:rFonts w:ascii="Arial" w:hAnsi="Arial" w:cs="Arial"/>
                <w:sz w:val="18"/>
                <w:szCs w:val="18"/>
                <w:lang w:eastAsia="en-GB"/>
              </w:rPr>
              <w:t>investment</w:t>
            </w:r>
            <w:r w:rsidRPr="008D6CF6">
              <w:rPr>
                <w:rFonts w:ascii="Arial" w:hAnsi="Arial" w:cs="Arial"/>
                <w:sz w:val="18"/>
                <w:szCs w:val="18"/>
                <w:lang w:eastAsia="en-GB"/>
              </w:rPr>
              <w:t xml:space="preserve"> policy</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Benefit/</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Initial </w:t>
            </w: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Resultant </w:t>
            </w: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Ranking</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Cost</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outlay</w:t>
            </w: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NPV</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£000</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£000</w:t>
            </w: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£000</w:t>
            </w: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B</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1st</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1.3</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1,000</w:t>
            </w: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1,301.40</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Project A </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2nd</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1.14</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3848EB"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660</w:t>
            </w:r>
          </w:p>
        </w:tc>
        <w:tc>
          <w:tcPr>
            <w:tcW w:w="1561" w:type="dxa"/>
            <w:tcBorders>
              <w:top w:val="nil"/>
              <w:left w:val="nil"/>
              <w:bottom w:val="nil"/>
              <w:right w:val="nil"/>
            </w:tcBorders>
            <w:noWrap/>
            <w:vAlign w:val="bottom"/>
            <w:hideMark/>
          </w:tcPr>
          <w:p w:rsidR="00DA3623" w:rsidRPr="008D6CF6" w:rsidRDefault="003848EB"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752.9</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Project C</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3rd</w:t>
            </w: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0.774</w:t>
            </w: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3848EB"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840</w:t>
            </w:r>
          </w:p>
        </w:tc>
        <w:tc>
          <w:tcPr>
            <w:tcW w:w="1561" w:type="dxa"/>
            <w:tcBorders>
              <w:top w:val="nil"/>
              <w:left w:val="nil"/>
              <w:bottom w:val="nil"/>
              <w:right w:val="nil"/>
            </w:tcBorders>
            <w:noWrap/>
            <w:vAlign w:val="bottom"/>
            <w:hideMark/>
          </w:tcPr>
          <w:p w:rsidR="00DA3623" w:rsidRPr="008D6CF6" w:rsidRDefault="003848EB"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650.16</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CA10BC"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£2,500</w:t>
            </w:r>
          </w:p>
        </w:tc>
        <w:tc>
          <w:tcPr>
            <w:tcW w:w="1561" w:type="dxa"/>
            <w:tcBorders>
              <w:top w:val="nil"/>
              <w:left w:val="nil"/>
              <w:bottom w:val="nil"/>
              <w:right w:val="nil"/>
            </w:tcBorders>
            <w:noWrap/>
            <w:vAlign w:val="bottom"/>
            <w:hideMark/>
          </w:tcPr>
          <w:p w:rsidR="00DA3623" w:rsidRPr="008D6CF6" w:rsidRDefault="00CA10BC"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   </w:t>
            </w:r>
            <w:r w:rsidR="00DA3623" w:rsidRPr="008D6CF6">
              <w:rPr>
                <w:rFonts w:ascii="Arial" w:hAnsi="Arial" w:cs="Arial"/>
                <w:sz w:val="18"/>
                <w:szCs w:val="18"/>
                <w:lang w:eastAsia="en-GB"/>
              </w:rPr>
              <w:t>2,701.1</w:t>
            </w: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100% Project A and B</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4A15FD">
        <w:trPr>
          <w:trHeight w:val="500"/>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Proportion of </w:t>
            </w:r>
            <w:r w:rsidR="00DC304F" w:rsidRPr="008D6CF6">
              <w:rPr>
                <w:rFonts w:ascii="Arial" w:hAnsi="Arial" w:cs="Arial"/>
                <w:sz w:val="18"/>
                <w:szCs w:val="18"/>
                <w:lang w:eastAsia="en-GB"/>
              </w:rPr>
              <w:t>Project</w:t>
            </w:r>
            <w:r w:rsidRPr="008D6CF6">
              <w:rPr>
                <w:rFonts w:ascii="Arial" w:hAnsi="Arial" w:cs="Arial"/>
                <w:sz w:val="18"/>
                <w:szCs w:val="18"/>
                <w:lang w:eastAsia="en-GB"/>
              </w:rPr>
              <w:t xml:space="preserve"> C </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C </w:t>
            </w:r>
            <w:r w:rsidR="00DC304F" w:rsidRPr="008D6CF6">
              <w:rPr>
                <w:rFonts w:ascii="Arial" w:hAnsi="Arial" w:cs="Arial"/>
                <w:sz w:val="18"/>
                <w:szCs w:val="18"/>
                <w:lang w:eastAsia="en-GB"/>
              </w:rPr>
              <w:t>undertaken</w:t>
            </w: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(840/ 1700) x 100%= 49.41</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49.41%</w:t>
            </w: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300"/>
        </w:trPr>
        <w:tc>
          <w:tcPr>
            <w:tcW w:w="322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180"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noWrap/>
            <w:vAlign w:val="bottom"/>
            <w:hideMark/>
          </w:tcPr>
          <w:p w:rsidR="00DA3623" w:rsidRPr="008D6CF6" w:rsidRDefault="00DA3623" w:rsidP="008D6CF6">
            <w:pPr>
              <w:spacing w:line="276" w:lineRule="auto"/>
              <w:rPr>
                <w:rFonts w:ascii="Arial" w:hAnsi="Arial" w:cs="Arial"/>
                <w:sz w:val="18"/>
                <w:szCs w:val="18"/>
                <w:lang w:eastAsia="en-GB"/>
              </w:rPr>
            </w:pPr>
          </w:p>
        </w:tc>
      </w:tr>
      <w:tr w:rsidR="00DA3623" w:rsidRPr="008D6CF6" w:rsidTr="008D6CF6">
        <w:trPr>
          <w:trHeight w:val="411"/>
        </w:trPr>
        <w:tc>
          <w:tcPr>
            <w:tcW w:w="322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Resulting NPV for Project C </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393"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80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r w:rsidRPr="008D6CF6">
              <w:rPr>
                <w:rFonts w:ascii="Arial" w:hAnsi="Arial" w:cs="Arial"/>
                <w:sz w:val="18"/>
                <w:szCs w:val="18"/>
                <w:lang w:eastAsia="en-GB"/>
              </w:rPr>
              <w:t xml:space="preserve">49.41 % x 1,315.9 </w:t>
            </w:r>
            <w:r w:rsidRPr="008D6CF6">
              <w:rPr>
                <w:rFonts w:ascii="Arial" w:hAnsi="Arial" w:cs="Arial"/>
                <w:b/>
                <w:sz w:val="18"/>
                <w:szCs w:val="18"/>
                <w:lang w:eastAsia="en-GB"/>
              </w:rPr>
              <w:t>= 650.1</w:t>
            </w:r>
          </w:p>
        </w:tc>
        <w:tc>
          <w:tcPr>
            <w:tcW w:w="1180"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039"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c>
          <w:tcPr>
            <w:tcW w:w="1561" w:type="dxa"/>
            <w:tcBorders>
              <w:top w:val="nil"/>
              <w:left w:val="nil"/>
              <w:bottom w:val="nil"/>
              <w:right w:val="nil"/>
            </w:tcBorders>
            <w:shd w:val="clear" w:color="C0E4F5" w:fill="C0E4F5"/>
            <w:noWrap/>
            <w:vAlign w:val="bottom"/>
            <w:hideMark/>
          </w:tcPr>
          <w:p w:rsidR="00DA3623" w:rsidRPr="008D6CF6" w:rsidRDefault="00DA3623" w:rsidP="008D6CF6">
            <w:pPr>
              <w:spacing w:line="276" w:lineRule="auto"/>
              <w:rPr>
                <w:rFonts w:ascii="Arial" w:hAnsi="Arial" w:cs="Arial"/>
                <w:sz w:val="18"/>
                <w:szCs w:val="18"/>
                <w:lang w:eastAsia="en-GB"/>
              </w:rPr>
            </w:pPr>
          </w:p>
        </w:tc>
      </w:tr>
    </w:tbl>
    <w:p w:rsidR="00150973" w:rsidRPr="008D6CF6" w:rsidRDefault="00150973" w:rsidP="00646CA5">
      <w:pPr>
        <w:spacing w:line="276" w:lineRule="auto"/>
        <w:rPr>
          <w:rFonts w:ascii="Arial" w:hAnsi="Arial" w:cs="Arial"/>
          <w:sz w:val="18"/>
          <w:szCs w:val="18"/>
        </w:rPr>
      </w:pPr>
    </w:p>
    <w:p w:rsidR="00646CA5" w:rsidRPr="00646CA5" w:rsidRDefault="00646CA5">
      <w:pPr>
        <w:spacing w:line="276" w:lineRule="auto"/>
        <w:rPr>
          <w:rFonts w:ascii="Arial" w:hAnsi="Arial" w:cs="Arial"/>
        </w:rPr>
      </w:pPr>
    </w:p>
    <w:sectPr w:rsidR="00646CA5" w:rsidRPr="00646CA5" w:rsidSect="00CA10BC">
      <w:footerReference w:type="default" r:id="rId71"/>
      <w:footerReference w:type="firs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241F" w:rsidRDefault="001E241F" w:rsidP="00EC355A">
      <w:r>
        <w:separator/>
      </w:r>
    </w:p>
    <w:p w:rsidR="001E241F" w:rsidRDefault="001E241F" w:rsidP="00EC355A"/>
  </w:endnote>
  <w:endnote w:type="continuationSeparator" w:id="0">
    <w:p w:rsidR="001E241F" w:rsidRDefault="001E241F" w:rsidP="00EC355A">
      <w:r>
        <w:continuationSeparator/>
      </w:r>
    </w:p>
    <w:p w:rsidR="001E241F" w:rsidRDefault="001E241F" w:rsidP="00EC35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0292317"/>
      <w:docPartObj>
        <w:docPartGallery w:val="Page Numbers (Bottom of Page)"/>
        <w:docPartUnique/>
      </w:docPartObj>
    </w:sdtPr>
    <w:sdtEndPr>
      <w:rPr>
        <w:noProof/>
      </w:rPr>
    </w:sdtEndPr>
    <w:sdtContent>
      <w:p w:rsidR="008E476F" w:rsidRDefault="008E47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D03C2" w:rsidRDefault="009D03C2" w:rsidP="00EC355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03C2" w:rsidRDefault="009D03C2" w:rsidP="00EC355A">
    <w:pPr>
      <w:pStyle w:val="Footer"/>
    </w:pPr>
  </w:p>
  <w:p w:rsidR="009D03C2" w:rsidRDefault="009D03C2" w:rsidP="00EC355A">
    <w:pPr>
      <w:pStyle w:val="Footer"/>
    </w:pPr>
  </w:p>
  <w:p w:rsidR="009D03C2" w:rsidRDefault="009D03C2" w:rsidP="00EC355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241F" w:rsidRDefault="001E241F" w:rsidP="00EC355A">
      <w:r>
        <w:separator/>
      </w:r>
    </w:p>
    <w:p w:rsidR="001E241F" w:rsidRDefault="001E241F" w:rsidP="00EC355A"/>
  </w:footnote>
  <w:footnote w:type="continuationSeparator" w:id="0">
    <w:p w:rsidR="001E241F" w:rsidRDefault="001E241F" w:rsidP="00EC355A">
      <w:r>
        <w:continuationSeparator/>
      </w:r>
    </w:p>
    <w:p w:rsidR="001E241F" w:rsidRDefault="001E241F" w:rsidP="00EC355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65B0"/>
    <w:multiLevelType w:val="hybridMultilevel"/>
    <w:tmpl w:val="BF5C9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B157B"/>
    <w:multiLevelType w:val="multilevel"/>
    <w:tmpl w:val="7A521F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6731B"/>
    <w:multiLevelType w:val="multilevel"/>
    <w:tmpl w:val="577CC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21400"/>
    <w:multiLevelType w:val="hybridMultilevel"/>
    <w:tmpl w:val="E7C63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47D99"/>
    <w:multiLevelType w:val="multilevel"/>
    <w:tmpl w:val="2FC2B1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6238F4"/>
    <w:multiLevelType w:val="hybridMultilevel"/>
    <w:tmpl w:val="657E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C4762"/>
    <w:multiLevelType w:val="hybridMultilevel"/>
    <w:tmpl w:val="81786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FD4896"/>
    <w:multiLevelType w:val="multilevel"/>
    <w:tmpl w:val="E710C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C058D8"/>
    <w:multiLevelType w:val="hybridMultilevel"/>
    <w:tmpl w:val="6474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5C62A8"/>
    <w:multiLevelType w:val="multilevel"/>
    <w:tmpl w:val="22047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
  </w:num>
  <w:num w:numId="3">
    <w:abstractNumId w:val="1"/>
  </w:num>
  <w:num w:numId="4">
    <w:abstractNumId w:val="7"/>
  </w:num>
  <w:num w:numId="5">
    <w:abstractNumId w:val="4"/>
  </w:num>
  <w:num w:numId="6">
    <w:abstractNumId w:val="3"/>
  </w:num>
  <w:num w:numId="7">
    <w:abstractNumId w:val="6"/>
  </w:num>
  <w:num w:numId="8">
    <w:abstractNumId w:val="5"/>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727"/>
    <w:rsid w:val="00025721"/>
    <w:rsid w:val="000E0B3C"/>
    <w:rsid w:val="000E167F"/>
    <w:rsid w:val="000F18FE"/>
    <w:rsid w:val="00150973"/>
    <w:rsid w:val="001908D5"/>
    <w:rsid w:val="00194D86"/>
    <w:rsid w:val="001E241F"/>
    <w:rsid w:val="002F0BB6"/>
    <w:rsid w:val="003463CD"/>
    <w:rsid w:val="003675EB"/>
    <w:rsid w:val="003816F3"/>
    <w:rsid w:val="003848EB"/>
    <w:rsid w:val="003B51C5"/>
    <w:rsid w:val="0043063F"/>
    <w:rsid w:val="00451F97"/>
    <w:rsid w:val="00453175"/>
    <w:rsid w:val="004A15FD"/>
    <w:rsid w:val="004B4EBE"/>
    <w:rsid w:val="004C28BF"/>
    <w:rsid w:val="005060A1"/>
    <w:rsid w:val="00605493"/>
    <w:rsid w:val="0060771B"/>
    <w:rsid w:val="00644A1B"/>
    <w:rsid w:val="00646CA5"/>
    <w:rsid w:val="006700BC"/>
    <w:rsid w:val="0068582A"/>
    <w:rsid w:val="006F1517"/>
    <w:rsid w:val="00707428"/>
    <w:rsid w:val="007369B9"/>
    <w:rsid w:val="0073766C"/>
    <w:rsid w:val="007D7AAF"/>
    <w:rsid w:val="007F3B1A"/>
    <w:rsid w:val="007F5683"/>
    <w:rsid w:val="008855C8"/>
    <w:rsid w:val="008D6CF6"/>
    <w:rsid w:val="008D7A77"/>
    <w:rsid w:val="008E476F"/>
    <w:rsid w:val="0092683A"/>
    <w:rsid w:val="00953727"/>
    <w:rsid w:val="009C5880"/>
    <w:rsid w:val="009D03C2"/>
    <w:rsid w:val="009D27A7"/>
    <w:rsid w:val="00A051A5"/>
    <w:rsid w:val="00A66261"/>
    <w:rsid w:val="00AB3895"/>
    <w:rsid w:val="00B60ECB"/>
    <w:rsid w:val="00B85D5D"/>
    <w:rsid w:val="00BC0605"/>
    <w:rsid w:val="00C66C0F"/>
    <w:rsid w:val="00CA10BC"/>
    <w:rsid w:val="00CC68E3"/>
    <w:rsid w:val="00CD5030"/>
    <w:rsid w:val="00D66AF0"/>
    <w:rsid w:val="00DA2CC9"/>
    <w:rsid w:val="00DA3623"/>
    <w:rsid w:val="00DC304F"/>
    <w:rsid w:val="00E2143E"/>
    <w:rsid w:val="00E42F2F"/>
    <w:rsid w:val="00EA7211"/>
    <w:rsid w:val="00EC355A"/>
    <w:rsid w:val="00ED26F2"/>
    <w:rsid w:val="00F24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D4B890"/>
  <w15:chartTrackingRefBased/>
  <w15:docId w15:val="{2ED9AB91-3EE7-4F95-A043-2B48DB814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355A"/>
  </w:style>
  <w:style w:type="paragraph" w:styleId="Heading1">
    <w:name w:val="heading 1"/>
    <w:basedOn w:val="Normal"/>
    <w:next w:val="Normal"/>
    <w:link w:val="Heading1Char"/>
    <w:uiPriority w:val="9"/>
    <w:qFormat/>
    <w:rsid w:val="00EC35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35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35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37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B4EBE"/>
    <w:pPr>
      <w:ind w:left="720"/>
      <w:contextualSpacing/>
    </w:pPr>
  </w:style>
  <w:style w:type="character" w:styleId="Hyperlink">
    <w:name w:val="Hyperlink"/>
    <w:basedOn w:val="DefaultParagraphFont"/>
    <w:uiPriority w:val="99"/>
    <w:unhideWhenUsed/>
    <w:rsid w:val="003816F3"/>
    <w:rPr>
      <w:color w:val="0000FF"/>
      <w:u w:val="single"/>
    </w:rPr>
  </w:style>
  <w:style w:type="character" w:customStyle="1" w:styleId="highlighter">
    <w:name w:val="highlighter"/>
    <w:basedOn w:val="DefaultParagraphFont"/>
    <w:rsid w:val="003816F3"/>
  </w:style>
  <w:style w:type="character" w:customStyle="1" w:styleId="contributors">
    <w:name w:val="contributors"/>
    <w:basedOn w:val="DefaultParagraphFont"/>
    <w:rsid w:val="003816F3"/>
  </w:style>
  <w:style w:type="character" w:customStyle="1" w:styleId="maintitle">
    <w:name w:val="maintitle"/>
    <w:basedOn w:val="DefaultParagraphFont"/>
    <w:rsid w:val="003816F3"/>
  </w:style>
  <w:style w:type="character" w:customStyle="1" w:styleId="editors">
    <w:name w:val="editors"/>
    <w:basedOn w:val="DefaultParagraphFont"/>
    <w:rsid w:val="003816F3"/>
  </w:style>
  <w:style w:type="character" w:styleId="Emphasis">
    <w:name w:val="Emphasis"/>
    <w:basedOn w:val="DefaultParagraphFont"/>
    <w:uiPriority w:val="20"/>
    <w:qFormat/>
    <w:rsid w:val="003816F3"/>
    <w:rPr>
      <w:i/>
      <w:iCs/>
    </w:rPr>
  </w:style>
  <w:style w:type="paragraph" w:customStyle="1" w:styleId="nova-legacy-e-listitem">
    <w:name w:val="nova-legacy-e-list__item"/>
    <w:basedOn w:val="Normal"/>
    <w:rsid w:val="003816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50973"/>
    <w:rPr>
      <w:color w:val="605E5C"/>
      <w:shd w:val="clear" w:color="auto" w:fill="E1DFDD"/>
    </w:rPr>
  </w:style>
  <w:style w:type="paragraph" w:styleId="NoSpacing">
    <w:name w:val="No Spacing"/>
    <w:link w:val="NoSpacingChar"/>
    <w:uiPriority w:val="1"/>
    <w:qFormat/>
    <w:rsid w:val="00CA10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10BC"/>
    <w:rPr>
      <w:rFonts w:eastAsiaTheme="minorEastAsia"/>
      <w:lang w:val="en-US"/>
    </w:rPr>
  </w:style>
  <w:style w:type="paragraph" w:styleId="Header">
    <w:name w:val="header"/>
    <w:basedOn w:val="Normal"/>
    <w:link w:val="HeaderChar"/>
    <w:uiPriority w:val="99"/>
    <w:unhideWhenUsed/>
    <w:rsid w:val="00CD5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030"/>
  </w:style>
  <w:style w:type="paragraph" w:styleId="Footer">
    <w:name w:val="footer"/>
    <w:basedOn w:val="Normal"/>
    <w:link w:val="FooterChar"/>
    <w:uiPriority w:val="99"/>
    <w:unhideWhenUsed/>
    <w:rsid w:val="00CD5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030"/>
  </w:style>
  <w:style w:type="character" w:customStyle="1" w:styleId="Heading1Char">
    <w:name w:val="Heading 1 Char"/>
    <w:basedOn w:val="DefaultParagraphFont"/>
    <w:link w:val="Heading1"/>
    <w:uiPriority w:val="9"/>
    <w:rsid w:val="00EC35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355A"/>
    <w:pPr>
      <w:outlineLvl w:val="9"/>
    </w:pPr>
    <w:rPr>
      <w:lang w:val="en-US"/>
    </w:rPr>
  </w:style>
  <w:style w:type="character" w:customStyle="1" w:styleId="Heading2Char">
    <w:name w:val="Heading 2 Char"/>
    <w:basedOn w:val="DefaultParagraphFont"/>
    <w:link w:val="Heading2"/>
    <w:uiPriority w:val="9"/>
    <w:rsid w:val="00EC35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355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46CA5"/>
    <w:pPr>
      <w:spacing w:after="100"/>
    </w:pPr>
  </w:style>
  <w:style w:type="paragraph" w:styleId="TOC2">
    <w:name w:val="toc 2"/>
    <w:basedOn w:val="Normal"/>
    <w:next w:val="Normal"/>
    <w:autoRedefine/>
    <w:uiPriority w:val="39"/>
    <w:unhideWhenUsed/>
    <w:rsid w:val="00646CA5"/>
    <w:pPr>
      <w:spacing w:after="100"/>
      <w:ind w:left="220"/>
    </w:pPr>
  </w:style>
  <w:style w:type="paragraph" w:styleId="TOC3">
    <w:name w:val="toc 3"/>
    <w:basedOn w:val="Normal"/>
    <w:next w:val="Normal"/>
    <w:autoRedefine/>
    <w:uiPriority w:val="39"/>
    <w:unhideWhenUsed/>
    <w:rsid w:val="00646CA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99989">
      <w:bodyDiv w:val="1"/>
      <w:marLeft w:val="0"/>
      <w:marRight w:val="0"/>
      <w:marTop w:val="0"/>
      <w:marBottom w:val="0"/>
      <w:divBdr>
        <w:top w:val="none" w:sz="0" w:space="0" w:color="auto"/>
        <w:left w:val="none" w:sz="0" w:space="0" w:color="auto"/>
        <w:bottom w:val="none" w:sz="0" w:space="0" w:color="auto"/>
        <w:right w:val="none" w:sz="0" w:space="0" w:color="auto"/>
      </w:divBdr>
      <w:divsChild>
        <w:div w:id="881137646">
          <w:marLeft w:val="0"/>
          <w:marRight w:val="0"/>
          <w:marTop w:val="0"/>
          <w:marBottom w:val="0"/>
          <w:divBdr>
            <w:top w:val="none" w:sz="0" w:space="0" w:color="auto"/>
            <w:left w:val="none" w:sz="0" w:space="0" w:color="auto"/>
            <w:bottom w:val="none" w:sz="0" w:space="0" w:color="auto"/>
            <w:right w:val="none" w:sz="0" w:space="0" w:color="auto"/>
          </w:divBdr>
        </w:div>
      </w:divsChild>
    </w:div>
    <w:div w:id="46686886">
      <w:bodyDiv w:val="1"/>
      <w:marLeft w:val="0"/>
      <w:marRight w:val="0"/>
      <w:marTop w:val="0"/>
      <w:marBottom w:val="0"/>
      <w:divBdr>
        <w:top w:val="none" w:sz="0" w:space="0" w:color="auto"/>
        <w:left w:val="none" w:sz="0" w:space="0" w:color="auto"/>
        <w:bottom w:val="none" w:sz="0" w:space="0" w:color="auto"/>
        <w:right w:val="none" w:sz="0" w:space="0" w:color="auto"/>
      </w:divBdr>
      <w:divsChild>
        <w:div w:id="1253123285">
          <w:marLeft w:val="0"/>
          <w:marRight w:val="0"/>
          <w:marTop w:val="0"/>
          <w:marBottom w:val="0"/>
          <w:divBdr>
            <w:top w:val="none" w:sz="0" w:space="0" w:color="auto"/>
            <w:left w:val="none" w:sz="0" w:space="0" w:color="auto"/>
            <w:bottom w:val="none" w:sz="0" w:space="0" w:color="auto"/>
            <w:right w:val="none" w:sz="0" w:space="0" w:color="auto"/>
          </w:divBdr>
        </w:div>
      </w:divsChild>
    </w:div>
    <w:div w:id="73555802">
      <w:bodyDiv w:val="1"/>
      <w:marLeft w:val="0"/>
      <w:marRight w:val="0"/>
      <w:marTop w:val="0"/>
      <w:marBottom w:val="0"/>
      <w:divBdr>
        <w:top w:val="none" w:sz="0" w:space="0" w:color="auto"/>
        <w:left w:val="none" w:sz="0" w:space="0" w:color="auto"/>
        <w:bottom w:val="none" w:sz="0" w:space="0" w:color="auto"/>
        <w:right w:val="none" w:sz="0" w:space="0" w:color="auto"/>
      </w:divBdr>
      <w:divsChild>
        <w:div w:id="396366132">
          <w:marLeft w:val="0"/>
          <w:marRight w:val="0"/>
          <w:marTop w:val="0"/>
          <w:marBottom w:val="0"/>
          <w:divBdr>
            <w:top w:val="none" w:sz="0" w:space="0" w:color="auto"/>
            <w:left w:val="none" w:sz="0" w:space="0" w:color="auto"/>
            <w:bottom w:val="none" w:sz="0" w:space="0" w:color="auto"/>
            <w:right w:val="none" w:sz="0" w:space="0" w:color="auto"/>
          </w:divBdr>
        </w:div>
      </w:divsChild>
    </w:div>
    <w:div w:id="131487601">
      <w:bodyDiv w:val="1"/>
      <w:marLeft w:val="0"/>
      <w:marRight w:val="0"/>
      <w:marTop w:val="0"/>
      <w:marBottom w:val="0"/>
      <w:divBdr>
        <w:top w:val="none" w:sz="0" w:space="0" w:color="auto"/>
        <w:left w:val="none" w:sz="0" w:space="0" w:color="auto"/>
        <w:bottom w:val="none" w:sz="0" w:space="0" w:color="auto"/>
        <w:right w:val="none" w:sz="0" w:space="0" w:color="auto"/>
      </w:divBdr>
      <w:divsChild>
        <w:div w:id="129325946">
          <w:marLeft w:val="0"/>
          <w:marRight w:val="0"/>
          <w:marTop w:val="0"/>
          <w:marBottom w:val="0"/>
          <w:divBdr>
            <w:top w:val="none" w:sz="0" w:space="0" w:color="auto"/>
            <w:left w:val="none" w:sz="0" w:space="0" w:color="auto"/>
            <w:bottom w:val="none" w:sz="0" w:space="0" w:color="auto"/>
            <w:right w:val="none" w:sz="0" w:space="0" w:color="auto"/>
          </w:divBdr>
        </w:div>
      </w:divsChild>
    </w:div>
    <w:div w:id="324936965">
      <w:bodyDiv w:val="1"/>
      <w:marLeft w:val="0"/>
      <w:marRight w:val="0"/>
      <w:marTop w:val="0"/>
      <w:marBottom w:val="0"/>
      <w:divBdr>
        <w:top w:val="none" w:sz="0" w:space="0" w:color="auto"/>
        <w:left w:val="none" w:sz="0" w:space="0" w:color="auto"/>
        <w:bottom w:val="none" w:sz="0" w:space="0" w:color="auto"/>
        <w:right w:val="none" w:sz="0" w:space="0" w:color="auto"/>
      </w:divBdr>
      <w:divsChild>
        <w:div w:id="1347437763">
          <w:marLeft w:val="0"/>
          <w:marRight w:val="0"/>
          <w:marTop w:val="0"/>
          <w:marBottom w:val="0"/>
          <w:divBdr>
            <w:top w:val="none" w:sz="0" w:space="0" w:color="auto"/>
            <w:left w:val="none" w:sz="0" w:space="0" w:color="auto"/>
            <w:bottom w:val="none" w:sz="0" w:space="0" w:color="auto"/>
            <w:right w:val="none" w:sz="0" w:space="0" w:color="auto"/>
          </w:divBdr>
        </w:div>
      </w:divsChild>
    </w:div>
    <w:div w:id="485971467">
      <w:bodyDiv w:val="1"/>
      <w:marLeft w:val="0"/>
      <w:marRight w:val="0"/>
      <w:marTop w:val="0"/>
      <w:marBottom w:val="0"/>
      <w:divBdr>
        <w:top w:val="none" w:sz="0" w:space="0" w:color="auto"/>
        <w:left w:val="none" w:sz="0" w:space="0" w:color="auto"/>
        <w:bottom w:val="none" w:sz="0" w:space="0" w:color="auto"/>
        <w:right w:val="none" w:sz="0" w:space="0" w:color="auto"/>
      </w:divBdr>
      <w:divsChild>
        <w:div w:id="838738860">
          <w:marLeft w:val="0"/>
          <w:marRight w:val="0"/>
          <w:marTop w:val="0"/>
          <w:marBottom w:val="0"/>
          <w:divBdr>
            <w:top w:val="none" w:sz="0" w:space="0" w:color="auto"/>
            <w:left w:val="none" w:sz="0" w:space="0" w:color="auto"/>
            <w:bottom w:val="none" w:sz="0" w:space="0" w:color="auto"/>
            <w:right w:val="none" w:sz="0" w:space="0" w:color="auto"/>
          </w:divBdr>
        </w:div>
      </w:divsChild>
    </w:div>
    <w:div w:id="632100971">
      <w:bodyDiv w:val="1"/>
      <w:marLeft w:val="0"/>
      <w:marRight w:val="0"/>
      <w:marTop w:val="0"/>
      <w:marBottom w:val="0"/>
      <w:divBdr>
        <w:top w:val="none" w:sz="0" w:space="0" w:color="auto"/>
        <w:left w:val="none" w:sz="0" w:space="0" w:color="auto"/>
        <w:bottom w:val="none" w:sz="0" w:space="0" w:color="auto"/>
        <w:right w:val="none" w:sz="0" w:space="0" w:color="auto"/>
      </w:divBdr>
      <w:divsChild>
        <w:div w:id="2092576485">
          <w:marLeft w:val="0"/>
          <w:marRight w:val="0"/>
          <w:marTop w:val="0"/>
          <w:marBottom w:val="0"/>
          <w:divBdr>
            <w:top w:val="none" w:sz="0" w:space="0" w:color="auto"/>
            <w:left w:val="none" w:sz="0" w:space="0" w:color="auto"/>
            <w:bottom w:val="none" w:sz="0" w:space="0" w:color="auto"/>
            <w:right w:val="none" w:sz="0" w:space="0" w:color="auto"/>
          </w:divBdr>
        </w:div>
      </w:divsChild>
    </w:div>
    <w:div w:id="680668131">
      <w:bodyDiv w:val="1"/>
      <w:marLeft w:val="0"/>
      <w:marRight w:val="0"/>
      <w:marTop w:val="0"/>
      <w:marBottom w:val="0"/>
      <w:divBdr>
        <w:top w:val="none" w:sz="0" w:space="0" w:color="auto"/>
        <w:left w:val="none" w:sz="0" w:space="0" w:color="auto"/>
        <w:bottom w:val="none" w:sz="0" w:space="0" w:color="auto"/>
        <w:right w:val="none" w:sz="0" w:space="0" w:color="auto"/>
      </w:divBdr>
      <w:divsChild>
        <w:div w:id="1548639209">
          <w:marLeft w:val="0"/>
          <w:marRight w:val="0"/>
          <w:marTop w:val="0"/>
          <w:marBottom w:val="0"/>
          <w:divBdr>
            <w:top w:val="none" w:sz="0" w:space="0" w:color="auto"/>
            <w:left w:val="none" w:sz="0" w:space="0" w:color="auto"/>
            <w:bottom w:val="none" w:sz="0" w:space="0" w:color="auto"/>
            <w:right w:val="none" w:sz="0" w:space="0" w:color="auto"/>
          </w:divBdr>
        </w:div>
      </w:divsChild>
    </w:div>
    <w:div w:id="876161804">
      <w:bodyDiv w:val="1"/>
      <w:marLeft w:val="0"/>
      <w:marRight w:val="0"/>
      <w:marTop w:val="0"/>
      <w:marBottom w:val="0"/>
      <w:divBdr>
        <w:top w:val="none" w:sz="0" w:space="0" w:color="auto"/>
        <w:left w:val="none" w:sz="0" w:space="0" w:color="auto"/>
        <w:bottom w:val="none" w:sz="0" w:space="0" w:color="auto"/>
        <w:right w:val="none" w:sz="0" w:space="0" w:color="auto"/>
      </w:divBdr>
      <w:divsChild>
        <w:div w:id="371810616">
          <w:marLeft w:val="0"/>
          <w:marRight w:val="0"/>
          <w:marTop w:val="0"/>
          <w:marBottom w:val="0"/>
          <w:divBdr>
            <w:top w:val="none" w:sz="0" w:space="0" w:color="auto"/>
            <w:left w:val="none" w:sz="0" w:space="0" w:color="auto"/>
            <w:bottom w:val="none" w:sz="0" w:space="0" w:color="auto"/>
            <w:right w:val="none" w:sz="0" w:space="0" w:color="auto"/>
          </w:divBdr>
        </w:div>
      </w:divsChild>
    </w:div>
    <w:div w:id="1061058796">
      <w:bodyDiv w:val="1"/>
      <w:marLeft w:val="0"/>
      <w:marRight w:val="0"/>
      <w:marTop w:val="0"/>
      <w:marBottom w:val="0"/>
      <w:divBdr>
        <w:top w:val="none" w:sz="0" w:space="0" w:color="auto"/>
        <w:left w:val="none" w:sz="0" w:space="0" w:color="auto"/>
        <w:bottom w:val="none" w:sz="0" w:space="0" w:color="auto"/>
        <w:right w:val="none" w:sz="0" w:space="0" w:color="auto"/>
      </w:divBdr>
      <w:divsChild>
        <w:div w:id="1159659995">
          <w:marLeft w:val="0"/>
          <w:marRight w:val="0"/>
          <w:marTop w:val="0"/>
          <w:marBottom w:val="0"/>
          <w:divBdr>
            <w:top w:val="none" w:sz="0" w:space="0" w:color="auto"/>
            <w:left w:val="none" w:sz="0" w:space="0" w:color="auto"/>
            <w:bottom w:val="none" w:sz="0" w:space="0" w:color="auto"/>
            <w:right w:val="none" w:sz="0" w:space="0" w:color="auto"/>
          </w:divBdr>
        </w:div>
      </w:divsChild>
    </w:div>
    <w:div w:id="1194466740">
      <w:bodyDiv w:val="1"/>
      <w:marLeft w:val="0"/>
      <w:marRight w:val="0"/>
      <w:marTop w:val="0"/>
      <w:marBottom w:val="0"/>
      <w:divBdr>
        <w:top w:val="none" w:sz="0" w:space="0" w:color="auto"/>
        <w:left w:val="none" w:sz="0" w:space="0" w:color="auto"/>
        <w:bottom w:val="none" w:sz="0" w:space="0" w:color="auto"/>
        <w:right w:val="none" w:sz="0" w:space="0" w:color="auto"/>
      </w:divBdr>
      <w:divsChild>
        <w:div w:id="535898850">
          <w:marLeft w:val="0"/>
          <w:marRight w:val="0"/>
          <w:marTop w:val="0"/>
          <w:marBottom w:val="0"/>
          <w:divBdr>
            <w:top w:val="none" w:sz="0" w:space="0" w:color="auto"/>
            <w:left w:val="none" w:sz="0" w:space="0" w:color="auto"/>
            <w:bottom w:val="none" w:sz="0" w:space="0" w:color="auto"/>
            <w:right w:val="none" w:sz="0" w:space="0" w:color="auto"/>
          </w:divBdr>
        </w:div>
      </w:divsChild>
    </w:div>
    <w:div w:id="1226070449">
      <w:bodyDiv w:val="1"/>
      <w:marLeft w:val="0"/>
      <w:marRight w:val="0"/>
      <w:marTop w:val="0"/>
      <w:marBottom w:val="0"/>
      <w:divBdr>
        <w:top w:val="none" w:sz="0" w:space="0" w:color="auto"/>
        <w:left w:val="none" w:sz="0" w:space="0" w:color="auto"/>
        <w:bottom w:val="none" w:sz="0" w:space="0" w:color="auto"/>
        <w:right w:val="none" w:sz="0" w:space="0" w:color="auto"/>
      </w:divBdr>
      <w:divsChild>
        <w:div w:id="904488552">
          <w:marLeft w:val="0"/>
          <w:marRight w:val="0"/>
          <w:marTop w:val="0"/>
          <w:marBottom w:val="0"/>
          <w:divBdr>
            <w:top w:val="none" w:sz="0" w:space="0" w:color="auto"/>
            <w:left w:val="none" w:sz="0" w:space="0" w:color="auto"/>
            <w:bottom w:val="none" w:sz="0" w:space="0" w:color="auto"/>
            <w:right w:val="none" w:sz="0" w:space="0" w:color="auto"/>
          </w:divBdr>
        </w:div>
      </w:divsChild>
    </w:div>
    <w:div w:id="1240209879">
      <w:bodyDiv w:val="1"/>
      <w:marLeft w:val="0"/>
      <w:marRight w:val="0"/>
      <w:marTop w:val="0"/>
      <w:marBottom w:val="0"/>
      <w:divBdr>
        <w:top w:val="none" w:sz="0" w:space="0" w:color="auto"/>
        <w:left w:val="none" w:sz="0" w:space="0" w:color="auto"/>
        <w:bottom w:val="none" w:sz="0" w:space="0" w:color="auto"/>
        <w:right w:val="none" w:sz="0" w:space="0" w:color="auto"/>
      </w:divBdr>
      <w:divsChild>
        <w:div w:id="87846955">
          <w:marLeft w:val="0"/>
          <w:marRight w:val="0"/>
          <w:marTop w:val="0"/>
          <w:marBottom w:val="0"/>
          <w:divBdr>
            <w:top w:val="none" w:sz="0" w:space="0" w:color="auto"/>
            <w:left w:val="none" w:sz="0" w:space="0" w:color="auto"/>
            <w:bottom w:val="none" w:sz="0" w:space="0" w:color="auto"/>
            <w:right w:val="none" w:sz="0" w:space="0" w:color="auto"/>
          </w:divBdr>
        </w:div>
      </w:divsChild>
    </w:div>
    <w:div w:id="1353338145">
      <w:bodyDiv w:val="1"/>
      <w:marLeft w:val="0"/>
      <w:marRight w:val="0"/>
      <w:marTop w:val="0"/>
      <w:marBottom w:val="0"/>
      <w:divBdr>
        <w:top w:val="none" w:sz="0" w:space="0" w:color="auto"/>
        <w:left w:val="none" w:sz="0" w:space="0" w:color="auto"/>
        <w:bottom w:val="none" w:sz="0" w:space="0" w:color="auto"/>
        <w:right w:val="none" w:sz="0" w:space="0" w:color="auto"/>
      </w:divBdr>
      <w:divsChild>
        <w:div w:id="1627082823">
          <w:marLeft w:val="0"/>
          <w:marRight w:val="0"/>
          <w:marTop w:val="0"/>
          <w:marBottom w:val="0"/>
          <w:divBdr>
            <w:top w:val="none" w:sz="0" w:space="0" w:color="auto"/>
            <w:left w:val="none" w:sz="0" w:space="0" w:color="auto"/>
            <w:bottom w:val="none" w:sz="0" w:space="0" w:color="auto"/>
            <w:right w:val="none" w:sz="0" w:space="0" w:color="auto"/>
          </w:divBdr>
        </w:div>
      </w:divsChild>
    </w:div>
    <w:div w:id="1389305640">
      <w:bodyDiv w:val="1"/>
      <w:marLeft w:val="0"/>
      <w:marRight w:val="0"/>
      <w:marTop w:val="0"/>
      <w:marBottom w:val="0"/>
      <w:divBdr>
        <w:top w:val="none" w:sz="0" w:space="0" w:color="auto"/>
        <w:left w:val="none" w:sz="0" w:space="0" w:color="auto"/>
        <w:bottom w:val="none" w:sz="0" w:space="0" w:color="auto"/>
        <w:right w:val="none" w:sz="0" w:space="0" w:color="auto"/>
      </w:divBdr>
      <w:divsChild>
        <w:div w:id="1025716029">
          <w:marLeft w:val="0"/>
          <w:marRight w:val="0"/>
          <w:marTop w:val="0"/>
          <w:marBottom w:val="0"/>
          <w:divBdr>
            <w:top w:val="none" w:sz="0" w:space="0" w:color="auto"/>
            <w:left w:val="none" w:sz="0" w:space="0" w:color="auto"/>
            <w:bottom w:val="none" w:sz="0" w:space="0" w:color="auto"/>
            <w:right w:val="none" w:sz="0" w:space="0" w:color="auto"/>
          </w:divBdr>
        </w:div>
      </w:divsChild>
    </w:div>
    <w:div w:id="1788739858">
      <w:bodyDiv w:val="1"/>
      <w:marLeft w:val="0"/>
      <w:marRight w:val="0"/>
      <w:marTop w:val="0"/>
      <w:marBottom w:val="0"/>
      <w:divBdr>
        <w:top w:val="none" w:sz="0" w:space="0" w:color="auto"/>
        <w:left w:val="none" w:sz="0" w:space="0" w:color="auto"/>
        <w:bottom w:val="none" w:sz="0" w:space="0" w:color="auto"/>
        <w:right w:val="none" w:sz="0" w:space="0" w:color="auto"/>
      </w:divBdr>
      <w:divsChild>
        <w:div w:id="1846434962">
          <w:marLeft w:val="0"/>
          <w:marRight w:val="0"/>
          <w:marTop w:val="0"/>
          <w:marBottom w:val="0"/>
          <w:divBdr>
            <w:top w:val="none" w:sz="0" w:space="0" w:color="auto"/>
            <w:left w:val="none" w:sz="0" w:space="0" w:color="auto"/>
            <w:bottom w:val="none" w:sz="0" w:space="0" w:color="auto"/>
            <w:right w:val="none" w:sz="0" w:space="0" w:color="auto"/>
          </w:divBdr>
        </w:div>
      </w:divsChild>
    </w:div>
    <w:div w:id="1789468674">
      <w:bodyDiv w:val="1"/>
      <w:marLeft w:val="0"/>
      <w:marRight w:val="0"/>
      <w:marTop w:val="0"/>
      <w:marBottom w:val="0"/>
      <w:divBdr>
        <w:top w:val="none" w:sz="0" w:space="0" w:color="auto"/>
        <w:left w:val="none" w:sz="0" w:space="0" w:color="auto"/>
        <w:bottom w:val="none" w:sz="0" w:space="0" w:color="auto"/>
        <w:right w:val="none" w:sz="0" w:space="0" w:color="auto"/>
      </w:divBdr>
      <w:divsChild>
        <w:div w:id="230694470">
          <w:marLeft w:val="0"/>
          <w:marRight w:val="0"/>
          <w:marTop w:val="0"/>
          <w:marBottom w:val="0"/>
          <w:divBdr>
            <w:top w:val="none" w:sz="0" w:space="0" w:color="auto"/>
            <w:left w:val="none" w:sz="0" w:space="0" w:color="auto"/>
            <w:bottom w:val="none" w:sz="0" w:space="0" w:color="auto"/>
            <w:right w:val="none" w:sz="0" w:space="0" w:color="auto"/>
          </w:divBdr>
        </w:div>
      </w:divsChild>
    </w:div>
    <w:div w:id="1808815155">
      <w:bodyDiv w:val="1"/>
      <w:marLeft w:val="0"/>
      <w:marRight w:val="0"/>
      <w:marTop w:val="0"/>
      <w:marBottom w:val="0"/>
      <w:divBdr>
        <w:top w:val="none" w:sz="0" w:space="0" w:color="auto"/>
        <w:left w:val="none" w:sz="0" w:space="0" w:color="auto"/>
        <w:bottom w:val="none" w:sz="0" w:space="0" w:color="auto"/>
        <w:right w:val="none" w:sz="0" w:space="0" w:color="auto"/>
      </w:divBdr>
      <w:divsChild>
        <w:div w:id="251360337">
          <w:marLeft w:val="0"/>
          <w:marRight w:val="0"/>
          <w:marTop w:val="0"/>
          <w:marBottom w:val="0"/>
          <w:divBdr>
            <w:top w:val="none" w:sz="0" w:space="0" w:color="auto"/>
            <w:left w:val="none" w:sz="0" w:space="0" w:color="auto"/>
            <w:bottom w:val="none" w:sz="0" w:space="0" w:color="auto"/>
            <w:right w:val="none" w:sz="0" w:space="0" w:color="auto"/>
          </w:divBdr>
        </w:div>
      </w:divsChild>
    </w:div>
    <w:div w:id="1903636593">
      <w:bodyDiv w:val="1"/>
      <w:marLeft w:val="0"/>
      <w:marRight w:val="0"/>
      <w:marTop w:val="0"/>
      <w:marBottom w:val="0"/>
      <w:divBdr>
        <w:top w:val="none" w:sz="0" w:space="0" w:color="auto"/>
        <w:left w:val="none" w:sz="0" w:space="0" w:color="auto"/>
        <w:bottom w:val="none" w:sz="0" w:space="0" w:color="auto"/>
        <w:right w:val="none" w:sz="0" w:space="0" w:color="auto"/>
      </w:divBdr>
      <w:divsChild>
        <w:div w:id="662389304">
          <w:marLeft w:val="0"/>
          <w:marRight w:val="0"/>
          <w:marTop w:val="0"/>
          <w:marBottom w:val="0"/>
          <w:divBdr>
            <w:top w:val="none" w:sz="0" w:space="0" w:color="auto"/>
            <w:left w:val="none" w:sz="0" w:space="0" w:color="auto"/>
            <w:bottom w:val="none" w:sz="0" w:space="0" w:color="auto"/>
            <w:right w:val="none" w:sz="0" w:space="0" w:color="auto"/>
          </w:divBdr>
        </w:div>
      </w:divsChild>
    </w:div>
    <w:div w:id="1912960711">
      <w:bodyDiv w:val="1"/>
      <w:marLeft w:val="0"/>
      <w:marRight w:val="0"/>
      <w:marTop w:val="0"/>
      <w:marBottom w:val="0"/>
      <w:divBdr>
        <w:top w:val="none" w:sz="0" w:space="0" w:color="auto"/>
        <w:left w:val="none" w:sz="0" w:space="0" w:color="auto"/>
        <w:bottom w:val="none" w:sz="0" w:space="0" w:color="auto"/>
        <w:right w:val="none" w:sz="0" w:space="0" w:color="auto"/>
      </w:divBdr>
    </w:div>
    <w:div w:id="2029257691">
      <w:bodyDiv w:val="1"/>
      <w:marLeft w:val="0"/>
      <w:marRight w:val="0"/>
      <w:marTop w:val="0"/>
      <w:marBottom w:val="0"/>
      <w:divBdr>
        <w:top w:val="none" w:sz="0" w:space="0" w:color="auto"/>
        <w:left w:val="none" w:sz="0" w:space="0" w:color="auto"/>
        <w:bottom w:val="none" w:sz="0" w:space="0" w:color="auto"/>
        <w:right w:val="none" w:sz="0" w:space="0" w:color="auto"/>
      </w:divBdr>
    </w:div>
    <w:div w:id="2097047034">
      <w:bodyDiv w:val="1"/>
      <w:marLeft w:val="0"/>
      <w:marRight w:val="0"/>
      <w:marTop w:val="0"/>
      <w:marBottom w:val="0"/>
      <w:divBdr>
        <w:top w:val="none" w:sz="0" w:space="0" w:color="auto"/>
        <w:left w:val="none" w:sz="0" w:space="0" w:color="auto"/>
        <w:bottom w:val="none" w:sz="0" w:space="0" w:color="auto"/>
        <w:right w:val="none" w:sz="0" w:space="0" w:color="auto"/>
      </w:divBdr>
      <w:divsChild>
        <w:div w:id="1651208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entrica.com/our-businesses/" TargetMode="External"/><Relationship Id="rId21" Type="http://schemas.openxmlformats.org/officeDocument/2006/relationships/hyperlink" Target="https://www.centrica.com/investors/centrica-as-an-investment/" TargetMode="External"/><Relationship Id="rId42" Type="http://schemas.openxmlformats.org/officeDocument/2006/relationships/hyperlink" Target="https://www.extension.iastate.edu/agdm/wholefarm/html/c3-24.html" TargetMode="External"/><Relationship Id="rId47" Type="http://schemas.openxmlformats.org/officeDocument/2006/relationships/hyperlink" Target="https://www.proquest.com/magazines/high-hopes-share-prices-are-hoisted-sales-profi-t/docview/2305776112/se-2?accountid=130472" TargetMode="External"/><Relationship Id="rId63" Type="http://schemas.openxmlformats.org/officeDocument/2006/relationships/hyperlink" Target="https://online.hbs.edu/blog/post/financial-performance-measures" TargetMode="External"/><Relationship Id="rId68" Type="http://schemas.openxmlformats.org/officeDocument/2006/relationships/hyperlink" Target="https://www.investing.com/equities/centrica" TargetMode="External"/><Relationship Id="rId2" Type="http://schemas.openxmlformats.org/officeDocument/2006/relationships/customXml" Target="../customXml/item2.xml"/><Relationship Id="rId16" Type="http://schemas.openxmlformats.org/officeDocument/2006/relationships/hyperlink" Target="https://www.nibusinessinfo.co.uk/content/advantages-and-disadvantages-using-your-own-money-start-business" TargetMode="External"/><Relationship Id="rId29" Type="http://schemas.openxmlformats.org/officeDocument/2006/relationships/hyperlink" Target="https://research.rug.nl/en/publications/economic-and-accounting-rates-of-return-2" TargetMode="External"/><Relationship Id="rId11" Type="http://schemas.openxmlformats.org/officeDocument/2006/relationships/hyperlink" Target="http://dx.doi.org/10.13140/RG.2.2.33745.40802" TargetMode="External"/><Relationship Id="rId24" Type="http://schemas.openxmlformats.org/officeDocument/2006/relationships/hyperlink" Target="https://www.centrica.com/media-centre/news/2023/interim-results-for-the-period-ended-30-june-2023/" TargetMode="External"/><Relationship Id="rId32" Type="http://schemas.openxmlformats.org/officeDocument/2006/relationships/hyperlink" Target="https://research-com.ezproxy.uwtsd.ac.uk/c/onvpsy/search/details/rn4xueuwqz?db=bth&amp;limiters=None&amp;q=npv%20analysis%20in%20business" TargetMode="External"/><Relationship Id="rId37" Type="http://schemas.openxmlformats.org/officeDocument/2006/relationships/hyperlink" Target="https://www.investopedia.com/terms/a/acidtest.asp" TargetMode="External"/><Relationship Id="rId40" Type="http://schemas.openxmlformats.org/officeDocument/2006/relationships/hyperlink" Target="https://www.atlantis-press.com/proceedings/icemed-22/125975371" TargetMode="External"/><Relationship Id="rId45" Type="http://schemas.openxmlformats.org/officeDocument/2006/relationships/hyperlink" Target="https://www.researchgate.net/publication/357610504_The_Applications_of_NPV_in_Different_Types_of_Markets" TargetMode="External"/><Relationship Id="rId53" Type="http://schemas.openxmlformats.org/officeDocument/2006/relationships/hyperlink" Target="https://www.munich-business-school.de/en/l/business-studies-dictionary/financial-knowledge/total-assets" TargetMode="External"/><Relationship Id="rId58" Type="http://schemas.openxmlformats.org/officeDocument/2006/relationships/hyperlink" Target="https://www.pricebailey.co.uk/press-releases/domestic-energy-suppliers/" TargetMode="External"/><Relationship Id="rId66" Type="http://schemas.openxmlformats.org/officeDocument/2006/relationships/hyperlink" Target="https://www.econjournals.com/index.php/ijeep/article/view/9150" TargetMode="External"/><Relationship Id="rId74"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simplywall.st/stocks/de/utilities/etr-eoan/eon-shares/news/we-like-these-underlying-return-on-capital-trends-at-eon-etr-2" TargetMode="External"/><Relationship Id="rId19" Type="http://schemas.openxmlformats.org/officeDocument/2006/relationships/hyperlink" Target="https://www.centrica.com/media/3uab3hvm/centrica-2022-preliminary-results-announcement-1.pdf" TargetMode="External"/><Relationship Id="rId14" Type="http://schemas.openxmlformats.org/officeDocument/2006/relationships/hyperlink" Target="http://213.55.90.4/admin/home/Dmu%20Academic%20Resource//Burie%20Campus/Under%20Graduate/Accounting%20and%20Finance/Accounting%20and" TargetMode="External"/><Relationship Id="rId22" Type="http://schemas.openxmlformats.org/officeDocument/2006/relationships/hyperlink" Target="https://www.centrica.com/our-businesses/upstream/centrica-energy-storage-limited-cesplus/" TargetMode="External"/><Relationship Id="rId27" Type="http://schemas.openxmlformats.org/officeDocument/2006/relationships/hyperlink" Target="https://corporatefinanceinstitute.com/resources/accounting/net-profit-margin-formula/" TargetMode="External"/><Relationship Id="rId30" Type="http://schemas.openxmlformats.org/officeDocument/2006/relationships/hyperlink" Target="https://doi.org/10.1007/s11002-024-09744-4" TargetMode="External"/><Relationship Id="rId35" Type="http://schemas.openxmlformats.org/officeDocument/2006/relationships/hyperlink" Target="https://www.gov.uk/government/publications/changes-to-the-class-1-national-insurance-contributions-secondary-threshold-the-secondary-class-1-nationa" TargetMode="External"/><Relationship Id="rId43" Type="http://schemas.openxmlformats.org/officeDocument/2006/relationships/hyperlink" Target="https://www.jstor.org/stable/4093179" TargetMode="External"/><Relationship Id="rId48" Type="http://schemas.openxmlformats.org/officeDocument/2006/relationships/hyperlink" Target="https://www.fool.com/TERMS/E/EARNINGS-PER-SHARE/" TargetMode="External"/><Relationship Id="rId56" Type="http://schemas.openxmlformats.org/officeDocument/2006/relationships/hyperlink" Target="https://www.oecd.org/content/dam/oecd/en/publications/reports/2022/05/impacts-of-the-russian-invasion-of-ukraine-on-financial-market-conditions-and" TargetMode="External"/><Relationship Id="rId64" Type="http://schemas.openxmlformats.org/officeDocument/2006/relationships/hyperlink" Target="https://onlinelibrary.wiley.com/doi/epdf/10.1111/1467-9485.00204?saml_referrer" TargetMode="External"/><Relationship Id="rId69" Type="http://schemas.openxmlformats.org/officeDocument/2006/relationships/hyperlink" Target="https://www.investing.com/equities/centrica-balance-sheet" TargetMode="External"/><Relationship Id="rId8" Type="http://schemas.openxmlformats.org/officeDocument/2006/relationships/endnotes" Target="endnotes.xml"/><Relationship Id="rId51" Type="http://schemas.openxmlformats.org/officeDocument/2006/relationships/hyperlink" Target="https://www.investopedia.com/ask/answers/040715/what-are-some-strategies-companies-commonly-use-reduce-their-debt-capital-ratio.asp" TargetMode="External"/><Relationship Id="rId72"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https://www.academia.edu/33482682/INTERDISCIPLINARY_JOURNAL_OF_CONTEMPORARY_RESEARCH_IN_BUSINESS_Net_Present_Value_is_better_than_Internal_Rate_o" TargetMode="External"/><Relationship Id="rId17" Type="http://schemas.openxmlformats.org/officeDocument/2006/relationships/hyperlink" Target="https://www.centrica.com/media/5455/centrica-corporate-factsheet-2022.pdf" TargetMode="External"/><Relationship Id="rId25" Type="http://schemas.openxmlformats.org/officeDocument/2006/relationships/hyperlink" Target="https://www.centrica.com/who-we-are/our-strategy-and-business-model/" TargetMode="External"/><Relationship Id="rId33" Type="http://schemas.openxmlformats.org/officeDocument/2006/relationships/hyperlink" Target="https://www-jstor-org.ezproxy.uwtsd.ac.uk/stable/2977907?seq=2" TargetMode="External"/><Relationship Id="rId38" Type="http://schemas.openxmlformats.org/officeDocument/2006/relationships/hyperlink" Target="https://www.investopedia.com/terms/r/roce.asp" TargetMode="External"/><Relationship Id="rId46" Type="http://schemas.openxmlformats.org/officeDocument/2006/relationships/hyperlink" Target="https://www.sciencedirect.com/science/article/abs/pii/S0167923615000305" TargetMode="External"/><Relationship Id="rId59" Type="http://schemas.openxmlformats.org/officeDocument/2006/relationships/hyperlink" Target="https://doi.org/10.1093/oxfordhb/9780199584451.003.0027" TargetMode="External"/><Relationship Id="rId67" Type="http://schemas.openxmlformats.org/officeDocument/2006/relationships/hyperlink" Target="https://www.investing.com/equities/centrica-income-statement" TargetMode="External"/><Relationship Id="rId20" Type="http://schemas.openxmlformats.org/officeDocument/2006/relationships/hyperlink" Target="https://www.centrica.com/our-businesses/british-gas/" TargetMode="External"/><Relationship Id="rId41" Type="http://schemas.openxmlformats.org/officeDocument/2006/relationships/hyperlink" Target="https://rejournal.eu/sites/rejournal.versatech.ro/files/articole/2023-06-28/3721/7yionel.pdf" TargetMode="External"/><Relationship Id="rId54" Type="http://schemas.openxmlformats.org/officeDocument/2006/relationships/hyperlink" Target="https://research-ebsco-com.ezproxy.uwtsd.ac.uk/c/onvpsy/search/details/hnrqaodpgz?db=bth&amp;limiters=None&amp;q=quick+ratio" TargetMode="External"/><Relationship Id="rId62" Type="http://schemas.openxmlformats.org/officeDocument/2006/relationships/hyperlink" Target="https://documents1.worldbank.org/curated/en/099351003152335049/pdf/IDU0726e2460074a604ccb0be1e003a8396efcce.pdf" TargetMode="External"/><Relationship Id="rId70" Type="http://schemas.openxmlformats.org/officeDocument/2006/relationships/hyperlink" Target="https://www.investing.com/equities/centrica-cash-flow"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bit.ly/3PuRyYK" TargetMode="External"/><Relationship Id="rId23" Type="http://schemas.openxmlformats.org/officeDocument/2006/relationships/hyperlink" Target="https://www.centrica.com/investors/shareholder-centre/dividends/" TargetMode="External"/><Relationship Id="rId28" Type="http://schemas.openxmlformats.org/officeDocument/2006/relationships/hyperlink" Target="https://www.bbc.co.uk/news/articles/c3e9yk24w3eo" TargetMode="External"/><Relationship Id="rId36" Type="http://schemas.openxmlformats.org/officeDocument/2006/relationships/hyperlink" Target="https://www.gov.uk/government/publications/july-statement-2024-changes-to-the-energy-oil-and-gas-profits-levy/changes-to-the-energy-oil-and-gas-profits-levy" TargetMode="External"/><Relationship Id="rId49" Type="http://schemas.openxmlformats.org/officeDocument/2006/relationships/hyperlink" Target="https://www.londonstockexchange.com/stock/CNA/centrica-plc/trade-recap" TargetMode="External"/><Relationship Id="rId57" Type="http://schemas.openxmlformats.org/officeDocument/2006/relationships/hyperlink" Target="https://www.sciencedirect.com/science/article/pii/S1062976910000037" TargetMode="External"/><Relationship Id="rId10" Type="http://schemas.openxmlformats.org/officeDocument/2006/relationships/image" Target="media/image2.png"/><Relationship Id="rId31" Type="http://schemas.openxmlformats.org/officeDocument/2006/relationships/hyperlink" Target="https://www.globaldata.com/company-profile/centrica-plc/" TargetMode="External"/><Relationship Id="rId44" Type="http://schemas.openxmlformats.org/officeDocument/2006/relationships/hyperlink" Target="https://www.sciencedirect.com/science/article/pii/S2212827114008567" TargetMode="External"/><Relationship Id="rId52" Type="http://schemas.openxmlformats.org/officeDocument/2006/relationships/hyperlink" Target="http://www.mcisaac.co.uk/document/section4.htm" TargetMode="External"/><Relationship Id="rId60" Type="http://schemas.openxmlformats.org/officeDocument/2006/relationships/hyperlink" Target="https://www.researchgate.net/publication/255661807_An_Overview_of_Benefit-Cost_Analysis" TargetMode="External"/><Relationship Id="rId65" Type="http://schemas.openxmlformats.org/officeDocument/2006/relationships/hyperlink" Target="https://www.wesleyan.co.uk/savings-and-investments/long-vs-short-term-investing" TargetMode="Externa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superbessaywriters.com/wp-content/uploads/2016/12/week_5_discussion_1_information_0.pdf" TargetMode="External"/><Relationship Id="rId18" Type="http://schemas.openxmlformats.org/officeDocument/2006/relationships/hyperlink" Target="https://www.centrica.com/media/wxxls5vu/centrica_ar22_financial-statements.pdf" TargetMode="External"/><Relationship Id="rId39" Type="http://schemas.openxmlformats.org/officeDocument/2006/relationships/hyperlink" Target="https://www.researchgate.net/publication/276311841_Influence_Analysis_of_Return_on_Assets_ROA_Return_on_Equity_ROE_Net_Profit_Margin_NPM_Debt_To_Equity_Ratio_DE" TargetMode="External"/><Relationship Id="rId34" Type="http://schemas.openxmlformats.org/officeDocument/2006/relationships/hyperlink" Target="https://www-jstor-org.ezproxy.uwtsd.ac.uk/stable/2552057?seq=3" TargetMode="External"/><Relationship Id="rId50" Type="http://schemas.openxmlformats.org/officeDocument/2006/relationships/hyperlink" Target="https://www.sciencedirect.com/science/article/pii/S0043135409000888" TargetMode="External"/><Relationship Id="rId55" Type="http://schemas.openxmlformats.org/officeDocument/2006/relationships/hyperlink" Target="https://www.nibusinessinfo.co.uk/content/advantages-and-disadvantages-using-your-own-money-start-business" TargetMode="External"/><Relationship Id="rId7" Type="http://schemas.openxmlformats.org/officeDocument/2006/relationships/footnotes" Target="footnotes.xml"/><Relationship Id="rId7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4056B33EB36428BAFA7DEEB944B3980"/>
        <w:category>
          <w:name w:val="General"/>
          <w:gallery w:val="placeholder"/>
        </w:category>
        <w:types>
          <w:type w:val="bbPlcHdr"/>
        </w:types>
        <w:behaviors>
          <w:behavior w:val="content"/>
        </w:behaviors>
        <w:guid w:val="{605276E8-0253-4D98-879D-5B12C2DE2614}"/>
      </w:docPartPr>
      <w:docPartBody>
        <w:p w:rsidR="000E032E" w:rsidRDefault="000E032E" w:rsidP="000E032E">
          <w:pPr>
            <w:pStyle w:val="34056B33EB36428BAFA7DEEB944B398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32E"/>
    <w:rsid w:val="000E032E"/>
    <w:rsid w:val="00296563"/>
    <w:rsid w:val="008C7079"/>
    <w:rsid w:val="00D87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056B33EB36428BAFA7DEEB944B3980">
    <w:name w:val="34056B33EB36428BAFA7DEEB944B3980"/>
    <w:rsid w:val="000E032E"/>
  </w:style>
  <w:style w:type="paragraph" w:customStyle="1" w:styleId="F66371B8670A477488EC15AE83133EFE">
    <w:name w:val="F66371B8670A477488EC15AE83133EFE"/>
    <w:rsid w:val="000E03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2025-01-20T00:00:00</PublishDate>
  <Abstract/>
  <CompanyAddress>S2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58BB4B-47F0-46CA-8A57-5853C9C14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706</TotalTime>
  <Pages>30</Pages>
  <Words>10025</Words>
  <Characters>59950</Characters>
  <Application>Microsoft Office Word</Application>
  <DocSecurity>0</DocSecurity>
  <Lines>1998</Lines>
  <Paragraphs>786</Paragraphs>
  <ScaleCrop>false</ScaleCrop>
  <HeadingPairs>
    <vt:vector size="2" baseType="variant">
      <vt:variant>
        <vt:lpstr>Title</vt:lpstr>
      </vt:variant>
      <vt:variant>
        <vt:i4>1</vt:i4>
      </vt:variant>
    </vt:vector>
  </HeadingPairs>
  <TitlesOfParts>
    <vt:vector size="1" baseType="lpstr">
      <vt:lpstr>A Dual Analysis of Centrica’s financial status and Investment Potential at GReenacres</vt:lpstr>
    </vt:vector>
  </TitlesOfParts>
  <Company>University of Wales Trinity Saint David</Company>
  <LinksUpToDate>false</LinksUpToDate>
  <CharactersWithSpaces>69189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Dual Analysis of Centrica’s financial status and Investment Potential at GReenacres</dc:title>
  <dc:subject/>
  <dc:creator>Florentina Pruteanu</dc:creator>
  <cp:keywords/>
  <dc:description/>
  <cp:lastModifiedBy>Florentina Pruteanu</cp:lastModifiedBy>
  <cp:revision>6</cp:revision>
  <dcterms:created xsi:type="dcterms:W3CDTF">2025-01-18T13:56:00Z</dcterms:created>
  <dcterms:modified xsi:type="dcterms:W3CDTF">2025-01-19T19:58:00Z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cbc25dcc-332e-4953-b50a-d2d5bcc94ea6</vt:lpwstr>
  </property>
</Properties>
</file>