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E0409" w14:textId="77777777" w:rsidR="009D726B" w:rsidRPr="007E26C3" w:rsidRDefault="009D726B" w:rsidP="009D726B">
      <w:pPr>
        <w:jc w:val="center"/>
        <w:rPr>
          <w:b/>
          <w:bCs/>
          <w:sz w:val="48"/>
          <w:szCs w:val="48"/>
        </w:rPr>
      </w:pPr>
      <w:bookmarkStart w:id="0" w:name="_Hlk210037256"/>
      <w:bookmarkEnd w:id="0"/>
      <w:r>
        <w:rPr>
          <w:noProof/>
        </w:rPr>
        <w:drawing>
          <wp:inline distT="0" distB="0" distL="0" distR="0" wp14:anchorId="65927D0C" wp14:editId="3FD4127F">
            <wp:extent cx="2550623" cy="1065244"/>
            <wp:effectExtent l="0" t="0" r="2540" b="1905"/>
            <wp:docPr id="1760239681" name="Picture 1" descr="University of Wales Trinity Saint David launches new digital ...">
              <a:extLst xmlns:a="http://schemas.openxmlformats.org/drawingml/2006/main">
                <a:ext uri="{FF2B5EF4-FFF2-40B4-BE49-F238E27FC236}">
                  <a16:creationId xmlns:a16="http://schemas.microsoft.com/office/drawing/2014/main" id="{21174888-5BDD-44E3-BF75-016C48B9F4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998760" name="Picture 1" descr="University of Wales Trinity Saint David launches new digital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95377" cy="1083935"/>
                    </a:xfrm>
                    <a:prstGeom prst="rect">
                      <a:avLst/>
                    </a:prstGeom>
                    <a:noFill/>
                    <a:ln>
                      <a:noFill/>
                    </a:ln>
                  </pic:spPr>
                </pic:pic>
              </a:graphicData>
            </a:graphic>
          </wp:inline>
        </w:drawing>
      </w:r>
    </w:p>
    <w:p w14:paraId="1ABEC24D" w14:textId="77777777" w:rsidR="009D726B" w:rsidRDefault="009D726B" w:rsidP="009D726B">
      <w:pPr>
        <w:shd w:val="clear" w:color="auto" w:fill="FFFFFF"/>
        <w:spacing w:after="0" w:line="240" w:lineRule="auto"/>
        <w:jc w:val="center"/>
        <w:rPr>
          <w:rFonts w:ascii="Arial" w:eastAsia="Times New Roman" w:hAnsi="Arial" w:cs="Arial"/>
          <w:color w:val="222222"/>
          <w:kern w:val="0"/>
          <w:sz w:val="40"/>
          <w:szCs w:val="40"/>
          <w14:ligatures w14:val="none"/>
        </w:rPr>
      </w:pPr>
    </w:p>
    <w:p w14:paraId="1F7622E4" w14:textId="77777777" w:rsidR="009D726B" w:rsidRDefault="009D726B" w:rsidP="009D726B">
      <w:pPr>
        <w:shd w:val="clear" w:color="auto" w:fill="FFFFFF"/>
        <w:spacing w:after="0" w:line="240" w:lineRule="auto"/>
        <w:jc w:val="center"/>
        <w:rPr>
          <w:rFonts w:ascii="Arial" w:eastAsia="Times New Roman" w:hAnsi="Arial" w:cs="Arial"/>
          <w:color w:val="222222"/>
          <w:kern w:val="0"/>
          <w:sz w:val="40"/>
          <w:szCs w:val="40"/>
          <w14:ligatures w14:val="none"/>
        </w:rPr>
      </w:pPr>
    </w:p>
    <w:p w14:paraId="73FD969F" w14:textId="2330BAAC" w:rsidR="009D726B" w:rsidRPr="00B1017A" w:rsidRDefault="009D726B" w:rsidP="009D726B">
      <w:pPr>
        <w:shd w:val="clear" w:color="auto" w:fill="FFFFFF"/>
        <w:spacing w:after="0" w:line="240" w:lineRule="auto"/>
        <w:jc w:val="center"/>
        <w:rPr>
          <w:rFonts w:ascii="Arial" w:eastAsia="Times New Roman" w:hAnsi="Arial" w:cs="Arial"/>
          <w:color w:val="222222"/>
          <w:kern w:val="0"/>
          <w:sz w:val="40"/>
          <w:szCs w:val="40"/>
          <w14:ligatures w14:val="none"/>
        </w:rPr>
      </w:pPr>
      <w:r>
        <w:rPr>
          <w:rFonts w:ascii="Arial" w:eastAsia="Times New Roman" w:hAnsi="Arial" w:cs="Arial"/>
          <w:color w:val="222222"/>
          <w:kern w:val="0"/>
          <w:sz w:val="40"/>
          <w:szCs w:val="40"/>
          <w14:ligatures w14:val="none"/>
        </w:rPr>
        <w:t>BA LEADERSHIP AND MANAGEMENT</w:t>
      </w:r>
    </w:p>
    <w:p w14:paraId="62884B4B" w14:textId="77777777" w:rsidR="009D726B" w:rsidRPr="00B1017A" w:rsidRDefault="009D726B" w:rsidP="009D726B">
      <w:pPr>
        <w:shd w:val="clear" w:color="auto" w:fill="FFFFFF"/>
        <w:spacing w:after="0" w:line="240" w:lineRule="auto"/>
        <w:jc w:val="center"/>
        <w:rPr>
          <w:rFonts w:ascii="Arial" w:eastAsia="Times New Roman" w:hAnsi="Arial" w:cs="Arial"/>
          <w:color w:val="222222"/>
          <w:kern w:val="0"/>
          <w:sz w:val="40"/>
          <w:szCs w:val="40"/>
          <w14:ligatures w14:val="none"/>
        </w:rPr>
      </w:pPr>
    </w:p>
    <w:p w14:paraId="21BD6E10" w14:textId="77777777" w:rsidR="009D726B" w:rsidRPr="00B1017A" w:rsidRDefault="009D726B" w:rsidP="009D726B">
      <w:pPr>
        <w:shd w:val="clear" w:color="auto" w:fill="FFFFFF"/>
        <w:spacing w:after="0" w:line="240" w:lineRule="auto"/>
        <w:jc w:val="center"/>
        <w:rPr>
          <w:rFonts w:ascii="Arial" w:eastAsia="Times New Roman" w:hAnsi="Arial" w:cs="Arial"/>
          <w:color w:val="222222"/>
          <w:kern w:val="0"/>
          <w:sz w:val="40"/>
          <w:szCs w:val="40"/>
          <w14:ligatures w14:val="none"/>
        </w:rPr>
      </w:pPr>
    </w:p>
    <w:p w14:paraId="7B343247" w14:textId="77777777" w:rsidR="009D726B" w:rsidRPr="00B1017A" w:rsidRDefault="009D726B" w:rsidP="009D726B">
      <w:pPr>
        <w:shd w:val="clear" w:color="auto" w:fill="FFFFFF"/>
        <w:spacing w:after="0" w:line="240" w:lineRule="auto"/>
        <w:jc w:val="center"/>
        <w:rPr>
          <w:rFonts w:ascii="Arial" w:eastAsia="Times New Roman" w:hAnsi="Arial" w:cs="Arial"/>
          <w:color w:val="222222"/>
          <w:kern w:val="0"/>
          <w:sz w:val="40"/>
          <w:szCs w:val="40"/>
          <w14:ligatures w14:val="none"/>
        </w:rPr>
      </w:pPr>
    </w:p>
    <w:p w14:paraId="1C79BF29" w14:textId="77777777" w:rsidR="009D726B" w:rsidRPr="00B1017A" w:rsidRDefault="009D726B" w:rsidP="009D726B">
      <w:pPr>
        <w:shd w:val="clear" w:color="auto" w:fill="FFFFFF"/>
        <w:spacing w:after="0" w:line="240" w:lineRule="auto"/>
        <w:jc w:val="center"/>
        <w:rPr>
          <w:rFonts w:ascii="Arial" w:eastAsia="Times New Roman" w:hAnsi="Arial" w:cs="Arial"/>
          <w:color w:val="222222"/>
          <w:kern w:val="0"/>
          <w:sz w:val="40"/>
          <w:szCs w:val="40"/>
          <w14:ligatures w14:val="none"/>
        </w:rPr>
      </w:pPr>
    </w:p>
    <w:p w14:paraId="05A75AFE" w14:textId="77777777" w:rsidR="009D726B" w:rsidRPr="00B1017A" w:rsidRDefault="009D726B" w:rsidP="009D726B">
      <w:pPr>
        <w:shd w:val="clear" w:color="auto" w:fill="FFFFFF"/>
        <w:spacing w:after="0" w:line="240" w:lineRule="auto"/>
        <w:jc w:val="center"/>
        <w:rPr>
          <w:rFonts w:ascii="Arial" w:eastAsia="Times New Roman" w:hAnsi="Arial" w:cs="Arial"/>
          <w:color w:val="222222"/>
          <w:kern w:val="0"/>
          <w:sz w:val="48"/>
          <w:szCs w:val="48"/>
          <w14:ligatures w14:val="none"/>
        </w:rPr>
      </w:pPr>
    </w:p>
    <w:p w14:paraId="005A869D" w14:textId="0D51A97D" w:rsidR="009D726B" w:rsidRPr="00B1017A" w:rsidRDefault="00D9018A" w:rsidP="009D726B">
      <w:pPr>
        <w:shd w:val="clear" w:color="auto" w:fill="FFFFFF"/>
        <w:spacing w:after="0" w:line="240" w:lineRule="auto"/>
        <w:jc w:val="center"/>
        <w:rPr>
          <w:rFonts w:ascii="Arial" w:eastAsia="Times New Roman" w:hAnsi="Arial" w:cs="Arial"/>
          <w:b/>
          <w:bCs/>
          <w:color w:val="222222"/>
          <w:kern w:val="0"/>
          <w:sz w:val="44"/>
          <w:szCs w:val="44"/>
          <w14:ligatures w14:val="none"/>
        </w:rPr>
      </w:pPr>
      <w:r>
        <w:rPr>
          <w:rFonts w:ascii="Arial" w:eastAsia="Times New Roman" w:hAnsi="Arial" w:cs="Arial"/>
          <w:b/>
          <w:bCs/>
          <w:color w:val="222222"/>
          <w:kern w:val="0"/>
          <w:sz w:val="44"/>
          <w:szCs w:val="44"/>
          <w14:ligatures w14:val="none"/>
        </w:rPr>
        <w:t>DEVELOPING AND MANAGING INDIVIDUALS AND TEAMS</w:t>
      </w:r>
    </w:p>
    <w:p w14:paraId="2BEADB53" w14:textId="77777777" w:rsidR="009D726B" w:rsidRPr="00B1017A" w:rsidRDefault="009D726B" w:rsidP="009D726B">
      <w:pPr>
        <w:shd w:val="clear" w:color="auto" w:fill="FFFFFF"/>
        <w:spacing w:after="0" w:line="240" w:lineRule="auto"/>
        <w:jc w:val="center"/>
        <w:rPr>
          <w:rFonts w:ascii="Arial" w:eastAsia="Times New Roman" w:hAnsi="Arial" w:cs="Arial"/>
          <w:b/>
          <w:bCs/>
          <w:color w:val="222222"/>
          <w:kern w:val="0"/>
          <w:sz w:val="44"/>
          <w:szCs w:val="44"/>
          <w14:ligatures w14:val="none"/>
        </w:rPr>
      </w:pPr>
    </w:p>
    <w:p w14:paraId="6BECD206" w14:textId="71368AB0" w:rsidR="009D726B" w:rsidRPr="00B1017A" w:rsidRDefault="009D726B" w:rsidP="009D726B">
      <w:pPr>
        <w:shd w:val="clear" w:color="auto" w:fill="FFFFFF"/>
        <w:spacing w:after="0" w:line="240" w:lineRule="auto"/>
        <w:jc w:val="center"/>
        <w:rPr>
          <w:rFonts w:ascii="Arial" w:eastAsia="Times New Roman" w:hAnsi="Arial" w:cs="Arial"/>
          <w:color w:val="222222"/>
          <w:kern w:val="0"/>
          <w:sz w:val="48"/>
          <w:szCs w:val="48"/>
          <w14:ligatures w14:val="none"/>
        </w:rPr>
      </w:pPr>
      <w:r w:rsidRPr="00B1017A">
        <w:rPr>
          <w:rFonts w:ascii="Arial" w:eastAsia="Times New Roman" w:hAnsi="Arial" w:cs="Arial"/>
          <w:color w:val="222222"/>
          <w:kern w:val="0"/>
          <w:sz w:val="40"/>
          <w:szCs w:val="40"/>
          <w14:ligatures w14:val="none"/>
        </w:rPr>
        <w:t xml:space="preserve">LECTURER: </w:t>
      </w:r>
      <w:r>
        <w:rPr>
          <w:rFonts w:ascii="Aptos" w:hAnsi="Aptos" w:cs="Arial"/>
          <w:color w:val="222222"/>
          <w:kern w:val="24"/>
          <w:sz w:val="40"/>
          <w:szCs w:val="40"/>
        </w:rPr>
        <w:t xml:space="preserve">Dr </w:t>
      </w:r>
      <w:r>
        <w:rPr>
          <w:rFonts w:ascii="Aptos" w:eastAsia="Aptos" w:hAnsi="Aptos"/>
          <w:color w:val="000000"/>
          <w:kern w:val="24"/>
          <w:sz w:val="36"/>
          <w:szCs w:val="36"/>
        </w:rPr>
        <w:t xml:space="preserve">Doreen Nyaa </w:t>
      </w:r>
      <w:proofErr w:type="spellStart"/>
      <w:r>
        <w:rPr>
          <w:rFonts w:ascii="Aptos" w:eastAsia="Aptos" w:hAnsi="Aptos"/>
          <w:color w:val="000000"/>
          <w:kern w:val="24"/>
          <w:sz w:val="36"/>
          <w:szCs w:val="36"/>
        </w:rPr>
        <w:t>Amundam</w:t>
      </w:r>
      <w:proofErr w:type="spellEnd"/>
    </w:p>
    <w:p w14:paraId="7742145B" w14:textId="77777777" w:rsidR="009D726B" w:rsidRPr="00B1017A" w:rsidRDefault="009D726B" w:rsidP="009D726B">
      <w:pPr>
        <w:shd w:val="clear" w:color="auto" w:fill="FFFFFF"/>
        <w:spacing w:after="0" w:line="240" w:lineRule="auto"/>
        <w:jc w:val="center"/>
        <w:rPr>
          <w:rFonts w:ascii="Arial" w:eastAsia="Times New Roman" w:hAnsi="Arial" w:cs="Arial"/>
          <w:color w:val="222222"/>
          <w:kern w:val="0"/>
          <w:sz w:val="48"/>
          <w:szCs w:val="48"/>
          <w14:ligatures w14:val="none"/>
        </w:rPr>
      </w:pPr>
    </w:p>
    <w:p w14:paraId="3D13E1B7" w14:textId="77777777" w:rsidR="009D726B" w:rsidRPr="00B1017A" w:rsidRDefault="009D726B" w:rsidP="009D726B">
      <w:pPr>
        <w:shd w:val="clear" w:color="auto" w:fill="FFFFFF"/>
        <w:spacing w:after="0" w:line="240" w:lineRule="auto"/>
        <w:jc w:val="center"/>
        <w:rPr>
          <w:rFonts w:ascii="Arial" w:eastAsia="Times New Roman" w:hAnsi="Arial" w:cs="Arial"/>
          <w:color w:val="222222"/>
          <w:kern w:val="0"/>
          <w:sz w:val="48"/>
          <w:szCs w:val="48"/>
          <w14:ligatures w14:val="none"/>
        </w:rPr>
      </w:pPr>
    </w:p>
    <w:p w14:paraId="3EC710A8" w14:textId="2B0C7A18" w:rsidR="009D726B" w:rsidRPr="00B1017A" w:rsidRDefault="009D726B" w:rsidP="009D726B">
      <w:pPr>
        <w:shd w:val="clear" w:color="auto" w:fill="FFFFFF"/>
        <w:spacing w:after="0" w:line="240" w:lineRule="auto"/>
        <w:jc w:val="center"/>
        <w:rPr>
          <w:rFonts w:ascii="Arial" w:eastAsia="Times New Roman" w:hAnsi="Arial" w:cs="Arial"/>
          <w:color w:val="222222"/>
          <w:kern w:val="0"/>
          <w:sz w:val="48"/>
          <w:szCs w:val="48"/>
          <w14:ligatures w14:val="none"/>
        </w:rPr>
      </w:pPr>
      <w:r w:rsidRPr="00B1017A">
        <w:rPr>
          <w:rFonts w:ascii="Arial" w:eastAsia="Times New Roman" w:hAnsi="Arial" w:cs="Arial"/>
          <w:color w:val="222222"/>
          <w:kern w:val="0"/>
          <w:sz w:val="48"/>
          <w:szCs w:val="48"/>
          <w14:ligatures w14:val="none"/>
        </w:rPr>
        <w:t xml:space="preserve">MODULE CODE: </w:t>
      </w:r>
      <w:r>
        <w:rPr>
          <w:sz w:val="48"/>
          <w:szCs w:val="48"/>
        </w:rPr>
        <w:t>LC</w:t>
      </w:r>
      <w:r w:rsidRPr="00DF4799">
        <w:rPr>
          <w:sz w:val="48"/>
          <w:szCs w:val="48"/>
        </w:rPr>
        <w:t>LM 500</w:t>
      </w:r>
      <w:r>
        <w:rPr>
          <w:sz w:val="48"/>
          <w:szCs w:val="48"/>
        </w:rPr>
        <w:t>2</w:t>
      </w:r>
    </w:p>
    <w:p w14:paraId="75D6DB70" w14:textId="77777777" w:rsidR="009D726B" w:rsidRPr="00B1017A" w:rsidRDefault="009D726B" w:rsidP="009D726B">
      <w:pPr>
        <w:shd w:val="clear" w:color="auto" w:fill="FFFFFF"/>
        <w:spacing w:after="0" w:line="240" w:lineRule="auto"/>
        <w:rPr>
          <w:rFonts w:ascii="Arial" w:eastAsia="Times New Roman" w:hAnsi="Arial" w:cs="Arial"/>
          <w:color w:val="222222"/>
          <w:kern w:val="0"/>
          <w:sz w:val="48"/>
          <w:szCs w:val="48"/>
          <w14:ligatures w14:val="none"/>
        </w:rPr>
      </w:pPr>
    </w:p>
    <w:p w14:paraId="4EAD52CB" w14:textId="77777777" w:rsidR="009D726B" w:rsidRPr="00B1017A" w:rsidRDefault="009D726B" w:rsidP="009D726B">
      <w:pPr>
        <w:shd w:val="clear" w:color="auto" w:fill="FFFFFF"/>
        <w:spacing w:after="0" w:line="240" w:lineRule="auto"/>
        <w:jc w:val="center"/>
        <w:rPr>
          <w:rFonts w:ascii="Arial" w:eastAsia="Times New Roman" w:hAnsi="Arial" w:cs="Arial"/>
          <w:color w:val="222222"/>
          <w:kern w:val="0"/>
          <w:sz w:val="22"/>
          <w:szCs w:val="22"/>
          <w14:ligatures w14:val="none"/>
        </w:rPr>
      </w:pPr>
    </w:p>
    <w:p w14:paraId="6A4E205E" w14:textId="1372F1CF" w:rsidR="009D726B" w:rsidRPr="00B1017A" w:rsidRDefault="009D726B" w:rsidP="009D726B">
      <w:pPr>
        <w:shd w:val="clear" w:color="auto" w:fill="FFFFFF"/>
        <w:spacing w:after="0" w:line="240" w:lineRule="auto"/>
        <w:jc w:val="center"/>
        <w:rPr>
          <w:rFonts w:ascii="Arial" w:eastAsia="Times New Roman" w:hAnsi="Arial" w:cs="Arial"/>
          <w:color w:val="222222"/>
          <w:kern w:val="0"/>
          <w:sz w:val="22"/>
          <w:szCs w:val="22"/>
          <w14:ligatures w14:val="none"/>
        </w:rPr>
      </w:pPr>
      <w:r>
        <w:rPr>
          <w:rFonts w:ascii="Arial" w:eastAsia="Times New Roman" w:hAnsi="Arial" w:cs="Arial"/>
          <w:color w:val="222222"/>
          <w:kern w:val="0"/>
          <w:sz w:val="22"/>
          <w:szCs w:val="22"/>
          <w14:ligatures w14:val="none"/>
        </w:rPr>
        <w:t>TASK 2- INDIVIDUAL REPORT</w:t>
      </w:r>
    </w:p>
    <w:p w14:paraId="523CA232" w14:textId="77777777" w:rsidR="009D726B" w:rsidRPr="00B1017A" w:rsidRDefault="009D726B" w:rsidP="009D726B">
      <w:pPr>
        <w:shd w:val="clear" w:color="auto" w:fill="FFFFFF"/>
        <w:spacing w:after="0" w:line="240" w:lineRule="auto"/>
        <w:jc w:val="center"/>
        <w:rPr>
          <w:rFonts w:ascii="Arial" w:eastAsia="Times New Roman" w:hAnsi="Arial" w:cs="Arial"/>
          <w:color w:val="222222"/>
          <w:kern w:val="0"/>
          <w:sz w:val="44"/>
          <w:szCs w:val="44"/>
          <w14:ligatures w14:val="none"/>
        </w:rPr>
      </w:pPr>
    </w:p>
    <w:p w14:paraId="7B272F27" w14:textId="77777777" w:rsidR="009D726B" w:rsidRPr="00B1017A" w:rsidRDefault="009D726B" w:rsidP="009D726B">
      <w:pPr>
        <w:shd w:val="clear" w:color="auto" w:fill="FFFFFF"/>
        <w:spacing w:after="0" w:line="240" w:lineRule="auto"/>
        <w:jc w:val="center"/>
        <w:rPr>
          <w:rFonts w:ascii="Arial" w:eastAsia="Times New Roman" w:hAnsi="Arial" w:cs="Arial"/>
          <w:color w:val="222222"/>
          <w:kern w:val="0"/>
          <w:sz w:val="44"/>
          <w:szCs w:val="44"/>
          <w14:ligatures w14:val="none"/>
        </w:rPr>
      </w:pPr>
    </w:p>
    <w:p w14:paraId="2948E6F4" w14:textId="77777777" w:rsidR="009D726B" w:rsidRPr="00B1017A" w:rsidRDefault="009D726B" w:rsidP="009D726B">
      <w:pPr>
        <w:shd w:val="clear" w:color="auto" w:fill="FFFFFF"/>
        <w:spacing w:after="0" w:line="240" w:lineRule="auto"/>
        <w:jc w:val="center"/>
        <w:rPr>
          <w:rFonts w:ascii="Arial" w:eastAsia="Times New Roman" w:hAnsi="Arial" w:cs="Arial"/>
          <w:color w:val="222222"/>
          <w:kern w:val="0"/>
          <w:sz w:val="44"/>
          <w:szCs w:val="44"/>
          <w14:ligatures w14:val="none"/>
        </w:rPr>
      </w:pPr>
      <w:r w:rsidRPr="00B1017A">
        <w:rPr>
          <w:rFonts w:ascii="Arial" w:eastAsia="Times New Roman" w:hAnsi="Arial" w:cs="Arial"/>
          <w:color w:val="222222"/>
          <w:kern w:val="0"/>
          <w:sz w:val="44"/>
          <w:szCs w:val="44"/>
          <w14:ligatures w14:val="none"/>
        </w:rPr>
        <w:t>By Tesenai Bertram</w:t>
      </w:r>
    </w:p>
    <w:p w14:paraId="6CD0D4D0" w14:textId="77777777" w:rsidR="009D726B" w:rsidRPr="00B1017A" w:rsidRDefault="009D726B" w:rsidP="009D726B">
      <w:pPr>
        <w:shd w:val="clear" w:color="auto" w:fill="FFFFFF"/>
        <w:spacing w:after="0" w:line="240" w:lineRule="auto"/>
        <w:jc w:val="center"/>
        <w:rPr>
          <w:rFonts w:ascii="Arial" w:eastAsia="Times New Roman" w:hAnsi="Arial" w:cs="Arial"/>
          <w:color w:val="222222"/>
          <w:kern w:val="0"/>
          <w:sz w:val="44"/>
          <w:szCs w:val="44"/>
          <w14:ligatures w14:val="none"/>
        </w:rPr>
      </w:pPr>
      <w:r w:rsidRPr="00B1017A">
        <w:rPr>
          <w:rFonts w:ascii="Arial" w:eastAsia="Times New Roman" w:hAnsi="Arial" w:cs="Arial"/>
          <w:color w:val="222222"/>
          <w:kern w:val="0"/>
          <w:sz w:val="44"/>
          <w:szCs w:val="44"/>
          <w14:ligatures w14:val="none"/>
        </w:rPr>
        <w:t>2409</w:t>
      </w:r>
      <w:r>
        <w:rPr>
          <w:rFonts w:ascii="Arial" w:eastAsia="Times New Roman" w:hAnsi="Arial" w:cs="Arial"/>
          <w:color w:val="222222"/>
          <w:kern w:val="0"/>
          <w:sz w:val="44"/>
          <w:szCs w:val="44"/>
          <w14:ligatures w14:val="none"/>
        </w:rPr>
        <w:t>07</w:t>
      </w:r>
      <w:r w:rsidRPr="00B1017A">
        <w:rPr>
          <w:rFonts w:ascii="Arial" w:eastAsia="Times New Roman" w:hAnsi="Arial" w:cs="Arial"/>
          <w:color w:val="222222"/>
          <w:kern w:val="0"/>
          <w:sz w:val="44"/>
          <w:szCs w:val="44"/>
          <w14:ligatures w14:val="none"/>
        </w:rPr>
        <w:t>7</w:t>
      </w:r>
    </w:p>
    <w:p w14:paraId="228115EB" w14:textId="77777777" w:rsidR="009D726B" w:rsidRDefault="009D726B" w:rsidP="009D726B">
      <w:pPr>
        <w:spacing w:after="0" w:line="240" w:lineRule="auto"/>
        <w:rPr>
          <w:rFonts w:ascii="Arial" w:eastAsia="Times New Roman" w:hAnsi="Arial" w:cs="Arial"/>
          <w:color w:val="1F1F1F"/>
          <w:kern w:val="0"/>
          <w:lang w:eastAsia="en-GB"/>
          <w14:ligatures w14:val="none"/>
        </w:rPr>
      </w:pPr>
    </w:p>
    <w:p w14:paraId="4D3290A4" w14:textId="77777777" w:rsidR="009D726B" w:rsidRDefault="009D726B" w:rsidP="009D726B">
      <w:pPr>
        <w:spacing w:after="0" w:line="240" w:lineRule="auto"/>
        <w:rPr>
          <w:rFonts w:ascii="Arial" w:eastAsia="Times New Roman" w:hAnsi="Arial" w:cs="Arial"/>
          <w:color w:val="1F1F1F"/>
          <w:kern w:val="0"/>
          <w:lang w:eastAsia="en-GB"/>
          <w14:ligatures w14:val="none"/>
        </w:rPr>
      </w:pPr>
    </w:p>
    <w:p w14:paraId="27E3CD3B" w14:textId="77777777" w:rsidR="009D726B" w:rsidRDefault="009D726B" w:rsidP="009D726B">
      <w:pPr>
        <w:spacing w:after="0" w:line="240" w:lineRule="auto"/>
        <w:rPr>
          <w:rFonts w:ascii="Arial" w:eastAsia="Times New Roman" w:hAnsi="Arial" w:cs="Arial"/>
          <w:color w:val="1F1F1F"/>
          <w:kern w:val="0"/>
          <w:lang w:eastAsia="en-GB"/>
          <w14:ligatures w14:val="none"/>
        </w:rPr>
      </w:pPr>
    </w:p>
    <w:p w14:paraId="63C76C08" w14:textId="77777777" w:rsidR="00F44ACD" w:rsidRDefault="00F44ACD" w:rsidP="009D726B">
      <w:pPr>
        <w:spacing w:after="0" w:line="240" w:lineRule="auto"/>
        <w:rPr>
          <w:rFonts w:ascii="Arial" w:eastAsia="Times New Roman" w:hAnsi="Arial" w:cs="Arial"/>
          <w:color w:val="1F1F1F"/>
          <w:kern w:val="0"/>
          <w:lang w:eastAsia="en-GB"/>
          <w14:ligatures w14:val="none"/>
        </w:rPr>
      </w:pPr>
    </w:p>
    <w:p w14:paraId="69450841" w14:textId="77777777" w:rsidR="009D726B" w:rsidRDefault="009D726B" w:rsidP="009D726B">
      <w:pPr>
        <w:spacing w:after="0" w:line="240" w:lineRule="auto"/>
        <w:rPr>
          <w:rFonts w:ascii="Arial" w:eastAsia="Times New Roman" w:hAnsi="Arial" w:cs="Arial"/>
          <w:color w:val="1F1F1F"/>
          <w:kern w:val="0"/>
          <w:lang w:eastAsia="en-GB"/>
          <w14:ligatures w14:val="none"/>
        </w:rPr>
      </w:pPr>
    </w:p>
    <w:p w14:paraId="57678C55" w14:textId="77777777" w:rsidR="00C51B67" w:rsidRDefault="00C51B67" w:rsidP="009D726B">
      <w:pPr>
        <w:spacing w:after="0" w:line="240" w:lineRule="auto"/>
        <w:rPr>
          <w:rFonts w:ascii="Arial" w:eastAsia="Times New Roman" w:hAnsi="Arial" w:cs="Arial"/>
          <w:color w:val="1F1F1F"/>
          <w:kern w:val="0"/>
          <w:lang w:eastAsia="en-GB"/>
          <w14:ligatures w14:val="none"/>
        </w:rPr>
      </w:pPr>
    </w:p>
    <w:p w14:paraId="473864D1" w14:textId="77777777" w:rsidR="00C51B67" w:rsidRDefault="00C51B67" w:rsidP="009D726B">
      <w:pPr>
        <w:spacing w:after="0" w:line="240" w:lineRule="auto"/>
        <w:rPr>
          <w:rFonts w:ascii="Arial" w:eastAsia="Times New Roman" w:hAnsi="Arial" w:cs="Arial"/>
          <w:color w:val="1F1F1F"/>
          <w:kern w:val="0"/>
          <w:lang w:eastAsia="en-GB"/>
          <w14:ligatures w14:val="none"/>
        </w:rPr>
      </w:pPr>
    </w:p>
    <w:p w14:paraId="6ED23A77" w14:textId="0A89BA7D" w:rsidR="006B5D22" w:rsidRPr="008A6231" w:rsidRDefault="006B5D22" w:rsidP="008A6231">
      <w:pPr>
        <w:spacing w:after="0" w:line="240" w:lineRule="auto"/>
        <w:jc w:val="both"/>
        <w:rPr>
          <w:rFonts w:ascii="Calibri" w:eastAsia="Calibri" w:hAnsi="Calibri" w:cs="Calibri"/>
          <w:b/>
          <w:bCs/>
          <w:color w:val="000000" w:themeColor="text1"/>
          <w:sz w:val="30"/>
          <w:szCs w:val="30"/>
        </w:rPr>
      </w:pPr>
    </w:p>
    <w:p w14:paraId="073410BC" w14:textId="769744B1" w:rsidR="002F6365" w:rsidRPr="00B56033" w:rsidRDefault="002F6365" w:rsidP="00634FF8">
      <w:pPr>
        <w:jc w:val="both"/>
        <w:rPr>
          <w:rFonts w:ascii="Arial" w:eastAsia="Times New Roman" w:hAnsi="Arial" w:cs="Arial"/>
          <w:b/>
          <w:bCs/>
          <w:color w:val="1F1F1F"/>
          <w:kern w:val="0"/>
          <w:lang w:eastAsia="en-GB"/>
          <w14:ligatures w14:val="none"/>
        </w:rPr>
      </w:pPr>
      <w:r w:rsidRPr="00B56033">
        <w:rPr>
          <w:rFonts w:ascii="Arial" w:eastAsia="Times New Roman" w:hAnsi="Arial" w:cs="Arial"/>
          <w:b/>
          <w:bCs/>
          <w:color w:val="1F1F1F"/>
          <w:kern w:val="0"/>
          <w:lang w:eastAsia="en-GB"/>
          <w14:ligatures w14:val="none"/>
        </w:rPr>
        <w:lastRenderedPageBreak/>
        <w:t>Introduction</w:t>
      </w:r>
    </w:p>
    <w:p w14:paraId="6BF66194" w14:textId="69C4BD0E" w:rsidR="009A5625" w:rsidRDefault="001944D5" w:rsidP="00B56033">
      <w:pPr>
        <w:jc w:val="both"/>
        <w:rPr>
          <w:rFonts w:ascii="Arial" w:hAnsi="Arial" w:cs="Arial"/>
          <w:b/>
          <w:bCs/>
          <w:u w:val="single"/>
        </w:rPr>
      </w:pPr>
      <w:r>
        <w:rPr>
          <w:rFonts w:ascii="Arial" w:hAnsi="Arial" w:cs="Arial"/>
          <w:b/>
          <w:bCs/>
          <w:noProof/>
          <w:u w:val="single"/>
        </w:rPr>
        <w:drawing>
          <wp:inline distT="0" distB="0" distL="0" distR="0" wp14:anchorId="3B95BADF" wp14:editId="64DD2D70">
            <wp:extent cx="6123940" cy="3171040"/>
            <wp:effectExtent l="0" t="0" r="0" b="0"/>
            <wp:docPr id="21111540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154087" name="Picture 2111154087"/>
                    <pic:cNvPicPr/>
                  </pic:nvPicPr>
                  <pic:blipFill rotWithShape="1">
                    <a:blip r:embed="rId6" cstate="print">
                      <a:extLst>
                        <a:ext uri="{28A0092B-C50C-407E-A947-70E740481C1C}">
                          <a14:useLocalDpi xmlns:a14="http://schemas.microsoft.com/office/drawing/2010/main" val="0"/>
                        </a:ext>
                      </a:extLst>
                    </a:blip>
                    <a:srcRect l="2085" r="-613"/>
                    <a:stretch>
                      <a:fillRect/>
                    </a:stretch>
                  </pic:blipFill>
                  <pic:spPr bwMode="auto">
                    <a:xfrm>
                      <a:off x="0" y="0"/>
                      <a:ext cx="6138226" cy="3178437"/>
                    </a:xfrm>
                    <a:prstGeom prst="rect">
                      <a:avLst/>
                    </a:prstGeom>
                    <a:ln>
                      <a:noFill/>
                    </a:ln>
                    <a:extLst>
                      <a:ext uri="{53640926-AAD7-44D8-BBD7-CCE9431645EC}">
                        <a14:shadowObscured xmlns:a14="http://schemas.microsoft.com/office/drawing/2010/main"/>
                      </a:ext>
                    </a:extLst>
                  </pic:spPr>
                </pic:pic>
              </a:graphicData>
            </a:graphic>
          </wp:inline>
        </w:drawing>
      </w:r>
    </w:p>
    <w:p w14:paraId="35018E99" w14:textId="77777777" w:rsidR="009E7909" w:rsidRDefault="009E7909" w:rsidP="00B56033">
      <w:pPr>
        <w:jc w:val="both"/>
        <w:rPr>
          <w:rFonts w:ascii="Arial" w:hAnsi="Arial" w:cs="Arial"/>
          <w:b/>
          <w:bCs/>
          <w:u w:val="single"/>
        </w:rPr>
      </w:pPr>
    </w:p>
    <w:p w14:paraId="6828842D" w14:textId="3D9A853E" w:rsidR="00270465" w:rsidRDefault="00E2309D" w:rsidP="00B56033">
      <w:pPr>
        <w:jc w:val="both"/>
        <w:rPr>
          <w:rFonts w:ascii="Arial" w:hAnsi="Arial" w:cs="Arial"/>
          <w:b/>
          <w:bCs/>
          <w:u w:val="single"/>
        </w:rPr>
      </w:pPr>
      <w:r>
        <w:rPr>
          <w:rFonts w:ascii="Arial" w:hAnsi="Arial" w:cs="Arial"/>
          <w:b/>
          <w:bCs/>
          <w:noProof/>
          <w:u w:val="single"/>
        </w:rPr>
        <w:drawing>
          <wp:inline distT="0" distB="0" distL="0" distR="0" wp14:anchorId="0A5DD49D" wp14:editId="1D18CA44">
            <wp:extent cx="5731510" cy="4597400"/>
            <wp:effectExtent l="0" t="0" r="2540" b="0"/>
            <wp:docPr id="909802209" name="Picture 4">
              <a:extLst xmlns:a="http://schemas.openxmlformats.org/drawingml/2006/main">
                <a:ext uri="{FF2B5EF4-FFF2-40B4-BE49-F238E27FC236}">
                  <a16:creationId xmlns:a16="http://schemas.microsoft.com/office/drawing/2014/main" id="{264EC450-F0D7-4819-8719-4D29F0285A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802209" name="Picture 909802209"/>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597400"/>
                    </a:xfrm>
                    <a:prstGeom prst="rect">
                      <a:avLst/>
                    </a:prstGeom>
                  </pic:spPr>
                </pic:pic>
              </a:graphicData>
            </a:graphic>
          </wp:inline>
        </w:drawing>
      </w:r>
    </w:p>
    <w:p w14:paraId="704C399F" w14:textId="77777777" w:rsidR="00F44ACD" w:rsidRDefault="00F44ACD" w:rsidP="00B56033">
      <w:pPr>
        <w:jc w:val="both"/>
        <w:rPr>
          <w:rFonts w:ascii="Arial" w:hAnsi="Arial" w:cs="Arial"/>
          <w:b/>
          <w:bCs/>
          <w:u w:val="single"/>
        </w:rPr>
      </w:pPr>
    </w:p>
    <w:p w14:paraId="72881AE7" w14:textId="77777777" w:rsidR="00CB59B6" w:rsidRDefault="00CB59B6" w:rsidP="00B56033">
      <w:pPr>
        <w:jc w:val="both"/>
        <w:rPr>
          <w:rFonts w:ascii="Arial" w:hAnsi="Arial" w:cs="Arial"/>
          <w:b/>
          <w:bCs/>
          <w:u w:val="single"/>
        </w:rPr>
      </w:pPr>
    </w:p>
    <w:p w14:paraId="29862127" w14:textId="77777777" w:rsidR="00C51B67" w:rsidRPr="00DD0869" w:rsidRDefault="00C51B67" w:rsidP="00C51B67">
      <w:pPr>
        <w:spacing w:after="240"/>
      </w:pPr>
      <w:r w:rsidRPr="00DD0869">
        <w:rPr>
          <w:rFonts w:ascii="Arial" w:eastAsia="Arial" w:hAnsi="Arial" w:cs="Arial"/>
          <w:b/>
          <w:bCs/>
          <w:sz w:val="36"/>
          <w:szCs w:val="36"/>
        </w:rPr>
        <w:lastRenderedPageBreak/>
        <w:t>List of Abbreviations</w:t>
      </w:r>
    </w:p>
    <w:tbl>
      <w:tblPr>
        <w:tblStyle w:val="GridTable4-Accent6"/>
        <w:tblW w:w="9386" w:type="dxa"/>
        <w:tblLook w:val="04A0" w:firstRow="1" w:lastRow="0" w:firstColumn="1" w:lastColumn="0" w:noHBand="0" w:noVBand="1"/>
      </w:tblPr>
      <w:tblGrid>
        <w:gridCol w:w="2000"/>
        <w:gridCol w:w="7386"/>
      </w:tblGrid>
      <w:tr w:rsidR="00C51B67" w:rsidRPr="00DD0869" w14:paraId="4DEAFFC1" w14:textId="77777777" w:rsidTr="00AD75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0" w:type="dxa"/>
          </w:tcPr>
          <w:p w14:paraId="19B2A951" w14:textId="77777777" w:rsidR="00C51B67" w:rsidRPr="00DD0869" w:rsidRDefault="00C51B67" w:rsidP="00AD7549">
            <w:pPr>
              <w:rPr>
                <w:sz w:val="24"/>
                <w:szCs w:val="24"/>
              </w:rPr>
            </w:pPr>
            <w:r w:rsidRPr="00DD0869">
              <w:rPr>
                <w:sz w:val="24"/>
                <w:szCs w:val="24"/>
              </w:rPr>
              <w:t>Abbreviation</w:t>
            </w:r>
          </w:p>
        </w:tc>
        <w:tc>
          <w:tcPr>
            <w:tcW w:w="7386" w:type="dxa"/>
          </w:tcPr>
          <w:p w14:paraId="76163B39" w14:textId="77777777" w:rsidR="00C51B67" w:rsidRPr="00DD0869" w:rsidRDefault="00C51B67" w:rsidP="00AD7549">
            <w:pPr>
              <w:cnfStyle w:val="100000000000" w:firstRow="1" w:lastRow="0" w:firstColumn="0" w:lastColumn="0" w:oddVBand="0" w:evenVBand="0" w:oddHBand="0" w:evenHBand="0" w:firstRowFirstColumn="0" w:firstRowLastColumn="0" w:lastRowFirstColumn="0" w:lastRowLastColumn="0"/>
              <w:rPr>
                <w:sz w:val="24"/>
                <w:szCs w:val="24"/>
              </w:rPr>
            </w:pPr>
            <w:r w:rsidRPr="00DD0869">
              <w:rPr>
                <w:sz w:val="24"/>
                <w:szCs w:val="24"/>
              </w:rPr>
              <w:t>Full Term</w:t>
            </w:r>
          </w:p>
        </w:tc>
      </w:tr>
      <w:tr w:rsidR="00C51B67" w:rsidRPr="00DD0869" w14:paraId="4593FEDB" w14:textId="77777777" w:rsidTr="00AD75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0" w:type="dxa"/>
          </w:tcPr>
          <w:p w14:paraId="4B62674E" w14:textId="77777777" w:rsidR="00C51B67" w:rsidRPr="00DD0869" w:rsidRDefault="00C51B67" w:rsidP="00AD7549">
            <w:pPr>
              <w:rPr>
                <w:color w:val="auto"/>
                <w:sz w:val="24"/>
                <w:szCs w:val="24"/>
              </w:rPr>
            </w:pPr>
            <w:r w:rsidRPr="00DD0869">
              <w:rPr>
                <w:color w:val="auto"/>
                <w:sz w:val="24"/>
                <w:szCs w:val="24"/>
              </w:rPr>
              <w:t>ACEs</w:t>
            </w:r>
          </w:p>
        </w:tc>
        <w:tc>
          <w:tcPr>
            <w:tcW w:w="7386" w:type="dxa"/>
          </w:tcPr>
          <w:p w14:paraId="1921ED29" w14:textId="77777777" w:rsidR="00C51B67" w:rsidRPr="00DD0869" w:rsidRDefault="00C51B67" w:rsidP="00AD7549">
            <w:pPr>
              <w:cnfStyle w:val="000000100000" w:firstRow="0" w:lastRow="0" w:firstColumn="0" w:lastColumn="0" w:oddVBand="0" w:evenVBand="0" w:oddHBand="1" w:evenHBand="0" w:firstRowFirstColumn="0" w:firstRowLastColumn="0" w:lastRowFirstColumn="0" w:lastRowLastColumn="0"/>
              <w:rPr>
                <w:color w:val="auto"/>
                <w:sz w:val="24"/>
                <w:szCs w:val="24"/>
              </w:rPr>
            </w:pPr>
            <w:r w:rsidRPr="00DD0869">
              <w:rPr>
                <w:color w:val="auto"/>
                <w:sz w:val="24"/>
                <w:szCs w:val="24"/>
              </w:rPr>
              <w:t>Adverse Childhood Experiences</w:t>
            </w:r>
          </w:p>
        </w:tc>
      </w:tr>
      <w:tr w:rsidR="00C51B67" w:rsidRPr="00DD0869" w14:paraId="7D988EF3" w14:textId="77777777" w:rsidTr="00AD7549">
        <w:tc>
          <w:tcPr>
            <w:cnfStyle w:val="001000000000" w:firstRow="0" w:lastRow="0" w:firstColumn="1" w:lastColumn="0" w:oddVBand="0" w:evenVBand="0" w:oddHBand="0" w:evenHBand="0" w:firstRowFirstColumn="0" w:firstRowLastColumn="0" w:lastRowFirstColumn="0" w:lastRowLastColumn="0"/>
            <w:tcW w:w="2000" w:type="dxa"/>
          </w:tcPr>
          <w:p w14:paraId="59A503E7" w14:textId="77777777" w:rsidR="00C51B67" w:rsidRPr="00DD0869" w:rsidRDefault="00C51B67" w:rsidP="00AD7549">
            <w:pPr>
              <w:rPr>
                <w:color w:val="auto"/>
                <w:sz w:val="24"/>
                <w:szCs w:val="24"/>
              </w:rPr>
            </w:pPr>
            <w:r w:rsidRPr="00DD0869">
              <w:rPr>
                <w:color w:val="auto"/>
                <w:sz w:val="24"/>
                <w:szCs w:val="24"/>
              </w:rPr>
              <w:t>AI</w:t>
            </w:r>
          </w:p>
        </w:tc>
        <w:tc>
          <w:tcPr>
            <w:tcW w:w="7386" w:type="dxa"/>
          </w:tcPr>
          <w:p w14:paraId="2A93A7C9" w14:textId="77777777" w:rsidR="00C51B67" w:rsidRPr="00DD0869" w:rsidRDefault="00C51B67" w:rsidP="00AD7549">
            <w:pPr>
              <w:cnfStyle w:val="000000000000" w:firstRow="0" w:lastRow="0" w:firstColumn="0" w:lastColumn="0" w:oddVBand="0" w:evenVBand="0" w:oddHBand="0" w:evenHBand="0" w:firstRowFirstColumn="0" w:firstRowLastColumn="0" w:lastRowFirstColumn="0" w:lastRowLastColumn="0"/>
              <w:rPr>
                <w:color w:val="auto"/>
                <w:sz w:val="24"/>
                <w:szCs w:val="24"/>
              </w:rPr>
            </w:pPr>
            <w:r w:rsidRPr="00DD0869">
              <w:rPr>
                <w:color w:val="auto"/>
                <w:sz w:val="24"/>
                <w:szCs w:val="24"/>
              </w:rPr>
              <w:t>Artificial Intelligence</w:t>
            </w:r>
          </w:p>
        </w:tc>
      </w:tr>
      <w:tr w:rsidR="00C51B67" w:rsidRPr="00DD0869" w14:paraId="5057C632" w14:textId="77777777" w:rsidTr="00AD75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0" w:type="dxa"/>
          </w:tcPr>
          <w:p w14:paraId="60B104AD" w14:textId="77777777" w:rsidR="00C51B67" w:rsidRPr="00DD0869" w:rsidRDefault="00C51B67" w:rsidP="00AD7549">
            <w:pPr>
              <w:rPr>
                <w:color w:val="auto"/>
                <w:sz w:val="24"/>
                <w:szCs w:val="24"/>
              </w:rPr>
            </w:pPr>
            <w:r w:rsidRPr="00DD0869">
              <w:rPr>
                <w:color w:val="auto"/>
                <w:sz w:val="24"/>
                <w:szCs w:val="24"/>
              </w:rPr>
              <w:t>AP</w:t>
            </w:r>
          </w:p>
        </w:tc>
        <w:tc>
          <w:tcPr>
            <w:tcW w:w="7386" w:type="dxa"/>
          </w:tcPr>
          <w:p w14:paraId="020D3931" w14:textId="77777777" w:rsidR="00C51B67" w:rsidRPr="00DD0869" w:rsidRDefault="00C51B67" w:rsidP="00AD7549">
            <w:pPr>
              <w:cnfStyle w:val="000000100000" w:firstRow="0" w:lastRow="0" w:firstColumn="0" w:lastColumn="0" w:oddVBand="0" w:evenVBand="0" w:oddHBand="1" w:evenHBand="0" w:firstRowFirstColumn="0" w:firstRowLastColumn="0" w:lastRowFirstColumn="0" w:lastRowLastColumn="0"/>
              <w:rPr>
                <w:color w:val="auto"/>
                <w:sz w:val="24"/>
                <w:szCs w:val="24"/>
              </w:rPr>
            </w:pPr>
            <w:r w:rsidRPr="00DD0869">
              <w:rPr>
                <w:color w:val="auto"/>
                <w:sz w:val="24"/>
                <w:szCs w:val="24"/>
              </w:rPr>
              <w:t>Alternative Provision</w:t>
            </w:r>
          </w:p>
        </w:tc>
      </w:tr>
      <w:tr w:rsidR="00C51B67" w:rsidRPr="00DD0869" w14:paraId="4C9FAD4D" w14:textId="77777777" w:rsidTr="00AD7549">
        <w:tc>
          <w:tcPr>
            <w:cnfStyle w:val="001000000000" w:firstRow="0" w:lastRow="0" w:firstColumn="1" w:lastColumn="0" w:oddVBand="0" w:evenVBand="0" w:oddHBand="0" w:evenHBand="0" w:firstRowFirstColumn="0" w:firstRowLastColumn="0" w:lastRowFirstColumn="0" w:lastRowLastColumn="0"/>
            <w:tcW w:w="2000" w:type="dxa"/>
          </w:tcPr>
          <w:p w14:paraId="525B4B40" w14:textId="77777777" w:rsidR="00C51B67" w:rsidRPr="00DD0869" w:rsidRDefault="00C51B67" w:rsidP="00AD7549">
            <w:pPr>
              <w:rPr>
                <w:color w:val="auto"/>
                <w:sz w:val="24"/>
                <w:szCs w:val="24"/>
              </w:rPr>
            </w:pPr>
            <w:r w:rsidRPr="00DD0869">
              <w:rPr>
                <w:color w:val="auto"/>
                <w:sz w:val="24"/>
                <w:szCs w:val="24"/>
              </w:rPr>
              <w:t>ATS</w:t>
            </w:r>
          </w:p>
        </w:tc>
        <w:tc>
          <w:tcPr>
            <w:tcW w:w="7386" w:type="dxa"/>
          </w:tcPr>
          <w:p w14:paraId="1362B3FD" w14:textId="77777777" w:rsidR="00C51B67" w:rsidRPr="00DD0869" w:rsidRDefault="00C51B67" w:rsidP="00AD7549">
            <w:pPr>
              <w:cnfStyle w:val="000000000000" w:firstRow="0" w:lastRow="0" w:firstColumn="0" w:lastColumn="0" w:oddVBand="0" w:evenVBand="0" w:oddHBand="0" w:evenHBand="0" w:firstRowFirstColumn="0" w:firstRowLastColumn="0" w:lastRowFirstColumn="0" w:lastRowLastColumn="0"/>
              <w:rPr>
                <w:color w:val="auto"/>
                <w:sz w:val="24"/>
                <w:szCs w:val="24"/>
              </w:rPr>
            </w:pPr>
            <w:r w:rsidRPr="00DD0869">
              <w:rPr>
                <w:color w:val="auto"/>
                <w:sz w:val="24"/>
                <w:szCs w:val="24"/>
              </w:rPr>
              <w:t>Applicant Tracking System</w:t>
            </w:r>
          </w:p>
        </w:tc>
      </w:tr>
      <w:tr w:rsidR="00CA1C24" w:rsidRPr="00DD0869" w14:paraId="74D92737" w14:textId="77777777" w:rsidTr="00AD75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0" w:type="dxa"/>
          </w:tcPr>
          <w:p w14:paraId="2D57C938" w14:textId="0E36C53D" w:rsidR="00CA1C24" w:rsidRPr="00715D5A" w:rsidRDefault="00715D5A" w:rsidP="00AD7549">
            <w:pPr>
              <w:rPr>
                <w:sz w:val="24"/>
                <w:szCs w:val="24"/>
              </w:rPr>
            </w:pPr>
            <w:r w:rsidRPr="00715D5A">
              <w:rPr>
                <w:sz w:val="24"/>
                <w:szCs w:val="24"/>
              </w:rPr>
              <w:t>BSC</w:t>
            </w:r>
          </w:p>
        </w:tc>
        <w:tc>
          <w:tcPr>
            <w:tcW w:w="7386" w:type="dxa"/>
          </w:tcPr>
          <w:p w14:paraId="1BCF255D" w14:textId="7003B08B" w:rsidR="00CA1C24" w:rsidRPr="001C2C85" w:rsidRDefault="00715D5A" w:rsidP="00AD7549">
            <w:pPr>
              <w:cnfStyle w:val="000000100000" w:firstRow="0" w:lastRow="0" w:firstColumn="0" w:lastColumn="0" w:oddVBand="0" w:evenVBand="0" w:oddHBand="1" w:evenHBand="0" w:firstRowFirstColumn="0" w:firstRowLastColumn="0" w:lastRowFirstColumn="0" w:lastRowLastColumn="0"/>
              <w:rPr>
                <w:sz w:val="24"/>
                <w:szCs w:val="24"/>
              </w:rPr>
            </w:pPr>
            <w:r w:rsidRPr="001C2C85">
              <w:rPr>
                <w:sz w:val="24"/>
                <w:szCs w:val="24"/>
              </w:rPr>
              <w:t>Balance Score C</w:t>
            </w:r>
            <w:r w:rsidR="001C2C85" w:rsidRPr="001C2C85">
              <w:rPr>
                <w:sz w:val="24"/>
                <w:szCs w:val="24"/>
              </w:rPr>
              <w:t>ard</w:t>
            </w:r>
          </w:p>
        </w:tc>
      </w:tr>
      <w:tr w:rsidR="00C51B67" w:rsidRPr="00DD0869" w14:paraId="37CB11AA" w14:textId="77777777" w:rsidTr="00AD7549">
        <w:tc>
          <w:tcPr>
            <w:cnfStyle w:val="001000000000" w:firstRow="0" w:lastRow="0" w:firstColumn="1" w:lastColumn="0" w:oddVBand="0" w:evenVBand="0" w:oddHBand="0" w:evenHBand="0" w:firstRowFirstColumn="0" w:firstRowLastColumn="0" w:lastRowFirstColumn="0" w:lastRowLastColumn="0"/>
            <w:tcW w:w="2000" w:type="dxa"/>
          </w:tcPr>
          <w:p w14:paraId="24C84C40" w14:textId="77777777" w:rsidR="00C51B67" w:rsidRPr="00DD0869" w:rsidRDefault="00C51B67" w:rsidP="00AD7549">
            <w:pPr>
              <w:rPr>
                <w:color w:val="auto"/>
                <w:sz w:val="24"/>
                <w:szCs w:val="24"/>
              </w:rPr>
            </w:pPr>
            <w:r w:rsidRPr="00DD0869">
              <w:rPr>
                <w:color w:val="auto"/>
                <w:sz w:val="24"/>
                <w:szCs w:val="24"/>
              </w:rPr>
              <w:t>CIPD</w:t>
            </w:r>
          </w:p>
        </w:tc>
        <w:tc>
          <w:tcPr>
            <w:tcW w:w="7386" w:type="dxa"/>
          </w:tcPr>
          <w:p w14:paraId="3321EE98" w14:textId="77777777" w:rsidR="00C51B67" w:rsidRPr="00DD0869" w:rsidRDefault="00C51B67" w:rsidP="00AD7549">
            <w:pPr>
              <w:cnfStyle w:val="000000000000" w:firstRow="0" w:lastRow="0" w:firstColumn="0" w:lastColumn="0" w:oddVBand="0" w:evenVBand="0" w:oddHBand="0" w:evenHBand="0" w:firstRowFirstColumn="0" w:firstRowLastColumn="0" w:lastRowFirstColumn="0" w:lastRowLastColumn="0"/>
              <w:rPr>
                <w:color w:val="auto"/>
                <w:sz w:val="24"/>
                <w:szCs w:val="24"/>
              </w:rPr>
            </w:pPr>
            <w:r w:rsidRPr="00DD0869">
              <w:rPr>
                <w:color w:val="auto"/>
                <w:sz w:val="24"/>
                <w:szCs w:val="24"/>
              </w:rPr>
              <w:t>Chartered Institute of Personnel and Development</w:t>
            </w:r>
          </w:p>
        </w:tc>
      </w:tr>
      <w:tr w:rsidR="00C51B67" w:rsidRPr="00DD0869" w14:paraId="5F0ED84B" w14:textId="77777777" w:rsidTr="00AD75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0" w:type="dxa"/>
          </w:tcPr>
          <w:p w14:paraId="04717570" w14:textId="77777777" w:rsidR="00C51B67" w:rsidRPr="00DD0869" w:rsidRDefault="00C51B67" w:rsidP="00AD7549">
            <w:pPr>
              <w:rPr>
                <w:color w:val="auto"/>
                <w:sz w:val="24"/>
                <w:szCs w:val="24"/>
              </w:rPr>
            </w:pPr>
            <w:r w:rsidRPr="00DD0869">
              <w:rPr>
                <w:color w:val="auto"/>
                <w:sz w:val="24"/>
                <w:szCs w:val="24"/>
              </w:rPr>
              <w:t>CPD</w:t>
            </w:r>
          </w:p>
        </w:tc>
        <w:tc>
          <w:tcPr>
            <w:tcW w:w="7386" w:type="dxa"/>
          </w:tcPr>
          <w:p w14:paraId="0FB2F287" w14:textId="77777777" w:rsidR="00C51B67" w:rsidRPr="00DD0869" w:rsidRDefault="00C51B67" w:rsidP="00AD7549">
            <w:pPr>
              <w:cnfStyle w:val="000000100000" w:firstRow="0" w:lastRow="0" w:firstColumn="0" w:lastColumn="0" w:oddVBand="0" w:evenVBand="0" w:oddHBand="1" w:evenHBand="0" w:firstRowFirstColumn="0" w:firstRowLastColumn="0" w:lastRowFirstColumn="0" w:lastRowLastColumn="0"/>
              <w:rPr>
                <w:color w:val="auto"/>
                <w:sz w:val="24"/>
                <w:szCs w:val="24"/>
              </w:rPr>
            </w:pPr>
            <w:r w:rsidRPr="00DD0869">
              <w:rPr>
                <w:color w:val="auto"/>
                <w:sz w:val="24"/>
                <w:szCs w:val="24"/>
              </w:rPr>
              <w:t>Continuing Professional Development</w:t>
            </w:r>
          </w:p>
        </w:tc>
      </w:tr>
      <w:tr w:rsidR="00C51B67" w:rsidRPr="00DD0869" w14:paraId="72596D96" w14:textId="77777777" w:rsidTr="00AD7549">
        <w:tc>
          <w:tcPr>
            <w:cnfStyle w:val="001000000000" w:firstRow="0" w:lastRow="0" w:firstColumn="1" w:lastColumn="0" w:oddVBand="0" w:evenVBand="0" w:oddHBand="0" w:evenHBand="0" w:firstRowFirstColumn="0" w:firstRowLastColumn="0" w:lastRowFirstColumn="0" w:lastRowLastColumn="0"/>
            <w:tcW w:w="2000" w:type="dxa"/>
          </w:tcPr>
          <w:p w14:paraId="578C9860" w14:textId="77777777" w:rsidR="00C51B67" w:rsidRPr="00DD0869" w:rsidRDefault="00C51B67" w:rsidP="00AD7549">
            <w:pPr>
              <w:rPr>
                <w:color w:val="auto"/>
                <w:sz w:val="24"/>
                <w:szCs w:val="24"/>
              </w:rPr>
            </w:pPr>
            <w:r w:rsidRPr="00DD0869">
              <w:rPr>
                <w:color w:val="auto"/>
                <w:sz w:val="24"/>
                <w:szCs w:val="24"/>
              </w:rPr>
              <w:t>CPH</w:t>
            </w:r>
          </w:p>
        </w:tc>
        <w:tc>
          <w:tcPr>
            <w:tcW w:w="7386" w:type="dxa"/>
          </w:tcPr>
          <w:p w14:paraId="47BE80A1" w14:textId="77777777" w:rsidR="00C51B67" w:rsidRPr="00DD0869" w:rsidRDefault="00C51B67" w:rsidP="00AD7549">
            <w:pPr>
              <w:cnfStyle w:val="000000000000" w:firstRow="0" w:lastRow="0" w:firstColumn="0" w:lastColumn="0" w:oddVBand="0" w:evenVBand="0" w:oddHBand="0" w:evenHBand="0" w:firstRowFirstColumn="0" w:firstRowLastColumn="0" w:lastRowFirstColumn="0" w:lastRowLastColumn="0"/>
              <w:rPr>
                <w:color w:val="auto"/>
                <w:sz w:val="24"/>
                <w:szCs w:val="24"/>
              </w:rPr>
            </w:pPr>
            <w:r w:rsidRPr="00DD0869">
              <w:rPr>
                <w:color w:val="auto"/>
                <w:sz w:val="24"/>
                <w:szCs w:val="24"/>
              </w:rPr>
              <w:t>Cost-Per-Hire</w:t>
            </w:r>
          </w:p>
        </w:tc>
      </w:tr>
      <w:tr w:rsidR="00C51B67" w:rsidRPr="00DD0869" w14:paraId="0C0CFCD9" w14:textId="77777777" w:rsidTr="00AD75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0" w:type="dxa"/>
          </w:tcPr>
          <w:p w14:paraId="6BCE102C" w14:textId="77777777" w:rsidR="00C51B67" w:rsidRPr="00DD0869" w:rsidRDefault="00C51B67" w:rsidP="00AD7549">
            <w:pPr>
              <w:rPr>
                <w:color w:val="auto"/>
                <w:sz w:val="24"/>
                <w:szCs w:val="24"/>
              </w:rPr>
            </w:pPr>
            <w:r w:rsidRPr="00DD0869">
              <w:rPr>
                <w:color w:val="auto"/>
                <w:sz w:val="24"/>
                <w:szCs w:val="24"/>
              </w:rPr>
              <w:t>DEI</w:t>
            </w:r>
          </w:p>
        </w:tc>
        <w:tc>
          <w:tcPr>
            <w:tcW w:w="7386" w:type="dxa"/>
          </w:tcPr>
          <w:p w14:paraId="5B4F4B6A" w14:textId="77777777" w:rsidR="00C51B67" w:rsidRPr="00DD0869" w:rsidRDefault="00C51B67" w:rsidP="00AD7549">
            <w:pPr>
              <w:cnfStyle w:val="000000100000" w:firstRow="0" w:lastRow="0" w:firstColumn="0" w:lastColumn="0" w:oddVBand="0" w:evenVBand="0" w:oddHBand="1" w:evenHBand="0" w:firstRowFirstColumn="0" w:firstRowLastColumn="0" w:lastRowFirstColumn="0" w:lastRowLastColumn="0"/>
              <w:rPr>
                <w:color w:val="auto"/>
                <w:sz w:val="24"/>
                <w:szCs w:val="24"/>
              </w:rPr>
            </w:pPr>
            <w:r w:rsidRPr="00DD0869">
              <w:rPr>
                <w:color w:val="auto"/>
                <w:sz w:val="24"/>
                <w:szCs w:val="24"/>
              </w:rPr>
              <w:t>Diversity, Equity and Inclusion</w:t>
            </w:r>
          </w:p>
        </w:tc>
      </w:tr>
      <w:tr w:rsidR="00C51B67" w:rsidRPr="00DD0869" w14:paraId="4F1CF065" w14:textId="77777777" w:rsidTr="00AD7549">
        <w:tc>
          <w:tcPr>
            <w:cnfStyle w:val="001000000000" w:firstRow="0" w:lastRow="0" w:firstColumn="1" w:lastColumn="0" w:oddVBand="0" w:evenVBand="0" w:oddHBand="0" w:evenHBand="0" w:firstRowFirstColumn="0" w:firstRowLastColumn="0" w:lastRowFirstColumn="0" w:lastRowLastColumn="0"/>
            <w:tcW w:w="2000" w:type="dxa"/>
          </w:tcPr>
          <w:p w14:paraId="694CD46A" w14:textId="77777777" w:rsidR="00C51B67" w:rsidRPr="00DD0869" w:rsidRDefault="00C51B67" w:rsidP="00AD7549">
            <w:pPr>
              <w:rPr>
                <w:color w:val="auto"/>
                <w:sz w:val="24"/>
                <w:szCs w:val="24"/>
              </w:rPr>
            </w:pPr>
            <w:r w:rsidRPr="00DD0869">
              <w:rPr>
                <w:color w:val="auto"/>
                <w:sz w:val="24"/>
                <w:szCs w:val="24"/>
              </w:rPr>
              <w:t>DSG</w:t>
            </w:r>
          </w:p>
        </w:tc>
        <w:tc>
          <w:tcPr>
            <w:tcW w:w="7386" w:type="dxa"/>
          </w:tcPr>
          <w:p w14:paraId="437DE091" w14:textId="77777777" w:rsidR="00C51B67" w:rsidRPr="00DD0869" w:rsidRDefault="00C51B67" w:rsidP="00AD7549">
            <w:pPr>
              <w:cnfStyle w:val="000000000000" w:firstRow="0" w:lastRow="0" w:firstColumn="0" w:lastColumn="0" w:oddVBand="0" w:evenVBand="0" w:oddHBand="0" w:evenHBand="0" w:firstRowFirstColumn="0" w:firstRowLastColumn="0" w:lastRowFirstColumn="0" w:lastRowLastColumn="0"/>
              <w:rPr>
                <w:color w:val="auto"/>
                <w:sz w:val="24"/>
                <w:szCs w:val="24"/>
              </w:rPr>
            </w:pPr>
            <w:r w:rsidRPr="00DD0869">
              <w:rPr>
                <w:color w:val="auto"/>
                <w:sz w:val="24"/>
                <w:szCs w:val="24"/>
              </w:rPr>
              <w:t>Dedicated Schools Grant</w:t>
            </w:r>
          </w:p>
        </w:tc>
      </w:tr>
      <w:tr w:rsidR="00C51B67" w:rsidRPr="00DD0869" w14:paraId="042BE708" w14:textId="77777777" w:rsidTr="00AD75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0" w:type="dxa"/>
          </w:tcPr>
          <w:p w14:paraId="243F24BD" w14:textId="77777777" w:rsidR="00C51B67" w:rsidRPr="00DD0869" w:rsidRDefault="00C51B67" w:rsidP="00AD7549">
            <w:pPr>
              <w:rPr>
                <w:color w:val="auto"/>
                <w:sz w:val="24"/>
                <w:szCs w:val="24"/>
              </w:rPr>
            </w:pPr>
            <w:r w:rsidRPr="00DD0869">
              <w:rPr>
                <w:color w:val="auto"/>
                <w:sz w:val="24"/>
                <w:szCs w:val="24"/>
              </w:rPr>
              <w:t>DSL</w:t>
            </w:r>
          </w:p>
        </w:tc>
        <w:tc>
          <w:tcPr>
            <w:tcW w:w="7386" w:type="dxa"/>
          </w:tcPr>
          <w:p w14:paraId="25713C88" w14:textId="77777777" w:rsidR="00C51B67" w:rsidRPr="00DD0869" w:rsidRDefault="00C51B67" w:rsidP="00AD7549">
            <w:pPr>
              <w:cnfStyle w:val="000000100000" w:firstRow="0" w:lastRow="0" w:firstColumn="0" w:lastColumn="0" w:oddVBand="0" w:evenVBand="0" w:oddHBand="1" w:evenHBand="0" w:firstRowFirstColumn="0" w:firstRowLastColumn="0" w:lastRowFirstColumn="0" w:lastRowLastColumn="0"/>
              <w:rPr>
                <w:color w:val="auto"/>
                <w:sz w:val="24"/>
                <w:szCs w:val="24"/>
              </w:rPr>
            </w:pPr>
            <w:r w:rsidRPr="00DD0869">
              <w:rPr>
                <w:color w:val="auto"/>
                <w:sz w:val="24"/>
                <w:szCs w:val="24"/>
              </w:rPr>
              <w:t>Designated Safeguarding Lead</w:t>
            </w:r>
          </w:p>
        </w:tc>
      </w:tr>
      <w:tr w:rsidR="00C51B67" w:rsidRPr="00DD0869" w14:paraId="3370E0A4" w14:textId="77777777" w:rsidTr="00AD7549">
        <w:tc>
          <w:tcPr>
            <w:cnfStyle w:val="001000000000" w:firstRow="0" w:lastRow="0" w:firstColumn="1" w:lastColumn="0" w:oddVBand="0" w:evenVBand="0" w:oddHBand="0" w:evenHBand="0" w:firstRowFirstColumn="0" w:firstRowLastColumn="0" w:lastRowFirstColumn="0" w:lastRowLastColumn="0"/>
            <w:tcW w:w="2000" w:type="dxa"/>
          </w:tcPr>
          <w:p w14:paraId="234AC52C" w14:textId="77777777" w:rsidR="00C51B67" w:rsidRPr="00DD0869" w:rsidRDefault="00C51B67" w:rsidP="00AD7549">
            <w:pPr>
              <w:rPr>
                <w:color w:val="auto"/>
                <w:sz w:val="24"/>
                <w:szCs w:val="24"/>
              </w:rPr>
            </w:pPr>
            <w:r w:rsidRPr="00DD0869">
              <w:rPr>
                <w:color w:val="auto"/>
                <w:sz w:val="24"/>
                <w:szCs w:val="24"/>
              </w:rPr>
              <w:t>EHCP</w:t>
            </w:r>
          </w:p>
        </w:tc>
        <w:tc>
          <w:tcPr>
            <w:tcW w:w="7386" w:type="dxa"/>
          </w:tcPr>
          <w:p w14:paraId="067AE35B" w14:textId="7CEB1495" w:rsidR="008161DE" w:rsidRPr="00DD0869" w:rsidRDefault="00C51B67" w:rsidP="00AD7549">
            <w:pPr>
              <w:cnfStyle w:val="000000000000" w:firstRow="0" w:lastRow="0" w:firstColumn="0" w:lastColumn="0" w:oddVBand="0" w:evenVBand="0" w:oddHBand="0" w:evenHBand="0" w:firstRowFirstColumn="0" w:firstRowLastColumn="0" w:lastRowFirstColumn="0" w:lastRowLastColumn="0"/>
              <w:rPr>
                <w:color w:val="auto"/>
                <w:sz w:val="24"/>
                <w:szCs w:val="24"/>
              </w:rPr>
            </w:pPr>
            <w:r w:rsidRPr="00DD0869">
              <w:rPr>
                <w:color w:val="auto"/>
                <w:sz w:val="24"/>
                <w:szCs w:val="24"/>
              </w:rPr>
              <w:t>Education, Health and Care Plan</w:t>
            </w:r>
          </w:p>
        </w:tc>
      </w:tr>
      <w:tr w:rsidR="008161DE" w:rsidRPr="00E803B7" w14:paraId="40A8CC5A" w14:textId="77777777" w:rsidTr="00AD75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0" w:type="dxa"/>
          </w:tcPr>
          <w:p w14:paraId="6E819245" w14:textId="2C1C43D0" w:rsidR="008161DE" w:rsidRPr="00E803B7" w:rsidRDefault="009F641C" w:rsidP="00AD7549">
            <w:pPr>
              <w:rPr>
                <w:sz w:val="24"/>
                <w:szCs w:val="24"/>
              </w:rPr>
            </w:pPr>
            <w:proofErr w:type="spellStart"/>
            <w:r w:rsidRPr="00E803B7">
              <w:rPr>
                <w:sz w:val="24"/>
                <w:szCs w:val="24"/>
              </w:rPr>
              <w:t>eNPS</w:t>
            </w:r>
            <w:proofErr w:type="spellEnd"/>
          </w:p>
        </w:tc>
        <w:tc>
          <w:tcPr>
            <w:tcW w:w="7386" w:type="dxa"/>
          </w:tcPr>
          <w:p w14:paraId="6BCA220F" w14:textId="77777777" w:rsidR="0004396F" w:rsidRDefault="00E803B7" w:rsidP="00AD7549">
            <w:pPr>
              <w:cnfStyle w:val="000000100000" w:firstRow="0" w:lastRow="0" w:firstColumn="0" w:lastColumn="0" w:oddVBand="0" w:evenVBand="0" w:oddHBand="1" w:evenHBand="0" w:firstRowFirstColumn="0" w:firstRowLastColumn="0" w:lastRowFirstColumn="0" w:lastRowLastColumn="0"/>
              <w:rPr>
                <w:sz w:val="24"/>
                <w:szCs w:val="24"/>
              </w:rPr>
            </w:pPr>
            <w:r w:rsidRPr="00E803B7">
              <w:rPr>
                <w:sz w:val="24"/>
                <w:szCs w:val="24"/>
              </w:rPr>
              <w:t>Employee Net Promoter Score</w:t>
            </w:r>
            <w:r w:rsidR="00B6778A">
              <w:rPr>
                <w:sz w:val="24"/>
                <w:szCs w:val="24"/>
              </w:rPr>
              <w:t xml:space="preserve"> </w:t>
            </w:r>
          </w:p>
          <w:p w14:paraId="7BD54AF0" w14:textId="761DAEDC" w:rsidR="008161DE" w:rsidRPr="00E803B7" w:rsidRDefault="00B6778A" w:rsidP="00AD7549">
            <w:pPr>
              <w:cnfStyle w:val="000000100000" w:firstRow="0" w:lastRow="0" w:firstColumn="0" w:lastColumn="0" w:oddVBand="0" w:evenVBand="0" w:oddHBand="1" w:evenHBand="0" w:firstRowFirstColumn="0" w:firstRowLastColumn="0" w:lastRowFirstColumn="0" w:lastRowLastColumn="0"/>
              <w:rPr>
                <w:sz w:val="24"/>
                <w:szCs w:val="24"/>
              </w:rPr>
            </w:pPr>
            <w:r w:rsidRPr="00B6778A">
              <w:rPr>
                <w:sz w:val="18"/>
                <w:szCs w:val="18"/>
              </w:rPr>
              <w:t xml:space="preserve">(a measure of staff likelihood to recommend Rootwings as a workplace) </w:t>
            </w:r>
          </w:p>
        </w:tc>
      </w:tr>
      <w:tr w:rsidR="00C51B67" w:rsidRPr="00DD0869" w14:paraId="14E32AFC" w14:textId="77777777" w:rsidTr="00AD7549">
        <w:tc>
          <w:tcPr>
            <w:cnfStyle w:val="001000000000" w:firstRow="0" w:lastRow="0" w:firstColumn="1" w:lastColumn="0" w:oddVBand="0" w:evenVBand="0" w:oddHBand="0" w:evenHBand="0" w:firstRowFirstColumn="0" w:firstRowLastColumn="0" w:lastRowFirstColumn="0" w:lastRowLastColumn="0"/>
            <w:tcW w:w="2000" w:type="dxa"/>
          </w:tcPr>
          <w:p w14:paraId="0C66D177" w14:textId="77777777" w:rsidR="00C51B67" w:rsidRPr="00DD0869" w:rsidRDefault="00C51B67" w:rsidP="00AD7549">
            <w:pPr>
              <w:rPr>
                <w:color w:val="auto"/>
                <w:sz w:val="24"/>
                <w:szCs w:val="24"/>
              </w:rPr>
            </w:pPr>
            <w:r w:rsidRPr="00DD0869">
              <w:rPr>
                <w:color w:val="auto"/>
                <w:sz w:val="24"/>
                <w:szCs w:val="24"/>
              </w:rPr>
              <w:t>ESFA</w:t>
            </w:r>
          </w:p>
        </w:tc>
        <w:tc>
          <w:tcPr>
            <w:tcW w:w="7386" w:type="dxa"/>
          </w:tcPr>
          <w:p w14:paraId="5F7E8C8F" w14:textId="77777777" w:rsidR="00C51B67" w:rsidRPr="00DD0869" w:rsidRDefault="00C51B67" w:rsidP="00AD7549">
            <w:pPr>
              <w:cnfStyle w:val="000000000000" w:firstRow="0" w:lastRow="0" w:firstColumn="0" w:lastColumn="0" w:oddVBand="0" w:evenVBand="0" w:oddHBand="0" w:evenHBand="0" w:firstRowFirstColumn="0" w:firstRowLastColumn="0" w:lastRowFirstColumn="0" w:lastRowLastColumn="0"/>
              <w:rPr>
                <w:color w:val="auto"/>
                <w:sz w:val="24"/>
                <w:szCs w:val="24"/>
              </w:rPr>
            </w:pPr>
            <w:r w:rsidRPr="00DD0869">
              <w:rPr>
                <w:color w:val="auto"/>
                <w:sz w:val="24"/>
                <w:szCs w:val="24"/>
              </w:rPr>
              <w:t>Education and Skills Funding Agency</w:t>
            </w:r>
          </w:p>
        </w:tc>
      </w:tr>
      <w:tr w:rsidR="00C51B67" w:rsidRPr="00DD0869" w14:paraId="66AED202" w14:textId="77777777" w:rsidTr="00AD75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0" w:type="dxa"/>
          </w:tcPr>
          <w:p w14:paraId="69F4C1A3" w14:textId="77777777" w:rsidR="00C51B67" w:rsidRPr="00DD0869" w:rsidRDefault="00C51B67" w:rsidP="00AD7549">
            <w:pPr>
              <w:rPr>
                <w:color w:val="auto"/>
                <w:sz w:val="24"/>
                <w:szCs w:val="24"/>
              </w:rPr>
            </w:pPr>
            <w:r w:rsidRPr="00DD0869">
              <w:rPr>
                <w:color w:val="auto"/>
                <w:sz w:val="24"/>
                <w:szCs w:val="24"/>
              </w:rPr>
              <w:t>GDPR</w:t>
            </w:r>
          </w:p>
        </w:tc>
        <w:tc>
          <w:tcPr>
            <w:tcW w:w="7386" w:type="dxa"/>
          </w:tcPr>
          <w:p w14:paraId="6DB57DFA" w14:textId="77777777" w:rsidR="00C51B67" w:rsidRPr="00DD0869" w:rsidRDefault="00C51B67" w:rsidP="00AD7549">
            <w:pPr>
              <w:cnfStyle w:val="000000100000" w:firstRow="0" w:lastRow="0" w:firstColumn="0" w:lastColumn="0" w:oddVBand="0" w:evenVBand="0" w:oddHBand="1" w:evenHBand="0" w:firstRowFirstColumn="0" w:firstRowLastColumn="0" w:lastRowFirstColumn="0" w:lastRowLastColumn="0"/>
              <w:rPr>
                <w:color w:val="auto"/>
                <w:sz w:val="24"/>
                <w:szCs w:val="24"/>
              </w:rPr>
            </w:pPr>
            <w:r w:rsidRPr="00DD0869">
              <w:rPr>
                <w:color w:val="auto"/>
                <w:sz w:val="24"/>
                <w:szCs w:val="24"/>
              </w:rPr>
              <w:t>General Data Protection Regulation</w:t>
            </w:r>
          </w:p>
        </w:tc>
      </w:tr>
      <w:tr w:rsidR="00C51B67" w:rsidRPr="00DD0869" w14:paraId="7ACFB5CC" w14:textId="77777777" w:rsidTr="00AD7549">
        <w:tc>
          <w:tcPr>
            <w:cnfStyle w:val="001000000000" w:firstRow="0" w:lastRow="0" w:firstColumn="1" w:lastColumn="0" w:oddVBand="0" w:evenVBand="0" w:oddHBand="0" w:evenHBand="0" w:firstRowFirstColumn="0" w:firstRowLastColumn="0" w:lastRowFirstColumn="0" w:lastRowLastColumn="0"/>
            <w:tcW w:w="2000" w:type="dxa"/>
          </w:tcPr>
          <w:p w14:paraId="5BBB9009" w14:textId="77777777" w:rsidR="00C51B67" w:rsidRPr="00DD0869" w:rsidRDefault="00C51B67" w:rsidP="00AD7549">
            <w:pPr>
              <w:rPr>
                <w:color w:val="auto"/>
                <w:sz w:val="24"/>
                <w:szCs w:val="24"/>
              </w:rPr>
            </w:pPr>
            <w:r w:rsidRPr="00DD0869">
              <w:rPr>
                <w:color w:val="auto"/>
                <w:sz w:val="24"/>
                <w:szCs w:val="24"/>
              </w:rPr>
              <w:t>HR</w:t>
            </w:r>
          </w:p>
        </w:tc>
        <w:tc>
          <w:tcPr>
            <w:tcW w:w="7386" w:type="dxa"/>
          </w:tcPr>
          <w:p w14:paraId="45918608" w14:textId="77777777" w:rsidR="00C51B67" w:rsidRPr="00DD0869" w:rsidRDefault="00C51B67" w:rsidP="00AD7549">
            <w:pPr>
              <w:cnfStyle w:val="000000000000" w:firstRow="0" w:lastRow="0" w:firstColumn="0" w:lastColumn="0" w:oddVBand="0" w:evenVBand="0" w:oddHBand="0" w:evenHBand="0" w:firstRowFirstColumn="0" w:firstRowLastColumn="0" w:lastRowFirstColumn="0" w:lastRowLastColumn="0"/>
              <w:rPr>
                <w:color w:val="auto"/>
                <w:sz w:val="24"/>
                <w:szCs w:val="24"/>
              </w:rPr>
            </w:pPr>
            <w:r w:rsidRPr="00DD0869">
              <w:rPr>
                <w:color w:val="auto"/>
                <w:sz w:val="24"/>
                <w:szCs w:val="24"/>
              </w:rPr>
              <w:t>Human Resources</w:t>
            </w:r>
          </w:p>
        </w:tc>
      </w:tr>
      <w:tr w:rsidR="00C51B67" w:rsidRPr="00DD0869" w14:paraId="0BE16BF4" w14:textId="77777777" w:rsidTr="00AD75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0" w:type="dxa"/>
          </w:tcPr>
          <w:p w14:paraId="0D7E4B99" w14:textId="77777777" w:rsidR="00C51B67" w:rsidRPr="00DD0869" w:rsidRDefault="00C51B67" w:rsidP="00AD7549">
            <w:pPr>
              <w:rPr>
                <w:color w:val="auto"/>
                <w:sz w:val="24"/>
                <w:szCs w:val="24"/>
              </w:rPr>
            </w:pPr>
            <w:r w:rsidRPr="00DD0869">
              <w:rPr>
                <w:color w:val="auto"/>
                <w:sz w:val="24"/>
                <w:szCs w:val="24"/>
              </w:rPr>
              <w:t>HRM</w:t>
            </w:r>
          </w:p>
        </w:tc>
        <w:tc>
          <w:tcPr>
            <w:tcW w:w="7386" w:type="dxa"/>
          </w:tcPr>
          <w:p w14:paraId="4126E30E" w14:textId="77777777" w:rsidR="00C51B67" w:rsidRPr="00DD0869" w:rsidRDefault="00C51B67" w:rsidP="00AD7549">
            <w:pPr>
              <w:cnfStyle w:val="000000100000" w:firstRow="0" w:lastRow="0" w:firstColumn="0" w:lastColumn="0" w:oddVBand="0" w:evenVBand="0" w:oddHBand="1" w:evenHBand="0" w:firstRowFirstColumn="0" w:firstRowLastColumn="0" w:lastRowFirstColumn="0" w:lastRowLastColumn="0"/>
              <w:rPr>
                <w:color w:val="auto"/>
                <w:sz w:val="24"/>
                <w:szCs w:val="24"/>
              </w:rPr>
            </w:pPr>
            <w:r w:rsidRPr="00DD0869">
              <w:rPr>
                <w:color w:val="auto"/>
                <w:sz w:val="24"/>
                <w:szCs w:val="24"/>
              </w:rPr>
              <w:t>Human Resource Management</w:t>
            </w:r>
          </w:p>
        </w:tc>
      </w:tr>
      <w:tr w:rsidR="00C51B67" w:rsidRPr="00DD0869" w14:paraId="6FB8EAB3" w14:textId="77777777" w:rsidTr="00AD7549">
        <w:tc>
          <w:tcPr>
            <w:cnfStyle w:val="001000000000" w:firstRow="0" w:lastRow="0" w:firstColumn="1" w:lastColumn="0" w:oddVBand="0" w:evenVBand="0" w:oddHBand="0" w:evenHBand="0" w:firstRowFirstColumn="0" w:firstRowLastColumn="0" w:lastRowFirstColumn="0" w:lastRowLastColumn="0"/>
            <w:tcW w:w="2000" w:type="dxa"/>
          </w:tcPr>
          <w:p w14:paraId="61F71747" w14:textId="77777777" w:rsidR="00C51B67" w:rsidRPr="00DD0869" w:rsidRDefault="00C51B67" w:rsidP="00AD7549">
            <w:pPr>
              <w:rPr>
                <w:color w:val="auto"/>
                <w:sz w:val="24"/>
                <w:szCs w:val="24"/>
              </w:rPr>
            </w:pPr>
            <w:r w:rsidRPr="00DD0869">
              <w:rPr>
                <w:color w:val="auto"/>
                <w:sz w:val="24"/>
                <w:szCs w:val="24"/>
              </w:rPr>
              <w:t>LA</w:t>
            </w:r>
          </w:p>
        </w:tc>
        <w:tc>
          <w:tcPr>
            <w:tcW w:w="7386" w:type="dxa"/>
          </w:tcPr>
          <w:p w14:paraId="5F44DC01" w14:textId="77777777" w:rsidR="00C51B67" w:rsidRPr="00DD0869" w:rsidRDefault="00C51B67" w:rsidP="00AD7549">
            <w:pPr>
              <w:cnfStyle w:val="000000000000" w:firstRow="0" w:lastRow="0" w:firstColumn="0" w:lastColumn="0" w:oddVBand="0" w:evenVBand="0" w:oddHBand="0" w:evenHBand="0" w:firstRowFirstColumn="0" w:firstRowLastColumn="0" w:lastRowFirstColumn="0" w:lastRowLastColumn="0"/>
              <w:rPr>
                <w:color w:val="auto"/>
                <w:sz w:val="24"/>
                <w:szCs w:val="24"/>
              </w:rPr>
            </w:pPr>
            <w:r w:rsidRPr="00DD0869">
              <w:rPr>
                <w:color w:val="auto"/>
                <w:sz w:val="24"/>
                <w:szCs w:val="24"/>
              </w:rPr>
              <w:t>Local Authority</w:t>
            </w:r>
          </w:p>
        </w:tc>
      </w:tr>
      <w:tr w:rsidR="00C51B67" w:rsidRPr="00DD0869" w14:paraId="5A3DF44D" w14:textId="77777777" w:rsidTr="00AD75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0" w:type="dxa"/>
          </w:tcPr>
          <w:p w14:paraId="2410DB27" w14:textId="77777777" w:rsidR="00C51B67" w:rsidRPr="00DD0869" w:rsidRDefault="00C51B67" w:rsidP="00AD7549">
            <w:pPr>
              <w:rPr>
                <w:color w:val="auto"/>
                <w:sz w:val="24"/>
                <w:szCs w:val="24"/>
              </w:rPr>
            </w:pPr>
            <w:r w:rsidRPr="00DD0869">
              <w:rPr>
                <w:color w:val="auto"/>
                <w:sz w:val="24"/>
                <w:szCs w:val="24"/>
              </w:rPr>
              <w:t>MAT</w:t>
            </w:r>
          </w:p>
        </w:tc>
        <w:tc>
          <w:tcPr>
            <w:tcW w:w="7386" w:type="dxa"/>
          </w:tcPr>
          <w:p w14:paraId="35B4200A" w14:textId="77777777" w:rsidR="00C51B67" w:rsidRPr="00DD0869" w:rsidRDefault="00C51B67" w:rsidP="00AD7549">
            <w:pPr>
              <w:cnfStyle w:val="000000100000" w:firstRow="0" w:lastRow="0" w:firstColumn="0" w:lastColumn="0" w:oddVBand="0" w:evenVBand="0" w:oddHBand="1" w:evenHBand="0" w:firstRowFirstColumn="0" w:firstRowLastColumn="0" w:lastRowFirstColumn="0" w:lastRowLastColumn="0"/>
              <w:rPr>
                <w:color w:val="auto"/>
                <w:sz w:val="24"/>
                <w:szCs w:val="24"/>
              </w:rPr>
            </w:pPr>
            <w:r w:rsidRPr="00DD0869">
              <w:rPr>
                <w:color w:val="auto"/>
                <w:sz w:val="24"/>
                <w:szCs w:val="24"/>
              </w:rPr>
              <w:t>Multi-Academy Trust</w:t>
            </w:r>
          </w:p>
        </w:tc>
      </w:tr>
      <w:tr w:rsidR="00C51B67" w:rsidRPr="00DD0869" w14:paraId="6B7304F8" w14:textId="77777777" w:rsidTr="00AD7549">
        <w:tc>
          <w:tcPr>
            <w:cnfStyle w:val="001000000000" w:firstRow="0" w:lastRow="0" w:firstColumn="1" w:lastColumn="0" w:oddVBand="0" w:evenVBand="0" w:oddHBand="0" w:evenHBand="0" w:firstRowFirstColumn="0" w:firstRowLastColumn="0" w:lastRowFirstColumn="0" w:lastRowLastColumn="0"/>
            <w:tcW w:w="2000" w:type="dxa"/>
          </w:tcPr>
          <w:p w14:paraId="15D2118E" w14:textId="77777777" w:rsidR="00C51B67" w:rsidRPr="00DD0869" w:rsidRDefault="00C51B67" w:rsidP="00AD7549">
            <w:pPr>
              <w:rPr>
                <w:color w:val="auto"/>
                <w:sz w:val="24"/>
                <w:szCs w:val="24"/>
              </w:rPr>
            </w:pPr>
            <w:r w:rsidRPr="00DD0869">
              <w:rPr>
                <w:color w:val="auto"/>
                <w:sz w:val="24"/>
                <w:szCs w:val="24"/>
              </w:rPr>
              <w:t>MIS</w:t>
            </w:r>
          </w:p>
        </w:tc>
        <w:tc>
          <w:tcPr>
            <w:tcW w:w="7386" w:type="dxa"/>
          </w:tcPr>
          <w:p w14:paraId="36F8376C" w14:textId="77777777" w:rsidR="00C51B67" w:rsidRPr="00DD0869" w:rsidRDefault="00C51B67" w:rsidP="00AD7549">
            <w:pPr>
              <w:cnfStyle w:val="000000000000" w:firstRow="0" w:lastRow="0" w:firstColumn="0" w:lastColumn="0" w:oddVBand="0" w:evenVBand="0" w:oddHBand="0" w:evenHBand="0" w:firstRowFirstColumn="0" w:firstRowLastColumn="0" w:lastRowFirstColumn="0" w:lastRowLastColumn="0"/>
              <w:rPr>
                <w:color w:val="auto"/>
                <w:sz w:val="24"/>
                <w:szCs w:val="24"/>
              </w:rPr>
            </w:pPr>
            <w:r w:rsidRPr="00DD0869">
              <w:rPr>
                <w:color w:val="auto"/>
                <w:sz w:val="24"/>
                <w:szCs w:val="24"/>
              </w:rPr>
              <w:t>Management Information System</w:t>
            </w:r>
          </w:p>
        </w:tc>
      </w:tr>
      <w:tr w:rsidR="00C51B67" w:rsidRPr="00DD0869" w14:paraId="31DDAA26" w14:textId="77777777" w:rsidTr="00AD75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0" w:type="dxa"/>
          </w:tcPr>
          <w:p w14:paraId="36929D06" w14:textId="77777777" w:rsidR="00C51B67" w:rsidRPr="00DD0869" w:rsidRDefault="00C51B67" w:rsidP="00AD7549">
            <w:pPr>
              <w:rPr>
                <w:color w:val="auto"/>
                <w:sz w:val="24"/>
                <w:szCs w:val="24"/>
              </w:rPr>
            </w:pPr>
            <w:r w:rsidRPr="00DD0869">
              <w:rPr>
                <w:color w:val="auto"/>
                <w:sz w:val="24"/>
                <w:szCs w:val="24"/>
              </w:rPr>
              <w:t>PRU</w:t>
            </w:r>
          </w:p>
        </w:tc>
        <w:tc>
          <w:tcPr>
            <w:tcW w:w="7386" w:type="dxa"/>
          </w:tcPr>
          <w:p w14:paraId="319EBDA1" w14:textId="77777777" w:rsidR="00C51B67" w:rsidRPr="00DD0869" w:rsidRDefault="00C51B67" w:rsidP="00AD7549">
            <w:pPr>
              <w:cnfStyle w:val="000000100000" w:firstRow="0" w:lastRow="0" w:firstColumn="0" w:lastColumn="0" w:oddVBand="0" w:evenVBand="0" w:oddHBand="1" w:evenHBand="0" w:firstRowFirstColumn="0" w:firstRowLastColumn="0" w:lastRowFirstColumn="0" w:lastRowLastColumn="0"/>
              <w:rPr>
                <w:color w:val="auto"/>
                <w:sz w:val="24"/>
                <w:szCs w:val="24"/>
              </w:rPr>
            </w:pPr>
            <w:r w:rsidRPr="00DD0869">
              <w:rPr>
                <w:color w:val="auto"/>
                <w:sz w:val="24"/>
                <w:szCs w:val="24"/>
              </w:rPr>
              <w:t>Pupil Referral Unit</w:t>
            </w:r>
          </w:p>
        </w:tc>
      </w:tr>
      <w:tr w:rsidR="00C51B67" w:rsidRPr="00DD0869" w14:paraId="31778EB2" w14:textId="77777777" w:rsidTr="00AD7549">
        <w:tc>
          <w:tcPr>
            <w:cnfStyle w:val="001000000000" w:firstRow="0" w:lastRow="0" w:firstColumn="1" w:lastColumn="0" w:oddVBand="0" w:evenVBand="0" w:oddHBand="0" w:evenHBand="0" w:firstRowFirstColumn="0" w:firstRowLastColumn="0" w:lastRowFirstColumn="0" w:lastRowLastColumn="0"/>
            <w:tcW w:w="2000" w:type="dxa"/>
          </w:tcPr>
          <w:p w14:paraId="1FD5336C" w14:textId="77777777" w:rsidR="00C51B67" w:rsidRPr="00DD0869" w:rsidRDefault="00C51B67" w:rsidP="00AD7549">
            <w:pPr>
              <w:rPr>
                <w:color w:val="auto"/>
                <w:sz w:val="24"/>
                <w:szCs w:val="24"/>
              </w:rPr>
            </w:pPr>
            <w:r w:rsidRPr="00DD0869">
              <w:rPr>
                <w:color w:val="auto"/>
                <w:sz w:val="24"/>
                <w:szCs w:val="24"/>
              </w:rPr>
              <w:t>QTS</w:t>
            </w:r>
          </w:p>
        </w:tc>
        <w:tc>
          <w:tcPr>
            <w:tcW w:w="7386" w:type="dxa"/>
          </w:tcPr>
          <w:p w14:paraId="512271E0" w14:textId="77777777" w:rsidR="00C51B67" w:rsidRPr="00DD0869" w:rsidRDefault="00C51B67" w:rsidP="00AD7549">
            <w:pPr>
              <w:cnfStyle w:val="000000000000" w:firstRow="0" w:lastRow="0" w:firstColumn="0" w:lastColumn="0" w:oddVBand="0" w:evenVBand="0" w:oddHBand="0" w:evenHBand="0" w:firstRowFirstColumn="0" w:firstRowLastColumn="0" w:lastRowFirstColumn="0" w:lastRowLastColumn="0"/>
              <w:rPr>
                <w:color w:val="auto"/>
                <w:sz w:val="24"/>
                <w:szCs w:val="24"/>
              </w:rPr>
            </w:pPr>
            <w:r w:rsidRPr="00DD0869">
              <w:rPr>
                <w:color w:val="auto"/>
                <w:sz w:val="24"/>
                <w:szCs w:val="24"/>
              </w:rPr>
              <w:t>Qualified Teacher Status</w:t>
            </w:r>
          </w:p>
        </w:tc>
      </w:tr>
      <w:tr w:rsidR="00C51B67" w:rsidRPr="00DD0869" w14:paraId="2A308982" w14:textId="77777777" w:rsidTr="00AD75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0" w:type="dxa"/>
          </w:tcPr>
          <w:p w14:paraId="52AA00DB" w14:textId="77777777" w:rsidR="00C51B67" w:rsidRPr="00DD0869" w:rsidRDefault="00C51B67" w:rsidP="00AD7549">
            <w:pPr>
              <w:rPr>
                <w:color w:val="auto"/>
                <w:sz w:val="24"/>
                <w:szCs w:val="24"/>
              </w:rPr>
            </w:pPr>
            <w:r w:rsidRPr="00DD0869">
              <w:rPr>
                <w:color w:val="auto"/>
                <w:sz w:val="24"/>
                <w:szCs w:val="24"/>
              </w:rPr>
              <w:t>SEMH</w:t>
            </w:r>
          </w:p>
        </w:tc>
        <w:tc>
          <w:tcPr>
            <w:tcW w:w="7386" w:type="dxa"/>
          </w:tcPr>
          <w:p w14:paraId="5EEFA241" w14:textId="77777777" w:rsidR="00C51B67" w:rsidRPr="00DD0869" w:rsidRDefault="00C51B67" w:rsidP="00AD7549">
            <w:pPr>
              <w:cnfStyle w:val="000000100000" w:firstRow="0" w:lastRow="0" w:firstColumn="0" w:lastColumn="0" w:oddVBand="0" w:evenVBand="0" w:oddHBand="1" w:evenHBand="0" w:firstRowFirstColumn="0" w:firstRowLastColumn="0" w:lastRowFirstColumn="0" w:lastRowLastColumn="0"/>
              <w:rPr>
                <w:color w:val="auto"/>
                <w:sz w:val="24"/>
                <w:szCs w:val="24"/>
              </w:rPr>
            </w:pPr>
            <w:r w:rsidRPr="00DD0869">
              <w:rPr>
                <w:color w:val="auto"/>
                <w:sz w:val="24"/>
                <w:szCs w:val="24"/>
              </w:rPr>
              <w:t>Social, Emotional and Mental Health</w:t>
            </w:r>
          </w:p>
        </w:tc>
      </w:tr>
      <w:tr w:rsidR="00C51B67" w:rsidRPr="00DD0869" w14:paraId="170EA3F5" w14:textId="77777777" w:rsidTr="00AD7549">
        <w:tc>
          <w:tcPr>
            <w:cnfStyle w:val="001000000000" w:firstRow="0" w:lastRow="0" w:firstColumn="1" w:lastColumn="0" w:oddVBand="0" w:evenVBand="0" w:oddHBand="0" w:evenHBand="0" w:firstRowFirstColumn="0" w:firstRowLastColumn="0" w:lastRowFirstColumn="0" w:lastRowLastColumn="0"/>
            <w:tcW w:w="2000" w:type="dxa"/>
          </w:tcPr>
          <w:p w14:paraId="2317F74D" w14:textId="77777777" w:rsidR="00C51B67" w:rsidRPr="00DD0869" w:rsidRDefault="00C51B67" w:rsidP="00AD7549">
            <w:pPr>
              <w:rPr>
                <w:color w:val="auto"/>
                <w:sz w:val="24"/>
                <w:szCs w:val="24"/>
              </w:rPr>
            </w:pPr>
            <w:r w:rsidRPr="00DD0869">
              <w:rPr>
                <w:color w:val="auto"/>
                <w:sz w:val="24"/>
                <w:szCs w:val="24"/>
              </w:rPr>
              <w:t>SEND</w:t>
            </w:r>
          </w:p>
        </w:tc>
        <w:tc>
          <w:tcPr>
            <w:tcW w:w="7386" w:type="dxa"/>
          </w:tcPr>
          <w:p w14:paraId="69770BDA" w14:textId="77777777" w:rsidR="00C51B67" w:rsidRPr="00DD0869" w:rsidRDefault="00C51B67" w:rsidP="00AD7549">
            <w:pPr>
              <w:cnfStyle w:val="000000000000" w:firstRow="0" w:lastRow="0" w:firstColumn="0" w:lastColumn="0" w:oddVBand="0" w:evenVBand="0" w:oddHBand="0" w:evenHBand="0" w:firstRowFirstColumn="0" w:firstRowLastColumn="0" w:lastRowFirstColumn="0" w:lastRowLastColumn="0"/>
              <w:rPr>
                <w:color w:val="auto"/>
                <w:sz w:val="24"/>
                <w:szCs w:val="24"/>
              </w:rPr>
            </w:pPr>
            <w:r w:rsidRPr="00DD0869">
              <w:rPr>
                <w:color w:val="auto"/>
                <w:sz w:val="24"/>
                <w:szCs w:val="24"/>
              </w:rPr>
              <w:t>Special Educational Needs and Disabilities</w:t>
            </w:r>
          </w:p>
        </w:tc>
      </w:tr>
      <w:tr w:rsidR="00C51B67" w:rsidRPr="00DD0869" w14:paraId="5D054E27" w14:textId="77777777" w:rsidTr="00AD75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0" w:type="dxa"/>
          </w:tcPr>
          <w:p w14:paraId="27B4A7DA" w14:textId="77777777" w:rsidR="00C51B67" w:rsidRPr="00DD0869" w:rsidRDefault="00C51B67" w:rsidP="00AD7549">
            <w:pPr>
              <w:rPr>
                <w:color w:val="auto"/>
                <w:sz w:val="24"/>
                <w:szCs w:val="24"/>
              </w:rPr>
            </w:pPr>
            <w:r w:rsidRPr="00DD0869">
              <w:rPr>
                <w:color w:val="auto"/>
                <w:sz w:val="24"/>
                <w:szCs w:val="24"/>
              </w:rPr>
              <w:t>SHRM</w:t>
            </w:r>
          </w:p>
        </w:tc>
        <w:tc>
          <w:tcPr>
            <w:tcW w:w="7386" w:type="dxa"/>
          </w:tcPr>
          <w:p w14:paraId="5898125D" w14:textId="77777777" w:rsidR="00C51B67" w:rsidRPr="00DD0869" w:rsidRDefault="00C51B67" w:rsidP="00AD7549">
            <w:pPr>
              <w:cnfStyle w:val="000000100000" w:firstRow="0" w:lastRow="0" w:firstColumn="0" w:lastColumn="0" w:oddVBand="0" w:evenVBand="0" w:oddHBand="1" w:evenHBand="0" w:firstRowFirstColumn="0" w:firstRowLastColumn="0" w:lastRowFirstColumn="0" w:lastRowLastColumn="0"/>
              <w:rPr>
                <w:color w:val="auto"/>
                <w:sz w:val="24"/>
                <w:szCs w:val="24"/>
              </w:rPr>
            </w:pPr>
            <w:r w:rsidRPr="00DD0869">
              <w:rPr>
                <w:color w:val="auto"/>
                <w:sz w:val="24"/>
                <w:szCs w:val="24"/>
              </w:rPr>
              <w:t>Strategic Human Resource Management</w:t>
            </w:r>
          </w:p>
        </w:tc>
      </w:tr>
      <w:tr w:rsidR="00C51B67" w:rsidRPr="00DD0869" w14:paraId="4CB9FEEC" w14:textId="77777777" w:rsidTr="00AD7549">
        <w:tc>
          <w:tcPr>
            <w:cnfStyle w:val="001000000000" w:firstRow="0" w:lastRow="0" w:firstColumn="1" w:lastColumn="0" w:oddVBand="0" w:evenVBand="0" w:oddHBand="0" w:evenHBand="0" w:firstRowFirstColumn="0" w:firstRowLastColumn="0" w:lastRowFirstColumn="0" w:lastRowLastColumn="0"/>
            <w:tcW w:w="2000" w:type="dxa"/>
          </w:tcPr>
          <w:p w14:paraId="2F941C3D" w14:textId="77777777" w:rsidR="00C51B67" w:rsidRPr="00DD0869" w:rsidRDefault="00C51B67" w:rsidP="00AD7549">
            <w:pPr>
              <w:rPr>
                <w:color w:val="auto"/>
                <w:sz w:val="24"/>
                <w:szCs w:val="24"/>
              </w:rPr>
            </w:pPr>
            <w:r w:rsidRPr="00DD0869">
              <w:rPr>
                <w:color w:val="auto"/>
                <w:sz w:val="24"/>
                <w:szCs w:val="24"/>
              </w:rPr>
              <w:t>SIMS</w:t>
            </w:r>
          </w:p>
        </w:tc>
        <w:tc>
          <w:tcPr>
            <w:tcW w:w="7386" w:type="dxa"/>
          </w:tcPr>
          <w:p w14:paraId="600C237B" w14:textId="77777777" w:rsidR="00C51B67" w:rsidRPr="00DD0869" w:rsidRDefault="00C51B67" w:rsidP="00AD7549">
            <w:pPr>
              <w:cnfStyle w:val="000000000000" w:firstRow="0" w:lastRow="0" w:firstColumn="0" w:lastColumn="0" w:oddVBand="0" w:evenVBand="0" w:oddHBand="0" w:evenHBand="0" w:firstRowFirstColumn="0" w:firstRowLastColumn="0" w:lastRowFirstColumn="0" w:lastRowLastColumn="0"/>
              <w:rPr>
                <w:color w:val="auto"/>
                <w:sz w:val="24"/>
                <w:szCs w:val="24"/>
              </w:rPr>
            </w:pPr>
            <w:r w:rsidRPr="00DD0869">
              <w:rPr>
                <w:color w:val="auto"/>
                <w:sz w:val="24"/>
                <w:szCs w:val="24"/>
              </w:rPr>
              <w:t>School Information Management System</w:t>
            </w:r>
          </w:p>
        </w:tc>
      </w:tr>
      <w:tr w:rsidR="00C51B67" w:rsidRPr="00DD0869" w14:paraId="6E7F6798" w14:textId="77777777" w:rsidTr="00AD75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0" w:type="dxa"/>
          </w:tcPr>
          <w:p w14:paraId="16758A64" w14:textId="77777777" w:rsidR="00C51B67" w:rsidRPr="00DD0869" w:rsidRDefault="00C51B67" w:rsidP="00AD7549">
            <w:pPr>
              <w:rPr>
                <w:color w:val="auto"/>
                <w:sz w:val="24"/>
                <w:szCs w:val="24"/>
              </w:rPr>
            </w:pPr>
            <w:r w:rsidRPr="00DD0869">
              <w:rPr>
                <w:color w:val="auto"/>
                <w:sz w:val="24"/>
                <w:szCs w:val="24"/>
              </w:rPr>
              <w:t>STEM</w:t>
            </w:r>
          </w:p>
        </w:tc>
        <w:tc>
          <w:tcPr>
            <w:tcW w:w="7386" w:type="dxa"/>
          </w:tcPr>
          <w:p w14:paraId="364ACBF6" w14:textId="77777777" w:rsidR="00C51B67" w:rsidRPr="00DD0869" w:rsidRDefault="00C51B67" w:rsidP="00AD7549">
            <w:pPr>
              <w:cnfStyle w:val="000000100000" w:firstRow="0" w:lastRow="0" w:firstColumn="0" w:lastColumn="0" w:oddVBand="0" w:evenVBand="0" w:oddHBand="1" w:evenHBand="0" w:firstRowFirstColumn="0" w:firstRowLastColumn="0" w:lastRowFirstColumn="0" w:lastRowLastColumn="0"/>
              <w:rPr>
                <w:color w:val="auto"/>
                <w:sz w:val="24"/>
                <w:szCs w:val="24"/>
              </w:rPr>
            </w:pPr>
            <w:r w:rsidRPr="00DD0869">
              <w:rPr>
                <w:color w:val="auto"/>
                <w:sz w:val="24"/>
                <w:szCs w:val="24"/>
              </w:rPr>
              <w:t>Science, Technology, Engineering and Mathematics</w:t>
            </w:r>
          </w:p>
        </w:tc>
      </w:tr>
      <w:tr w:rsidR="00C51B67" w:rsidRPr="00DD0869" w14:paraId="7994BAF7" w14:textId="77777777" w:rsidTr="00AD7549">
        <w:tc>
          <w:tcPr>
            <w:cnfStyle w:val="001000000000" w:firstRow="0" w:lastRow="0" w:firstColumn="1" w:lastColumn="0" w:oddVBand="0" w:evenVBand="0" w:oddHBand="0" w:evenHBand="0" w:firstRowFirstColumn="0" w:firstRowLastColumn="0" w:lastRowFirstColumn="0" w:lastRowLastColumn="0"/>
            <w:tcW w:w="2000" w:type="dxa"/>
          </w:tcPr>
          <w:p w14:paraId="28B61A25" w14:textId="77777777" w:rsidR="00C51B67" w:rsidRPr="00DD0869" w:rsidRDefault="00C51B67" w:rsidP="00AD7549">
            <w:pPr>
              <w:rPr>
                <w:color w:val="auto"/>
                <w:sz w:val="24"/>
                <w:szCs w:val="24"/>
              </w:rPr>
            </w:pPr>
            <w:r w:rsidRPr="00DD0869">
              <w:rPr>
                <w:color w:val="auto"/>
                <w:sz w:val="24"/>
                <w:szCs w:val="24"/>
              </w:rPr>
              <w:t>TNA</w:t>
            </w:r>
          </w:p>
        </w:tc>
        <w:tc>
          <w:tcPr>
            <w:tcW w:w="7386" w:type="dxa"/>
          </w:tcPr>
          <w:p w14:paraId="6D15D4E1" w14:textId="77777777" w:rsidR="00C51B67" w:rsidRPr="00DD0869" w:rsidRDefault="00C51B67" w:rsidP="00AD7549">
            <w:pPr>
              <w:cnfStyle w:val="000000000000" w:firstRow="0" w:lastRow="0" w:firstColumn="0" w:lastColumn="0" w:oddVBand="0" w:evenVBand="0" w:oddHBand="0" w:evenHBand="0" w:firstRowFirstColumn="0" w:firstRowLastColumn="0" w:lastRowFirstColumn="0" w:lastRowLastColumn="0"/>
              <w:rPr>
                <w:color w:val="auto"/>
                <w:sz w:val="24"/>
                <w:szCs w:val="24"/>
              </w:rPr>
            </w:pPr>
            <w:r w:rsidRPr="00DD0869">
              <w:rPr>
                <w:color w:val="auto"/>
                <w:sz w:val="24"/>
                <w:szCs w:val="24"/>
              </w:rPr>
              <w:t>Training Needs Analysis</w:t>
            </w:r>
          </w:p>
        </w:tc>
      </w:tr>
      <w:tr w:rsidR="00C51B67" w:rsidRPr="00DD0869" w14:paraId="4E3BD053" w14:textId="77777777" w:rsidTr="00AD75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0" w:type="dxa"/>
          </w:tcPr>
          <w:p w14:paraId="59D5800D" w14:textId="77777777" w:rsidR="00C51B67" w:rsidRPr="00DD0869" w:rsidRDefault="00C51B67" w:rsidP="00AD7549">
            <w:pPr>
              <w:rPr>
                <w:color w:val="auto"/>
                <w:sz w:val="24"/>
                <w:szCs w:val="24"/>
              </w:rPr>
            </w:pPr>
            <w:r w:rsidRPr="00DD0869">
              <w:rPr>
                <w:color w:val="auto"/>
                <w:sz w:val="24"/>
                <w:szCs w:val="24"/>
              </w:rPr>
              <w:t>VFM</w:t>
            </w:r>
          </w:p>
        </w:tc>
        <w:tc>
          <w:tcPr>
            <w:tcW w:w="7386" w:type="dxa"/>
          </w:tcPr>
          <w:p w14:paraId="6E9E6955" w14:textId="77777777" w:rsidR="00C51B67" w:rsidRPr="00DD0869" w:rsidRDefault="00C51B67" w:rsidP="00AD7549">
            <w:pPr>
              <w:cnfStyle w:val="000000100000" w:firstRow="0" w:lastRow="0" w:firstColumn="0" w:lastColumn="0" w:oddVBand="0" w:evenVBand="0" w:oddHBand="1" w:evenHBand="0" w:firstRowFirstColumn="0" w:firstRowLastColumn="0" w:lastRowFirstColumn="0" w:lastRowLastColumn="0"/>
              <w:rPr>
                <w:color w:val="auto"/>
                <w:sz w:val="24"/>
                <w:szCs w:val="24"/>
              </w:rPr>
            </w:pPr>
            <w:r w:rsidRPr="00DD0869">
              <w:rPr>
                <w:color w:val="auto"/>
                <w:sz w:val="24"/>
                <w:szCs w:val="24"/>
              </w:rPr>
              <w:t>Value for Money</w:t>
            </w:r>
          </w:p>
        </w:tc>
      </w:tr>
    </w:tbl>
    <w:p w14:paraId="67B3D019" w14:textId="77777777" w:rsidR="00C51B67" w:rsidRDefault="00C51B67" w:rsidP="00C51B67"/>
    <w:p w14:paraId="32595E5F" w14:textId="77777777" w:rsidR="00C51B67" w:rsidRDefault="00C51B67" w:rsidP="00B56033">
      <w:pPr>
        <w:jc w:val="both"/>
        <w:rPr>
          <w:rFonts w:ascii="Arial" w:hAnsi="Arial" w:cs="Arial"/>
          <w:b/>
          <w:bCs/>
          <w:u w:val="single"/>
        </w:rPr>
      </w:pPr>
    </w:p>
    <w:p w14:paraId="3CD06ABF" w14:textId="77777777" w:rsidR="00C51B67" w:rsidRDefault="00C51B67" w:rsidP="00B56033">
      <w:pPr>
        <w:jc w:val="both"/>
        <w:rPr>
          <w:rFonts w:ascii="Arial" w:hAnsi="Arial" w:cs="Arial"/>
          <w:b/>
          <w:bCs/>
          <w:u w:val="single"/>
        </w:rPr>
      </w:pPr>
    </w:p>
    <w:p w14:paraId="565D8218" w14:textId="77777777" w:rsidR="00C51B67" w:rsidRDefault="00C51B67" w:rsidP="00B56033">
      <w:pPr>
        <w:jc w:val="both"/>
        <w:rPr>
          <w:rFonts w:ascii="Arial" w:hAnsi="Arial" w:cs="Arial"/>
          <w:b/>
          <w:bCs/>
          <w:u w:val="single"/>
        </w:rPr>
      </w:pPr>
    </w:p>
    <w:p w14:paraId="375E5C45" w14:textId="77777777" w:rsidR="00C51B67" w:rsidRDefault="00C51B67" w:rsidP="00B56033">
      <w:pPr>
        <w:jc w:val="both"/>
        <w:rPr>
          <w:rFonts w:ascii="Arial" w:hAnsi="Arial" w:cs="Arial"/>
          <w:b/>
          <w:bCs/>
          <w:u w:val="single"/>
        </w:rPr>
      </w:pPr>
    </w:p>
    <w:p w14:paraId="2803C162" w14:textId="77777777" w:rsidR="00C51B67" w:rsidRDefault="00C51B67" w:rsidP="00B56033">
      <w:pPr>
        <w:jc w:val="both"/>
        <w:rPr>
          <w:rFonts w:ascii="Arial" w:hAnsi="Arial" w:cs="Arial"/>
          <w:b/>
          <w:bCs/>
          <w:u w:val="single"/>
        </w:rPr>
      </w:pPr>
    </w:p>
    <w:p w14:paraId="34AB6ADC" w14:textId="77777777" w:rsidR="00C51B67" w:rsidRDefault="00C51B67" w:rsidP="00B56033">
      <w:pPr>
        <w:jc w:val="both"/>
        <w:rPr>
          <w:rFonts w:ascii="Arial" w:hAnsi="Arial" w:cs="Arial"/>
          <w:b/>
          <w:bCs/>
          <w:u w:val="single"/>
        </w:rPr>
      </w:pPr>
    </w:p>
    <w:p w14:paraId="45541585" w14:textId="77777777" w:rsidR="00C51B67" w:rsidRDefault="00C51B67" w:rsidP="00B56033">
      <w:pPr>
        <w:jc w:val="both"/>
        <w:rPr>
          <w:rFonts w:ascii="Arial" w:hAnsi="Arial" w:cs="Arial"/>
          <w:b/>
          <w:bCs/>
          <w:u w:val="single"/>
        </w:rPr>
      </w:pPr>
    </w:p>
    <w:p w14:paraId="03058021" w14:textId="77777777" w:rsidR="00C51B67" w:rsidRDefault="00C51B67" w:rsidP="00B56033">
      <w:pPr>
        <w:jc w:val="both"/>
        <w:rPr>
          <w:rFonts w:ascii="Arial" w:hAnsi="Arial" w:cs="Arial"/>
          <w:b/>
          <w:bCs/>
          <w:u w:val="single"/>
        </w:rPr>
      </w:pPr>
    </w:p>
    <w:p w14:paraId="7AD79A6E" w14:textId="77777777" w:rsidR="00C51B67" w:rsidRDefault="00C51B67" w:rsidP="00B56033">
      <w:pPr>
        <w:jc w:val="both"/>
        <w:rPr>
          <w:rFonts w:ascii="Arial" w:hAnsi="Arial" w:cs="Arial"/>
          <w:b/>
          <w:bCs/>
          <w:u w:val="single"/>
        </w:rPr>
      </w:pPr>
    </w:p>
    <w:p w14:paraId="5CB76525" w14:textId="77777777" w:rsidR="00C51B67" w:rsidRDefault="00C51B67" w:rsidP="00B56033">
      <w:pPr>
        <w:jc w:val="both"/>
        <w:rPr>
          <w:rFonts w:ascii="Arial" w:hAnsi="Arial" w:cs="Arial"/>
          <w:b/>
          <w:bCs/>
          <w:u w:val="single"/>
        </w:rPr>
      </w:pPr>
    </w:p>
    <w:p w14:paraId="1DC8B039" w14:textId="77777777" w:rsidR="00C51B67" w:rsidRDefault="00C51B67" w:rsidP="00B56033">
      <w:pPr>
        <w:jc w:val="both"/>
        <w:rPr>
          <w:rFonts w:ascii="Arial" w:hAnsi="Arial" w:cs="Arial"/>
          <w:b/>
          <w:bCs/>
          <w:u w:val="single"/>
        </w:rPr>
      </w:pPr>
    </w:p>
    <w:p w14:paraId="4F7D7AB3" w14:textId="35637E42" w:rsidR="009D6A7C" w:rsidRPr="00B56033" w:rsidRDefault="00C17C92" w:rsidP="00B56033">
      <w:pPr>
        <w:jc w:val="both"/>
        <w:rPr>
          <w:rFonts w:ascii="Arial" w:hAnsi="Arial" w:cs="Arial"/>
          <w:b/>
          <w:bCs/>
          <w:u w:val="single"/>
        </w:rPr>
      </w:pPr>
      <w:r w:rsidRPr="00B56033">
        <w:rPr>
          <w:rFonts w:ascii="Arial" w:hAnsi="Arial" w:cs="Arial"/>
          <w:b/>
          <w:bCs/>
          <w:u w:val="single"/>
        </w:rPr>
        <w:t>Key HR Challenges</w:t>
      </w:r>
    </w:p>
    <w:p w14:paraId="37A01678" w14:textId="48841D55" w:rsidR="000577C3" w:rsidRPr="00260BD9" w:rsidRDefault="000577C3" w:rsidP="00260BD9">
      <w:pPr>
        <w:spacing w:after="120" w:line="240" w:lineRule="auto"/>
        <w:jc w:val="both"/>
        <w:outlineLvl w:val="1"/>
        <w:rPr>
          <w:rFonts w:ascii="Arial" w:eastAsia="Times New Roman" w:hAnsi="Arial" w:cs="Arial"/>
          <w:b/>
          <w:bCs/>
          <w:color w:val="1F1F1F"/>
          <w:kern w:val="0"/>
          <w:lang w:eastAsia="en-GB"/>
          <w14:ligatures w14:val="none"/>
        </w:rPr>
      </w:pPr>
      <w:r w:rsidRPr="00260BD9">
        <w:rPr>
          <w:rFonts w:ascii="Arial" w:eastAsia="Times New Roman" w:hAnsi="Arial" w:cs="Arial"/>
          <w:b/>
          <w:bCs/>
          <w:color w:val="1F1F1F"/>
          <w:kern w:val="0"/>
          <w:lang w:eastAsia="en-GB"/>
          <w14:ligatures w14:val="none"/>
        </w:rPr>
        <w:t>Meeting Technological Advancement</w:t>
      </w:r>
    </w:p>
    <w:p w14:paraId="2AFA04CF" w14:textId="1D91A668" w:rsidR="00F60F34" w:rsidRPr="00260BD9" w:rsidRDefault="004F090C" w:rsidP="00260BD9">
      <w:pPr>
        <w:pStyle w:val="NormalWeb"/>
        <w:jc w:val="both"/>
        <w:rPr>
          <w:rFonts w:ascii="Arial" w:hAnsi="Arial" w:cs="Arial"/>
        </w:rPr>
      </w:pPr>
      <w:r w:rsidRPr="00260BD9">
        <w:rPr>
          <w:rFonts w:ascii="Arial" w:hAnsi="Arial" w:cs="Arial"/>
        </w:rPr>
        <w:t xml:space="preserve">Technological advancement at Rootwings Academy is essential due to pressures in the AP sector, facing </w:t>
      </w:r>
      <w:r w:rsidR="00E34235">
        <w:rPr>
          <w:rFonts w:ascii="Arial" w:hAnsi="Arial" w:cs="Arial"/>
        </w:rPr>
        <w:t xml:space="preserve">unstable financing </w:t>
      </w:r>
      <w:r w:rsidRPr="00260BD9">
        <w:rPr>
          <w:rFonts w:ascii="Arial" w:hAnsi="Arial" w:cs="Arial"/>
        </w:rPr>
        <w:t>influenced by local authority commissioning and per-pupil allocations. Council budgets require demonstrable value, efficiency, and measurable student outcomes</w:t>
      </w:r>
      <w:r w:rsidR="00500EAA">
        <w:rPr>
          <w:rFonts w:ascii="Arial" w:hAnsi="Arial" w:cs="Arial"/>
        </w:rPr>
        <w:t xml:space="preserve"> (CIPD,</w:t>
      </w:r>
      <w:r w:rsidR="00797C99">
        <w:rPr>
          <w:rFonts w:ascii="Arial" w:hAnsi="Arial" w:cs="Arial"/>
        </w:rPr>
        <w:t xml:space="preserve"> </w:t>
      </w:r>
      <w:r w:rsidR="00500EAA">
        <w:rPr>
          <w:rFonts w:ascii="Arial" w:hAnsi="Arial" w:cs="Arial"/>
        </w:rPr>
        <w:t>2023).</w:t>
      </w:r>
      <w:r w:rsidRPr="00260BD9">
        <w:rPr>
          <w:rFonts w:ascii="Arial" w:hAnsi="Arial" w:cs="Arial"/>
        </w:rPr>
        <w:t xml:space="preserve"> Investing in digital HR systems, </w:t>
      </w:r>
      <w:r w:rsidR="00500EAA">
        <w:rPr>
          <w:rFonts w:ascii="Arial" w:hAnsi="Arial" w:cs="Arial"/>
        </w:rPr>
        <w:t>such as AI-driven Applicant Tracking Systems (ATS), aims to reduce administrative workload, improve</w:t>
      </w:r>
      <w:r w:rsidRPr="00260BD9">
        <w:rPr>
          <w:rFonts w:ascii="Arial" w:hAnsi="Arial" w:cs="Arial"/>
        </w:rPr>
        <w:t xml:space="preserve"> recruitment accuracy, and demonstrate cost-effectiveness to commissioners and governing bodies.</w:t>
      </w:r>
    </w:p>
    <w:p w14:paraId="3956D5B1" w14:textId="49B78C9B" w:rsidR="00E93CBC" w:rsidRDefault="004E68F8" w:rsidP="00260BD9">
      <w:pPr>
        <w:pStyle w:val="NormalWeb"/>
        <w:jc w:val="both"/>
        <w:rPr>
          <w:rFonts w:ascii="Arial" w:hAnsi="Arial" w:cs="Arial"/>
        </w:rPr>
      </w:pPr>
      <w:r>
        <w:rPr>
          <w:rFonts w:ascii="Arial" w:hAnsi="Arial" w:cs="Arial"/>
        </w:rPr>
        <w:t xml:space="preserve">AP environments support vulnerable learners with SEMH needs and complex safeguarding histories. The Department for Education enforces strict recruitment standards, </w:t>
      </w:r>
      <w:r w:rsidR="008D1C0E">
        <w:rPr>
          <w:rFonts w:ascii="Arial" w:hAnsi="Arial" w:cs="Arial"/>
        </w:rPr>
        <w:t>which make manual systems prone to error</w:t>
      </w:r>
      <w:r>
        <w:rPr>
          <w:rFonts w:ascii="Arial" w:hAnsi="Arial" w:cs="Arial"/>
        </w:rPr>
        <w:t xml:space="preserve">. Digitised workflows and Management Information Systems (MIS) </w:t>
      </w:r>
      <w:r w:rsidR="00CD29D9">
        <w:rPr>
          <w:rFonts w:ascii="Arial" w:hAnsi="Arial" w:cs="Arial"/>
        </w:rPr>
        <w:t>such as Arbour</w:t>
      </w:r>
      <w:r>
        <w:rPr>
          <w:rFonts w:ascii="Arial" w:hAnsi="Arial" w:cs="Arial"/>
        </w:rPr>
        <w:t xml:space="preserve"> or SIMS improve compliance and traceability for Ofsted inspections.</w:t>
      </w:r>
      <w:r w:rsidR="00771FD3">
        <w:rPr>
          <w:rFonts w:ascii="Arial" w:hAnsi="Arial" w:cs="Arial"/>
        </w:rPr>
        <w:t xml:space="preserve"> </w:t>
      </w:r>
      <w:r w:rsidR="00E93CBC">
        <w:rPr>
          <w:rFonts w:ascii="Arial" w:hAnsi="Arial" w:cs="Arial"/>
        </w:rPr>
        <w:t>Weak data infrastructure can harm reporting and reputations. Implementing HR technology improves recruitment efficiency and defensibility, with real-time dashboards providing key workforce metrics critical for leadership and safeguarding.</w:t>
      </w:r>
      <w:r w:rsidR="00474559">
        <w:rPr>
          <w:rFonts w:ascii="Arial" w:hAnsi="Arial" w:cs="Arial"/>
        </w:rPr>
        <w:t xml:space="preserve"> The Equality Act 2010 states that UK GDPR data protection obligations heighten recruitment risks involving sensitive personal data. Inadequate system configurations or insufficient training can lead to legal penalties; therefore, any implementation of AI and ATS must incorporate strong data protection protocols, encryption, access controls, and staff training.</w:t>
      </w:r>
      <w:r w:rsidR="00A702DE">
        <w:rPr>
          <w:rFonts w:ascii="Arial" w:hAnsi="Arial" w:cs="Arial"/>
        </w:rPr>
        <w:t xml:space="preserve"> </w:t>
      </w:r>
      <w:r w:rsidR="00F36498">
        <w:rPr>
          <w:rFonts w:ascii="Arial" w:hAnsi="Arial" w:cs="Arial"/>
        </w:rPr>
        <w:t xml:space="preserve">Student </w:t>
      </w:r>
      <w:r w:rsidR="00F60AB3">
        <w:rPr>
          <w:rFonts w:ascii="Arial" w:hAnsi="Arial" w:cs="Arial"/>
        </w:rPr>
        <w:t>i</w:t>
      </w:r>
      <w:r w:rsidR="00A702DE">
        <w:rPr>
          <w:rFonts w:ascii="Arial" w:hAnsi="Arial" w:cs="Arial"/>
        </w:rPr>
        <w:t>dentity exposure and</w:t>
      </w:r>
      <w:r w:rsidR="00715606">
        <w:rPr>
          <w:rFonts w:ascii="Arial" w:hAnsi="Arial" w:cs="Arial"/>
        </w:rPr>
        <w:t xml:space="preserve"> </w:t>
      </w:r>
      <w:r w:rsidR="00A702DE">
        <w:rPr>
          <w:rFonts w:ascii="Arial" w:hAnsi="Arial" w:cs="Arial"/>
        </w:rPr>
        <w:t xml:space="preserve">sensitive AP information </w:t>
      </w:r>
      <w:r w:rsidR="00715606">
        <w:rPr>
          <w:rFonts w:ascii="Arial" w:hAnsi="Arial" w:cs="Arial"/>
        </w:rPr>
        <w:t>must be</w:t>
      </w:r>
      <w:r w:rsidR="00F60AB3">
        <w:rPr>
          <w:rFonts w:ascii="Arial" w:hAnsi="Arial" w:cs="Arial"/>
        </w:rPr>
        <w:t xml:space="preserve"> protected</w:t>
      </w:r>
      <w:r w:rsidR="00715606">
        <w:rPr>
          <w:rFonts w:ascii="Arial" w:hAnsi="Arial" w:cs="Arial"/>
        </w:rPr>
        <w:t xml:space="preserve"> </w:t>
      </w:r>
      <w:r w:rsidR="00A702DE">
        <w:rPr>
          <w:rFonts w:ascii="Arial" w:hAnsi="Arial" w:cs="Arial"/>
        </w:rPr>
        <w:t>when using social media.</w:t>
      </w:r>
    </w:p>
    <w:p w14:paraId="5AE621C7" w14:textId="2E96AA34" w:rsidR="00F60F34" w:rsidRPr="00260BD9" w:rsidRDefault="00E93CBC" w:rsidP="00260BD9">
      <w:pPr>
        <w:pStyle w:val="NormalWeb"/>
        <w:jc w:val="both"/>
        <w:rPr>
          <w:rFonts w:ascii="Arial" w:hAnsi="Arial" w:cs="Arial"/>
        </w:rPr>
      </w:pPr>
      <w:r>
        <w:rPr>
          <w:rFonts w:ascii="Arial" w:hAnsi="Arial" w:cs="Arial"/>
        </w:rPr>
        <w:t>Technological advancement in education faces challenges due to digital capability gaps among veteran educators. While experienced AP leaders excel in relational pedagogy, they often struggle with advanced MIS and predictive analytics. It's essential to identify candidates with emotional intelligence and digital skills while upskilling current staff to prevent digital stratification in leadership.</w:t>
      </w:r>
    </w:p>
    <w:p w14:paraId="72E98863" w14:textId="7E1D0A55" w:rsidR="003D4D53" w:rsidRDefault="003D4D53" w:rsidP="00260BD9">
      <w:pPr>
        <w:pStyle w:val="NormalWeb"/>
        <w:jc w:val="both"/>
        <w:rPr>
          <w:rFonts w:ascii="Arial" w:hAnsi="Arial" w:cs="Arial"/>
        </w:rPr>
      </w:pPr>
      <w:r>
        <w:rPr>
          <w:rFonts w:ascii="Arial" w:hAnsi="Arial" w:cs="Arial"/>
        </w:rPr>
        <w:t>The shift to hybrid learning post-pandemic poses challenges, as AP settings increasingly rely on digital platforms for students with attendance issues. The new AP Manager must possess pedagogical leadership, digital curriculum skills, digital safeguarding expertise, and remote engagement analytics to adapt to changing educational needs.</w:t>
      </w:r>
    </w:p>
    <w:p w14:paraId="7B15F1D4" w14:textId="43CF1DA9" w:rsidR="0000144D" w:rsidRPr="00260BD9" w:rsidRDefault="00F714DC" w:rsidP="00260BD9">
      <w:pPr>
        <w:pStyle w:val="NormalWeb"/>
        <w:jc w:val="both"/>
        <w:rPr>
          <w:rFonts w:ascii="Arial" w:hAnsi="Arial" w:cs="Arial"/>
        </w:rPr>
      </w:pPr>
      <w:r>
        <w:rPr>
          <w:rFonts w:ascii="Arial" w:hAnsi="Arial" w:cs="Arial"/>
        </w:rPr>
        <w:t xml:space="preserve">Failure to </w:t>
      </w:r>
      <w:r w:rsidR="00CD29D9">
        <w:rPr>
          <w:rFonts w:ascii="Arial" w:hAnsi="Arial" w:cs="Arial"/>
        </w:rPr>
        <w:t>modernise</w:t>
      </w:r>
      <w:r>
        <w:rPr>
          <w:rFonts w:ascii="Arial" w:hAnsi="Arial" w:cs="Arial"/>
        </w:rPr>
        <w:t xml:space="preserve"> exposes Rootwings Academy to </w:t>
      </w:r>
      <w:r w:rsidR="00CD29D9">
        <w:rPr>
          <w:rFonts w:ascii="Arial" w:hAnsi="Arial" w:cs="Arial"/>
        </w:rPr>
        <w:t xml:space="preserve">recruitment risks and inefficiencies, threatening its </w:t>
      </w:r>
      <w:r>
        <w:rPr>
          <w:rFonts w:ascii="Arial" w:hAnsi="Arial" w:cs="Arial"/>
        </w:rPr>
        <w:t xml:space="preserve">financial resilience. Embracing technology like AI-enabled ATS and digital dashboards can help navigate </w:t>
      </w:r>
      <w:r w:rsidR="00886971">
        <w:rPr>
          <w:rFonts w:ascii="Arial" w:hAnsi="Arial" w:cs="Arial"/>
        </w:rPr>
        <w:t>unpredictable</w:t>
      </w:r>
      <w:r w:rsidR="00BF4058">
        <w:rPr>
          <w:rFonts w:ascii="Arial" w:hAnsi="Arial" w:cs="Arial"/>
        </w:rPr>
        <w:t xml:space="preserve"> </w:t>
      </w:r>
      <w:r w:rsidR="0085659D">
        <w:rPr>
          <w:rFonts w:ascii="Arial" w:hAnsi="Arial" w:cs="Arial"/>
        </w:rPr>
        <w:t>subsidies</w:t>
      </w:r>
      <w:r>
        <w:rPr>
          <w:rFonts w:ascii="Arial" w:hAnsi="Arial" w:cs="Arial"/>
        </w:rPr>
        <w:t>, regulatory scrutiny, workforce gaps, and evolving educational models, demonstrating a commitment to innovation and effective risk management.</w:t>
      </w:r>
    </w:p>
    <w:p w14:paraId="08214768" w14:textId="77777777" w:rsidR="006152AE" w:rsidRPr="00260BD9" w:rsidRDefault="006152AE" w:rsidP="00260BD9">
      <w:pPr>
        <w:spacing w:before="100" w:beforeAutospacing="1" w:after="100" w:afterAutospacing="1" w:line="240" w:lineRule="auto"/>
        <w:jc w:val="both"/>
        <w:rPr>
          <w:rFonts w:ascii="Arial" w:eastAsia="Times New Roman" w:hAnsi="Arial" w:cs="Arial"/>
          <w:kern w:val="0"/>
          <w:lang w:eastAsia="en-GB"/>
          <w14:ligatures w14:val="none"/>
        </w:rPr>
      </w:pPr>
      <w:r w:rsidRPr="00260BD9">
        <w:rPr>
          <w:rFonts w:ascii="Arial" w:eastAsia="Times New Roman" w:hAnsi="Arial" w:cs="Arial"/>
          <w:b/>
          <w:bCs/>
          <w:kern w:val="0"/>
          <w:lang w:eastAsia="en-GB"/>
          <w14:ligatures w14:val="none"/>
        </w:rPr>
        <w:t>Talent Acquisition and Retention</w:t>
      </w:r>
    </w:p>
    <w:p w14:paraId="3938F5A0" w14:textId="4C340001" w:rsidR="00567DAC" w:rsidRPr="00260BD9" w:rsidRDefault="00D560FF" w:rsidP="00260BD9">
      <w:pPr>
        <w:spacing w:after="0" w:line="240" w:lineRule="auto"/>
        <w:jc w:val="both"/>
        <w:rPr>
          <w:rFonts w:ascii="Arial" w:eastAsia="Times New Roman" w:hAnsi="Arial" w:cs="Arial"/>
          <w:color w:val="1F1F1F"/>
          <w:kern w:val="0"/>
          <w:lang w:eastAsia="en-GB"/>
          <w14:ligatures w14:val="none"/>
        </w:rPr>
      </w:pPr>
      <w:r>
        <w:rPr>
          <w:rFonts w:ascii="Arial" w:eastAsia="Times New Roman" w:hAnsi="Arial" w:cs="Arial"/>
          <w:color w:val="1F1F1F"/>
          <w:kern w:val="0"/>
          <w:lang w:eastAsia="en-GB"/>
          <w14:ligatures w14:val="none"/>
        </w:rPr>
        <w:t>The UK is experiencing a recruitment and retention crisis in education, particularly in Alternative Provision (AP).</w:t>
      </w:r>
      <w:r w:rsidR="0085659D">
        <w:rPr>
          <w:rFonts w:ascii="Arial" w:eastAsia="Times New Roman" w:hAnsi="Arial" w:cs="Arial"/>
          <w:color w:val="1F1F1F"/>
          <w:kern w:val="0"/>
          <w:lang w:eastAsia="en-GB"/>
          <w14:ligatures w14:val="none"/>
        </w:rPr>
        <w:t xml:space="preserve"> </w:t>
      </w:r>
      <w:r w:rsidR="0085659D" w:rsidRPr="0085659D">
        <w:rPr>
          <w:rFonts w:ascii="Arial" w:eastAsiaTheme="minorEastAsia" w:hAnsi="Arial" w:cs="Arial"/>
          <w:color w:val="1F1F1F"/>
          <w:kern w:val="24"/>
          <w:lang w:val="en-US"/>
        </w:rPr>
        <w:t>with 38% of teacher-training targets missed and a 44% rise in staff turnover, particularly in STEM fields (CIPD, 2024). Traditional recruitment methods are inadequate.</w:t>
      </w:r>
      <w:r>
        <w:rPr>
          <w:rFonts w:ascii="Arial" w:eastAsia="Times New Roman" w:hAnsi="Arial" w:cs="Arial"/>
          <w:color w:val="1F1F1F"/>
          <w:kern w:val="0"/>
          <w:lang w:eastAsia="en-GB"/>
          <w14:ligatures w14:val="none"/>
        </w:rPr>
        <w:t xml:space="preserve"> The AP Manager role at Rootwings requires Qualified Teacher Status (QTS), expertise in Special Educational Needs and Disabilities (SEND), and strong emotional intelligence to support vulnerable students. Staffing shortages in Pupil </w:t>
      </w:r>
      <w:r>
        <w:rPr>
          <w:rFonts w:ascii="Arial" w:eastAsia="Times New Roman" w:hAnsi="Arial" w:cs="Arial"/>
          <w:color w:val="1F1F1F"/>
          <w:kern w:val="0"/>
          <w:lang w:eastAsia="en-GB"/>
          <w14:ligatures w14:val="none"/>
        </w:rPr>
        <w:lastRenderedPageBreak/>
        <w:t>Referral Units (PRUs) and AP settings are often underreported, underscoring the urgent need for qualified professionals to help at-risk youth.</w:t>
      </w:r>
    </w:p>
    <w:p w14:paraId="1F9D6E69" w14:textId="06972101" w:rsidR="00B9384E" w:rsidRPr="00260BD9" w:rsidRDefault="00D560FF" w:rsidP="00260BD9">
      <w:pPr>
        <w:pStyle w:val="NormalWeb"/>
        <w:jc w:val="both"/>
        <w:rPr>
          <w:rFonts w:ascii="Arial" w:hAnsi="Arial" w:cs="Arial"/>
        </w:rPr>
      </w:pPr>
      <w:r>
        <w:rPr>
          <w:rFonts w:ascii="Arial" w:hAnsi="Arial" w:cs="Arial"/>
        </w:rPr>
        <w:t xml:space="preserve">Attracting and retaining high-quality talent in the Alternative Provision (AP) sector is challenging, especially in the fragile UK education </w:t>
      </w:r>
      <w:r w:rsidR="00C17C92">
        <w:rPr>
          <w:rFonts w:ascii="Arial" w:hAnsi="Arial" w:cs="Arial"/>
        </w:rPr>
        <w:t>labour</w:t>
      </w:r>
      <w:r>
        <w:rPr>
          <w:rFonts w:ascii="Arial" w:hAnsi="Arial" w:cs="Arial"/>
        </w:rPr>
        <w:t xml:space="preserve"> market. Rising teacher attrition rates, particularly within the first five years, are driven by workload intensity, accountability pressures, and well-being </w:t>
      </w:r>
      <w:r w:rsidR="008D1C0E">
        <w:rPr>
          <w:rFonts w:ascii="Arial" w:hAnsi="Arial" w:cs="Arial"/>
        </w:rPr>
        <w:t>concerns (</w:t>
      </w:r>
      <w:r w:rsidR="008817B1">
        <w:rPr>
          <w:rFonts w:ascii="Arial" w:hAnsi="Arial" w:cs="Arial"/>
        </w:rPr>
        <w:t>CIPD</w:t>
      </w:r>
      <w:r w:rsidR="00C579EC">
        <w:rPr>
          <w:rFonts w:ascii="Arial" w:hAnsi="Arial" w:cs="Arial"/>
        </w:rPr>
        <w:t>, 2023).</w:t>
      </w:r>
      <w:r>
        <w:rPr>
          <w:rFonts w:ascii="Arial" w:hAnsi="Arial" w:cs="Arial"/>
        </w:rPr>
        <w:t xml:space="preserve"> In AP settings, these issues are </w:t>
      </w:r>
      <w:r w:rsidR="00C17C92">
        <w:rPr>
          <w:rFonts w:ascii="Arial" w:hAnsi="Arial" w:cs="Arial"/>
        </w:rPr>
        <w:t>exacerbated, leading to</w:t>
      </w:r>
      <w:r>
        <w:rPr>
          <w:rFonts w:ascii="Arial" w:hAnsi="Arial" w:cs="Arial"/>
        </w:rPr>
        <w:t xml:space="preserve"> burnout and high staff turnover.</w:t>
      </w:r>
    </w:p>
    <w:p w14:paraId="65233E68" w14:textId="36C66BB8" w:rsidR="00B9384E" w:rsidRPr="00260BD9" w:rsidRDefault="00B9384E" w:rsidP="00260BD9">
      <w:pPr>
        <w:pStyle w:val="NormalWeb"/>
        <w:jc w:val="both"/>
        <w:rPr>
          <w:rFonts w:ascii="Arial" w:hAnsi="Arial" w:cs="Arial"/>
        </w:rPr>
      </w:pPr>
      <w:r w:rsidRPr="00260BD9">
        <w:rPr>
          <w:rFonts w:ascii="Arial" w:hAnsi="Arial" w:cs="Arial"/>
        </w:rPr>
        <w:t xml:space="preserve">At Rootwings Academy, retention must be viewed in the context of competition from mainstream schools, multi-academy trusts, and specialist SEND provisions, all vying for the same qualified leaders. The </w:t>
      </w:r>
      <w:r w:rsidR="009707A8">
        <w:rPr>
          <w:rFonts w:ascii="Arial" w:hAnsi="Arial" w:cs="Arial"/>
        </w:rPr>
        <w:t>flux</w:t>
      </w:r>
      <w:r w:rsidRPr="00260BD9">
        <w:rPr>
          <w:rFonts w:ascii="Arial" w:hAnsi="Arial" w:cs="Arial"/>
        </w:rPr>
        <w:t xml:space="preserve"> of Local Authority </w:t>
      </w:r>
      <w:r w:rsidR="00C14159">
        <w:rPr>
          <w:rFonts w:ascii="Arial" w:hAnsi="Arial" w:cs="Arial"/>
        </w:rPr>
        <w:t xml:space="preserve">aid </w:t>
      </w:r>
      <w:r w:rsidRPr="00260BD9">
        <w:rPr>
          <w:rFonts w:ascii="Arial" w:hAnsi="Arial" w:cs="Arial"/>
        </w:rPr>
        <w:t>in AP</w:t>
      </w:r>
      <w:r w:rsidR="00C14159">
        <w:rPr>
          <w:rFonts w:ascii="Arial" w:hAnsi="Arial" w:cs="Arial"/>
        </w:rPr>
        <w:t xml:space="preserve"> settings</w:t>
      </w:r>
      <w:r w:rsidRPr="00260BD9">
        <w:rPr>
          <w:rFonts w:ascii="Arial" w:hAnsi="Arial" w:cs="Arial"/>
        </w:rPr>
        <w:t xml:space="preserve"> further complicates long-term planning and stability, potentially deterring experienced leaders.</w:t>
      </w:r>
      <w:r w:rsidR="00DF7552">
        <w:rPr>
          <w:rFonts w:ascii="Arial" w:hAnsi="Arial" w:cs="Arial"/>
        </w:rPr>
        <w:t xml:space="preserve"> Primarily driven by </w:t>
      </w:r>
      <w:r w:rsidR="00590A9B">
        <w:rPr>
          <w:rFonts w:ascii="Arial" w:hAnsi="Arial" w:cs="Arial"/>
        </w:rPr>
        <w:t>the ‘high needs block’</w:t>
      </w:r>
      <w:r w:rsidR="00435C01">
        <w:rPr>
          <w:rFonts w:ascii="Arial" w:hAnsi="Arial" w:cs="Arial"/>
        </w:rPr>
        <w:t xml:space="preserve"> of the Dedicated Schools Grant (DSG),</w:t>
      </w:r>
      <w:r w:rsidR="009C5456">
        <w:rPr>
          <w:rFonts w:ascii="Arial" w:hAnsi="Arial" w:cs="Arial"/>
        </w:rPr>
        <w:t xml:space="preserve"> roughly £10,000 per place</w:t>
      </w:r>
      <w:r w:rsidR="008F4E81">
        <w:rPr>
          <w:rFonts w:ascii="Arial" w:hAnsi="Arial" w:cs="Arial"/>
        </w:rPr>
        <w:t>, with top-ups commissioned for students with an EHCP</w:t>
      </w:r>
      <w:r w:rsidR="00AF4677">
        <w:rPr>
          <w:rFonts w:ascii="Arial" w:hAnsi="Arial" w:cs="Arial"/>
        </w:rPr>
        <w:t>,</w:t>
      </w:r>
      <w:r w:rsidR="0089009D">
        <w:rPr>
          <w:rFonts w:ascii="Arial" w:hAnsi="Arial" w:cs="Arial"/>
        </w:rPr>
        <w:t xml:space="preserve"> </w:t>
      </w:r>
      <w:r w:rsidR="0030630A">
        <w:rPr>
          <w:rFonts w:ascii="Arial" w:hAnsi="Arial" w:cs="Arial"/>
        </w:rPr>
        <w:t xml:space="preserve">grants </w:t>
      </w:r>
      <w:r w:rsidR="0089009D">
        <w:rPr>
          <w:rFonts w:ascii="Arial" w:hAnsi="Arial" w:cs="Arial"/>
        </w:rPr>
        <w:t>are harder</w:t>
      </w:r>
      <w:r w:rsidR="006D736C">
        <w:rPr>
          <w:rFonts w:ascii="Arial" w:hAnsi="Arial" w:cs="Arial"/>
        </w:rPr>
        <w:t xml:space="preserve"> for </w:t>
      </w:r>
      <w:r w:rsidR="00AF4677">
        <w:rPr>
          <w:rFonts w:ascii="Arial" w:hAnsi="Arial" w:cs="Arial"/>
        </w:rPr>
        <w:t>APs</w:t>
      </w:r>
      <w:r w:rsidR="006D736C">
        <w:rPr>
          <w:rFonts w:ascii="Arial" w:hAnsi="Arial" w:cs="Arial"/>
        </w:rPr>
        <w:t xml:space="preserve"> to obtain</w:t>
      </w:r>
      <w:r w:rsidR="00F60AB3">
        <w:rPr>
          <w:rFonts w:ascii="Arial" w:hAnsi="Arial" w:cs="Arial"/>
        </w:rPr>
        <w:t xml:space="preserve">, as mainstream and specialist school pupils have higher priority due to </w:t>
      </w:r>
      <w:r w:rsidR="00010016">
        <w:rPr>
          <w:rFonts w:ascii="Arial" w:hAnsi="Arial" w:cs="Arial"/>
        </w:rPr>
        <w:t xml:space="preserve">a more </w:t>
      </w:r>
      <w:r w:rsidR="00B66F25">
        <w:rPr>
          <w:rFonts w:ascii="Arial" w:hAnsi="Arial" w:cs="Arial"/>
        </w:rPr>
        <w:t>standardised</w:t>
      </w:r>
      <w:r w:rsidR="00010016">
        <w:rPr>
          <w:rFonts w:ascii="Arial" w:hAnsi="Arial" w:cs="Arial"/>
        </w:rPr>
        <w:t xml:space="preserve"> National</w:t>
      </w:r>
      <w:r w:rsidR="0002476A">
        <w:rPr>
          <w:rFonts w:ascii="Arial" w:hAnsi="Arial" w:cs="Arial"/>
        </w:rPr>
        <w:t xml:space="preserve"> Funding </w:t>
      </w:r>
      <w:r w:rsidR="00B66F25">
        <w:rPr>
          <w:rFonts w:ascii="Arial" w:hAnsi="Arial" w:cs="Arial"/>
        </w:rPr>
        <w:t>F</w:t>
      </w:r>
      <w:r w:rsidR="0002476A">
        <w:rPr>
          <w:rFonts w:ascii="Arial" w:hAnsi="Arial" w:cs="Arial"/>
        </w:rPr>
        <w:t>ormula</w:t>
      </w:r>
      <w:r w:rsidR="00F60AB3">
        <w:rPr>
          <w:rFonts w:ascii="Arial" w:hAnsi="Arial" w:cs="Arial"/>
        </w:rPr>
        <w:t>. In contrast, AP</w:t>
      </w:r>
      <w:r w:rsidR="00467D01">
        <w:rPr>
          <w:rFonts w:ascii="Arial" w:hAnsi="Arial" w:cs="Arial"/>
        </w:rPr>
        <w:t xml:space="preserve"> students require</w:t>
      </w:r>
      <w:r w:rsidR="005048FB">
        <w:rPr>
          <w:rFonts w:ascii="Arial" w:hAnsi="Arial" w:cs="Arial"/>
        </w:rPr>
        <w:t xml:space="preserve"> higher costs due to</w:t>
      </w:r>
      <w:r w:rsidR="007A6B24">
        <w:rPr>
          <w:rFonts w:ascii="Arial" w:hAnsi="Arial" w:cs="Arial"/>
        </w:rPr>
        <w:t xml:space="preserve"> their</w:t>
      </w:r>
      <w:r w:rsidR="00467D01">
        <w:rPr>
          <w:rFonts w:ascii="Arial" w:hAnsi="Arial" w:cs="Arial"/>
        </w:rPr>
        <w:t xml:space="preserve"> varying levels of need.</w:t>
      </w:r>
      <w:r w:rsidR="00096820">
        <w:rPr>
          <w:rFonts w:ascii="Arial" w:hAnsi="Arial" w:cs="Arial"/>
        </w:rPr>
        <w:t xml:space="preserve"> For the first two years</w:t>
      </w:r>
      <w:r w:rsidR="00AF4677">
        <w:rPr>
          <w:rFonts w:ascii="Arial" w:hAnsi="Arial" w:cs="Arial"/>
        </w:rPr>
        <w:t xml:space="preserve">, 100% of </w:t>
      </w:r>
      <w:r w:rsidR="00F60AB3">
        <w:rPr>
          <w:rFonts w:ascii="Arial" w:hAnsi="Arial" w:cs="Arial"/>
        </w:rPr>
        <w:t>MAT placements are funded by the Education and Skills Funding Agency (ESFA), which is initially more attractive to LAs. Still, after</w:t>
      </w:r>
      <w:r w:rsidR="00AF4677">
        <w:rPr>
          <w:rFonts w:ascii="Arial" w:hAnsi="Arial" w:cs="Arial"/>
        </w:rPr>
        <w:t xml:space="preserve"> this period, the ESFA deducts approximately</w:t>
      </w:r>
      <w:r w:rsidR="00D836F5">
        <w:rPr>
          <w:rFonts w:ascii="Arial" w:hAnsi="Arial" w:cs="Arial"/>
        </w:rPr>
        <w:t xml:space="preserve">. £5833 per place from </w:t>
      </w:r>
      <w:r w:rsidR="00AF4677">
        <w:rPr>
          <w:rFonts w:ascii="Arial" w:hAnsi="Arial" w:cs="Arial"/>
        </w:rPr>
        <w:t>the LAs'</w:t>
      </w:r>
      <w:r w:rsidR="00D836F5">
        <w:rPr>
          <w:rFonts w:ascii="Arial" w:hAnsi="Arial" w:cs="Arial"/>
        </w:rPr>
        <w:t xml:space="preserve"> </w:t>
      </w:r>
      <w:r w:rsidR="00AF4677">
        <w:rPr>
          <w:rFonts w:ascii="Arial" w:hAnsi="Arial" w:cs="Arial"/>
        </w:rPr>
        <w:t xml:space="preserve">budgets, reducing </w:t>
      </w:r>
      <w:r w:rsidR="007113CF">
        <w:rPr>
          <w:rFonts w:ascii="Arial" w:hAnsi="Arial" w:cs="Arial"/>
        </w:rPr>
        <w:t>the support available for APs</w:t>
      </w:r>
      <w:r w:rsidR="00771FD3">
        <w:rPr>
          <w:rFonts w:ascii="Arial" w:hAnsi="Arial" w:cs="Arial"/>
        </w:rPr>
        <w:t xml:space="preserve"> (Perera, 2019).</w:t>
      </w:r>
    </w:p>
    <w:p w14:paraId="13EDCAF8" w14:textId="2CEE2265" w:rsidR="00D52C10" w:rsidRPr="00260BD9" w:rsidRDefault="00B9384E" w:rsidP="00260BD9">
      <w:pPr>
        <w:pStyle w:val="NormalWeb"/>
        <w:jc w:val="both"/>
        <w:rPr>
          <w:rFonts w:ascii="Arial" w:hAnsi="Arial" w:cs="Arial"/>
        </w:rPr>
      </w:pPr>
      <w:r w:rsidRPr="00260BD9">
        <w:rPr>
          <w:rFonts w:ascii="Arial" w:hAnsi="Arial" w:cs="Arial"/>
        </w:rPr>
        <w:t xml:space="preserve">To address these issues, </w:t>
      </w:r>
      <w:r w:rsidR="0089377C">
        <w:rPr>
          <w:rFonts w:ascii="Arial" w:hAnsi="Arial" w:cs="Arial"/>
        </w:rPr>
        <w:t>an</w:t>
      </w:r>
      <w:r w:rsidRPr="00260BD9">
        <w:rPr>
          <w:rFonts w:ascii="Arial" w:hAnsi="Arial" w:cs="Arial"/>
        </w:rPr>
        <w:t xml:space="preserve"> </w:t>
      </w:r>
      <w:r w:rsidR="0089377C">
        <w:rPr>
          <w:rFonts w:ascii="Arial" w:hAnsi="Arial" w:cs="Arial"/>
        </w:rPr>
        <w:t>intentional</w:t>
      </w:r>
      <w:r w:rsidRPr="00260BD9">
        <w:rPr>
          <w:rFonts w:ascii="Arial" w:hAnsi="Arial" w:cs="Arial"/>
        </w:rPr>
        <w:t xml:space="preserve"> retention framework is essential. Beyond competitive salaries, a Total Reward approach that includes professional autonomy, structured CPD, clinical supervision, flexible work arrangements, and wellbeing support is crucial. Employer branding should position Rootwings as a psychologically safe and developmental environment that fosters long-term leadership resilience in a competitive labour market.</w:t>
      </w:r>
    </w:p>
    <w:p w14:paraId="60365B96" w14:textId="60047EBF" w:rsidR="00D52C10" w:rsidRPr="00260BD9" w:rsidRDefault="006152AE" w:rsidP="00260BD9">
      <w:pPr>
        <w:spacing w:before="100" w:beforeAutospacing="1" w:after="100" w:afterAutospacing="1" w:line="240" w:lineRule="auto"/>
        <w:jc w:val="both"/>
        <w:rPr>
          <w:rFonts w:ascii="Arial" w:eastAsia="Times New Roman" w:hAnsi="Arial" w:cs="Arial"/>
          <w:b/>
          <w:bCs/>
          <w:kern w:val="0"/>
          <w:lang w:eastAsia="en-GB"/>
          <w14:ligatures w14:val="none"/>
        </w:rPr>
      </w:pPr>
      <w:r w:rsidRPr="00260BD9">
        <w:rPr>
          <w:rFonts w:ascii="Arial" w:eastAsia="Times New Roman" w:hAnsi="Arial" w:cs="Arial"/>
          <w:b/>
          <w:bCs/>
          <w:kern w:val="0"/>
          <w:lang w:eastAsia="en-GB"/>
          <w14:ligatures w14:val="none"/>
        </w:rPr>
        <w:t>Diversity, Equity and Inclusion (DEI)</w:t>
      </w:r>
    </w:p>
    <w:p w14:paraId="6B86DC4E" w14:textId="01541F15" w:rsidR="00592076" w:rsidRPr="00260BD9" w:rsidRDefault="00894EA7" w:rsidP="00260BD9">
      <w:pPr>
        <w:pStyle w:val="NormalWeb"/>
        <w:jc w:val="both"/>
        <w:rPr>
          <w:rFonts w:ascii="Arial" w:hAnsi="Arial" w:cs="Arial"/>
        </w:rPr>
      </w:pPr>
      <w:r>
        <w:rPr>
          <w:rFonts w:ascii="Arial" w:hAnsi="Arial" w:cs="Arial"/>
        </w:rPr>
        <w:t xml:space="preserve">Students in AP settings often come from minority ethnic backgrounds and lower socio-economic </w:t>
      </w:r>
      <w:r w:rsidR="00573526">
        <w:rPr>
          <w:rFonts w:ascii="Arial" w:hAnsi="Arial" w:cs="Arial"/>
        </w:rPr>
        <w:t>backgrounds, yet this diversity is rarely reflected</w:t>
      </w:r>
      <w:r>
        <w:rPr>
          <w:rFonts w:ascii="Arial" w:hAnsi="Arial" w:cs="Arial"/>
        </w:rPr>
        <w:t xml:space="preserve"> in senior leadership roles. Structural inequalities, such as limited access to mentoring and qualifications, hinder advancement into headship. Additional barriers</w:t>
      </w:r>
      <w:r w:rsidR="00090869">
        <w:rPr>
          <w:rFonts w:ascii="Arial" w:hAnsi="Arial" w:cs="Arial"/>
        </w:rPr>
        <w:t>, such as unpaid leadership placements and mobility constraints,</w:t>
      </w:r>
      <w:r>
        <w:rPr>
          <w:rFonts w:ascii="Arial" w:hAnsi="Arial" w:cs="Arial"/>
        </w:rPr>
        <w:t xml:space="preserve"> further restrict access to senior positions. Thus, the underrepresentation in leadership is a systemic pipeline issue, not just a recruitment problem.</w:t>
      </w:r>
    </w:p>
    <w:p w14:paraId="017C1B89" w14:textId="7C8D022D" w:rsidR="00DC53F9" w:rsidRDefault="00372408" w:rsidP="00474559">
      <w:pPr>
        <w:spacing w:after="0" w:line="24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Addressing unconscious bias in recruitment through methods </w:t>
      </w:r>
      <w:r w:rsidR="00481CFA">
        <w:rPr>
          <w:rFonts w:ascii="Arial" w:eastAsia="Times New Roman" w:hAnsi="Arial" w:cs="Arial"/>
          <w:kern w:val="0"/>
          <w:lang w:eastAsia="en-GB"/>
          <w14:ligatures w14:val="none"/>
        </w:rPr>
        <w:t xml:space="preserve">such as blind shortlisting and diverse panels treats symptoms, not the </w:t>
      </w:r>
      <w:r>
        <w:rPr>
          <w:rFonts w:ascii="Arial" w:eastAsia="Times New Roman" w:hAnsi="Arial" w:cs="Arial"/>
          <w:kern w:val="0"/>
          <w:lang w:eastAsia="en-GB"/>
          <w14:ligatures w14:val="none"/>
        </w:rPr>
        <w:t xml:space="preserve">causes. While Rootwings Academy can enhance shortlisting diversity, it may not lead to meaningful senior-level representation. True DEI requires systemic changes beyond recruitment, such as structured interviews, inclusive job descriptions, proactive leadership development, mentoring for underrepresented staff, and clear promotion criteria. Monitoring DEI metrics and pay equity is essential to identify stagnation. By overcoming recruitment and </w:t>
      </w:r>
      <w:r w:rsidR="00FC7773">
        <w:rPr>
          <w:rFonts w:ascii="Arial" w:eastAsia="Times New Roman" w:hAnsi="Arial" w:cs="Arial"/>
          <w:kern w:val="0"/>
          <w:lang w:eastAsia="en-GB"/>
          <w14:ligatures w14:val="none"/>
        </w:rPr>
        <w:t>systematic</w:t>
      </w:r>
      <w:r>
        <w:rPr>
          <w:rFonts w:ascii="Arial" w:eastAsia="Times New Roman" w:hAnsi="Arial" w:cs="Arial"/>
          <w:kern w:val="0"/>
          <w:lang w:eastAsia="en-GB"/>
          <w14:ligatures w14:val="none"/>
        </w:rPr>
        <w:t xml:space="preserve"> barriers, Rootwings can advance from compliance to leadership that reflects its student community and strengthens its competitive advantage as an inclusive employer.</w:t>
      </w:r>
    </w:p>
    <w:p w14:paraId="74F79086" w14:textId="77777777" w:rsidR="007B2EA6" w:rsidRDefault="007B2EA6" w:rsidP="00474559">
      <w:pPr>
        <w:spacing w:after="0" w:line="240" w:lineRule="auto"/>
        <w:jc w:val="both"/>
        <w:rPr>
          <w:rFonts w:ascii="Arial" w:eastAsia="Times New Roman" w:hAnsi="Arial" w:cs="Arial"/>
          <w:kern w:val="0"/>
          <w:lang w:eastAsia="en-GB"/>
          <w14:ligatures w14:val="none"/>
        </w:rPr>
      </w:pPr>
    </w:p>
    <w:p w14:paraId="6C2874D8" w14:textId="77777777" w:rsidR="007B2EA6" w:rsidRDefault="007B2EA6" w:rsidP="00474559">
      <w:pPr>
        <w:spacing w:after="0" w:line="240" w:lineRule="auto"/>
        <w:jc w:val="both"/>
        <w:rPr>
          <w:rFonts w:ascii="Arial" w:eastAsia="Times New Roman" w:hAnsi="Arial" w:cs="Arial"/>
          <w:kern w:val="0"/>
          <w:lang w:eastAsia="en-GB"/>
          <w14:ligatures w14:val="none"/>
        </w:rPr>
      </w:pPr>
    </w:p>
    <w:p w14:paraId="203B6A5A" w14:textId="77777777" w:rsidR="00B259DF" w:rsidRDefault="00B259DF" w:rsidP="00474559">
      <w:pPr>
        <w:spacing w:after="0" w:line="240" w:lineRule="auto"/>
        <w:jc w:val="both"/>
        <w:rPr>
          <w:rFonts w:ascii="Arial" w:eastAsia="Times New Roman" w:hAnsi="Arial" w:cs="Arial"/>
          <w:kern w:val="0"/>
          <w:lang w:eastAsia="en-GB"/>
          <w14:ligatures w14:val="none"/>
        </w:rPr>
      </w:pPr>
    </w:p>
    <w:p w14:paraId="04D0C482" w14:textId="77777777" w:rsidR="00CB59B6" w:rsidRPr="00F60AB3" w:rsidRDefault="00CB59B6" w:rsidP="00474559">
      <w:pPr>
        <w:spacing w:after="0" w:line="240" w:lineRule="auto"/>
        <w:jc w:val="both"/>
        <w:rPr>
          <w:rFonts w:ascii="Arial" w:eastAsia="Times New Roman" w:hAnsi="Arial" w:cs="Arial"/>
          <w:kern w:val="0"/>
          <w:lang w:eastAsia="en-GB"/>
          <w14:ligatures w14:val="none"/>
        </w:rPr>
      </w:pPr>
    </w:p>
    <w:p w14:paraId="396A745B" w14:textId="558F9CB8" w:rsidR="00C45D49" w:rsidRPr="00474559" w:rsidRDefault="00C45D49" w:rsidP="00474559">
      <w:pPr>
        <w:spacing w:after="0" w:line="240" w:lineRule="auto"/>
        <w:jc w:val="both"/>
        <w:rPr>
          <w:rFonts w:ascii="Arial" w:eastAsia="Times New Roman" w:hAnsi="Arial" w:cs="Arial"/>
          <w:kern w:val="0"/>
          <w:lang w:eastAsia="en-GB"/>
          <w14:ligatures w14:val="none"/>
        </w:rPr>
      </w:pPr>
      <w:r w:rsidRPr="00B56033">
        <w:rPr>
          <w:rFonts w:ascii="Arial" w:eastAsia="Times New Roman" w:hAnsi="Arial" w:cs="Arial"/>
          <w:b/>
          <w:bCs/>
          <w:color w:val="1F1F1F"/>
          <w:kern w:val="0"/>
          <w:u w:val="single"/>
          <w:lang w:eastAsia="en-GB"/>
          <w14:ligatures w14:val="none"/>
        </w:rPr>
        <w:lastRenderedPageBreak/>
        <w:t>Evaluation of Contemporary HR Practices</w:t>
      </w:r>
    </w:p>
    <w:p w14:paraId="75F42389" w14:textId="77777777" w:rsidR="00200C2F" w:rsidRPr="00260BD9" w:rsidRDefault="00200C2F" w:rsidP="00260BD9">
      <w:pPr>
        <w:spacing w:after="0" w:line="240" w:lineRule="auto"/>
        <w:jc w:val="both"/>
        <w:rPr>
          <w:rFonts w:ascii="Arial" w:eastAsia="Times New Roman" w:hAnsi="Arial" w:cs="Arial"/>
          <w:kern w:val="0"/>
          <w:lang w:eastAsia="en-GB"/>
          <w14:ligatures w14:val="none"/>
        </w:rPr>
      </w:pPr>
    </w:p>
    <w:p w14:paraId="5F842FF6" w14:textId="10C6B890" w:rsidR="00376598" w:rsidRPr="00260BD9" w:rsidRDefault="000C105E" w:rsidP="00260BD9">
      <w:pPr>
        <w:spacing w:after="0" w:line="240" w:lineRule="auto"/>
        <w:jc w:val="both"/>
        <w:rPr>
          <w:rFonts w:ascii="Arial" w:eastAsia="Times New Roman" w:hAnsi="Arial" w:cs="Arial"/>
          <w:kern w:val="0"/>
          <w:lang w:eastAsia="en-GB"/>
          <w14:ligatures w14:val="none"/>
        </w:rPr>
      </w:pPr>
      <w:r w:rsidRPr="00260BD9">
        <w:rPr>
          <w:rFonts w:ascii="Arial" w:eastAsia="Times New Roman" w:hAnsi="Arial" w:cs="Arial"/>
          <w:kern w:val="0"/>
          <w:lang w:eastAsia="en-GB"/>
          <w14:ligatures w14:val="none"/>
        </w:rPr>
        <w:t>Transitioning from traditional personnel management to Strategic</w:t>
      </w:r>
      <w:r w:rsidR="005E7CEF">
        <w:rPr>
          <w:rFonts w:ascii="Arial" w:eastAsia="Times New Roman" w:hAnsi="Arial" w:cs="Arial"/>
          <w:kern w:val="0"/>
          <w:lang w:eastAsia="en-GB"/>
          <w14:ligatures w14:val="none"/>
        </w:rPr>
        <w:t xml:space="preserve"> Human </w:t>
      </w:r>
      <w:r w:rsidRPr="00260BD9">
        <w:rPr>
          <w:rFonts w:ascii="Arial" w:eastAsia="Times New Roman" w:hAnsi="Arial" w:cs="Arial"/>
          <w:kern w:val="0"/>
          <w:lang w:eastAsia="en-GB"/>
          <w14:ligatures w14:val="none"/>
        </w:rPr>
        <w:t xml:space="preserve">Resource Management (SHRM) is crucial for addressing the complexities </w:t>
      </w:r>
      <w:r w:rsidR="00863CD1">
        <w:rPr>
          <w:rFonts w:ascii="Arial" w:eastAsia="Times New Roman" w:hAnsi="Arial" w:cs="Arial"/>
          <w:kern w:val="0"/>
          <w:lang w:eastAsia="en-GB"/>
          <w14:ligatures w14:val="none"/>
        </w:rPr>
        <w:t>of the alternative provision sector (Armstrong and Taylor, 2023).</w:t>
      </w:r>
      <w:r w:rsidRPr="00260BD9">
        <w:rPr>
          <w:rFonts w:ascii="Arial" w:eastAsia="Times New Roman" w:hAnsi="Arial" w:cs="Arial"/>
          <w:kern w:val="0"/>
          <w:lang w:eastAsia="en-GB"/>
          <w14:ligatures w14:val="none"/>
        </w:rPr>
        <w:t xml:space="preserve"> The following section evaluates contemporary practices to mitigate the three core issues identified.</w:t>
      </w:r>
    </w:p>
    <w:p w14:paraId="237432DE" w14:textId="77777777" w:rsidR="002D09D3" w:rsidRPr="00260BD9" w:rsidRDefault="002D09D3" w:rsidP="00260BD9">
      <w:pPr>
        <w:spacing w:after="0" w:line="240" w:lineRule="auto"/>
        <w:jc w:val="both"/>
        <w:rPr>
          <w:rFonts w:ascii="Arial" w:eastAsia="Times New Roman" w:hAnsi="Arial" w:cs="Arial"/>
          <w:kern w:val="0"/>
          <w:lang w:eastAsia="en-GB"/>
          <w14:ligatures w14:val="none"/>
        </w:rPr>
      </w:pPr>
    </w:p>
    <w:p w14:paraId="0C2F7AFC" w14:textId="6E2CB88E" w:rsidR="00F743B8" w:rsidRPr="00260BD9" w:rsidRDefault="00091E69" w:rsidP="00260BD9">
      <w:pPr>
        <w:spacing w:after="0" w:line="240" w:lineRule="auto"/>
        <w:jc w:val="both"/>
        <w:rPr>
          <w:rFonts w:ascii="Arial" w:eastAsia="Times New Roman" w:hAnsi="Arial" w:cs="Arial"/>
          <w:b/>
          <w:bCs/>
          <w:kern w:val="0"/>
          <w:lang w:eastAsia="en-GB"/>
          <w14:ligatures w14:val="none"/>
        </w:rPr>
      </w:pPr>
      <w:r w:rsidRPr="00260BD9">
        <w:rPr>
          <w:rFonts w:ascii="Arial" w:eastAsia="Times New Roman" w:hAnsi="Arial" w:cs="Arial"/>
          <w:b/>
          <w:bCs/>
          <w:kern w:val="0"/>
          <w:lang w:eastAsia="en-GB"/>
          <w14:ligatures w14:val="none"/>
        </w:rPr>
        <w:t>Meeting Technological Ad</w:t>
      </w:r>
      <w:r w:rsidR="001035AB" w:rsidRPr="00260BD9">
        <w:rPr>
          <w:rFonts w:ascii="Arial" w:eastAsia="Times New Roman" w:hAnsi="Arial" w:cs="Arial"/>
          <w:b/>
          <w:bCs/>
          <w:kern w:val="0"/>
          <w:lang w:eastAsia="en-GB"/>
          <w14:ligatures w14:val="none"/>
        </w:rPr>
        <w:t>vancement</w:t>
      </w:r>
    </w:p>
    <w:p w14:paraId="478FDFD3" w14:textId="2C0F75E8" w:rsidR="00C86520" w:rsidRPr="00260BD9" w:rsidRDefault="00E40524" w:rsidP="00260BD9">
      <w:pPr>
        <w:pStyle w:val="NormalWeb"/>
        <w:jc w:val="both"/>
        <w:rPr>
          <w:rFonts w:ascii="Arial" w:hAnsi="Arial" w:cs="Arial"/>
        </w:rPr>
      </w:pPr>
      <w:r>
        <w:rPr>
          <w:rFonts w:ascii="Arial" w:hAnsi="Arial" w:cs="Arial"/>
        </w:rPr>
        <w:t xml:space="preserve">The adoption of Applicant Tracking Systems (ATS) and AI tools marks a shift to data-driven workforce planning. While ATS increases efficiency by parsing CVs and ranking candidates, it poses </w:t>
      </w:r>
      <w:r w:rsidR="00D62ED8">
        <w:rPr>
          <w:rFonts w:ascii="Arial" w:hAnsi="Arial" w:cs="Arial"/>
        </w:rPr>
        <w:t>organisational</w:t>
      </w:r>
      <w:r>
        <w:rPr>
          <w:rFonts w:ascii="Arial" w:hAnsi="Arial" w:cs="Arial"/>
        </w:rPr>
        <w:t xml:space="preserve"> risks. If based on biased historical data, ATS may perpetuate demographic imbalances, </w:t>
      </w:r>
      <w:r w:rsidR="00F07B0E">
        <w:rPr>
          <w:rFonts w:ascii="Arial" w:hAnsi="Arial" w:cs="Arial"/>
        </w:rPr>
        <w:t>favouring</w:t>
      </w:r>
      <w:r>
        <w:rPr>
          <w:rFonts w:ascii="Arial" w:hAnsi="Arial" w:cs="Arial"/>
        </w:rPr>
        <w:t xml:space="preserve"> traditional career paths linked to higher socio-economic status and elite education.</w:t>
      </w:r>
      <w:r w:rsidR="0056337C">
        <w:rPr>
          <w:rFonts w:ascii="Arial" w:hAnsi="Arial" w:cs="Arial"/>
        </w:rPr>
        <w:t xml:space="preserve"> This</w:t>
      </w:r>
      <w:r w:rsidR="008C5B27">
        <w:rPr>
          <w:rFonts w:ascii="Arial" w:hAnsi="Arial" w:cs="Arial"/>
        </w:rPr>
        <w:t xml:space="preserve"> </w:t>
      </w:r>
      <w:r w:rsidR="00906F85">
        <w:rPr>
          <w:rFonts w:ascii="Arial" w:hAnsi="Arial" w:cs="Arial"/>
        </w:rPr>
        <w:t>bias is</w:t>
      </w:r>
      <w:r w:rsidR="00044702">
        <w:rPr>
          <w:rFonts w:ascii="Arial" w:hAnsi="Arial" w:cs="Arial"/>
        </w:rPr>
        <w:t xml:space="preserve"> evident in </w:t>
      </w:r>
      <w:r w:rsidR="00175DBD">
        <w:rPr>
          <w:rFonts w:ascii="Arial" w:hAnsi="Arial" w:cs="Arial"/>
        </w:rPr>
        <w:t xml:space="preserve">tools such as LinkedIn and </w:t>
      </w:r>
      <w:r w:rsidR="009D261A">
        <w:rPr>
          <w:rFonts w:ascii="Arial" w:hAnsi="Arial" w:cs="Arial"/>
        </w:rPr>
        <w:t>Indeed.</w:t>
      </w:r>
    </w:p>
    <w:p w14:paraId="200AADF2" w14:textId="4D38AE9E" w:rsidR="00091E69" w:rsidRPr="00260BD9" w:rsidRDefault="00F07B0E" w:rsidP="004D62EC">
      <w:pPr>
        <w:pStyle w:val="NormalWeb"/>
        <w:jc w:val="both"/>
        <w:rPr>
          <w:rFonts w:ascii="Arial" w:hAnsi="Arial" w:cs="Arial"/>
        </w:rPr>
      </w:pPr>
      <w:r>
        <w:rPr>
          <w:rFonts w:ascii="Arial" w:hAnsi="Arial" w:cs="Arial"/>
        </w:rPr>
        <w:t xml:space="preserve">Predictive analytics can forecast candidate performance and </w:t>
      </w:r>
      <w:r w:rsidR="00FC5677">
        <w:rPr>
          <w:rFonts w:ascii="Arial" w:hAnsi="Arial" w:cs="Arial"/>
        </w:rPr>
        <w:t>employee turnover</w:t>
      </w:r>
      <w:r>
        <w:rPr>
          <w:rFonts w:ascii="Arial" w:hAnsi="Arial" w:cs="Arial"/>
        </w:rPr>
        <w:t>, but may be biased and oversimplify human motivation, overlooking essential contextual factors like emotional labour and safety in high-stress environments.</w:t>
      </w:r>
    </w:p>
    <w:p w14:paraId="54BFE6B8" w14:textId="77777777" w:rsidR="00091E69" w:rsidRPr="00260BD9" w:rsidRDefault="00091E69" w:rsidP="00260BD9">
      <w:pPr>
        <w:pStyle w:val="NormalWeb"/>
        <w:jc w:val="both"/>
        <w:rPr>
          <w:rFonts w:ascii="Arial" w:hAnsi="Arial" w:cs="Arial"/>
        </w:rPr>
      </w:pPr>
      <w:r w:rsidRPr="00260BD9">
        <w:rPr>
          <w:rFonts w:ascii="Arial" w:hAnsi="Arial" w:cs="Arial"/>
        </w:rPr>
        <w:t>Virtual interviews and digital assessment platforms expand geographical reach and accessibility. However, digital literacy disparities may disadvantage candidates from lower-income backgrounds or those less technologically confident, subtly filtering the applicant pool. In addition, asynchronous video tools risk privileging candidates with greater presentation confidence rather than relational leadership competence.</w:t>
      </w:r>
    </w:p>
    <w:p w14:paraId="6102F776" w14:textId="72366A7A" w:rsidR="00091E69" w:rsidRPr="00260BD9" w:rsidRDefault="00091E69" w:rsidP="00260BD9">
      <w:pPr>
        <w:pStyle w:val="NormalWeb"/>
        <w:jc w:val="both"/>
        <w:rPr>
          <w:rFonts w:ascii="Arial" w:hAnsi="Arial" w:cs="Arial"/>
        </w:rPr>
      </w:pPr>
      <w:r w:rsidRPr="00260BD9">
        <w:rPr>
          <w:rFonts w:ascii="Arial" w:hAnsi="Arial" w:cs="Arial"/>
        </w:rPr>
        <w:t xml:space="preserve">Employee analytics platforms enhance engagement tracking and performance management, but excessive monitoring may generate surveillance perceptions, undermining psychological safety. Therefore, technological integration at Rootwings must be accompanied by bias audits, human oversight, transparent governance, and ethical design principles. </w:t>
      </w:r>
      <w:r w:rsidR="00E449CA">
        <w:rPr>
          <w:rFonts w:ascii="Arial" w:hAnsi="Arial" w:cs="Arial"/>
        </w:rPr>
        <w:t>Digital competence</w:t>
      </w:r>
      <w:r w:rsidR="000B1D42">
        <w:rPr>
          <w:rFonts w:ascii="Arial" w:hAnsi="Arial" w:cs="Arial"/>
        </w:rPr>
        <w:t xml:space="preserve"> cannot be forced. </w:t>
      </w:r>
      <w:r w:rsidR="00B20A61">
        <w:rPr>
          <w:rFonts w:ascii="Arial" w:hAnsi="Arial" w:cs="Arial"/>
        </w:rPr>
        <w:t>Kotter's first step (</w:t>
      </w:r>
      <w:r w:rsidR="005E5C4C">
        <w:rPr>
          <w:rFonts w:ascii="Arial" w:hAnsi="Arial" w:cs="Arial"/>
        </w:rPr>
        <w:t>C</w:t>
      </w:r>
      <w:r w:rsidR="00B20A61">
        <w:rPr>
          <w:rFonts w:ascii="Arial" w:hAnsi="Arial" w:cs="Arial"/>
        </w:rPr>
        <w:t xml:space="preserve">reate </w:t>
      </w:r>
      <w:r w:rsidR="005E5C4C">
        <w:rPr>
          <w:rFonts w:ascii="Arial" w:hAnsi="Arial" w:cs="Arial"/>
        </w:rPr>
        <w:t>U</w:t>
      </w:r>
      <w:r w:rsidR="00D86407">
        <w:rPr>
          <w:rFonts w:ascii="Arial" w:hAnsi="Arial" w:cs="Arial"/>
        </w:rPr>
        <w:t>rgency) in</w:t>
      </w:r>
      <w:r w:rsidR="00B20A61">
        <w:rPr>
          <w:rFonts w:ascii="Arial" w:hAnsi="Arial" w:cs="Arial"/>
        </w:rPr>
        <w:t xml:space="preserve"> his 8 Step Change Model implies that an AP manager should frame new safeguarding AI</w:t>
      </w:r>
      <w:r w:rsidR="00D152FF">
        <w:rPr>
          <w:rFonts w:ascii="Arial" w:hAnsi="Arial" w:cs="Arial"/>
        </w:rPr>
        <w:t xml:space="preserve"> as vital for regulatory compliance</w:t>
      </w:r>
      <w:r w:rsidR="006236EE">
        <w:rPr>
          <w:rFonts w:ascii="Arial" w:hAnsi="Arial" w:cs="Arial"/>
        </w:rPr>
        <w:t>. Step 5 (Empower Action)</w:t>
      </w:r>
      <w:r w:rsidR="005A0B94">
        <w:rPr>
          <w:rFonts w:ascii="Arial" w:hAnsi="Arial" w:cs="Arial"/>
        </w:rPr>
        <w:t xml:space="preserve"> suggests </w:t>
      </w:r>
      <w:r w:rsidR="00B20A61">
        <w:rPr>
          <w:rFonts w:ascii="Arial" w:hAnsi="Arial" w:cs="Arial"/>
        </w:rPr>
        <w:t>that H</w:t>
      </w:r>
      <w:r w:rsidR="00490DF5">
        <w:rPr>
          <w:rFonts w:ascii="Arial" w:hAnsi="Arial" w:cs="Arial"/>
        </w:rPr>
        <w:t>R</w:t>
      </w:r>
      <w:r w:rsidR="00B20A61">
        <w:rPr>
          <w:rFonts w:ascii="Arial" w:hAnsi="Arial" w:cs="Arial"/>
        </w:rPr>
        <w:t xml:space="preserve"> must provide necessary training to tech-resistant</w:t>
      </w:r>
      <w:r w:rsidR="000038A0">
        <w:rPr>
          <w:rFonts w:ascii="Arial" w:hAnsi="Arial" w:cs="Arial"/>
        </w:rPr>
        <w:t xml:space="preserve"> staff to overcome</w:t>
      </w:r>
      <w:r w:rsidR="00B20A61">
        <w:rPr>
          <w:rFonts w:ascii="Arial" w:hAnsi="Arial" w:cs="Arial"/>
        </w:rPr>
        <w:t xml:space="preserve"> structural limitations.</w:t>
      </w:r>
      <w:r w:rsidR="00ED2A54">
        <w:rPr>
          <w:rFonts w:ascii="Arial" w:hAnsi="Arial" w:cs="Arial"/>
        </w:rPr>
        <w:t xml:space="preserve"> </w:t>
      </w:r>
      <w:r w:rsidRPr="00260BD9">
        <w:rPr>
          <w:rFonts w:ascii="Arial" w:hAnsi="Arial" w:cs="Arial"/>
        </w:rPr>
        <w:t>Without critical scrutiny, digital efficiency may inadvertently entrench inequality rather than resolve it.</w:t>
      </w:r>
    </w:p>
    <w:p w14:paraId="23BE586E" w14:textId="5AA59AA0" w:rsidR="00C45D49" w:rsidRPr="00260BD9" w:rsidRDefault="00C45D49" w:rsidP="00260BD9">
      <w:pPr>
        <w:spacing w:after="120" w:line="240" w:lineRule="auto"/>
        <w:jc w:val="both"/>
        <w:outlineLvl w:val="2"/>
        <w:rPr>
          <w:rFonts w:ascii="Arial" w:eastAsia="Times New Roman" w:hAnsi="Arial" w:cs="Arial"/>
          <w:b/>
          <w:bCs/>
          <w:color w:val="1F1F1F"/>
          <w:kern w:val="0"/>
          <w:lang w:eastAsia="en-GB"/>
          <w14:ligatures w14:val="none"/>
        </w:rPr>
      </w:pPr>
      <w:r w:rsidRPr="00260BD9">
        <w:rPr>
          <w:rFonts w:ascii="Arial" w:eastAsia="Times New Roman" w:hAnsi="Arial" w:cs="Arial"/>
          <w:b/>
          <w:bCs/>
          <w:color w:val="1F1F1F"/>
          <w:kern w:val="0"/>
          <w:lang w:eastAsia="en-GB"/>
          <w14:ligatures w14:val="none"/>
        </w:rPr>
        <w:t>Talent Acquisition &amp; Retention</w:t>
      </w:r>
    </w:p>
    <w:p w14:paraId="2464AF01" w14:textId="6A829DDA" w:rsidR="006A3915" w:rsidRPr="006A3915" w:rsidRDefault="00810644" w:rsidP="00260BD9">
      <w:pPr>
        <w:spacing w:before="100" w:beforeAutospacing="1" w:after="100" w:afterAutospacing="1" w:line="24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In a competitive education </w:t>
      </w:r>
      <w:r w:rsidR="008817B1">
        <w:rPr>
          <w:rFonts w:ascii="Arial" w:eastAsia="Times New Roman" w:hAnsi="Arial" w:cs="Arial"/>
          <w:kern w:val="0"/>
          <w:lang w:eastAsia="en-GB"/>
          <w14:ligatures w14:val="none"/>
        </w:rPr>
        <w:t>labour</w:t>
      </w:r>
      <w:r>
        <w:rPr>
          <w:rFonts w:ascii="Arial" w:eastAsia="Times New Roman" w:hAnsi="Arial" w:cs="Arial"/>
          <w:kern w:val="0"/>
          <w:lang w:eastAsia="en-GB"/>
          <w14:ligatures w14:val="none"/>
        </w:rPr>
        <w:t xml:space="preserve"> market, salary alone is insufficient to attract or retain an</w:t>
      </w:r>
      <w:r w:rsidR="0039176C">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AP Manager.</w:t>
      </w:r>
      <w:r w:rsidR="0039176C">
        <w:rPr>
          <w:rFonts w:ascii="Arial" w:eastAsia="Times New Roman" w:hAnsi="Arial" w:cs="Arial"/>
          <w:kern w:val="0"/>
          <w:lang w:eastAsia="en-GB"/>
          <w14:ligatures w14:val="none"/>
        </w:rPr>
        <w:t xml:space="preserve"> </w:t>
      </w:r>
      <w:r w:rsidR="0039176C" w:rsidRPr="0039176C">
        <w:rPr>
          <w:rFonts w:ascii="Arial" w:hAnsi="Arial" w:cs="Arial"/>
        </w:rPr>
        <w:t xml:space="preserve">Procter-Legg (2025) found that </w:t>
      </w:r>
      <w:r w:rsidR="007A178A">
        <w:rPr>
          <w:rFonts w:ascii="Arial" w:hAnsi="Arial" w:cs="Arial"/>
        </w:rPr>
        <w:t>early-career teachers in England, including those in special school settings, are most at risk of leaving within 5 years.</w:t>
      </w:r>
      <w:r w:rsidR="0039176C" w:rsidRPr="0039176C">
        <w:rPr>
          <w:rFonts w:ascii="Arial" w:hAnsi="Arial" w:cs="Arial"/>
        </w:rPr>
        <w:t xml:space="preserve"> </w:t>
      </w:r>
      <w:r>
        <w:rPr>
          <w:rFonts w:ascii="Arial" w:eastAsia="Times New Roman" w:hAnsi="Arial" w:cs="Arial"/>
          <w:kern w:val="0"/>
          <w:lang w:eastAsia="en-GB"/>
          <w14:ligatures w14:val="none"/>
        </w:rPr>
        <w:t>A Total Reward framework combining transactional and relational aspects is essential. While pay may entice applicants, intrinsic motivators like professional growth and meaningful work are crucial for long-term retention, along with structured supervision and wellbeing initiatives.</w:t>
      </w:r>
    </w:p>
    <w:p w14:paraId="46957B12" w14:textId="6218736B" w:rsidR="002A1294" w:rsidRPr="00260BD9" w:rsidRDefault="002A1294" w:rsidP="00260BD9">
      <w:pPr>
        <w:spacing w:before="100" w:beforeAutospacing="1" w:after="100" w:afterAutospacing="1" w:line="240" w:lineRule="auto"/>
        <w:jc w:val="both"/>
        <w:rPr>
          <w:rFonts w:ascii="Arial" w:eastAsia="Times New Roman" w:hAnsi="Arial" w:cs="Arial"/>
          <w:kern w:val="0"/>
          <w:lang w:eastAsia="en-GB"/>
          <w14:ligatures w14:val="none"/>
        </w:rPr>
      </w:pPr>
      <w:r w:rsidRPr="00260BD9">
        <w:rPr>
          <w:rFonts w:ascii="Arial" w:eastAsia="Times New Roman" w:hAnsi="Arial" w:cs="Arial"/>
          <w:kern w:val="0"/>
          <w:lang w:eastAsia="en-GB"/>
          <w14:ligatures w14:val="none"/>
        </w:rPr>
        <w:t>Total Reward models pose challenges, as informal distribution of development opportunities can reinforce power hierarchies, limiting advancement for underrepresented groups. Transparency in Training Needs Analysis (TNA) is crucial for equitable access to opportunities</w:t>
      </w:r>
      <w:r w:rsidR="007A6398">
        <w:rPr>
          <w:rFonts w:ascii="Arial" w:eastAsia="Times New Roman" w:hAnsi="Arial" w:cs="Arial"/>
          <w:kern w:val="0"/>
          <w:lang w:eastAsia="en-GB"/>
          <w14:ligatures w14:val="none"/>
        </w:rPr>
        <w:t xml:space="preserve"> (Torrington et </w:t>
      </w:r>
      <w:r w:rsidR="006E76F5">
        <w:rPr>
          <w:rFonts w:ascii="Arial" w:eastAsia="Times New Roman" w:hAnsi="Arial" w:cs="Arial"/>
          <w:kern w:val="0"/>
          <w:lang w:eastAsia="en-GB"/>
          <w14:ligatures w14:val="none"/>
        </w:rPr>
        <w:t>al, 2020).</w:t>
      </w:r>
    </w:p>
    <w:p w14:paraId="3380B2BC" w14:textId="40549C24" w:rsidR="006A3915" w:rsidRDefault="006F4D07" w:rsidP="00260BD9">
      <w:pPr>
        <w:spacing w:before="100" w:beforeAutospacing="1" w:after="100" w:afterAutospacing="1" w:line="24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lastRenderedPageBreak/>
        <w:t xml:space="preserve">Competency-based selection methods, </w:t>
      </w:r>
      <w:r w:rsidR="008817B1">
        <w:rPr>
          <w:rFonts w:ascii="Arial" w:eastAsia="Times New Roman" w:hAnsi="Arial" w:cs="Arial"/>
          <w:kern w:val="0"/>
          <w:lang w:eastAsia="en-GB"/>
          <w14:ligatures w14:val="none"/>
        </w:rPr>
        <w:t>such as micro-teaching from Kolb’s Experiential Learning Theory, enhance predictive validity by assessing skills through simulations rather than</w:t>
      </w:r>
      <w:r>
        <w:rPr>
          <w:rFonts w:ascii="Arial" w:eastAsia="Times New Roman" w:hAnsi="Arial" w:cs="Arial"/>
          <w:kern w:val="0"/>
          <w:lang w:eastAsia="en-GB"/>
          <w14:ligatures w14:val="none"/>
        </w:rPr>
        <w:t xml:space="preserve"> self-reports. However, they may disadvantage non-traditional applicants. </w:t>
      </w:r>
      <w:r w:rsidR="008817B1">
        <w:rPr>
          <w:rFonts w:ascii="Arial" w:eastAsia="Times New Roman" w:hAnsi="Arial" w:cs="Arial"/>
          <w:kern w:val="0"/>
          <w:lang w:eastAsia="en-GB"/>
          <w14:ligatures w14:val="none"/>
        </w:rPr>
        <w:t>Emphasising</w:t>
      </w:r>
      <w:r>
        <w:rPr>
          <w:rFonts w:ascii="Arial" w:eastAsia="Times New Roman" w:hAnsi="Arial" w:cs="Arial"/>
          <w:kern w:val="0"/>
          <w:lang w:eastAsia="en-GB"/>
          <w14:ligatures w14:val="none"/>
        </w:rPr>
        <w:t xml:space="preserve"> cultural fit can perpetuate homogeneity, necessitating equitable implementation and transparency to prevent </w:t>
      </w:r>
      <w:r w:rsidR="008817B1">
        <w:rPr>
          <w:rFonts w:ascii="Arial" w:eastAsia="Times New Roman" w:hAnsi="Arial" w:cs="Arial"/>
          <w:kern w:val="0"/>
          <w:lang w:eastAsia="en-GB"/>
          <w14:ligatures w14:val="none"/>
        </w:rPr>
        <w:t>the reinforcement of</w:t>
      </w:r>
      <w:r>
        <w:rPr>
          <w:rFonts w:ascii="Arial" w:eastAsia="Times New Roman" w:hAnsi="Arial" w:cs="Arial"/>
          <w:kern w:val="0"/>
          <w:lang w:eastAsia="en-GB"/>
          <w14:ligatures w14:val="none"/>
        </w:rPr>
        <w:t xml:space="preserve"> leadership inequalities.</w:t>
      </w:r>
    </w:p>
    <w:p w14:paraId="0D8C35BB" w14:textId="4A00E41A" w:rsidR="00341069" w:rsidRPr="00391C41" w:rsidRDefault="00391C41" w:rsidP="00260BD9">
      <w:pPr>
        <w:spacing w:before="100" w:beforeAutospacing="1" w:after="100" w:afterAutospacing="1" w:line="240" w:lineRule="auto"/>
        <w:jc w:val="both"/>
        <w:rPr>
          <w:rFonts w:ascii="Arial" w:eastAsia="Times New Roman" w:hAnsi="Arial" w:cs="Arial"/>
          <w:kern w:val="0"/>
          <w:lang w:eastAsia="en-GB"/>
          <w14:ligatures w14:val="none"/>
        </w:rPr>
      </w:pPr>
      <w:r w:rsidRPr="00391C41">
        <w:rPr>
          <w:rFonts w:ascii="Arial" w:hAnsi="Arial" w:cs="Arial"/>
        </w:rPr>
        <w:t>Departmental managers must consistently monitor the Cost-Per-Hire (CPH)</w:t>
      </w:r>
      <w:r w:rsidR="00333025">
        <w:rPr>
          <w:rFonts w:ascii="Arial" w:hAnsi="Arial" w:cs="Arial"/>
        </w:rPr>
        <w:t xml:space="preserve"> to ensure</w:t>
      </w:r>
      <w:r w:rsidRPr="00391C41">
        <w:rPr>
          <w:rFonts w:ascii="Arial" w:hAnsi="Arial" w:cs="Arial"/>
        </w:rPr>
        <w:t xml:space="preserve"> it remains within the £3,000–£5,000 threshold. Any variance should trigger a review of the "Strategic Sourcing" mix to ensure maximum Value for Money (VFM).</w:t>
      </w:r>
    </w:p>
    <w:p w14:paraId="3F1CC755" w14:textId="1E21CDE5" w:rsidR="00C45D49" w:rsidRPr="00260BD9" w:rsidRDefault="00C45D49" w:rsidP="00260BD9">
      <w:pPr>
        <w:spacing w:after="120" w:line="240" w:lineRule="auto"/>
        <w:jc w:val="both"/>
        <w:outlineLvl w:val="2"/>
        <w:rPr>
          <w:rFonts w:ascii="Arial" w:eastAsia="Times New Roman" w:hAnsi="Arial" w:cs="Arial"/>
          <w:b/>
          <w:bCs/>
          <w:color w:val="1F1F1F"/>
          <w:kern w:val="0"/>
          <w:lang w:eastAsia="en-GB"/>
          <w14:ligatures w14:val="none"/>
        </w:rPr>
      </w:pPr>
      <w:r w:rsidRPr="00260BD9">
        <w:rPr>
          <w:rFonts w:ascii="Arial" w:eastAsia="Times New Roman" w:hAnsi="Arial" w:cs="Arial"/>
          <w:b/>
          <w:bCs/>
          <w:color w:val="1F1F1F"/>
          <w:kern w:val="0"/>
          <w:lang w:eastAsia="en-GB"/>
          <w14:ligatures w14:val="none"/>
        </w:rPr>
        <w:t>Diversity, Equity, and Inclusion (DEI</w:t>
      </w:r>
      <w:r w:rsidR="00CB2D4C">
        <w:rPr>
          <w:rFonts w:ascii="Arial" w:eastAsia="Times New Roman" w:hAnsi="Arial" w:cs="Arial"/>
          <w:b/>
          <w:bCs/>
          <w:color w:val="1F1F1F"/>
          <w:kern w:val="0"/>
          <w:lang w:eastAsia="en-GB"/>
          <w14:ligatures w14:val="none"/>
        </w:rPr>
        <w:t>)</w:t>
      </w:r>
    </w:p>
    <w:p w14:paraId="467CC184" w14:textId="50C1AA1F" w:rsidR="00F64A94" w:rsidRPr="00260BD9" w:rsidRDefault="0094751C" w:rsidP="00260BD9">
      <w:pPr>
        <w:pStyle w:val="NormalWeb"/>
        <w:jc w:val="both"/>
        <w:rPr>
          <w:rFonts w:ascii="Arial" w:hAnsi="Arial" w:cs="Arial"/>
        </w:rPr>
      </w:pPr>
      <w:r>
        <w:rPr>
          <w:rFonts w:ascii="Arial" w:hAnsi="Arial" w:cs="Arial"/>
        </w:rPr>
        <w:t xml:space="preserve">Rootwings uses a scientific recruitment approach to enhance Diversity, Equity, and Inclusion (DEI) through methods like blind shortlisting, which aim to reduce bias. However, despite improved fairness </w:t>
      </w:r>
      <w:r w:rsidR="00CD29D9">
        <w:rPr>
          <w:rFonts w:ascii="Arial" w:hAnsi="Arial" w:cs="Arial"/>
        </w:rPr>
        <w:t xml:space="preserve">in trials, minority representation at senior levels remains low, suggesting </w:t>
      </w:r>
      <w:r w:rsidR="00333025">
        <w:rPr>
          <w:rFonts w:ascii="Arial" w:hAnsi="Arial" w:cs="Arial"/>
        </w:rPr>
        <w:t>more profound</w:t>
      </w:r>
      <w:r w:rsidR="00CD29D9">
        <w:rPr>
          <w:rFonts w:ascii="Arial" w:hAnsi="Arial" w:cs="Arial"/>
        </w:rPr>
        <w:t xml:space="preserve"> </w:t>
      </w:r>
      <w:r w:rsidR="00C7366D">
        <w:rPr>
          <w:rFonts w:ascii="Arial" w:hAnsi="Arial" w:cs="Arial"/>
        </w:rPr>
        <w:t>discrimination</w:t>
      </w:r>
      <w:r w:rsidR="00CD29D9">
        <w:rPr>
          <w:rFonts w:ascii="Arial" w:hAnsi="Arial" w:cs="Arial"/>
        </w:rPr>
        <w:t xml:space="preserve"> in decision-making</w:t>
      </w:r>
      <w:r>
        <w:rPr>
          <w:rFonts w:ascii="Arial" w:hAnsi="Arial" w:cs="Arial"/>
        </w:rPr>
        <w:t>.</w:t>
      </w:r>
    </w:p>
    <w:p w14:paraId="3B18C5D6" w14:textId="4C71D721" w:rsidR="00F64A94" w:rsidRPr="00260BD9" w:rsidRDefault="00B22F33" w:rsidP="00260BD9">
      <w:pPr>
        <w:pStyle w:val="NormalWeb"/>
        <w:jc w:val="both"/>
        <w:rPr>
          <w:rFonts w:ascii="Arial" w:hAnsi="Arial" w:cs="Arial"/>
        </w:rPr>
      </w:pPr>
      <w:r>
        <w:rPr>
          <w:rFonts w:ascii="Arial" w:hAnsi="Arial" w:cs="Arial"/>
        </w:rPr>
        <w:t xml:space="preserve">Diverse interview panels are intended to </w:t>
      </w:r>
      <w:r w:rsidR="00160539">
        <w:rPr>
          <w:rFonts w:ascii="Arial" w:hAnsi="Arial" w:cs="Arial"/>
        </w:rPr>
        <w:t>minimise</w:t>
      </w:r>
      <w:r>
        <w:rPr>
          <w:rFonts w:ascii="Arial" w:hAnsi="Arial" w:cs="Arial"/>
        </w:rPr>
        <w:t xml:space="preserve"> in-group bias, </w:t>
      </w:r>
      <w:r w:rsidR="00160539">
        <w:rPr>
          <w:rFonts w:ascii="Arial" w:hAnsi="Arial" w:cs="Arial"/>
        </w:rPr>
        <w:t>in line with</w:t>
      </w:r>
      <w:r>
        <w:rPr>
          <w:rFonts w:ascii="Arial" w:hAnsi="Arial" w:cs="Arial"/>
        </w:rPr>
        <w:t xml:space="preserve"> Social Identity Theory (Tajfel and Turner, 1979). However, diversity doesn’t guarantee fair outcomes if influenced by dominant </w:t>
      </w:r>
      <w:r w:rsidR="00160539">
        <w:rPr>
          <w:rFonts w:ascii="Arial" w:hAnsi="Arial" w:cs="Arial"/>
        </w:rPr>
        <w:t>organisational</w:t>
      </w:r>
      <w:r>
        <w:rPr>
          <w:rFonts w:ascii="Arial" w:hAnsi="Arial" w:cs="Arial"/>
        </w:rPr>
        <w:t xml:space="preserve"> norms. Without shared authority and structured scoring, panel diversity might remain symbolic rather than transformative.</w:t>
      </w:r>
    </w:p>
    <w:p w14:paraId="406A7743" w14:textId="1F6BE178" w:rsidR="00F64A94" w:rsidRPr="00260BD9" w:rsidRDefault="00160539" w:rsidP="00260BD9">
      <w:pPr>
        <w:pStyle w:val="NormalWeb"/>
        <w:jc w:val="both"/>
        <w:rPr>
          <w:rFonts w:ascii="Arial" w:hAnsi="Arial" w:cs="Arial"/>
        </w:rPr>
      </w:pPr>
      <w:r>
        <w:rPr>
          <w:rFonts w:ascii="Arial" w:hAnsi="Arial" w:cs="Arial"/>
        </w:rPr>
        <w:t xml:space="preserve">The distinction between equity and equality is </w:t>
      </w:r>
      <w:r w:rsidR="00CD29D9">
        <w:rPr>
          <w:rFonts w:ascii="Arial" w:hAnsi="Arial" w:cs="Arial"/>
        </w:rPr>
        <w:t>essential</w:t>
      </w:r>
      <w:r>
        <w:rPr>
          <w:rFonts w:ascii="Arial" w:hAnsi="Arial" w:cs="Arial"/>
        </w:rPr>
        <w:t xml:space="preserve">. Reasonable adjustments align with the Equality Act 2010 and reflect Adams’ (1965) Equity Theory, which emphasises fairness through proportional treatment. However, unclear equity practices may lead to perceptions of favouritism, threatening </w:t>
      </w:r>
      <w:r w:rsidR="00D00456">
        <w:rPr>
          <w:rFonts w:ascii="Arial" w:hAnsi="Arial" w:cs="Arial"/>
        </w:rPr>
        <w:t>organisational</w:t>
      </w:r>
      <w:r>
        <w:rPr>
          <w:rFonts w:ascii="Arial" w:hAnsi="Arial" w:cs="Arial"/>
        </w:rPr>
        <w:t xml:space="preserve"> cohesion due to opacity.</w:t>
      </w:r>
    </w:p>
    <w:p w14:paraId="4F6E1AFB" w14:textId="3FC75B78" w:rsidR="00F64A94" w:rsidRPr="00260BD9" w:rsidRDefault="00D00456" w:rsidP="00260BD9">
      <w:pPr>
        <w:pStyle w:val="NormalWeb"/>
        <w:jc w:val="both"/>
        <w:rPr>
          <w:rFonts w:ascii="Arial" w:hAnsi="Arial" w:cs="Arial"/>
        </w:rPr>
      </w:pPr>
      <w:r>
        <w:rPr>
          <w:rFonts w:ascii="Arial" w:hAnsi="Arial" w:cs="Arial"/>
        </w:rPr>
        <w:t xml:space="preserve">Language auditing of job ads, using software to eliminate gender-coded terms, can broaden applicant pools. However, without focusing on progression pathways, mentoring, and promotion criteria, these efforts may be merely performative (Muller, 2018). Rootwings demonstrates procedural fairness, but meaningful change necessitates </w:t>
      </w:r>
      <w:r w:rsidR="00B10FF5">
        <w:rPr>
          <w:rFonts w:ascii="Arial" w:hAnsi="Arial" w:cs="Arial"/>
        </w:rPr>
        <w:t>fundamental alignment</w:t>
      </w:r>
      <w:r>
        <w:rPr>
          <w:rFonts w:ascii="Arial" w:hAnsi="Arial" w:cs="Arial"/>
        </w:rPr>
        <w:t xml:space="preserve"> that </w:t>
      </w:r>
      <w:r w:rsidR="00B10FF5">
        <w:rPr>
          <w:rFonts w:ascii="Arial" w:hAnsi="Arial" w:cs="Arial"/>
        </w:rPr>
        <w:t>influences</w:t>
      </w:r>
      <w:r>
        <w:rPr>
          <w:rFonts w:ascii="Arial" w:hAnsi="Arial" w:cs="Arial"/>
        </w:rPr>
        <w:t xml:space="preserve"> leadership representation and organisational culture.</w:t>
      </w:r>
    </w:p>
    <w:p w14:paraId="78715077" w14:textId="0026FA1B" w:rsidR="00775018" w:rsidRDefault="00D00456" w:rsidP="00775018">
      <w:pPr>
        <w:spacing w:after="240" w:line="240" w:lineRule="auto"/>
        <w:jc w:val="both"/>
        <w:rPr>
          <w:rFonts w:ascii="Arial" w:eastAsia="Times New Roman" w:hAnsi="Arial" w:cs="Arial"/>
          <w:color w:val="1F1F1F"/>
          <w:kern w:val="0"/>
          <w:lang w:eastAsia="en-GB"/>
          <w14:ligatures w14:val="none"/>
        </w:rPr>
      </w:pPr>
      <w:r>
        <w:rPr>
          <w:rFonts w:ascii="Arial" w:eastAsia="Times New Roman" w:hAnsi="Arial" w:cs="Arial"/>
          <w:color w:val="1F1F1F"/>
          <w:kern w:val="0"/>
          <w:lang w:eastAsia="en-GB"/>
          <w14:ligatures w14:val="none"/>
        </w:rPr>
        <w:t xml:space="preserve">Rootwings Academy's contemporary HR practices focus on creating a resilient, tech-savvy, and inclusive workforce ready to meet the unique challenges of the alternative provision sector. The effectiveness of these practices can be evaluated using </w:t>
      </w:r>
      <w:r w:rsidR="001450AF">
        <w:rPr>
          <w:rFonts w:ascii="Arial" w:eastAsia="Times New Roman" w:hAnsi="Arial" w:cs="Arial"/>
          <w:color w:val="1F1F1F"/>
          <w:kern w:val="0"/>
          <w:lang w:eastAsia="en-GB"/>
          <w14:ligatures w14:val="none"/>
        </w:rPr>
        <w:t>measurable</w:t>
      </w:r>
      <w:r>
        <w:rPr>
          <w:rFonts w:ascii="Arial" w:eastAsia="Times New Roman" w:hAnsi="Arial" w:cs="Arial"/>
          <w:color w:val="1F1F1F"/>
          <w:kern w:val="0"/>
          <w:lang w:eastAsia="en-GB"/>
          <w14:ligatures w14:val="none"/>
        </w:rPr>
        <w:t xml:space="preserve"> performance frameworks, such as the Balanced Scorecard.</w:t>
      </w:r>
    </w:p>
    <w:p w14:paraId="4E37D067" w14:textId="72559F25" w:rsidR="00775018" w:rsidRDefault="00BD5C39" w:rsidP="00775018">
      <w:pPr>
        <w:spacing w:after="240" w:line="240" w:lineRule="auto"/>
        <w:jc w:val="both"/>
        <w:rPr>
          <w:rFonts w:ascii="Arial" w:eastAsia="Times New Roman" w:hAnsi="Arial" w:cs="Arial"/>
          <w:color w:val="1F1F1F"/>
          <w:kern w:val="0"/>
          <w:lang w:eastAsia="en-GB"/>
          <w14:ligatures w14:val="none"/>
        </w:rPr>
      </w:pPr>
      <w:r>
        <w:rPr>
          <w:noProof/>
        </w:rPr>
        <w:drawing>
          <wp:anchor distT="0" distB="0" distL="114300" distR="114300" simplePos="0" relativeHeight="251658244" behindDoc="0" locked="0" layoutInCell="1" allowOverlap="1" wp14:anchorId="7B208B94" wp14:editId="2C300F56">
            <wp:simplePos x="0" y="0"/>
            <wp:positionH relativeFrom="margin">
              <wp:posOffset>701040</wp:posOffset>
            </wp:positionH>
            <wp:positionV relativeFrom="margin">
              <wp:posOffset>6920865</wp:posOffset>
            </wp:positionV>
            <wp:extent cx="4290060" cy="1752600"/>
            <wp:effectExtent l="0" t="0" r="0" b="0"/>
            <wp:wrapSquare wrapText="bothSides"/>
            <wp:docPr id="4" name="Content Placeholder 3">
              <a:extLst xmlns:a="http://schemas.openxmlformats.org/drawingml/2006/main">
                <a:ext uri="{FF2B5EF4-FFF2-40B4-BE49-F238E27FC236}">
                  <a16:creationId xmlns:a16="http://schemas.microsoft.com/office/drawing/2014/main" id="{90FEC49A-E810-A1C1-BD3F-CCC0FDB46A5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90FEC49A-E810-A1C1-BD3F-CCC0FDB46A5C}"/>
                        </a:ext>
                      </a:extLst>
                    </pic:cNvPr>
                    <pic:cNvPicPr>
                      <a:picLocks noGrp="1" noChangeAspect="1"/>
                    </pic:cNvPicPr>
                  </pic:nvPicPr>
                  <pic:blipFill rotWithShape="1">
                    <a:blip r:embed="rId8" cstate="print">
                      <a:extLst>
                        <a:ext uri="{28A0092B-C50C-407E-A947-70E740481C1C}">
                          <a14:useLocalDpi xmlns:a14="http://schemas.microsoft.com/office/drawing/2010/main" val="0"/>
                        </a:ext>
                      </a:extLst>
                    </a:blip>
                    <a:srcRect l="4292" t="11228" r="2766" b="12823"/>
                    <a:stretch>
                      <a:fillRect/>
                    </a:stretch>
                  </pic:blipFill>
                  <pic:spPr bwMode="auto">
                    <a:xfrm>
                      <a:off x="0" y="0"/>
                      <a:ext cx="4290060" cy="1752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A56EC6" w14:textId="720FB299" w:rsidR="00775018" w:rsidRDefault="00775018" w:rsidP="00775018">
      <w:pPr>
        <w:spacing w:after="240" w:line="240" w:lineRule="auto"/>
        <w:jc w:val="both"/>
        <w:rPr>
          <w:rFonts w:ascii="Arial" w:eastAsia="Times New Roman" w:hAnsi="Arial" w:cs="Arial"/>
          <w:color w:val="1F1F1F"/>
          <w:kern w:val="0"/>
          <w:lang w:eastAsia="en-GB"/>
          <w14:ligatures w14:val="none"/>
        </w:rPr>
      </w:pPr>
    </w:p>
    <w:p w14:paraId="744AEEA5" w14:textId="373B0B63" w:rsidR="00775018" w:rsidRDefault="00775018" w:rsidP="00775018">
      <w:pPr>
        <w:spacing w:after="240" w:line="240" w:lineRule="auto"/>
        <w:jc w:val="both"/>
        <w:rPr>
          <w:rFonts w:ascii="Arial" w:eastAsia="Times New Roman" w:hAnsi="Arial" w:cs="Arial"/>
          <w:color w:val="1F1F1F"/>
          <w:kern w:val="0"/>
          <w:lang w:eastAsia="en-GB"/>
          <w14:ligatures w14:val="none"/>
        </w:rPr>
      </w:pPr>
    </w:p>
    <w:p w14:paraId="443B69C5" w14:textId="3EC341D2" w:rsidR="00775018" w:rsidRDefault="00775018" w:rsidP="00775018">
      <w:pPr>
        <w:spacing w:after="240" w:line="240" w:lineRule="auto"/>
        <w:jc w:val="both"/>
        <w:rPr>
          <w:rFonts w:ascii="Arial" w:eastAsia="Times New Roman" w:hAnsi="Arial" w:cs="Arial"/>
          <w:color w:val="1F1F1F"/>
          <w:kern w:val="0"/>
          <w:lang w:eastAsia="en-GB"/>
          <w14:ligatures w14:val="none"/>
        </w:rPr>
      </w:pPr>
    </w:p>
    <w:p w14:paraId="342AC0AD" w14:textId="00B4F009" w:rsidR="00775018" w:rsidRDefault="00775018" w:rsidP="00775018">
      <w:pPr>
        <w:spacing w:after="240" w:line="240" w:lineRule="auto"/>
        <w:jc w:val="both"/>
        <w:rPr>
          <w:rFonts w:ascii="Arial" w:eastAsia="Times New Roman" w:hAnsi="Arial" w:cs="Arial"/>
          <w:color w:val="1F1F1F"/>
          <w:kern w:val="0"/>
          <w:lang w:eastAsia="en-GB"/>
          <w14:ligatures w14:val="none"/>
        </w:rPr>
      </w:pPr>
    </w:p>
    <w:p w14:paraId="6C00946F" w14:textId="77777777" w:rsidR="00DF274B" w:rsidRDefault="00DF274B" w:rsidP="00775018">
      <w:pPr>
        <w:spacing w:after="240" w:line="240" w:lineRule="auto"/>
        <w:jc w:val="both"/>
        <w:rPr>
          <w:rFonts w:ascii="Arial" w:eastAsia="Times New Roman" w:hAnsi="Arial" w:cs="Arial"/>
          <w:b/>
          <w:bCs/>
          <w:kern w:val="36"/>
          <w:u w:val="single"/>
          <w:lang w:eastAsia="en-GB"/>
          <w14:ligatures w14:val="none"/>
        </w:rPr>
      </w:pPr>
    </w:p>
    <w:p w14:paraId="51F00CAE" w14:textId="6F9D4870" w:rsidR="00203374" w:rsidRDefault="00CB59B6" w:rsidP="00775018">
      <w:pPr>
        <w:spacing w:after="240" w:line="240" w:lineRule="auto"/>
        <w:jc w:val="both"/>
        <w:rPr>
          <w:rFonts w:ascii="Arial" w:eastAsia="Times New Roman" w:hAnsi="Arial" w:cs="Arial"/>
          <w:b/>
          <w:bCs/>
          <w:kern w:val="36"/>
          <w:u w:val="single"/>
          <w:lang w:eastAsia="en-GB"/>
          <w14:ligatures w14:val="none"/>
        </w:rPr>
      </w:pPr>
      <w:r>
        <w:rPr>
          <w:noProof/>
        </w:rPr>
        <mc:AlternateContent>
          <mc:Choice Requires="wps">
            <w:drawing>
              <wp:anchor distT="0" distB="0" distL="114300" distR="114300" simplePos="0" relativeHeight="251658245" behindDoc="0" locked="0" layoutInCell="1" allowOverlap="1" wp14:anchorId="6CF2BB45" wp14:editId="22615526">
                <wp:simplePos x="0" y="0"/>
                <wp:positionH relativeFrom="column">
                  <wp:posOffset>2674620</wp:posOffset>
                </wp:positionH>
                <wp:positionV relativeFrom="paragraph">
                  <wp:posOffset>110490</wp:posOffset>
                </wp:positionV>
                <wp:extent cx="2316480" cy="243840"/>
                <wp:effectExtent l="0" t="0" r="0" b="0"/>
                <wp:wrapNone/>
                <wp:docPr id="7" name="TextBox 6">
                  <a:extLst xmlns:a="http://schemas.openxmlformats.org/drawingml/2006/main">
                    <a:ext uri="{FF2B5EF4-FFF2-40B4-BE49-F238E27FC236}">
                      <a16:creationId xmlns:a16="http://schemas.microsoft.com/office/drawing/2014/main" id="{96B72D49-55CC-4235-B941-BFA069466830}"/>
                    </a:ext>
                  </a:extLst>
                </wp:docPr>
                <wp:cNvGraphicFramePr/>
                <a:graphic xmlns:a="http://schemas.openxmlformats.org/drawingml/2006/main">
                  <a:graphicData uri="http://schemas.microsoft.com/office/word/2010/wordprocessingShape">
                    <wps:wsp>
                      <wps:cNvSpPr txBox="1"/>
                      <wps:spPr>
                        <a:xfrm>
                          <a:off x="0" y="0"/>
                          <a:ext cx="2316480" cy="243840"/>
                        </a:xfrm>
                        <a:prstGeom prst="rect">
                          <a:avLst/>
                        </a:prstGeom>
                        <a:noFill/>
                      </wps:spPr>
                      <wps:txbx>
                        <w:txbxContent>
                          <w:p w14:paraId="581F18E0" w14:textId="77777777" w:rsidR="0090534A" w:rsidRDefault="0090534A" w:rsidP="0090534A">
                            <w:pPr>
                              <w:rPr>
                                <w:rFonts w:hAnsi="Aptos"/>
                                <w:i/>
                                <w:iCs/>
                                <w:color w:val="000000" w:themeColor="text1"/>
                                <w:kern w:val="24"/>
                                <w:sz w:val="20"/>
                                <w:szCs w:val="20"/>
                                <w14:ligatures w14:val="none"/>
                              </w:rPr>
                            </w:pPr>
                            <w:r>
                              <w:rPr>
                                <w:rFonts w:hAnsi="Aptos"/>
                                <w:i/>
                                <w:iCs/>
                                <w:color w:val="000000" w:themeColor="text1"/>
                                <w:kern w:val="24"/>
                                <w:sz w:val="20"/>
                                <w:szCs w:val="20"/>
                              </w:rPr>
                              <w:t>(Interaction Design Foundation, 2024)</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6CF2BB45" id="_x0000_t202" coordsize="21600,21600" o:spt="202" path="m,l,21600r21600,l21600,xe">
                <v:stroke joinstyle="miter"/>
                <v:path gradientshapeok="t" o:connecttype="rect"/>
              </v:shapetype>
              <v:shape id="TextBox 6" o:spid="_x0000_s1026" type="#_x0000_t202" style="position:absolute;left:0;text-align:left;margin-left:210.6pt;margin-top:8.7pt;width:182.4pt;height:19.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NNgfwEAAOkCAAAOAAAAZHJzL2Uyb0RvYy54bWysUstu2zAQvBfIPxC8x7IdIzAEy0bSIL0E&#10;aYE0H0BTpEVA5LK7tCX/fZe0axftLciFIvcxOzuj1Wb0vTgYJAehkbPJVAoTNLQu7Br5/vP5dikF&#10;JRVa1UMwjTwakpv1zZfVEGszhw761qBgkED1EBvZpRTrqiLdGa9oAtEETlpArxI/cVe1qAZG9301&#10;n07vqwGwjQjaEHH06ZSU64JvrdHpu7VkkugbydxSObGc23xW65Wqd6hi5/SZhvoAC69c4KEXqCeV&#10;lNij+w/KO41AYNNEg6/AWqdN2YG3mU3/2eatU9GUXVgciheZ6PNg9evhLf5AkcZHGNnALMgQqSYO&#10;5n1Giz5/mangPEt4vMhmxiQ0B+d3s/vFklOac/PF3XJRdK2u3REpfTPgRb40EtmWopY6vFDiiVz6&#10;pyQPC/Ds+j7Hr1TyLY3b8cxvC+2RaQ/sXCPp116hkQJT/xWK0SeUh30C68qA3H7qOaOynmXu2fts&#10;2N/vUnX9Q9e/AQAA//8DAFBLAwQUAAYACAAAACEA45LRjt4AAAAJAQAADwAAAGRycy9kb3ducmV2&#10;LnhtbEyPy07DMBBF90j8gzVI7KjdKGnTEKdCILYgykPqzo2nSUQ8jmK3CX/PsKLL0T26c265nV0v&#10;zjiGzpOG5UKBQKq97ajR8PH+fJeDCNGQNb0n1PCDAbbV9VVpCusnesPzLjaCSygURkMb41BIGeoW&#10;nQkLPyBxdvSjM5HPsZF2NBOXu14mSq2kMx3xh9YM+Nhi/b07OQ2fL8f9V6pemyeXDZOflSS3kVrf&#10;3swP9yAizvEfhj99VoeKnQ7+RDaIXkOaLBNGOVinIBhY5ysed9CQZTnIqpSXC6pfAAAA//8DAFBL&#10;AQItABQABgAIAAAAIQC2gziS/gAAAOEBAAATAAAAAAAAAAAAAAAAAAAAAABbQ29udGVudF9UeXBl&#10;c10ueG1sUEsBAi0AFAAGAAgAAAAhADj9If/WAAAAlAEAAAsAAAAAAAAAAAAAAAAALwEAAF9yZWxz&#10;Ly5yZWxzUEsBAi0AFAAGAAgAAAAhAB3w02B/AQAA6QIAAA4AAAAAAAAAAAAAAAAALgIAAGRycy9l&#10;Mm9Eb2MueG1sUEsBAi0AFAAGAAgAAAAhAOOS0Y7eAAAACQEAAA8AAAAAAAAAAAAAAAAA2QMAAGRy&#10;cy9kb3ducmV2LnhtbFBLBQYAAAAABAAEAPMAAADkBAAAAAA=&#10;" filled="f" stroked="f">
                <v:textbox>
                  <w:txbxContent>
                    <w:p w14:paraId="581F18E0" w14:textId="77777777" w:rsidR="0090534A" w:rsidRDefault="0090534A" w:rsidP="0090534A">
                      <w:pPr>
                        <w:rPr>
                          <w:rFonts w:hAnsi="Aptos"/>
                          <w:i/>
                          <w:iCs/>
                          <w:color w:val="000000" w:themeColor="text1"/>
                          <w:kern w:val="24"/>
                          <w:sz w:val="20"/>
                          <w:szCs w:val="20"/>
                          <w14:ligatures w14:val="none"/>
                        </w:rPr>
                      </w:pPr>
                      <w:r>
                        <w:rPr>
                          <w:rFonts w:hAnsi="Aptos"/>
                          <w:i/>
                          <w:iCs/>
                          <w:color w:val="000000" w:themeColor="text1"/>
                          <w:kern w:val="24"/>
                          <w:sz w:val="20"/>
                          <w:szCs w:val="20"/>
                        </w:rPr>
                        <w:t>(Interaction Design Foundation, 2024)</w:t>
                      </w:r>
                    </w:p>
                  </w:txbxContent>
                </v:textbox>
              </v:shape>
            </w:pict>
          </mc:Fallback>
        </mc:AlternateContent>
      </w:r>
    </w:p>
    <w:p w14:paraId="76C6AE30" w14:textId="2C0FFE59" w:rsidR="00FF7C91" w:rsidRPr="006A35EC" w:rsidRDefault="00FF7C91" w:rsidP="00775018">
      <w:pPr>
        <w:spacing w:after="240" w:line="240" w:lineRule="auto"/>
        <w:jc w:val="both"/>
        <w:rPr>
          <w:rFonts w:ascii="Arial" w:eastAsia="Times New Roman" w:hAnsi="Arial" w:cs="Arial"/>
          <w:color w:val="1F1F1F"/>
          <w:kern w:val="0"/>
          <w:lang w:eastAsia="en-GB"/>
          <w14:ligatures w14:val="none"/>
        </w:rPr>
      </w:pPr>
      <w:r w:rsidRPr="006A35EC">
        <w:rPr>
          <w:rFonts w:ascii="Arial" w:eastAsia="Times New Roman" w:hAnsi="Arial" w:cs="Arial"/>
          <w:b/>
          <w:bCs/>
          <w:kern w:val="36"/>
          <w:u w:val="single"/>
          <w:lang w:eastAsia="en-GB"/>
          <w14:ligatures w14:val="none"/>
        </w:rPr>
        <w:lastRenderedPageBreak/>
        <w:t>A Critical Evaluation of How Departmental Managers at Rootwings Academy Can Ensure Urgent Implementation of Contemporary HR Practices</w:t>
      </w:r>
    </w:p>
    <w:p w14:paraId="0541CC53" w14:textId="69C8FCDB" w:rsidR="005F13DE" w:rsidRPr="006A35EC" w:rsidRDefault="006D2BAF" w:rsidP="00260BD9">
      <w:pPr>
        <w:spacing w:before="100" w:beforeAutospacing="1" w:after="100" w:afterAutospacing="1" w:line="240" w:lineRule="auto"/>
        <w:jc w:val="both"/>
        <w:rPr>
          <w:rFonts w:ascii="Arial" w:eastAsia="Times New Roman" w:hAnsi="Arial" w:cs="Arial"/>
          <w:kern w:val="0"/>
          <w:lang w:eastAsia="en-GB"/>
          <w14:ligatures w14:val="none"/>
        </w:rPr>
      </w:pPr>
      <w:r w:rsidRPr="006A35EC">
        <w:rPr>
          <w:rFonts w:ascii="Arial" w:eastAsia="Times New Roman" w:hAnsi="Arial" w:cs="Arial"/>
          <w:kern w:val="0"/>
          <w:lang w:eastAsia="en-GB"/>
          <w14:ligatures w14:val="none"/>
        </w:rPr>
        <w:t>Rootwings Academy needs modern HR practices to support digital transformation, DEI, and quality leadership</w:t>
      </w:r>
      <w:r w:rsidR="00F4620F" w:rsidRPr="006A35EC">
        <w:rPr>
          <w:rFonts w:ascii="Arial" w:eastAsia="Times New Roman" w:hAnsi="Arial" w:cs="Arial"/>
          <w:kern w:val="0"/>
          <w:lang w:eastAsia="en-GB"/>
          <w14:ligatures w14:val="none"/>
        </w:rPr>
        <w:t>, such as</w:t>
      </w:r>
      <w:r w:rsidRPr="006A35EC">
        <w:rPr>
          <w:rFonts w:ascii="Arial" w:eastAsia="Times New Roman" w:hAnsi="Arial" w:cs="Arial"/>
          <w:kern w:val="0"/>
          <w:lang w:eastAsia="en-GB"/>
          <w14:ligatures w14:val="none"/>
        </w:rPr>
        <w:t xml:space="preserve"> the AP Manager. Factors such as accountability and </w:t>
      </w:r>
      <w:r w:rsidR="00F4620F" w:rsidRPr="006A35EC">
        <w:rPr>
          <w:rFonts w:ascii="Arial" w:eastAsia="Times New Roman" w:hAnsi="Arial" w:cs="Arial"/>
          <w:kern w:val="0"/>
          <w:lang w:eastAsia="en-GB"/>
          <w14:ligatures w14:val="none"/>
        </w:rPr>
        <w:t>labour</w:t>
      </w:r>
      <w:r w:rsidRPr="006A35EC">
        <w:rPr>
          <w:rFonts w:ascii="Arial" w:eastAsia="Times New Roman" w:hAnsi="Arial" w:cs="Arial"/>
          <w:kern w:val="0"/>
          <w:lang w:eastAsia="en-GB"/>
          <w14:ligatures w14:val="none"/>
        </w:rPr>
        <w:t xml:space="preserve"> market instability create a limited “window of opportunity” for reform. Kotter (1996) </w:t>
      </w:r>
      <w:r w:rsidR="00F4620F" w:rsidRPr="006A35EC">
        <w:rPr>
          <w:rFonts w:ascii="Arial" w:eastAsia="Times New Roman" w:hAnsi="Arial" w:cs="Arial"/>
          <w:kern w:val="0"/>
          <w:lang w:eastAsia="en-GB"/>
          <w14:ligatures w14:val="none"/>
        </w:rPr>
        <w:t>emphasises</w:t>
      </w:r>
      <w:r w:rsidRPr="006A35EC">
        <w:rPr>
          <w:rFonts w:ascii="Arial" w:eastAsia="Times New Roman" w:hAnsi="Arial" w:cs="Arial"/>
          <w:kern w:val="0"/>
          <w:lang w:eastAsia="en-GB"/>
          <w14:ligatures w14:val="none"/>
        </w:rPr>
        <w:t xml:space="preserve"> that successful change starts with a strong sense of urgency to counter complacency. In education, reforms are often slow due to tradition and autonomy, so urgency must be managed to prevent mere </w:t>
      </w:r>
      <w:r w:rsidR="00245F91" w:rsidRPr="006A35EC">
        <w:rPr>
          <w:rFonts w:ascii="Arial" w:hAnsi="Arial" w:cs="Arial"/>
        </w:rPr>
        <w:t>surface-level reform</w:t>
      </w:r>
      <w:r w:rsidRPr="006A35EC">
        <w:rPr>
          <w:rFonts w:ascii="Arial" w:eastAsia="Times New Roman" w:hAnsi="Arial" w:cs="Arial"/>
          <w:kern w:val="0"/>
          <w:lang w:eastAsia="en-GB"/>
          <w14:ligatures w14:val="none"/>
        </w:rPr>
        <w:t xml:space="preserve">. </w:t>
      </w:r>
      <w:r w:rsidR="00A73842" w:rsidRPr="006A35EC">
        <w:rPr>
          <w:rFonts w:ascii="Arial" w:eastAsia="Times New Roman" w:hAnsi="Arial" w:cs="Arial"/>
          <w:kern w:val="0"/>
          <w:lang w:eastAsia="en-GB"/>
          <w14:ligatures w14:val="none"/>
        </w:rPr>
        <w:t>Recruitment requires</w:t>
      </w:r>
      <w:r w:rsidR="00A73842" w:rsidRPr="006A35EC">
        <w:rPr>
          <w:rFonts w:ascii="Arial" w:hAnsi="Arial" w:cs="Arial"/>
        </w:rPr>
        <w:t xml:space="preserve"> a legally defensible decision architecture. </w:t>
      </w:r>
      <w:r w:rsidRPr="006A35EC">
        <w:rPr>
          <w:rFonts w:ascii="Arial" w:eastAsia="Times New Roman" w:hAnsi="Arial" w:cs="Arial"/>
          <w:kern w:val="0"/>
          <w:lang w:eastAsia="en-GB"/>
          <w14:ligatures w14:val="none"/>
        </w:rPr>
        <w:t>Departmental</w:t>
      </w:r>
      <w:r w:rsidR="007648A2" w:rsidRPr="006A35EC">
        <w:rPr>
          <w:rFonts w:ascii="Arial" w:eastAsia="Times New Roman" w:hAnsi="Arial" w:cs="Arial"/>
          <w:kern w:val="0"/>
          <w:lang w:eastAsia="en-GB"/>
          <w14:ligatures w14:val="none"/>
        </w:rPr>
        <w:t xml:space="preserve"> </w:t>
      </w:r>
      <w:r w:rsidRPr="006A35EC">
        <w:rPr>
          <w:rFonts w:ascii="Arial" w:eastAsia="Times New Roman" w:hAnsi="Arial" w:cs="Arial"/>
          <w:kern w:val="0"/>
          <w:lang w:eastAsia="en-GB"/>
          <w14:ligatures w14:val="none"/>
        </w:rPr>
        <w:t>managers are crucial for effectively implementing these policies.</w:t>
      </w:r>
      <w:r w:rsidR="00105D6E" w:rsidRPr="006A35EC">
        <w:rPr>
          <w:rFonts w:ascii="Arial" w:eastAsia="Times New Roman" w:hAnsi="Arial" w:cs="Arial"/>
          <w:kern w:val="0"/>
          <w:lang w:eastAsia="en-GB"/>
          <w14:ligatures w14:val="none"/>
        </w:rPr>
        <w:t xml:space="preserve"> </w:t>
      </w:r>
    </w:p>
    <w:p w14:paraId="00F8110F" w14:textId="3FDFEC4E" w:rsidR="00497280" w:rsidRPr="006A35EC" w:rsidRDefault="00F4620F" w:rsidP="00260BD9">
      <w:pPr>
        <w:spacing w:before="100" w:beforeAutospacing="1" w:after="100" w:afterAutospacing="1" w:line="240" w:lineRule="auto"/>
        <w:jc w:val="both"/>
        <w:rPr>
          <w:rFonts w:ascii="Arial" w:eastAsia="Times New Roman" w:hAnsi="Arial" w:cs="Arial"/>
          <w:kern w:val="0"/>
          <w:lang w:eastAsia="en-GB"/>
          <w14:ligatures w14:val="none"/>
        </w:rPr>
      </w:pPr>
      <w:r w:rsidRPr="006A35EC">
        <w:rPr>
          <w:rFonts w:ascii="Arial" w:eastAsia="Times New Roman" w:hAnsi="Arial" w:cs="Arial"/>
          <w:kern w:val="0"/>
          <w:lang w:eastAsia="en-GB"/>
          <w14:ligatures w14:val="none"/>
        </w:rPr>
        <w:t>Rootwings must ethically govern AI-driven recruitment and ATS</w:t>
      </w:r>
      <w:r w:rsidR="007D7CFA" w:rsidRPr="006A35EC">
        <w:rPr>
          <w:rFonts w:ascii="Arial" w:eastAsia="Times New Roman" w:hAnsi="Arial" w:cs="Arial"/>
          <w:kern w:val="0"/>
          <w:lang w:eastAsia="en-GB"/>
          <w14:ligatures w14:val="none"/>
        </w:rPr>
        <w:t xml:space="preserve"> </w:t>
      </w:r>
      <w:r w:rsidRPr="006A35EC">
        <w:rPr>
          <w:rFonts w:ascii="Arial" w:eastAsia="Times New Roman" w:hAnsi="Arial" w:cs="Arial"/>
          <w:kern w:val="0"/>
          <w:lang w:eastAsia="en-GB"/>
          <w14:ligatures w14:val="none"/>
        </w:rPr>
        <w:t xml:space="preserve">to avoid perpetuating biases (Raghavan et al., 2020). Managers should implement oversight, conduct bias audits, and maintain human authority in selections. Integrating AI governance indicators into the Balanced Scorecard can measure digital adoption in terms of fairness and quality, but </w:t>
      </w:r>
      <w:r w:rsidR="00CD29D9" w:rsidRPr="006A35EC">
        <w:rPr>
          <w:rFonts w:ascii="Arial" w:eastAsia="Times New Roman" w:hAnsi="Arial" w:cs="Arial"/>
          <w:kern w:val="0"/>
          <w:lang w:eastAsia="en-GB"/>
          <w14:ligatures w14:val="none"/>
        </w:rPr>
        <w:t>qualitative reviews should complement it</w:t>
      </w:r>
      <w:r w:rsidRPr="006A35EC">
        <w:rPr>
          <w:rFonts w:ascii="Arial" w:eastAsia="Times New Roman" w:hAnsi="Arial" w:cs="Arial"/>
          <w:kern w:val="0"/>
          <w:lang w:eastAsia="en-GB"/>
          <w14:ligatures w14:val="none"/>
        </w:rPr>
        <w:t xml:space="preserve"> to prevent performative accountability (Muller, 2018).</w:t>
      </w:r>
    </w:p>
    <w:p w14:paraId="6C334F00" w14:textId="50C367B9" w:rsidR="00C0337C" w:rsidRPr="006A35EC" w:rsidRDefault="00C0337C" w:rsidP="00C0337C">
      <w:pPr>
        <w:pStyle w:val="NormalWeb"/>
        <w:jc w:val="both"/>
        <w:rPr>
          <w:rFonts w:ascii="Arial" w:hAnsi="Arial" w:cs="Arial"/>
        </w:rPr>
      </w:pPr>
      <w:r w:rsidRPr="006A35EC">
        <w:rPr>
          <w:rFonts w:ascii="Arial" w:hAnsi="Arial" w:cs="Arial"/>
        </w:rPr>
        <w:t>However, Muller (2018) warns that reliance on metric-driven accountability risks procedural conformity rather than genuine behavioural change. The Four-Stage Learning Agreement addresses this by integrating within leadership routines, clarifying expectations, diagnosing digital and DEI capability gaps, operationalising applied learning, and reviewing outcomes.</w:t>
      </w:r>
    </w:p>
    <w:p w14:paraId="4B707450" w14:textId="0C27FDE5" w:rsidR="00E41BBF" w:rsidRPr="006A35EC" w:rsidRDefault="00F4620F" w:rsidP="0019662F">
      <w:pPr>
        <w:spacing w:before="100" w:beforeAutospacing="1" w:after="100" w:afterAutospacing="1" w:line="240" w:lineRule="auto"/>
        <w:jc w:val="both"/>
        <w:rPr>
          <w:rFonts w:ascii="Arial" w:hAnsi="Arial" w:cs="Arial"/>
        </w:rPr>
      </w:pPr>
      <w:r w:rsidRPr="006A35EC">
        <w:rPr>
          <w:rFonts w:ascii="Arial" w:eastAsia="Times New Roman" w:hAnsi="Arial" w:cs="Arial"/>
          <w:kern w:val="0"/>
          <w:lang w:eastAsia="en-GB"/>
          <w14:ligatures w14:val="none"/>
        </w:rPr>
        <w:t>Purcell and Hutchinson (2007) emphasise the role of front-line managers in shaping HRM performance. Resistance from middle managers to reforms, such as blind shortlisting, may arise due to perceived threats to norms. Social Identity Theory (Tajfel and Turner, 1979) highlights how in-group dynamics can hinder inclusion, underscoring the need for transparent communication about equity-based changes</w:t>
      </w:r>
      <w:r w:rsidR="0019662F" w:rsidRPr="006A35EC">
        <w:rPr>
          <w:rFonts w:ascii="Arial" w:eastAsia="Times New Roman" w:hAnsi="Arial" w:cs="Arial"/>
          <w:kern w:val="0"/>
          <w:lang w:eastAsia="en-GB"/>
          <w14:ligatures w14:val="none"/>
        </w:rPr>
        <w:t xml:space="preserve">. </w:t>
      </w:r>
      <w:r w:rsidR="00E41BBF" w:rsidRPr="006A35EC">
        <w:rPr>
          <w:rFonts w:ascii="Arial" w:hAnsi="Arial" w:cs="Arial"/>
        </w:rPr>
        <w:t xml:space="preserve">Adams’ (1965) Equity Theory suggests that perceptions of fairness depend on the proportionality between inputs and outcomes, rather than on identical treatment. Therefore, departmental managers should </w:t>
      </w:r>
      <w:r w:rsidR="0019662F" w:rsidRPr="006A35EC">
        <w:rPr>
          <w:rFonts w:ascii="Arial" w:hAnsi="Arial" w:cs="Arial"/>
        </w:rPr>
        <w:t>effectively</w:t>
      </w:r>
      <w:r w:rsidR="00E41BBF" w:rsidRPr="006A35EC">
        <w:rPr>
          <w:rFonts w:ascii="Arial" w:hAnsi="Arial" w:cs="Arial"/>
        </w:rPr>
        <w:t xml:space="preserve"> articulate the </w:t>
      </w:r>
      <w:r w:rsidR="0019662F" w:rsidRPr="006A35EC">
        <w:rPr>
          <w:rFonts w:ascii="Arial" w:hAnsi="Arial" w:cs="Arial"/>
        </w:rPr>
        <w:t>DEI rationale</w:t>
      </w:r>
      <w:r w:rsidR="00E41BBF" w:rsidRPr="006A35EC">
        <w:rPr>
          <w:rFonts w:ascii="Arial" w:hAnsi="Arial" w:cs="Arial"/>
        </w:rPr>
        <w:t>, using data dashboards, stakeholder briefings, and performance evidence to build legitimacy and sustain trust</w:t>
      </w:r>
      <w:r w:rsidR="00C0337C" w:rsidRPr="006A35EC">
        <w:rPr>
          <w:rFonts w:ascii="Arial" w:hAnsi="Arial" w:cs="Arial"/>
        </w:rPr>
        <w:t>.</w:t>
      </w:r>
    </w:p>
    <w:p w14:paraId="48A89A50" w14:textId="0BE864F1" w:rsidR="00C0337C" w:rsidRPr="006A35EC" w:rsidRDefault="00C0337C" w:rsidP="00A872FB">
      <w:pPr>
        <w:pStyle w:val="NormalWeb"/>
        <w:jc w:val="both"/>
        <w:rPr>
          <w:rFonts w:ascii="Arial" w:hAnsi="Arial" w:cs="Arial"/>
        </w:rPr>
      </w:pPr>
      <w:r w:rsidRPr="006A35EC">
        <w:rPr>
          <w:rFonts w:ascii="Arial" w:hAnsi="Arial" w:cs="Arial"/>
        </w:rPr>
        <w:t>Resistance from middle managers and reform fatigue represent institutional roadblocks to HR modernisation. Educational settings are particularly vulnerable to cultural inertia, where professional autonomy and reform saturation generate passive resistance. Kotter (1996) argues that without visible short-term wins, urgency dissipates and change momentum stalls. Rootwings must deliberately stage implementation, demonstrating early gains such as reduced time-to-hire and strengthened safeguarding compliance.</w:t>
      </w:r>
    </w:p>
    <w:p w14:paraId="260FB6DC" w14:textId="012A2136" w:rsidR="00F4620F" w:rsidRPr="006A35EC" w:rsidRDefault="00F4620F" w:rsidP="00260BD9">
      <w:pPr>
        <w:spacing w:before="100" w:beforeAutospacing="1" w:after="100" w:afterAutospacing="1" w:line="240" w:lineRule="auto"/>
        <w:jc w:val="both"/>
        <w:rPr>
          <w:rFonts w:ascii="Arial" w:eastAsia="Times New Roman" w:hAnsi="Arial" w:cs="Arial"/>
          <w:kern w:val="0"/>
          <w:lang w:eastAsia="en-GB"/>
          <w14:ligatures w14:val="none"/>
        </w:rPr>
      </w:pPr>
      <w:r w:rsidRPr="006A35EC">
        <w:rPr>
          <w:rFonts w:ascii="Arial" w:eastAsia="Times New Roman" w:hAnsi="Arial" w:cs="Arial"/>
          <w:kern w:val="0"/>
          <w:lang w:eastAsia="en-GB"/>
          <w14:ligatures w14:val="none"/>
        </w:rPr>
        <w:t>Retention strategies should focus on a Total Reward approach that combines competitive pay, professional development, wellbeing initiatives, and recognition. Herzberg’s Two-Factor Theory (1959) indicates that intrinsic motivators drive engagement more sustainably than financial incentives. Development opportunities must be equitably available, especially for underrepresented groups, as inclusive management is essential.</w:t>
      </w:r>
    </w:p>
    <w:p w14:paraId="2993D714" w14:textId="77777777" w:rsidR="00C0337C" w:rsidRPr="006A35EC" w:rsidRDefault="00C0337C" w:rsidP="00260BD9">
      <w:pPr>
        <w:spacing w:before="100" w:beforeAutospacing="1" w:after="100" w:afterAutospacing="1" w:line="240" w:lineRule="auto"/>
        <w:jc w:val="both"/>
        <w:rPr>
          <w:rFonts w:ascii="Arial" w:eastAsia="Times New Roman" w:hAnsi="Arial" w:cs="Arial"/>
          <w:kern w:val="0"/>
          <w:lang w:eastAsia="en-GB"/>
          <w14:ligatures w14:val="none"/>
        </w:rPr>
      </w:pPr>
    </w:p>
    <w:p w14:paraId="3B4300D1" w14:textId="53452147" w:rsidR="00095CA5" w:rsidRPr="006A35EC" w:rsidRDefault="00095CA5" w:rsidP="001710BB">
      <w:pPr>
        <w:spacing w:before="100" w:beforeAutospacing="1" w:after="100" w:afterAutospacing="1" w:line="240" w:lineRule="auto"/>
        <w:jc w:val="both"/>
        <w:rPr>
          <w:rFonts w:ascii="Arial" w:eastAsia="Times New Roman" w:hAnsi="Arial" w:cs="Arial"/>
          <w:kern w:val="0"/>
          <w:lang w:eastAsia="en-GB"/>
          <w14:ligatures w14:val="none"/>
        </w:rPr>
      </w:pPr>
      <w:r w:rsidRPr="006A35EC">
        <w:rPr>
          <w:rFonts w:ascii="Arial" w:eastAsia="Times New Roman" w:hAnsi="Arial" w:cs="Arial"/>
          <w:kern w:val="0"/>
          <w:lang w:eastAsia="en-GB"/>
          <w14:ligatures w14:val="none"/>
        </w:rPr>
        <w:lastRenderedPageBreak/>
        <w:t xml:space="preserve">Departmental managers have a fiscal responsibility to protect the Recruitment Budget Strategy. Given that a failed hire costs 30% of an annual salary, managers must implement the "90-day review" as a financial safeguard. By tracking </w:t>
      </w:r>
      <w:r w:rsidR="00514DE0" w:rsidRPr="006A35EC">
        <w:rPr>
          <w:rFonts w:ascii="Arial" w:eastAsia="Times New Roman" w:hAnsi="Arial" w:cs="Arial"/>
          <w:kern w:val="0"/>
          <w:lang w:eastAsia="en-GB"/>
          <w14:ligatures w14:val="none"/>
        </w:rPr>
        <w:t>Cost-Per-Hire (CPH) against candidate performance, managers provide the "Scientific Decision-Making" data needed to justify future HR investments (</w:t>
      </w:r>
      <w:proofErr w:type="spellStart"/>
      <w:r w:rsidR="00514DE0" w:rsidRPr="006A35EC">
        <w:rPr>
          <w:rFonts w:ascii="Arial" w:eastAsia="Times New Roman" w:hAnsi="Arial" w:cs="Arial"/>
          <w:kern w:val="0"/>
          <w:lang w:eastAsia="en-GB"/>
          <w14:ligatures w14:val="none"/>
        </w:rPr>
        <w:t>Metaview</w:t>
      </w:r>
      <w:proofErr w:type="spellEnd"/>
      <w:r w:rsidR="00514DE0" w:rsidRPr="006A35EC">
        <w:rPr>
          <w:rFonts w:ascii="Arial" w:eastAsia="Times New Roman" w:hAnsi="Arial" w:cs="Arial"/>
          <w:kern w:val="0"/>
          <w:lang w:eastAsia="en-GB"/>
          <w14:ligatures w14:val="none"/>
        </w:rPr>
        <w:t xml:space="preserve">, </w:t>
      </w:r>
      <w:r w:rsidR="007750F0" w:rsidRPr="006A35EC">
        <w:rPr>
          <w:rFonts w:ascii="Arial" w:eastAsia="Times New Roman" w:hAnsi="Arial" w:cs="Arial"/>
          <w:kern w:val="0"/>
          <w:lang w:eastAsia="en-GB"/>
          <w14:ligatures w14:val="none"/>
        </w:rPr>
        <w:t>2025).</w:t>
      </w:r>
    </w:p>
    <w:p w14:paraId="48729A5B" w14:textId="301DA1E5" w:rsidR="00EB50D9" w:rsidRPr="006A35EC" w:rsidRDefault="00667DEE" w:rsidP="001710BB">
      <w:pPr>
        <w:spacing w:after="0" w:line="240" w:lineRule="auto"/>
        <w:jc w:val="both"/>
        <w:rPr>
          <w:rFonts w:ascii="Arial" w:eastAsia="Times New Roman" w:hAnsi="Arial" w:cs="Arial"/>
          <w:b/>
          <w:bCs/>
          <w:color w:val="1F1F1F"/>
          <w:kern w:val="0"/>
          <w:lang w:eastAsia="en-GB"/>
          <w14:ligatures w14:val="none"/>
        </w:rPr>
      </w:pPr>
      <w:r w:rsidRPr="006A35EC">
        <w:rPr>
          <w:rFonts w:ascii="Arial" w:eastAsia="Times New Roman" w:hAnsi="Arial" w:cs="Arial"/>
          <w:b/>
          <w:bCs/>
          <w:sz w:val="20"/>
          <w:szCs w:val="20"/>
          <w:lang w:eastAsia="en-GB"/>
        </w:rPr>
        <w:t xml:space="preserve">CPH </w:t>
      </w:r>
      <w:r w:rsidR="00EB50D9" w:rsidRPr="006A35EC">
        <w:rPr>
          <w:rFonts w:ascii="Arial" w:eastAsia="Times New Roman" w:hAnsi="Arial" w:cs="Arial"/>
          <w:b/>
          <w:bCs/>
          <w:sz w:val="20"/>
          <w:szCs w:val="20"/>
          <w:lang w:eastAsia="en-GB"/>
        </w:rPr>
        <w:t>RECRUITMENT METRIC</w:t>
      </w:r>
      <w:r w:rsidR="00EB50D9" w:rsidRPr="006A35EC">
        <w:rPr>
          <w:rFonts w:ascii="Arial" w:eastAsia="Times New Roman" w:hAnsi="Arial" w:cs="Arial"/>
          <w:sz w:val="20"/>
          <w:szCs w:val="20"/>
          <w:lang w:eastAsia="en-GB"/>
        </w:rPr>
        <w:t xml:space="preserve">= </w:t>
      </w:r>
      <m:oMath>
        <m:f>
          <m:fPr>
            <m:ctrlPr>
              <w:rPr>
                <w:rFonts w:ascii="Cambria Math" w:hAnsi="Cambria Math" w:cs="Arial"/>
                <w:b/>
                <w:bCs/>
                <w:i/>
                <w:sz w:val="20"/>
                <w:szCs w:val="20"/>
                <w:lang w:eastAsia="en-GB"/>
              </w:rPr>
            </m:ctrlPr>
          </m:fPr>
          <m:num>
            <m:r>
              <m:rPr>
                <m:sty m:val="bi"/>
              </m:rPr>
              <w:rPr>
                <w:rFonts w:ascii="Cambria Math" w:hAnsi="Cambria Math" w:cs="Arial"/>
                <w:sz w:val="20"/>
                <w:szCs w:val="20"/>
                <w:lang w:eastAsia="en-GB"/>
              </w:rPr>
              <m:t>Internal costs+External Costs</m:t>
            </m:r>
          </m:num>
          <m:den>
            <m:r>
              <m:rPr>
                <m:sty m:val="bi"/>
              </m:rPr>
              <w:rPr>
                <w:rFonts w:ascii="Cambria Math" w:hAnsi="Cambria Math" w:cs="Arial"/>
                <w:sz w:val="20"/>
                <w:szCs w:val="20"/>
                <w:lang w:eastAsia="en-GB"/>
              </w:rPr>
              <m:t>Total  number of Hires</m:t>
            </m:r>
          </m:den>
        </m:f>
      </m:oMath>
    </w:p>
    <w:p w14:paraId="690DAB0F" w14:textId="77777777" w:rsidR="00CD7FC2" w:rsidRPr="006A35EC" w:rsidRDefault="00F64A50" w:rsidP="00F64A50">
      <w:pPr>
        <w:pStyle w:val="NormalWeb"/>
        <w:jc w:val="both"/>
        <w:rPr>
          <w:rFonts w:ascii="Arial" w:hAnsi="Arial" w:cs="Arial"/>
        </w:rPr>
      </w:pPr>
      <w:r w:rsidRPr="006A35EC">
        <w:rPr>
          <w:rFonts w:ascii="Arial" w:hAnsi="Arial" w:cs="Arial"/>
        </w:rPr>
        <w:t xml:space="preserve">Rootwings Academy is a small, independently commissioned AP constrained by LA funding cycles and per-pupil allocations. Full-scale ATS implementation may not be immediately financially viable. A phased approach, beginning with a low-cost tracking tool such as Pinpoint or </w:t>
      </w:r>
      <w:proofErr w:type="spellStart"/>
      <w:r w:rsidRPr="006A35EC">
        <w:rPr>
          <w:rFonts w:ascii="Arial" w:hAnsi="Arial" w:cs="Arial"/>
        </w:rPr>
        <w:t>Hireful</w:t>
      </w:r>
      <w:proofErr w:type="spellEnd"/>
      <w:r w:rsidRPr="006A35EC">
        <w:rPr>
          <w:rFonts w:ascii="Arial" w:hAnsi="Arial" w:cs="Arial"/>
        </w:rPr>
        <w:t xml:space="preserve">, would be more appropriate, scaling towards AI-enabled platforms as the APs' digital maturity and budgets allow. </w:t>
      </w:r>
    </w:p>
    <w:p w14:paraId="43969FAB" w14:textId="56A2F0C7" w:rsidR="00F64A50" w:rsidRPr="006A35EC" w:rsidRDefault="00F64A50" w:rsidP="00F64A50">
      <w:pPr>
        <w:pStyle w:val="NormalWeb"/>
        <w:jc w:val="both"/>
        <w:rPr>
          <w:rFonts w:ascii="Arial" w:hAnsi="Arial" w:cs="Arial"/>
        </w:rPr>
      </w:pPr>
      <w:r w:rsidRPr="006A35EC">
        <w:rPr>
          <w:rFonts w:ascii="Arial" w:hAnsi="Arial" w:cs="Arial"/>
        </w:rPr>
        <w:t>Given current budget constraints, urgently establishing a fully resourced DEI function may not be feasible. A more practical approach would be to designate an existing senior leader, such as the SENCO, and conduct a basic annual audit using free tools</w:t>
      </w:r>
      <w:r w:rsidR="00CD7FC2" w:rsidRPr="006A35EC">
        <w:rPr>
          <w:rFonts w:ascii="Arial" w:hAnsi="Arial" w:cs="Arial"/>
        </w:rPr>
        <w:t>, such as</w:t>
      </w:r>
      <w:r w:rsidRPr="006A35EC">
        <w:rPr>
          <w:rFonts w:ascii="Arial" w:hAnsi="Arial" w:cs="Arial"/>
        </w:rPr>
        <w:t xml:space="preserve"> the CIPD's Inclusion Health Checker.</w:t>
      </w:r>
    </w:p>
    <w:p w14:paraId="6CC8EA30" w14:textId="76EA6A24" w:rsidR="00F64A50" w:rsidRPr="006A35EC" w:rsidRDefault="00F66502" w:rsidP="001710BB">
      <w:pPr>
        <w:pStyle w:val="NormalWeb"/>
        <w:jc w:val="both"/>
        <w:rPr>
          <w:rFonts w:ascii="Arial" w:hAnsi="Arial" w:cs="Arial"/>
        </w:rPr>
      </w:pPr>
      <w:r w:rsidRPr="00F66502">
        <w:rPr>
          <w:rFonts w:ascii="Arial" w:hAnsi="Arial" w:cs="Arial"/>
        </w:rPr>
        <w:t xml:space="preserve">To address funding uncertainty, non-pay retention strategies — such as flexible working and structured supervision — should be implemented immediately as a priority strand of the Total Reward framework. </w:t>
      </w:r>
      <w:r w:rsidR="00F64A50" w:rsidRPr="006A35EC">
        <w:rPr>
          <w:rFonts w:ascii="Arial" w:hAnsi="Arial" w:cs="Arial"/>
        </w:rPr>
        <w:t xml:space="preserve">Standardising a 90-day induction for new hires can reduce early attrition. Long-term, applying for DfE grants can fund supervision programs, </w:t>
      </w:r>
      <w:r>
        <w:rPr>
          <w:rFonts w:ascii="Arial" w:hAnsi="Arial" w:cs="Arial"/>
        </w:rPr>
        <w:t xml:space="preserve">thereby enhancing motivation, as identified by Procter-Legg (2025), and </w:t>
      </w:r>
      <w:r w:rsidR="00F64A50" w:rsidRPr="006A35EC">
        <w:rPr>
          <w:rFonts w:ascii="Arial" w:hAnsi="Arial" w:cs="Arial"/>
        </w:rPr>
        <w:t>positioning Rootwings as a competitive employer.</w:t>
      </w:r>
    </w:p>
    <w:p w14:paraId="137F2C76" w14:textId="28594319" w:rsidR="0077500A" w:rsidRPr="006A35EC" w:rsidRDefault="005B2B41" w:rsidP="00212E02">
      <w:pPr>
        <w:pStyle w:val="NormalWeb"/>
        <w:jc w:val="both"/>
        <w:rPr>
          <w:rFonts w:ascii="Arial" w:hAnsi="Arial" w:cs="Arial"/>
        </w:rPr>
      </w:pPr>
      <w:r w:rsidRPr="006A35EC">
        <w:rPr>
          <w:rFonts w:ascii="Arial" w:hAnsi="Arial" w:cs="Arial"/>
        </w:rPr>
        <w:t>Delay increases inspection vulnerability, heightens exposure, and exacerbates competitive fragility in the AP labour market. While urgency is necessary, it must be ethically balanced. Purcell and Hutchinson (2007) highlight that front-line managers are crucial in the HRM-performance chain. When they embrace reform and embed strategy into everyday practice, HR modernisation becomes sustainable rather than merely symbolic. Using the Four-Stage Learning Agreement alongside Kotter’s change framework as a strategic tool effectively translates strategy into behaviour.</w:t>
      </w:r>
    </w:p>
    <w:p w14:paraId="3E914637" w14:textId="7248F4A3" w:rsidR="00A5518F" w:rsidRDefault="00F4620F" w:rsidP="00260BD9">
      <w:pPr>
        <w:pStyle w:val="NormalWeb"/>
        <w:jc w:val="both"/>
        <w:rPr>
          <w:rFonts w:ascii="Arial" w:hAnsi="Arial" w:cs="Arial"/>
        </w:rPr>
      </w:pPr>
      <w:r>
        <w:rPr>
          <w:rFonts w:ascii="Arial" w:hAnsi="Arial" w:cs="Arial"/>
        </w:rPr>
        <w:t>.</w:t>
      </w:r>
    </w:p>
    <w:p w14:paraId="4F237E41" w14:textId="77777777" w:rsidR="00B47090" w:rsidRDefault="00B47090" w:rsidP="00260BD9">
      <w:pPr>
        <w:spacing w:before="100" w:beforeAutospacing="1" w:after="100" w:afterAutospacing="1" w:line="240" w:lineRule="auto"/>
        <w:jc w:val="both"/>
        <w:rPr>
          <w:rFonts w:ascii="Arial" w:eastAsia="Times New Roman" w:hAnsi="Arial" w:cs="Arial"/>
          <w:b/>
          <w:bCs/>
          <w:kern w:val="0"/>
          <w:lang w:eastAsia="en-GB"/>
          <w14:ligatures w14:val="none"/>
        </w:rPr>
      </w:pPr>
    </w:p>
    <w:p w14:paraId="23A71393" w14:textId="3A441ACF" w:rsidR="00B47090" w:rsidRDefault="00B47090" w:rsidP="00260BD9">
      <w:pPr>
        <w:spacing w:before="100" w:beforeAutospacing="1" w:after="100" w:afterAutospacing="1" w:line="240" w:lineRule="auto"/>
        <w:jc w:val="both"/>
        <w:rPr>
          <w:rFonts w:ascii="Arial" w:eastAsia="Times New Roman" w:hAnsi="Arial" w:cs="Arial"/>
          <w:b/>
          <w:bCs/>
          <w:kern w:val="0"/>
          <w:lang w:eastAsia="en-GB"/>
          <w14:ligatures w14:val="none"/>
        </w:rPr>
      </w:pPr>
    </w:p>
    <w:p w14:paraId="27C18B2E" w14:textId="7B949C9D" w:rsidR="00B47090" w:rsidRDefault="00B47090" w:rsidP="00260BD9">
      <w:pPr>
        <w:spacing w:before="100" w:beforeAutospacing="1" w:after="100" w:afterAutospacing="1" w:line="240" w:lineRule="auto"/>
        <w:jc w:val="both"/>
        <w:rPr>
          <w:rFonts w:ascii="Arial" w:eastAsia="Times New Roman" w:hAnsi="Arial" w:cs="Arial"/>
          <w:b/>
          <w:bCs/>
          <w:kern w:val="0"/>
          <w:lang w:eastAsia="en-GB"/>
          <w14:ligatures w14:val="none"/>
        </w:rPr>
      </w:pPr>
    </w:p>
    <w:p w14:paraId="2DE0A9DD" w14:textId="30945D13" w:rsidR="00B47090" w:rsidRDefault="00B47090" w:rsidP="00260BD9">
      <w:pPr>
        <w:spacing w:before="100" w:beforeAutospacing="1" w:after="100" w:afterAutospacing="1" w:line="240" w:lineRule="auto"/>
        <w:jc w:val="both"/>
        <w:rPr>
          <w:rFonts w:ascii="Arial" w:eastAsia="Times New Roman" w:hAnsi="Arial" w:cs="Arial"/>
          <w:b/>
          <w:bCs/>
          <w:kern w:val="0"/>
          <w:lang w:eastAsia="en-GB"/>
          <w14:ligatures w14:val="none"/>
        </w:rPr>
      </w:pPr>
    </w:p>
    <w:p w14:paraId="4462C175" w14:textId="4EBD3A68" w:rsidR="00B47090" w:rsidRDefault="00B47090" w:rsidP="00260BD9">
      <w:pPr>
        <w:spacing w:before="100" w:beforeAutospacing="1" w:after="100" w:afterAutospacing="1" w:line="240" w:lineRule="auto"/>
        <w:jc w:val="both"/>
        <w:rPr>
          <w:rFonts w:ascii="Arial" w:eastAsia="Times New Roman" w:hAnsi="Arial" w:cs="Arial"/>
          <w:b/>
          <w:bCs/>
          <w:kern w:val="0"/>
          <w:lang w:eastAsia="en-GB"/>
          <w14:ligatures w14:val="none"/>
        </w:rPr>
      </w:pPr>
    </w:p>
    <w:p w14:paraId="0E1B42A6" w14:textId="7E6D4EB8" w:rsidR="00B47090" w:rsidRDefault="00B47090" w:rsidP="00260BD9">
      <w:pPr>
        <w:spacing w:before="100" w:beforeAutospacing="1" w:after="100" w:afterAutospacing="1" w:line="240" w:lineRule="auto"/>
        <w:jc w:val="both"/>
        <w:rPr>
          <w:rFonts w:ascii="Arial" w:eastAsia="Times New Roman" w:hAnsi="Arial" w:cs="Arial"/>
          <w:b/>
          <w:bCs/>
          <w:kern w:val="0"/>
          <w:lang w:eastAsia="en-GB"/>
          <w14:ligatures w14:val="none"/>
        </w:rPr>
      </w:pPr>
    </w:p>
    <w:p w14:paraId="7C3FC946" w14:textId="78C62A41" w:rsidR="00B47090" w:rsidRDefault="00B47090" w:rsidP="00260BD9">
      <w:pPr>
        <w:spacing w:before="100" w:beforeAutospacing="1" w:after="100" w:afterAutospacing="1" w:line="240" w:lineRule="auto"/>
        <w:jc w:val="both"/>
        <w:rPr>
          <w:rFonts w:ascii="Arial" w:eastAsia="Times New Roman" w:hAnsi="Arial" w:cs="Arial"/>
          <w:b/>
          <w:bCs/>
          <w:kern w:val="0"/>
          <w:lang w:eastAsia="en-GB"/>
          <w14:ligatures w14:val="none"/>
        </w:rPr>
      </w:pPr>
    </w:p>
    <w:p w14:paraId="0B4DD742" w14:textId="39D78BB9" w:rsidR="00B47090" w:rsidRDefault="00B47090" w:rsidP="00260BD9">
      <w:pPr>
        <w:spacing w:before="100" w:beforeAutospacing="1" w:after="100" w:afterAutospacing="1" w:line="240" w:lineRule="auto"/>
        <w:jc w:val="both"/>
        <w:rPr>
          <w:rFonts w:ascii="Arial" w:eastAsia="Times New Roman" w:hAnsi="Arial" w:cs="Arial"/>
          <w:b/>
          <w:bCs/>
          <w:kern w:val="0"/>
          <w:lang w:eastAsia="en-GB"/>
          <w14:ligatures w14:val="none"/>
        </w:rPr>
      </w:pPr>
    </w:p>
    <w:p w14:paraId="593B3190" w14:textId="44C74456" w:rsidR="00B47090" w:rsidRDefault="00B47090" w:rsidP="00260BD9">
      <w:pPr>
        <w:spacing w:before="100" w:beforeAutospacing="1" w:after="100" w:afterAutospacing="1" w:line="240" w:lineRule="auto"/>
        <w:jc w:val="both"/>
        <w:rPr>
          <w:rFonts w:ascii="Arial" w:eastAsia="Times New Roman" w:hAnsi="Arial" w:cs="Arial"/>
          <w:b/>
          <w:bCs/>
          <w:kern w:val="0"/>
          <w:lang w:eastAsia="en-GB"/>
          <w14:ligatures w14:val="none"/>
        </w:rPr>
      </w:pPr>
    </w:p>
    <w:p w14:paraId="36DBFFE0" w14:textId="42A50AD6" w:rsidR="00C82307" w:rsidRPr="00C82307" w:rsidRDefault="00C82307" w:rsidP="00260BD9">
      <w:pPr>
        <w:spacing w:before="100" w:beforeAutospacing="1" w:after="100" w:afterAutospacing="1" w:line="240" w:lineRule="auto"/>
        <w:jc w:val="both"/>
        <w:rPr>
          <w:rFonts w:ascii="Arial" w:eastAsia="Times New Roman" w:hAnsi="Arial" w:cs="Arial"/>
          <w:b/>
          <w:bCs/>
          <w:kern w:val="0"/>
          <w:u w:val="single"/>
          <w:lang w:eastAsia="en-GB"/>
          <w14:ligatures w14:val="none"/>
        </w:rPr>
      </w:pPr>
      <w:r w:rsidRPr="00C82307">
        <w:rPr>
          <w:rFonts w:ascii="Arial" w:eastAsia="Times New Roman" w:hAnsi="Arial" w:cs="Arial"/>
          <w:b/>
          <w:bCs/>
          <w:kern w:val="0"/>
          <w:u w:val="single"/>
          <w:lang w:eastAsia="en-GB"/>
          <w14:ligatures w14:val="none"/>
        </w:rPr>
        <w:lastRenderedPageBreak/>
        <w:t>Contemporary Practices</w:t>
      </w:r>
    </w:p>
    <w:p w14:paraId="5B28FA32" w14:textId="628C03A7" w:rsidR="002D62C7" w:rsidRDefault="0045263B" w:rsidP="00260BD9">
      <w:pPr>
        <w:spacing w:before="100" w:beforeAutospacing="1" w:after="100" w:afterAutospacing="1" w:line="240" w:lineRule="auto"/>
        <w:jc w:val="both"/>
        <w:rPr>
          <w:rFonts w:ascii="Arial" w:eastAsia="Times New Roman" w:hAnsi="Arial" w:cs="Arial"/>
          <w:kern w:val="0"/>
          <w:lang w:eastAsia="en-GB"/>
          <w14:ligatures w14:val="none"/>
        </w:rPr>
      </w:pPr>
      <w:r w:rsidRPr="00C82307">
        <w:rPr>
          <w:rFonts w:ascii="Arial" w:eastAsia="Times New Roman" w:hAnsi="Arial" w:cs="Arial"/>
          <w:kern w:val="0"/>
          <w:lang w:eastAsia="en-GB"/>
          <w14:ligatures w14:val="none"/>
        </w:rPr>
        <w:t xml:space="preserve">The following pages will detail how Rootwings will implement these practices to </w:t>
      </w:r>
      <w:r w:rsidR="001767D2" w:rsidRPr="00C82307">
        <w:rPr>
          <w:rFonts w:ascii="Arial" w:eastAsia="Times New Roman" w:hAnsi="Arial" w:cs="Arial"/>
          <w:kern w:val="0"/>
          <w:lang w:eastAsia="en-GB"/>
          <w14:ligatures w14:val="none"/>
        </w:rPr>
        <w:t>explore</w:t>
      </w:r>
      <w:r w:rsidRPr="00C82307">
        <w:rPr>
          <w:rFonts w:ascii="Arial" w:eastAsia="Times New Roman" w:hAnsi="Arial" w:cs="Arial"/>
          <w:kern w:val="0"/>
          <w:lang w:eastAsia="en-GB"/>
          <w14:ligatures w14:val="none"/>
        </w:rPr>
        <w:t xml:space="preserve"> </w:t>
      </w:r>
      <w:r w:rsidR="001767D2" w:rsidRPr="00C82307">
        <w:rPr>
          <w:rFonts w:ascii="Arial" w:eastAsia="Times New Roman" w:hAnsi="Arial" w:cs="Arial"/>
          <w:kern w:val="0"/>
          <w:lang w:eastAsia="en-GB"/>
          <w14:ligatures w14:val="none"/>
        </w:rPr>
        <w:t>the effect</w:t>
      </w:r>
      <w:r w:rsidR="00243ACB" w:rsidRPr="00C82307">
        <w:rPr>
          <w:rFonts w:ascii="Arial" w:eastAsia="Times New Roman" w:hAnsi="Arial" w:cs="Arial"/>
          <w:kern w:val="0"/>
          <w:lang w:eastAsia="en-GB"/>
          <w14:ligatures w14:val="none"/>
        </w:rPr>
        <w:t>iveness</w:t>
      </w:r>
      <w:r w:rsidR="0059033C" w:rsidRPr="00C82307">
        <w:rPr>
          <w:rFonts w:ascii="Arial" w:eastAsia="Times New Roman" w:hAnsi="Arial" w:cs="Arial"/>
          <w:kern w:val="0"/>
          <w:lang w:eastAsia="en-GB"/>
          <w14:ligatures w14:val="none"/>
        </w:rPr>
        <w:t xml:space="preserve"> of each </w:t>
      </w:r>
      <w:r w:rsidR="0014592D" w:rsidRPr="00C82307">
        <w:rPr>
          <w:rFonts w:ascii="Arial" w:eastAsia="Times New Roman" w:hAnsi="Arial" w:cs="Arial"/>
          <w:kern w:val="0"/>
          <w:lang w:eastAsia="en-GB"/>
          <w14:ligatures w14:val="none"/>
        </w:rPr>
        <w:t>model.</w:t>
      </w:r>
    </w:p>
    <w:p w14:paraId="143391C9" w14:textId="0159A331" w:rsidR="00BD169E" w:rsidRPr="00C82307" w:rsidRDefault="00BD169E" w:rsidP="00260BD9">
      <w:pPr>
        <w:spacing w:before="100" w:beforeAutospacing="1" w:after="100" w:afterAutospacing="1" w:line="240" w:lineRule="auto"/>
        <w:jc w:val="both"/>
        <w:rPr>
          <w:rFonts w:ascii="Arial" w:eastAsia="Times New Roman" w:hAnsi="Arial" w:cs="Arial"/>
          <w:kern w:val="0"/>
          <w:lang w:eastAsia="en-GB"/>
          <w14:ligatures w14:val="none"/>
        </w:rPr>
      </w:pPr>
      <w:r>
        <w:rPr>
          <w:rFonts w:ascii="Arial" w:eastAsia="Times New Roman" w:hAnsi="Arial" w:cs="Arial"/>
          <w:noProof/>
          <w:kern w:val="0"/>
          <w:lang w:eastAsia="en-GB"/>
        </w:rPr>
        <w:drawing>
          <wp:inline distT="0" distB="0" distL="0" distR="0" wp14:anchorId="66D62F05" wp14:editId="2E94CA11">
            <wp:extent cx="5962524" cy="6888480"/>
            <wp:effectExtent l="0" t="0" r="635" b="7620"/>
            <wp:docPr id="20034329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432941" name="Picture 2003432941"/>
                    <pic:cNvPicPr/>
                  </pic:nvPicPr>
                  <pic:blipFill rotWithShape="1">
                    <a:blip r:embed="rId9">
                      <a:duotone>
                        <a:prstClr val="black"/>
                        <a:schemeClr val="accent6">
                          <a:tint val="45000"/>
                          <a:satMod val="400000"/>
                        </a:schemeClr>
                      </a:duotone>
                      <a:extLst>
                        <a:ext uri="{28A0092B-C50C-407E-A947-70E740481C1C}">
                          <a14:useLocalDpi xmlns:a14="http://schemas.microsoft.com/office/drawing/2010/main" val="0"/>
                        </a:ext>
                      </a:extLst>
                    </a:blip>
                    <a:srcRect t="26216" b="20464"/>
                    <a:stretch>
                      <a:fillRect/>
                    </a:stretch>
                  </pic:blipFill>
                  <pic:spPr bwMode="auto">
                    <a:xfrm>
                      <a:off x="0" y="0"/>
                      <a:ext cx="5970971" cy="6898238"/>
                    </a:xfrm>
                    <a:prstGeom prst="rect">
                      <a:avLst/>
                    </a:prstGeom>
                    <a:ln>
                      <a:noFill/>
                    </a:ln>
                    <a:extLst>
                      <a:ext uri="{53640926-AAD7-44D8-BBD7-CCE9431645EC}">
                        <a14:shadowObscured xmlns:a14="http://schemas.microsoft.com/office/drawing/2010/main"/>
                      </a:ext>
                    </a:extLst>
                  </pic:spPr>
                </pic:pic>
              </a:graphicData>
            </a:graphic>
          </wp:inline>
        </w:drawing>
      </w:r>
    </w:p>
    <w:p w14:paraId="2A90A7C3" w14:textId="332C79DE" w:rsidR="003F393B" w:rsidRDefault="00AA4BF1" w:rsidP="003F393B">
      <w:pPr>
        <w:spacing w:before="100" w:beforeAutospacing="1" w:after="100" w:afterAutospacing="1" w:line="240" w:lineRule="auto"/>
        <w:jc w:val="both"/>
        <w:rPr>
          <w:rFonts w:ascii="Arial" w:eastAsia="Times New Roman" w:hAnsi="Arial" w:cs="Arial"/>
          <w:b/>
          <w:bCs/>
          <w:kern w:val="0"/>
          <w:lang w:eastAsia="en-GB"/>
          <w14:ligatures w14:val="none"/>
        </w:rPr>
      </w:pPr>
      <w:r>
        <w:rPr>
          <w:rFonts w:ascii="Arial" w:eastAsia="Times New Roman" w:hAnsi="Arial" w:cs="Arial"/>
          <w:b/>
          <w:bCs/>
          <w:noProof/>
          <w:kern w:val="0"/>
          <w:lang w:eastAsia="en-GB"/>
        </w:rPr>
        <w:lastRenderedPageBreak/>
        <w:drawing>
          <wp:inline distT="0" distB="0" distL="0" distR="0" wp14:anchorId="4C4BFCDC" wp14:editId="52840AD0">
            <wp:extent cx="5600700" cy="9278588"/>
            <wp:effectExtent l="0" t="0" r="0" b="0"/>
            <wp:docPr id="9769513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951384" name="Picture 976951384"/>
                    <pic:cNvPicPr/>
                  </pic:nvPicPr>
                  <pic:blipFill rotWithShape="1">
                    <a:blip r:embed="rId10">
                      <a:extLst>
                        <a:ext uri="{BEBA8EAE-BF5A-486C-A8C5-ECC9F3942E4B}">
                          <a14:imgProps xmlns:a14="http://schemas.microsoft.com/office/drawing/2010/main">
                            <a14:imgLayer r:embed="rId11">
                              <a14:imgEffect>
                                <a14:sharpenSoften amount="25000"/>
                              </a14:imgEffect>
                            </a14:imgLayer>
                          </a14:imgProps>
                        </a:ext>
                        <a:ext uri="{28A0092B-C50C-407E-A947-70E740481C1C}">
                          <a14:useLocalDpi xmlns:a14="http://schemas.microsoft.com/office/drawing/2010/main" val="0"/>
                        </a:ext>
                      </a:extLst>
                    </a:blip>
                    <a:srcRect t="13188" b="10350"/>
                    <a:stretch>
                      <a:fillRect/>
                    </a:stretch>
                  </pic:blipFill>
                  <pic:spPr bwMode="auto">
                    <a:xfrm>
                      <a:off x="0" y="0"/>
                      <a:ext cx="5603792" cy="9283710"/>
                    </a:xfrm>
                    <a:prstGeom prst="rect">
                      <a:avLst/>
                    </a:prstGeom>
                    <a:ln>
                      <a:noFill/>
                    </a:ln>
                    <a:extLst>
                      <a:ext uri="{53640926-AAD7-44D8-BBD7-CCE9431645EC}">
                        <a14:shadowObscured xmlns:a14="http://schemas.microsoft.com/office/drawing/2010/main"/>
                      </a:ext>
                    </a:extLst>
                  </pic:spPr>
                </pic:pic>
              </a:graphicData>
            </a:graphic>
          </wp:inline>
        </w:drawing>
      </w:r>
    </w:p>
    <w:p w14:paraId="4F9C8F0D" w14:textId="3D40CCFE" w:rsidR="003F393B" w:rsidRDefault="00425551" w:rsidP="003F393B">
      <w:pPr>
        <w:spacing w:before="100" w:beforeAutospacing="1" w:after="100" w:afterAutospacing="1" w:line="240" w:lineRule="auto"/>
        <w:jc w:val="both"/>
        <w:rPr>
          <w:rFonts w:ascii="Arial" w:eastAsia="Times New Roman" w:hAnsi="Arial" w:cs="Arial"/>
          <w:b/>
          <w:bCs/>
          <w:kern w:val="0"/>
          <w:lang w:eastAsia="en-GB"/>
          <w14:ligatures w14:val="none"/>
        </w:rPr>
      </w:pPr>
      <w:r>
        <w:rPr>
          <w:rFonts w:ascii="Arial" w:eastAsia="Times New Roman" w:hAnsi="Arial" w:cs="Arial"/>
          <w:b/>
          <w:bCs/>
          <w:noProof/>
          <w:kern w:val="0"/>
          <w:lang w:eastAsia="en-GB"/>
        </w:rPr>
        <w:lastRenderedPageBreak/>
        <w:drawing>
          <wp:anchor distT="0" distB="0" distL="114300" distR="114300" simplePos="0" relativeHeight="251661318" behindDoc="1" locked="0" layoutInCell="1" allowOverlap="1" wp14:anchorId="7A0511CC" wp14:editId="62E38FDE">
            <wp:simplePos x="0" y="0"/>
            <wp:positionH relativeFrom="column">
              <wp:posOffset>304800</wp:posOffset>
            </wp:positionH>
            <wp:positionV relativeFrom="paragraph">
              <wp:posOffset>0</wp:posOffset>
            </wp:positionV>
            <wp:extent cx="5410200" cy="9541553"/>
            <wp:effectExtent l="0" t="0" r="0" b="2540"/>
            <wp:wrapTight wrapText="bothSides">
              <wp:wrapPolygon edited="0">
                <wp:start x="0" y="0"/>
                <wp:lineTo x="0" y="21563"/>
                <wp:lineTo x="21524" y="21563"/>
                <wp:lineTo x="21524" y="0"/>
                <wp:lineTo x="0" y="0"/>
              </wp:wrapPolygon>
            </wp:wrapTight>
            <wp:docPr id="6579137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913722" name="Picture 657913722"/>
                    <pic:cNvPicPr/>
                  </pic:nvPicPr>
                  <pic:blipFill rotWithShape="1">
                    <a:blip r:embed="rId12">
                      <a:extLst>
                        <a:ext uri="{BEBA8EAE-BF5A-486C-A8C5-ECC9F3942E4B}">
                          <a14:imgProps xmlns:a14="http://schemas.microsoft.com/office/drawing/2010/main">
                            <a14:imgLayer r:embed="rId13">
                              <a14:imgEffect>
                                <a14:sharpenSoften amount="25000"/>
                              </a14:imgEffect>
                            </a14:imgLayer>
                          </a14:imgProps>
                        </a:ext>
                        <a:ext uri="{28A0092B-C50C-407E-A947-70E740481C1C}">
                          <a14:useLocalDpi xmlns:a14="http://schemas.microsoft.com/office/drawing/2010/main" val="0"/>
                        </a:ext>
                      </a:extLst>
                    </a:blip>
                    <a:srcRect t="11086" b="7517"/>
                    <a:stretch>
                      <a:fillRect/>
                    </a:stretch>
                  </pic:blipFill>
                  <pic:spPr bwMode="auto">
                    <a:xfrm>
                      <a:off x="0" y="0"/>
                      <a:ext cx="5410200" cy="9541553"/>
                    </a:xfrm>
                    <a:prstGeom prst="rect">
                      <a:avLst/>
                    </a:prstGeom>
                    <a:ln>
                      <a:noFill/>
                    </a:ln>
                    <a:extLst>
                      <a:ext uri="{53640926-AAD7-44D8-BBD7-CCE9431645EC}">
                        <a14:shadowObscured xmlns:a14="http://schemas.microsoft.com/office/drawing/2010/main"/>
                      </a:ext>
                    </a:extLst>
                  </pic:spPr>
                </pic:pic>
              </a:graphicData>
            </a:graphic>
          </wp:anchor>
        </w:drawing>
      </w:r>
    </w:p>
    <w:p w14:paraId="18AEDCA0" w14:textId="76284FCC" w:rsidR="005E2DFD" w:rsidRDefault="004253ED" w:rsidP="005E2DFD">
      <w:pPr>
        <w:spacing w:after="0" w:line="240" w:lineRule="auto"/>
        <w:jc w:val="center"/>
        <w:outlineLvl w:val="3"/>
        <w:rPr>
          <w:rFonts w:ascii="Arial" w:eastAsia="Times New Roman" w:hAnsi="Arial" w:cs="Arial"/>
          <w:b/>
          <w:bCs/>
          <w:color w:val="1F1F1F"/>
          <w:kern w:val="0"/>
          <w:bdr w:val="none" w:sz="0" w:space="0" w:color="auto" w:frame="1"/>
          <w:lang w:eastAsia="en-GB"/>
          <w14:ligatures w14:val="none"/>
        </w:rPr>
      </w:pPr>
      <w:r w:rsidRPr="00A56AD5">
        <w:rPr>
          <w:rFonts w:ascii="Arial" w:hAnsi="Arial" w:cs="Arial"/>
          <w:b/>
          <w:bCs/>
          <w:noProof/>
          <w:lang w:eastAsia="en-GB"/>
        </w:rPr>
        <w:lastRenderedPageBreak/>
        <w:drawing>
          <wp:anchor distT="0" distB="0" distL="114300" distR="114300" simplePos="0" relativeHeight="251663366" behindDoc="0" locked="0" layoutInCell="1" allowOverlap="1" wp14:anchorId="7AD7FCBC" wp14:editId="2287C00F">
            <wp:simplePos x="0" y="0"/>
            <wp:positionH relativeFrom="column">
              <wp:posOffset>-99060</wp:posOffset>
            </wp:positionH>
            <wp:positionV relativeFrom="paragraph">
              <wp:posOffset>0</wp:posOffset>
            </wp:positionV>
            <wp:extent cx="5934710" cy="944880"/>
            <wp:effectExtent l="0" t="0" r="8890" b="7620"/>
            <wp:wrapThrough wrapText="bothSides">
              <wp:wrapPolygon edited="0">
                <wp:start x="0" y="0"/>
                <wp:lineTo x="0" y="21339"/>
                <wp:lineTo x="21563" y="21339"/>
                <wp:lineTo x="21563" y="0"/>
                <wp:lineTo x="0" y="0"/>
              </wp:wrapPolygon>
            </wp:wrapThrough>
            <wp:docPr id="2129918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91881" name="Picture 212991881"/>
                    <pic:cNvPicPr/>
                  </pic:nvPicPr>
                  <pic:blipFill>
                    <a:blip r:embed="rId14">
                      <a:extLst>
                        <a:ext uri="{BEBA8EAE-BF5A-486C-A8C5-ECC9F3942E4B}">
                          <a14:imgProps xmlns:a14="http://schemas.microsoft.com/office/drawing/2010/main">
                            <a14:imgLayer r:embed="rId15">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5934710" cy="944880"/>
                    </a:xfrm>
                    <a:prstGeom prst="rect">
                      <a:avLst/>
                    </a:prstGeom>
                  </pic:spPr>
                </pic:pic>
              </a:graphicData>
            </a:graphic>
          </wp:anchor>
        </w:drawing>
      </w:r>
      <w:r>
        <w:rPr>
          <w:rFonts w:ascii="Arial" w:hAnsi="Arial" w:cs="Arial"/>
          <w:b/>
          <w:bCs/>
          <w:noProof/>
          <w:lang w:eastAsia="en-GB"/>
        </w:rPr>
        <w:drawing>
          <wp:anchor distT="0" distB="0" distL="114300" distR="114300" simplePos="0" relativeHeight="251662342" behindDoc="0" locked="0" layoutInCell="1" allowOverlap="1" wp14:anchorId="2D07ED5E" wp14:editId="47D1B0F6">
            <wp:simplePos x="0" y="0"/>
            <wp:positionH relativeFrom="column">
              <wp:posOffset>61595</wp:posOffset>
            </wp:positionH>
            <wp:positionV relativeFrom="paragraph">
              <wp:posOffset>982980</wp:posOffset>
            </wp:positionV>
            <wp:extent cx="5501005" cy="4340225"/>
            <wp:effectExtent l="0" t="0" r="4445" b="3175"/>
            <wp:wrapThrough wrapText="bothSides">
              <wp:wrapPolygon edited="0">
                <wp:start x="0" y="0"/>
                <wp:lineTo x="0" y="21521"/>
                <wp:lineTo x="21543" y="21521"/>
                <wp:lineTo x="21543" y="0"/>
                <wp:lineTo x="0" y="0"/>
              </wp:wrapPolygon>
            </wp:wrapThrough>
            <wp:docPr id="12522598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259801" name="Picture 1252259801"/>
                    <pic:cNvPicPr/>
                  </pic:nvPicPr>
                  <pic:blipFill rotWithShape="1">
                    <a:blip r:embed="rId16">
                      <a:extLst>
                        <a:ext uri="{28A0092B-C50C-407E-A947-70E740481C1C}">
                          <a14:useLocalDpi xmlns:a14="http://schemas.microsoft.com/office/drawing/2010/main" val="0"/>
                        </a:ext>
                      </a:extLst>
                    </a:blip>
                    <a:srcRect t="17720" b="45870"/>
                    <a:stretch>
                      <a:fillRect/>
                    </a:stretch>
                  </pic:blipFill>
                  <pic:spPr bwMode="auto">
                    <a:xfrm>
                      <a:off x="0" y="0"/>
                      <a:ext cx="5501005" cy="4340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BBB089" w14:textId="57C8190E" w:rsidR="005E2DFD" w:rsidRDefault="005E2DFD"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p>
    <w:p w14:paraId="55F8FB6C" w14:textId="0580F97C" w:rsidR="005E2DFD" w:rsidRDefault="005E2DFD"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p>
    <w:p w14:paraId="02F94DFE" w14:textId="35956133" w:rsidR="007F2965" w:rsidRDefault="005E2DFD"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r>
        <w:rPr>
          <w:rFonts w:ascii="Arial" w:eastAsia="Times New Roman" w:hAnsi="Arial" w:cs="Arial"/>
          <w:b/>
          <w:bCs/>
          <w:noProof/>
          <w:color w:val="1F1F1F"/>
          <w:kern w:val="0"/>
          <w:bdr w:val="none" w:sz="0" w:space="0" w:color="auto" w:frame="1"/>
          <w:lang w:eastAsia="en-GB"/>
        </w:rPr>
        <w:drawing>
          <wp:inline distT="0" distB="0" distL="0" distR="0" wp14:anchorId="4BA5B28C" wp14:editId="1F4EEFBC">
            <wp:extent cx="5731510" cy="1952625"/>
            <wp:effectExtent l="0" t="0" r="2540" b="9525"/>
            <wp:docPr id="3313436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343631" name="Picture 33134363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1952625"/>
                    </a:xfrm>
                    <a:prstGeom prst="rect">
                      <a:avLst/>
                    </a:prstGeom>
                  </pic:spPr>
                </pic:pic>
              </a:graphicData>
            </a:graphic>
          </wp:inline>
        </w:drawing>
      </w:r>
    </w:p>
    <w:p w14:paraId="4337E129" w14:textId="77777777" w:rsidR="00591C9C" w:rsidRDefault="00591C9C" w:rsidP="00591C9C">
      <w:pPr>
        <w:spacing w:after="0" w:line="240" w:lineRule="auto"/>
        <w:jc w:val="center"/>
        <w:outlineLvl w:val="3"/>
        <w:rPr>
          <w:rFonts w:ascii="Arial" w:eastAsia="Times New Roman" w:hAnsi="Arial" w:cs="Arial"/>
          <w:b/>
          <w:bCs/>
          <w:color w:val="1F1F1F"/>
          <w:kern w:val="0"/>
          <w:u w:val="single"/>
          <w:bdr w:val="none" w:sz="0" w:space="0" w:color="auto" w:frame="1"/>
          <w:lang w:eastAsia="en-GB"/>
          <w14:ligatures w14:val="none"/>
        </w:rPr>
      </w:pPr>
    </w:p>
    <w:p w14:paraId="222C3CD0" w14:textId="359BFE01" w:rsidR="00A54ED4" w:rsidRPr="00591C9C" w:rsidRDefault="00B954A5" w:rsidP="00591C9C">
      <w:pPr>
        <w:spacing w:after="0" w:line="240" w:lineRule="auto"/>
        <w:jc w:val="center"/>
        <w:outlineLvl w:val="3"/>
        <w:rPr>
          <w:rFonts w:ascii="Arial" w:eastAsia="Times New Roman" w:hAnsi="Arial" w:cs="Arial"/>
          <w:b/>
          <w:bCs/>
          <w:color w:val="1F1F1F"/>
          <w:kern w:val="0"/>
          <w:u w:val="single"/>
          <w:bdr w:val="none" w:sz="0" w:space="0" w:color="auto" w:frame="1"/>
          <w:lang w:eastAsia="en-GB"/>
          <w14:ligatures w14:val="none"/>
        </w:rPr>
      </w:pPr>
      <w:r>
        <w:rPr>
          <w:rFonts w:ascii="Arial" w:eastAsia="Times New Roman" w:hAnsi="Arial" w:cs="Arial"/>
          <w:noProof/>
          <w:color w:val="1F1F1F"/>
          <w:kern w:val="0"/>
          <w:bdr w:val="none" w:sz="0" w:space="0" w:color="auto" w:frame="1"/>
          <w:lang w:eastAsia="en-GB"/>
        </w:rPr>
        <w:lastRenderedPageBreak/>
        <w:drawing>
          <wp:anchor distT="0" distB="0" distL="114300" distR="114300" simplePos="0" relativeHeight="251660294" behindDoc="1" locked="0" layoutInCell="1" allowOverlap="1" wp14:anchorId="3CE0BBF9" wp14:editId="392023DB">
            <wp:simplePos x="0" y="0"/>
            <wp:positionH relativeFrom="column">
              <wp:posOffset>-7620</wp:posOffset>
            </wp:positionH>
            <wp:positionV relativeFrom="paragraph">
              <wp:posOffset>304800</wp:posOffset>
            </wp:positionV>
            <wp:extent cx="5654675" cy="1209040"/>
            <wp:effectExtent l="0" t="0" r="3175" b="0"/>
            <wp:wrapTight wrapText="bothSides">
              <wp:wrapPolygon edited="0">
                <wp:start x="0" y="0"/>
                <wp:lineTo x="0" y="21101"/>
                <wp:lineTo x="21539" y="21101"/>
                <wp:lineTo x="21539" y="0"/>
                <wp:lineTo x="0" y="0"/>
              </wp:wrapPolygon>
            </wp:wrapTight>
            <wp:docPr id="17758459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845925" name="Picture 1775845925"/>
                    <pic:cNvPicPr/>
                  </pic:nvPicPr>
                  <pic:blipFill>
                    <a:blip r:embed="rId18" cstate="print">
                      <a:clrChange>
                        <a:clrFrom>
                          <a:srgbClr val="FFFFFF"/>
                        </a:clrFrom>
                        <a:clrTo>
                          <a:srgbClr val="FFFFFF">
                            <a:alpha val="0"/>
                          </a:srgbClr>
                        </a:clrTo>
                      </a:clrChange>
                      <a:duotone>
                        <a:prstClr val="black"/>
                        <a:schemeClr val="bg1">
                          <a:lumMod val="65000"/>
                          <a:tint val="45000"/>
                          <a:satMod val="400000"/>
                        </a:schemeClr>
                      </a:duotone>
                      <a:extLst>
                        <a:ext uri="{BEBA8EAE-BF5A-486C-A8C5-ECC9F3942E4B}">
                          <a14:imgProps xmlns:a14="http://schemas.microsoft.com/office/drawing/2010/main">
                            <a14:imgLayer r:embed="rId19">
                              <a14:imgEffect>
                                <a14:colorTemperature colorTemp="4700"/>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5654675" cy="1209040"/>
                    </a:xfrm>
                    <a:prstGeom prst="rect">
                      <a:avLst/>
                    </a:prstGeom>
                  </pic:spPr>
                </pic:pic>
              </a:graphicData>
            </a:graphic>
            <wp14:sizeRelH relativeFrom="page">
              <wp14:pctWidth>0</wp14:pctWidth>
            </wp14:sizeRelH>
            <wp14:sizeRelV relativeFrom="page">
              <wp14:pctHeight>0</wp14:pctHeight>
            </wp14:sizeRelV>
          </wp:anchor>
        </w:drawing>
      </w:r>
      <w:r w:rsidR="00B6055D">
        <w:rPr>
          <w:rFonts w:ascii="Arial" w:eastAsia="Times New Roman" w:hAnsi="Arial" w:cs="Arial"/>
          <w:b/>
          <w:bCs/>
          <w:noProof/>
          <w:color w:val="1F1F1F"/>
          <w:kern w:val="0"/>
          <w:bdr w:val="none" w:sz="0" w:space="0" w:color="auto" w:frame="1"/>
          <w:lang w:eastAsia="en-GB"/>
        </w:rPr>
        <w:drawing>
          <wp:anchor distT="0" distB="0" distL="114300" distR="114300" simplePos="0" relativeHeight="251658243" behindDoc="1" locked="0" layoutInCell="1" allowOverlap="1" wp14:anchorId="38A73C91" wp14:editId="4EAD9228">
            <wp:simplePos x="0" y="0"/>
            <wp:positionH relativeFrom="column">
              <wp:posOffset>-83820</wp:posOffset>
            </wp:positionH>
            <wp:positionV relativeFrom="paragraph">
              <wp:posOffset>1595755</wp:posOffset>
            </wp:positionV>
            <wp:extent cx="5730875" cy="7078980"/>
            <wp:effectExtent l="0" t="0" r="3175" b="7620"/>
            <wp:wrapTight wrapText="bothSides">
              <wp:wrapPolygon edited="0">
                <wp:start x="72" y="0"/>
                <wp:lineTo x="72" y="21565"/>
                <wp:lineTo x="21540" y="21565"/>
                <wp:lineTo x="21540" y="0"/>
                <wp:lineTo x="72" y="0"/>
              </wp:wrapPolygon>
            </wp:wrapTight>
            <wp:docPr id="16465977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597772" name="Picture 1646597772"/>
                    <pic:cNvPicPr/>
                  </pic:nvPicPr>
                  <pic:blipFill rotWithShape="1">
                    <a:blip r:embed="rId20">
                      <a:extLst>
                        <a:ext uri="{28A0092B-C50C-407E-A947-70E740481C1C}">
                          <a14:useLocalDpi xmlns:a14="http://schemas.microsoft.com/office/drawing/2010/main" val="0"/>
                        </a:ext>
                      </a:extLst>
                    </a:blip>
                    <a:srcRect l="-1064" t="2355" r="1064" b="6506"/>
                    <a:stretch>
                      <a:fillRect/>
                    </a:stretch>
                  </pic:blipFill>
                  <pic:spPr bwMode="auto">
                    <a:xfrm>
                      <a:off x="0" y="0"/>
                      <a:ext cx="5730875" cy="707898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C10AD4" w:rsidRPr="00591C9C">
        <w:rPr>
          <w:rFonts w:ascii="Arial" w:eastAsia="Times New Roman" w:hAnsi="Arial" w:cs="Arial"/>
          <w:b/>
          <w:bCs/>
          <w:color w:val="1F1F1F"/>
          <w:kern w:val="0"/>
          <w:u w:val="single"/>
          <w:bdr w:val="none" w:sz="0" w:space="0" w:color="auto" w:frame="1"/>
          <w:lang w:eastAsia="en-GB"/>
          <w14:ligatures w14:val="none"/>
        </w:rPr>
        <w:t>CASE STUDY</w:t>
      </w:r>
      <w:r w:rsidR="00595E9A" w:rsidRPr="00591C9C">
        <w:rPr>
          <w:rFonts w:ascii="Arial" w:eastAsia="Times New Roman" w:hAnsi="Arial" w:cs="Arial"/>
          <w:b/>
          <w:bCs/>
          <w:color w:val="1F1F1F"/>
          <w:kern w:val="0"/>
          <w:u w:val="single"/>
          <w:bdr w:val="none" w:sz="0" w:space="0" w:color="auto" w:frame="1"/>
          <w:lang w:eastAsia="en-GB"/>
          <w14:ligatures w14:val="none"/>
        </w:rPr>
        <w:t xml:space="preserve">: SKILLS 4 </w:t>
      </w:r>
      <w:r w:rsidR="0043428F" w:rsidRPr="00591C9C">
        <w:rPr>
          <w:rFonts w:ascii="Arial" w:eastAsia="Times New Roman" w:hAnsi="Arial" w:cs="Arial"/>
          <w:b/>
          <w:bCs/>
          <w:color w:val="1F1F1F"/>
          <w:kern w:val="0"/>
          <w:u w:val="single"/>
          <w:bdr w:val="none" w:sz="0" w:space="0" w:color="auto" w:frame="1"/>
          <w:lang w:eastAsia="en-GB"/>
          <w14:ligatures w14:val="none"/>
        </w:rPr>
        <w:t>ALL</w:t>
      </w:r>
      <w:r w:rsidR="00D93157" w:rsidRPr="00591C9C">
        <w:rPr>
          <w:rFonts w:ascii="Arial" w:eastAsia="Times New Roman" w:hAnsi="Arial" w:cs="Arial"/>
          <w:b/>
          <w:bCs/>
          <w:color w:val="1F1F1F"/>
          <w:kern w:val="0"/>
          <w:u w:val="single"/>
          <w:bdr w:val="none" w:sz="0" w:space="0" w:color="auto" w:frame="1"/>
          <w:lang w:eastAsia="en-GB"/>
          <w14:ligatures w14:val="none"/>
        </w:rPr>
        <w:t xml:space="preserve"> (2026)</w:t>
      </w:r>
    </w:p>
    <w:p w14:paraId="3F0E0592" w14:textId="68483812" w:rsidR="00A54ED4" w:rsidRDefault="00A54ED4" w:rsidP="00260BD9">
      <w:pPr>
        <w:spacing w:after="0" w:line="240" w:lineRule="auto"/>
        <w:jc w:val="both"/>
        <w:outlineLvl w:val="3"/>
        <w:rPr>
          <w:rFonts w:ascii="Arial" w:eastAsia="Times New Roman" w:hAnsi="Arial" w:cs="Arial"/>
          <w:color w:val="1F1F1F"/>
          <w:kern w:val="0"/>
          <w:bdr w:val="none" w:sz="0" w:space="0" w:color="auto" w:frame="1"/>
          <w:lang w:eastAsia="en-GB"/>
          <w14:ligatures w14:val="none"/>
        </w:rPr>
      </w:pPr>
    </w:p>
    <w:p w14:paraId="2F270E9B" w14:textId="5970436D" w:rsidR="00591C9C" w:rsidRDefault="00591C9C"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p>
    <w:p w14:paraId="29152623" w14:textId="77777777" w:rsidR="00411250" w:rsidRDefault="00411250"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p>
    <w:p w14:paraId="52E253D4" w14:textId="7EDAC06E" w:rsidR="00960C89" w:rsidRDefault="00960C89"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r>
        <w:rPr>
          <w:rFonts w:ascii="Arial" w:eastAsia="Times New Roman" w:hAnsi="Arial" w:cs="Arial"/>
          <w:b/>
          <w:bCs/>
          <w:color w:val="1F1F1F"/>
          <w:kern w:val="0"/>
          <w:bdr w:val="none" w:sz="0" w:space="0" w:color="auto" w:frame="1"/>
          <w:lang w:eastAsia="en-GB"/>
          <w14:ligatures w14:val="none"/>
        </w:rPr>
        <w:lastRenderedPageBreak/>
        <w:t>Conclusion</w:t>
      </w:r>
    </w:p>
    <w:p w14:paraId="72F4A9C0" w14:textId="77777777" w:rsidR="00960C89" w:rsidRDefault="00960C89"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p>
    <w:p w14:paraId="0E65283E" w14:textId="152835C6" w:rsidR="00073877" w:rsidRPr="00073877" w:rsidRDefault="00073877" w:rsidP="00073877">
      <w:pPr>
        <w:pStyle w:val="NormalWeb"/>
        <w:jc w:val="both"/>
        <w:rPr>
          <w:rFonts w:ascii="Arial" w:hAnsi="Arial" w:cs="Arial"/>
        </w:rPr>
      </w:pPr>
      <w:r w:rsidRPr="00073877">
        <w:rPr>
          <w:rFonts w:ascii="Arial" w:hAnsi="Arial" w:cs="Arial"/>
        </w:rPr>
        <w:t>For Rootwings Academy, contemporary HR reform is not a discretionary enhancement, but a strategic necessity shaped by heightened accountability expectations, financial uncertainty, labour market constraints and regulatory scrutiny. Consequently, technological modernisation, equitable talent development and equity-centred organisational transformation must operate as interconnected mechanisms that strengthen institutional resilience rather than as isolated initiatives.</w:t>
      </w:r>
    </w:p>
    <w:p w14:paraId="59C57956" w14:textId="58594289" w:rsidR="00073877" w:rsidRPr="00073877" w:rsidRDefault="00073877" w:rsidP="00073877">
      <w:pPr>
        <w:pStyle w:val="NormalWeb"/>
        <w:jc w:val="both"/>
        <w:rPr>
          <w:rFonts w:ascii="Arial" w:hAnsi="Arial" w:cs="Arial"/>
        </w:rPr>
      </w:pPr>
      <w:r w:rsidRPr="00073877">
        <w:rPr>
          <w:rFonts w:ascii="Arial" w:hAnsi="Arial" w:cs="Arial"/>
        </w:rPr>
        <w:t xml:space="preserve">While the Balanced Scorecard provides a structured framework for aligning performance objectives with organisational strategy, ethical AI governance and transparent career progression systems ensure that principles of fairness and accountability are translated into operational practice. In addition, the Four-Stage Learning Agreement framework </w:t>
      </w:r>
      <w:r w:rsidR="006666DD">
        <w:rPr>
          <w:rFonts w:ascii="Arial" w:hAnsi="Arial" w:cs="Arial"/>
        </w:rPr>
        <w:t>and 8-Step Model bridge</w:t>
      </w:r>
      <w:r w:rsidRPr="00073877">
        <w:rPr>
          <w:rFonts w:ascii="Arial" w:hAnsi="Arial" w:cs="Arial"/>
        </w:rPr>
        <w:t xml:space="preserve"> the gap between policy formulation and managerial behaviour by embedding reflective learning, responsibility and continuous improvement into leadership practice.</w:t>
      </w:r>
    </w:p>
    <w:p w14:paraId="07CCB588" w14:textId="77777777" w:rsidR="00073877" w:rsidRPr="00073877" w:rsidRDefault="00073877" w:rsidP="00073877">
      <w:pPr>
        <w:pStyle w:val="NormalWeb"/>
        <w:jc w:val="both"/>
        <w:rPr>
          <w:rFonts w:ascii="Arial" w:hAnsi="Arial" w:cs="Arial"/>
        </w:rPr>
      </w:pPr>
      <w:r w:rsidRPr="00073877">
        <w:rPr>
          <w:rFonts w:ascii="Arial" w:hAnsi="Arial" w:cs="Arial"/>
        </w:rPr>
        <w:t>When implemented through coherent governance structures and ethical oversight, these reforms reposition human resource management from a largely administrative function to a strategic capability that supports sustainable organisational performance. In doing so, HR becomes a central driver of leadership stability, workforce engagement and long-term institutional legitimacy within the Alternative Provision sector.</w:t>
      </w:r>
    </w:p>
    <w:p w14:paraId="3CC174D9" w14:textId="77777777" w:rsidR="00960C89" w:rsidRDefault="00960C89"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p>
    <w:p w14:paraId="45C81891" w14:textId="77777777" w:rsidR="00960C89" w:rsidRDefault="00960C89"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p>
    <w:p w14:paraId="26896A89" w14:textId="77777777" w:rsidR="00073877" w:rsidRDefault="00073877"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p>
    <w:p w14:paraId="35101202" w14:textId="77777777" w:rsidR="00073877" w:rsidRDefault="00073877"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p>
    <w:p w14:paraId="58869B90" w14:textId="77777777" w:rsidR="00073877" w:rsidRDefault="00073877"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p>
    <w:p w14:paraId="1AFBA7DA" w14:textId="77777777" w:rsidR="00073877" w:rsidRDefault="00073877"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p>
    <w:p w14:paraId="48A50699" w14:textId="77777777" w:rsidR="00073877" w:rsidRDefault="00073877"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p>
    <w:p w14:paraId="1EABED29" w14:textId="77777777" w:rsidR="00073877" w:rsidRDefault="00073877"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p>
    <w:p w14:paraId="14E804F1" w14:textId="77777777" w:rsidR="00073877" w:rsidRDefault="00073877"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p>
    <w:p w14:paraId="6EE00D54" w14:textId="77777777" w:rsidR="00073877" w:rsidRDefault="00073877"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p>
    <w:p w14:paraId="695521EF" w14:textId="77777777" w:rsidR="00073877" w:rsidRDefault="00073877"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p>
    <w:p w14:paraId="65A7E3DC" w14:textId="77777777" w:rsidR="00073877" w:rsidRDefault="00073877"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p>
    <w:p w14:paraId="6DE8E834" w14:textId="77777777" w:rsidR="00073877" w:rsidRDefault="00073877"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p>
    <w:p w14:paraId="5C11F20E" w14:textId="77777777" w:rsidR="00073877" w:rsidRDefault="00073877"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p>
    <w:p w14:paraId="40ACD1DD" w14:textId="77777777" w:rsidR="00073877" w:rsidRDefault="00073877"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p>
    <w:p w14:paraId="19473D2C" w14:textId="77777777" w:rsidR="00073877" w:rsidRDefault="00073877"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p>
    <w:p w14:paraId="4431ADE8" w14:textId="77777777" w:rsidR="00073877" w:rsidRDefault="00073877"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p>
    <w:p w14:paraId="3A1BA3D6" w14:textId="77777777" w:rsidR="00073877" w:rsidRDefault="00073877"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p>
    <w:p w14:paraId="46302487" w14:textId="77777777" w:rsidR="00073877" w:rsidRDefault="00073877"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p>
    <w:p w14:paraId="646556EC" w14:textId="77777777" w:rsidR="00073877" w:rsidRDefault="00073877"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p>
    <w:p w14:paraId="75EA2B84" w14:textId="77777777" w:rsidR="00073877" w:rsidRDefault="00073877"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p>
    <w:p w14:paraId="5B58288A" w14:textId="77777777" w:rsidR="00073877" w:rsidRDefault="00073877"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p>
    <w:p w14:paraId="1A93424E" w14:textId="77777777" w:rsidR="00073877" w:rsidRDefault="00073877"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p>
    <w:p w14:paraId="69823326" w14:textId="77777777" w:rsidR="00073877" w:rsidRDefault="00073877"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p>
    <w:p w14:paraId="5B7F08FC" w14:textId="77777777" w:rsidR="00B259DF" w:rsidRDefault="00B259DF"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p>
    <w:p w14:paraId="6A9B6DD5" w14:textId="77777777" w:rsidR="00411250" w:rsidRDefault="00411250"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p>
    <w:p w14:paraId="6AF7E3E3" w14:textId="77777777" w:rsidR="00411250" w:rsidRDefault="00411250"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p>
    <w:p w14:paraId="709C90E0" w14:textId="77777777" w:rsidR="00B954A5" w:rsidRDefault="00B954A5"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p>
    <w:p w14:paraId="58A28563" w14:textId="77777777" w:rsidR="00073877" w:rsidRDefault="00073877"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p>
    <w:p w14:paraId="6AE6582D" w14:textId="5E34883F" w:rsidR="003C4148" w:rsidRPr="00260BD9" w:rsidRDefault="003C4148" w:rsidP="00260BD9">
      <w:pPr>
        <w:spacing w:after="0" w:line="240" w:lineRule="auto"/>
        <w:jc w:val="both"/>
        <w:outlineLvl w:val="3"/>
        <w:rPr>
          <w:rFonts w:ascii="Arial" w:eastAsia="Times New Roman" w:hAnsi="Arial" w:cs="Arial"/>
          <w:b/>
          <w:bCs/>
          <w:color w:val="1F1F1F"/>
          <w:kern w:val="0"/>
          <w:bdr w:val="none" w:sz="0" w:space="0" w:color="auto" w:frame="1"/>
          <w:lang w:eastAsia="en-GB"/>
          <w14:ligatures w14:val="none"/>
        </w:rPr>
      </w:pPr>
      <w:r w:rsidRPr="00260BD9">
        <w:rPr>
          <w:rFonts w:ascii="Arial" w:eastAsia="Times New Roman" w:hAnsi="Arial" w:cs="Arial"/>
          <w:b/>
          <w:bCs/>
          <w:color w:val="1F1F1F"/>
          <w:kern w:val="0"/>
          <w:bdr w:val="none" w:sz="0" w:space="0" w:color="auto" w:frame="1"/>
          <w:lang w:eastAsia="en-GB"/>
          <w14:ligatures w14:val="none"/>
        </w:rPr>
        <w:lastRenderedPageBreak/>
        <w:t>Recommendations</w:t>
      </w:r>
    </w:p>
    <w:p w14:paraId="60110813" w14:textId="2EC3A6C2" w:rsidR="00CB59B6" w:rsidRPr="00372662" w:rsidRDefault="00BE711E" w:rsidP="006B0EFC">
      <w:pPr>
        <w:spacing w:after="0" w:line="240" w:lineRule="auto"/>
        <w:jc w:val="both"/>
        <w:outlineLvl w:val="3"/>
        <w:rPr>
          <w:rFonts w:ascii="Arial" w:eastAsia="Times New Roman" w:hAnsi="Arial" w:cs="Arial"/>
          <w:b/>
          <w:bCs/>
          <w:color w:val="1F1F1F"/>
          <w:kern w:val="0"/>
          <w:lang w:eastAsia="en-GB"/>
          <w14:ligatures w14:val="none"/>
        </w:rPr>
      </w:pPr>
      <w:r>
        <w:rPr>
          <w:rFonts w:ascii="Arial" w:eastAsia="Times New Roman" w:hAnsi="Arial" w:cs="Arial"/>
          <w:b/>
          <w:bCs/>
          <w:noProof/>
          <w:color w:val="1F1F1F"/>
          <w:kern w:val="0"/>
          <w:lang w:eastAsia="en-GB"/>
        </w:rPr>
        <w:drawing>
          <wp:inline distT="0" distB="0" distL="0" distR="0" wp14:anchorId="0B4C7596" wp14:editId="67F2B800">
            <wp:extent cx="5983983" cy="9189720"/>
            <wp:effectExtent l="0" t="0" r="0" b="0"/>
            <wp:docPr id="17029202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920204" name="Picture 1702920204"/>
                    <pic:cNvPicPr/>
                  </pic:nvPicPr>
                  <pic:blipFill rotWithShape="1">
                    <a:blip r:embed="rId21">
                      <a:extLst>
                        <a:ext uri="{BEBA8EAE-BF5A-486C-A8C5-ECC9F3942E4B}">
                          <a14:imgProps xmlns:a14="http://schemas.microsoft.com/office/drawing/2010/main">
                            <a14:imgLayer r:embed="rId22">
                              <a14:imgEffect>
                                <a14:sharpenSoften amount="25000"/>
                              </a14:imgEffect>
                            </a14:imgLayer>
                          </a14:imgProps>
                        </a:ext>
                        <a:ext uri="{28A0092B-C50C-407E-A947-70E740481C1C}">
                          <a14:useLocalDpi xmlns:a14="http://schemas.microsoft.com/office/drawing/2010/main" val="0"/>
                        </a:ext>
                      </a:extLst>
                    </a:blip>
                    <a:srcRect t="15534" b="13587"/>
                    <a:stretch>
                      <a:fillRect/>
                    </a:stretch>
                  </pic:blipFill>
                  <pic:spPr bwMode="auto">
                    <a:xfrm>
                      <a:off x="0" y="0"/>
                      <a:ext cx="5989402" cy="9198043"/>
                    </a:xfrm>
                    <a:prstGeom prst="rect">
                      <a:avLst/>
                    </a:prstGeom>
                    <a:ln>
                      <a:noFill/>
                    </a:ln>
                    <a:extLst>
                      <a:ext uri="{53640926-AAD7-44D8-BBD7-CCE9431645EC}">
                        <a14:shadowObscured xmlns:a14="http://schemas.microsoft.com/office/drawing/2010/main"/>
                      </a:ext>
                    </a:extLst>
                  </pic:spPr>
                </pic:pic>
              </a:graphicData>
            </a:graphic>
          </wp:inline>
        </w:drawing>
      </w:r>
    </w:p>
    <w:p w14:paraId="694DBCD0" w14:textId="2627CDDB" w:rsidR="00D973A9" w:rsidRDefault="00C03C57" w:rsidP="006B0EFC">
      <w:pPr>
        <w:spacing w:after="0" w:line="240" w:lineRule="auto"/>
        <w:jc w:val="both"/>
        <w:outlineLvl w:val="3"/>
        <w:rPr>
          <w:rFonts w:ascii="Arial" w:eastAsia="Times New Roman" w:hAnsi="Arial" w:cs="Arial"/>
          <w:b/>
          <w:bCs/>
          <w:color w:val="1F1F1F"/>
          <w:kern w:val="0"/>
          <w:u w:val="single"/>
          <w:lang w:eastAsia="en-GB"/>
          <w14:ligatures w14:val="none"/>
        </w:rPr>
      </w:pPr>
      <w:r w:rsidRPr="00AB02E1">
        <w:rPr>
          <w:rFonts w:ascii="Arial" w:eastAsia="Times New Roman" w:hAnsi="Arial" w:cs="Arial"/>
          <w:b/>
          <w:bCs/>
          <w:color w:val="1F1F1F"/>
          <w:kern w:val="0"/>
          <w:u w:val="single"/>
          <w:lang w:eastAsia="en-GB"/>
          <w14:ligatures w14:val="none"/>
        </w:rPr>
        <w:lastRenderedPageBreak/>
        <w:t>References</w:t>
      </w:r>
    </w:p>
    <w:p w14:paraId="4DD79140" w14:textId="77777777" w:rsidR="006B0EFC" w:rsidRPr="006B0EFC" w:rsidRDefault="006B0EFC" w:rsidP="006B0EFC">
      <w:pPr>
        <w:spacing w:after="0" w:line="240" w:lineRule="auto"/>
        <w:jc w:val="both"/>
        <w:outlineLvl w:val="3"/>
        <w:rPr>
          <w:rFonts w:ascii="Arial" w:eastAsia="Times New Roman" w:hAnsi="Arial" w:cs="Arial"/>
          <w:b/>
          <w:bCs/>
          <w:color w:val="1F1F1F"/>
          <w:kern w:val="0"/>
          <w:lang w:eastAsia="en-GB"/>
          <w14:ligatures w14:val="none"/>
        </w:rPr>
      </w:pPr>
    </w:p>
    <w:p w14:paraId="30FE9E59" w14:textId="77777777" w:rsidR="00C03C57" w:rsidRPr="0024198C" w:rsidRDefault="00C03C57" w:rsidP="00C03C57">
      <w:pPr>
        <w:rPr>
          <w:rFonts w:ascii="Arial" w:hAnsi="Arial" w:cs="Arial"/>
          <w:sz w:val="20"/>
          <w:szCs w:val="20"/>
          <w:lang w:eastAsia="en-GB"/>
        </w:rPr>
      </w:pPr>
      <w:r w:rsidRPr="0024198C">
        <w:rPr>
          <w:rFonts w:ascii="Arial" w:hAnsi="Arial" w:cs="Arial"/>
          <w:sz w:val="20"/>
          <w:szCs w:val="20"/>
          <w:lang w:eastAsia="en-GB"/>
        </w:rPr>
        <w:t xml:space="preserve">Adams, J.S. (1965) ‘Inequity in social exchange’, </w:t>
      </w:r>
      <w:r w:rsidRPr="0024198C">
        <w:rPr>
          <w:rFonts w:ascii="Arial" w:hAnsi="Arial" w:cs="Arial"/>
          <w:i/>
          <w:iCs/>
          <w:sz w:val="20"/>
          <w:szCs w:val="20"/>
          <w:lang w:eastAsia="en-GB"/>
        </w:rPr>
        <w:t>Advances in Experimental Social Psychology</w:t>
      </w:r>
      <w:r w:rsidRPr="0024198C">
        <w:rPr>
          <w:rFonts w:ascii="Arial" w:hAnsi="Arial" w:cs="Arial"/>
          <w:sz w:val="20"/>
          <w:szCs w:val="20"/>
          <w:lang w:eastAsia="en-GB"/>
        </w:rPr>
        <w:t>, 2, pp. 267–299.</w:t>
      </w:r>
    </w:p>
    <w:p w14:paraId="330D9220" w14:textId="552322D8" w:rsidR="00C03C57" w:rsidRPr="0024198C" w:rsidRDefault="00C03C57" w:rsidP="00C03C57">
      <w:pPr>
        <w:rPr>
          <w:rFonts w:ascii="Arial" w:hAnsi="Arial" w:cs="Arial"/>
          <w:sz w:val="20"/>
          <w:szCs w:val="20"/>
          <w:lang w:eastAsia="en-GB"/>
        </w:rPr>
      </w:pPr>
      <w:r w:rsidRPr="0024198C">
        <w:rPr>
          <w:rFonts w:ascii="Arial" w:hAnsi="Arial" w:cs="Arial"/>
          <w:sz w:val="20"/>
          <w:szCs w:val="20"/>
          <w:lang w:eastAsia="en-GB"/>
        </w:rPr>
        <w:t>Armstrong, M. and Taylor, S. (2023)</w:t>
      </w:r>
      <w:r w:rsidR="00CD29D9" w:rsidRPr="0024198C">
        <w:rPr>
          <w:rFonts w:ascii="Arial" w:hAnsi="Arial" w:cs="Arial"/>
          <w:sz w:val="20"/>
          <w:szCs w:val="20"/>
          <w:lang w:eastAsia="en-GB"/>
        </w:rPr>
        <w:t>.</w:t>
      </w:r>
      <w:r w:rsidRPr="0024198C">
        <w:rPr>
          <w:rFonts w:ascii="Arial" w:hAnsi="Arial" w:cs="Arial"/>
          <w:sz w:val="20"/>
          <w:szCs w:val="20"/>
          <w:lang w:eastAsia="en-GB"/>
        </w:rPr>
        <w:t xml:space="preserve"> </w:t>
      </w:r>
      <w:r w:rsidRPr="0024198C">
        <w:rPr>
          <w:rFonts w:ascii="Arial" w:hAnsi="Arial" w:cs="Arial"/>
          <w:i/>
          <w:iCs/>
          <w:sz w:val="20"/>
          <w:szCs w:val="20"/>
          <w:lang w:eastAsia="en-GB"/>
        </w:rPr>
        <w:t>Armstrong's Handbook of Human Resource Management Practice</w:t>
      </w:r>
      <w:r w:rsidRPr="0024198C">
        <w:rPr>
          <w:rFonts w:ascii="Arial" w:hAnsi="Arial" w:cs="Arial"/>
          <w:sz w:val="20"/>
          <w:szCs w:val="20"/>
          <w:lang w:eastAsia="en-GB"/>
        </w:rPr>
        <w:t xml:space="preserve">. 16th </w:t>
      </w:r>
      <w:proofErr w:type="spellStart"/>
      <w:r w:rsidRPr="0024198C">
        <w:rPr>
          <w:rFonts w:ascii="Arial" w:hAnsi="Arial" w:cs="Arial"/>
          <w:sz w:val="20"/>
          <w:szCs w:val="20"/>
          <w:lang w:eastAsia="en-GB"/>
        </w:rPr>
        <w:t>edn</w:t>
      </w:r>
      <w:proofErr w:type="spellEnd"/>
      <w:r w:rsidRPr="0024198C">
        <w:rPr>
          <w:rFonts w:ascii="Arial" w:hAnsi="Arial" w:cs="Arial"/>
          <w:sz w:val="20"/>
          <w:szCs w:val="20"/>
          <w:lang w:eastAsia="en-GB"/>
        </w:rPr>
        <w:t>. London: Kogan Page.</w:t>
      </w:r>
    </w:p>
    <w:p w14:paraId="17579B54" w14:textId="77777777" w:rsidR="00C03C57" w:rsidRPr="0024198C" w:rsidRDefault="00C03C57" w:rsidP="00C03C57">
      <w:pPr>
        <w:rPr>
          <w:rFonts w:ascii="Arial" w:hAnsi="Arial" w:cs="Arial"/>
          <w:sz w:val="20"/>
          <w:szCs w:val="20"/>
          <w:lang w:eastAsia="en-GB"/>
        </w:rPr>
      </w:pPr>
      <w:r w:rsidRPr="0024198C">
        <w:rPr>
          <w:rFonts w:ascii="Arial" w:hAnsi="Arial" w:cs="Arial"/>
          <w:sz w:val="20"/>
          <w:szCs w:val="20"/>
          <w:lang w:eastAsia="en-GB"/>
        </w:rPr>
        <w:t xml:space="preserve">Chartered Institute of Personnel and Development (CIPD) (2023) </w:t>
      </w:r>
      <w:r w:rsidRPr="0024198C">
        <w:rPr>
          <w:rFonts w:ascii="Arial" w:hAnsi="Arial" w:cs="Arial"/>
          <w:i/>
          <w:iCs/>
          <w:sz w:val="20"/>
          <w:szCs w:val="20"/>
          <w:lang w:eastAsia="en-GB"/>
        </w:rPr>
        <w:t>Good Work Index 2023</w:t>
      </w:r>
      <w:r w:rsidRPr="0024198C">
        <w:rPr>
          <w:rFonts w:ascii="Arial" w:hAnsi="Arial" w:cs="Arial"/>
          <w:sz w:val="20"/>
          <w:szCs w:val="20"/>
          <w:lang w:eastAsia="en-GB"/>
        </w:rPr>
        <w:t>. London: CIPD.</w:t>
      </w:r>
    </w:p>
    <w:p w14:paraId="16EE9F83" w14:textId="3F2F002D" w:rsidR="00C03C57" w:rsidRPr="0024198C" w:rsidRDefault="00C03C57" w:rsidP="00C03C57">
      <w:pPr>
        <w:rPr>
          <w:rFonts w:ascii="Arial" w:hAnsi="Arial" w:cs="Arial"/>
          <w:sz w:val="20"/>
          <w:szCs w:val="20"/>
          <w:lang w:eastAsia="en-GB"/>
        </w:rPr>
      </w:pPr>
      <w:r w:rsidRPr="0024198C">
        <w:rPr>
          <w:rFonts w:ascii="Arial" w:hAnsi="Arial" w:cs="Arial"/>
          <w:sz w:val="20"/>
          <w:szCs w:val="20"/>
          <w:lang w:eastAsia="en-GB"/>
        </w:rPr>
        <w:t>Chartered Institute of Personnel and Development (CIPD) (2024)</w:t>
      </w:r>
      <w:r w:rsidR="00CD29D9" w:rsidRPr="0024198C">
        <w:rPr>
          <w:rFonts w:ascii="Arial" w:hAnsi="Arial" w:cs="Arial"/>
          <w:sz w:val="20"/>
          <w:szCs w:val="20"/>
          <w:lang w:eastAsia="en-GB"/>
        </w:rPr>
        <w:t>.</w:t>
      </w:r>
      <w:r w:rsidRPr="0024198C">
        <w:rPr>
          <w:rFonts w:ascii="Arial" w:hAnsi="Arial" w:cs="Arial"/>
          <w:sz w:val="20"/>
          <w:szCs w:val="20"/>
          <w:lang w:eastAsia="en-GB"/>
        </w:rPr>
        <w:t xml:space="preserve"> </w:t>
      </w:r>
      <w:r w:rsidRPr="0024198C">
        <w:rPr>
          <w:rFonts w:ascii="Arial" w:hAnsi="Arial" w:cs="Arial"/>
          <w:i/>
          <w:iCs/>
          <w:sz w:val="20"/>
          <w:szCs w:val="20"/>
          <w:lang w:eastAsia="en-GB"/>
        </w:rPr>
        <w:t>Inclusion and diversity in the workplace</w:t>
      </w:r>
      <w:r w:rsidRPr="0024198C">
        <w:rPr>
          <w:rFonts w:ascii="Arial" w:hAnsi="Arial" w:cs="Arial"/>
          <w:sz w:val="20"/>
          <w:szCs w:val="20"/>
          <w:lang w:eastAsia="en-GB"/>
        </w:rPr>
        <w:t xml:space="preserve">. [online] Available at: </w:t>
      </w:r>
      <w:hyperlink r:id="rId23" w:tgtFrame="_new" w:history="1">
        <w:r w:rsidRPr="0024198C">
          <w:rPr>
            <w:rFonts w:ascii="Arial" w:hAnsi="Arial" w:cs="Arial"/>
            <w:color w:val="0000FF"/>
            <w:sz w:val="20"/>
            <w:szCs w:val="20"/>
            <w:u w:val="single"/>
            <w:lang w:eastAsia="en-GB"/>
          </w:rPr>
          <w:t>https://www.cipd.org</w:t>
        </w:r>
      </w:hyperlink>
      <w:r w:rsidRPr="0024198C">
        <w:rPr>
          <w:rFonts w:ascii="Arial" w:hAnsi="Arial" w:cs="Arial"/>
          <w:sz w:val="20"/>
          <w:szCs w:val="20"/>
          <w:lang w:eastAsia="en-GB"/>
        </w:rPr>
        <w:t xml:space="preserve"> (Accessed: 26 January 2026).</w:t>
      </w:r>
    </w:p>
    <w:p w14:paraId="5B6A2EB1" w14:textId="77777777" w:rsidR="00C03C57" w:rsidRPr="0024198C" w:rsidRDefault="00C03C57" w:rsidP="00C03C57">
      <w:pPr>
        <w:rPr>
          <w:rFonts w:ascii="Arial" w:hAnsi="Arial" w:cs="Arial"/>
          <w:sz w:val="20"/>
          <w:szCs w:val="20"/>
          <w:lang w:eastAsia="en-GB"/>
        </w:rPr>
      </w:pPr>
      <w:r w:rsidRPr="0024198C">
        <w:rPr>
          <w:rFonts w:ascii="Arial" w:hAnsi="Arial" w:cs="Arial"/>
          <w:sz w:val="20"/>
          <w:szCs w:val="20"/>
          <w:lang w:eastAsia="en-GB"/>
        </w:rPr>
        <w:t xml:space="preserve">Department for Education (2025) </w:t>
      </w:r>
      <w:r w:rsidRPr="0024198C">
        <w:rPr>
          <w:rFonts w:ascii="Arial" w:hAnsi="Arial" w:cs="Arial"/>
          <w:i/>
          <w:iCs/>
          <w:sz w:val="20"/>
          <w:szCs w:val="20"/>
          <w:lang w:eastAsia="en-GB"/>
        </w:rPr>
        <w:t>Keeping Children Safe in Education (KCSIE) 2025</w:t>
      </w:r>
      <w:r w:rsidRPr="0024198C">
        <w:rPr>
          <w:rFonts w:ascii="Arial" w:hAnsi="Arial" w:cs="Arial"/>
          <w:sz w:val="20"/>
          <w:szCs w:val="20"/>
          <w:lang w:eastAsia="en-GB"/>
        </w:rPr>
        <w:t>. London: HMSO.</w:t>
      </w:r>
    </w:p>
    <w:p w14:paraId="138E2ECB" w14:textId="552F63CD" w:rsidR="00C03C57" w:rsidRPr="0024198C" w:rsidRDefault="00C03C57" w:rsidP="00C03C57">
      <w:pPr>
        <w:rPr>
          <w:rFonts w:ascii="Arial" w:hAnsi="Arial" w:cs="Arial"/>
          <w:sz w:val="20"/>
          <w:szCs w:val="20"/>
          <w:lang w:eastAsia="en-GB"/>
        </w:rPr>
      </w:pPr>
      <w:r w:rsidRPr="0024198C">
        <w:rPr>
          <w:rFonts w:ascii="Arial" w:hAnsi="Arial" w:cs="Arial"/>
          <w:sz w:val="20"/>
          <w:szCs w:val="20"/>
          <w:lang w:eastAsia="en-GB"/>
        </w:rPr>
        <w:t xml:space="preserve">Equality Act 2010. c.15. </w:t>
      </w:r>
      <w:r w:rsidR="00231C28" w:rsidRPr="0024198C">
        <w:rPr>
          <w:rFonts w:ascii="Arial" w:hAnsi="Arial" w:cs="Arial"/>
          <w:sz w:val="20"/>
          <w:szCs w:val="20"/>
          <w:lang w:eastAsia="en-GB"/>
        </w:rPr>
        <w:t>London</w:t>
      </w:r>
      <w:r w:rsidR="00A9600A" w:rsidRPr="0024198C">
        <w:rPr>
          <w:rFonts w:ascii="Arial" w:hAnsi="Arial" w:cs="Arial"/>
          <w:sz w:val="20"/>
          <w:szCs w:val="20"/>
          <w:lang w:eastAsia="en-GB"/>
        </w:rPr>
        <w:t xml:space="preserve">: The Stationery Office. </w:t>
      </w:r>
      <w:r w:rsidRPr="0024198C">
        <w:rPr>
          <w:rFonts w:ascii="Arial" w:hAnsi="Arial" w:cs="Arial"/>
          <w:sz w:val="20"/>
          <w:szCs w:val="20"/>
          <w:lang w:eastAsia="en-GB"/>
        </w:rPr>
        <w:t xml:space="preserve">Available at: </w:t>
      </w:r>
      <w:hyperlink r:id="rId24" w:tgtFrame="_new" w:history="1">
        <w:r w:rsidRPr="0024198C">
          <w:rPr>
            <w:rFonts w:ascii="Arial" w:hAnsi="Arial" w:cs="Arial"/>
            <w:color w:val="0000FF"/>
            <w:sz w:val="20"/>
            <w:szCs w:val="20"/>
            <w:u w:val="single"/>
            <w:lang w:eastAsia="en-GB"/>
          </w:rPr>
          <w:t>https://www.legislation.gov.uk/ukpga/2010/15/contents</w:t>
        </w:r>
      </w:hyperlink>
      <w:r w:rsidRPr="0024198C">
        <w:rPr>
          <w:rFonts w:ascii="Arial" w:hAnsi="Arial" w:cs="Arial"/>
          <w:sz w:val="20"/>
          <w:szCs w:val="20"/>
          <w:lang w:eastAsia="en-GB"/>
        </w:rPr>
        <w:t>(Accessed:</w:t>
      </w:r>
      <w:r w:rsidR="00A95CFA" w:rsidRPr="0024198C">
        <w:rPr>
          <w:rFonts w:ascii="Arial" w:hAnsi="Arial" w:cs="Arial"/>
          <w:sz w:val="20"/>
          <w:szCs w:val="20"/>
          <w:lang w:eastAsia="en-GB"/>
        </w:rPr>
        <w:t>14</w:t>
      </w:r>
      <w:r w:rsidR="003C5343" w:rsidRPr="0024198C">
        <w:rPr>
          <w:rFonts w:ascii="Arial" w:hAnsi="Arial" w:cs="Arial"/>
          <w:sz w:val="20"/>
          <w:szCs w:val="20"/>
          <w:lang w:eastAsia="en-GB"/>
        </w:rPr>
        <w:t xml:space="preserve"> </w:t>
      </w:r>
      <w:r w:rsidR="00D76766" w:rsidRPr="0024198C">
        <w:rPr>
          <w:rFonts w:ascii="Arial" w:hAnsi="Arial" w:cs="Arial"/>
          <w:sz w:val="20"/>
          <w:szCs w:val="20"/>
          <w:lang w:eastAsia="en-GB"/>
        </w:rPr>
        <w:t>February 2026</w:t>
      </w:r>
      <w:r w:rsidRPr="0024198C">
        <w:rPr>
          <w:rFonts w:ascii="Arial" w:hAnsi="Arial" w:cs="Arial"/>
          <w:sz w:val="20"/>
          <w:szCs w:val="20"/>
          <w:lang w:eastAsia="en-GB"/>
        </w:rPr>
        <w:t>)</w:t>
      </w:r>
    </w:p>
    <w:p w14:paraId="4F52FCBD" w14:textId="437322E4" w:rsidR="00CE7FAB" w:rsidRDefault="00CE7FAB" w:rsidP="00C03C57">
      <w:pPr>
        <w:rPr>
          <w:rFonts w:ascii="Arial" w:hAnsi="Arial" w:cs="Arial"/>
          <w:sz w:val="20"/>
          <w:szCs w:val="20"/>
        </w:rPr>
      </w:pPr>
      <w:r w:rsidRPr="0024198C">
        <w:rPr>
          <w:rFonts w:ascii="Arial" w:hAnsi="Arial" w:cs="Arial"/>
          <w:sz w:val="20"/>
          <w:szCs w:val="20"/>
        </w:rPr>
        <w:t>Herzberg, F. (1959)</w:t>
      </w:r>
      <w:r w:rsidR="00CD29D9" w:rsidRPr="0024198C">
        <w:rPr>
          <w:rFonts w:ascii="Arial" w:hAnsi="Arial" w:cs="Arial"/>
          <w:sz w:val="20"/>
          <w:szCs w:val="20"/>
        </w:rPr>
        <w:t>.</w:t>
      </w:r>
      <w:r w:rsidRPr="0024198C">
        <w:rPr>
          <w:rFonts w:ascii="Arial" w:hAnsi="Arial" w:cs="Arial"/>
          <w:sz w:val="20"/>
          <w:szCs w:val="20"/>
        </w:rPr>
        <w:t xml:space="preserve"> </w:t>
      </w:r>
      <w:r w:rsidRPr="0024198C">
        <w:rPr>
          <w:rStyle w:val="Emphasis"/>
          <w:rFonts w:ascii="Arial" w:hAnsi="Arial" w:cs="Arial"/>
          <w:sz w:val="20"/>
          <w:szCs w:val="20"/>
        </w:rPr>
        <w:t>The Motivation to Work</w:t>
      </w:r>
      <w:r w:rsidRPr="0024198C">
        <w:rPr>
          <w:rFonts w:ascii="Arial" w:hAnsi="Arial" w:cs="Arial"/>
          <w:sz w:val="20"/>
          <w:szCs w:val="20"/>
        </w:rPr>
        <w:t>. New York: Wiley.</w:t>
      </w:r>
    </w:p>
    <w:p w14:paraId="24D44CC9" w14:textId="17800650" w:rsidR="00692F4C" w:rsidRDefault="00692F4C" w:rsidP="00692F4C">
      <w:pPr>
        <w:spacing w:after="0" w:line="240" w:lineRule="auto"/>
        <w:contextualSpacing/>
        <w:rPr>
          <w:rFonts w:ascii="Arial" w:eastAsia="Times New Roman" w:hAnsi="Arial" w:cs="Arial"/>
          <w:kern w:val="0"/>
          <w:sz w:val="20"/>
          <w:szCs w:val="20"/>
          <w:lang w:eastAsia="en-GB"/>
          <w14:ligatures w14:val="none"/>
        </w:rPr>
      </w:pPr>
      <w:r w:rsidRPr="00692F4C">
        <w:rPr>
          <w:rFonts w:ascii="Arial" w:eastAsiaTheme="minorEastAsia" w:hAnsi="Arial" w:cs="Arial"/>
          <w:color w:val="404040" w:themeColor="text1" w:themeTint="BF"/>
          <w:kern w:val="24"/>
          <w:sz w:val="20"/>
          <w:szCs w:val="20"/>
          <w:lang w:val="en-US" w:eastAsia="en-GB"/>
          <w14:ligatures w14:val="none"/>
        </w:rPr>
        <w:t xml:space="preserve">Interaction Design Foundation (2024) </w:t>
      </w:r>
      <w:r w:rsidRPr="00692F4C">
        <w:rPr>
          <w:rFonts w:ascii="Arial" w:eastAsiaTheme="minorEastAsia" w:hAnsi="Arial" w:cs="Arial"/>
          <w:i/>
          <w:iCs/>
          <w:color w:val="404040" w:themeColor="text1" w:themeTint="BF"/>
          <w:kern w:val="24"/>
          <w:sz w:val="20"/>
          <w:szCs w:val="20"/>
          <w:lang w:val="en-US" w:eastAsia="en-GB"/>
          <w14:ligatures w14:val="none"/>
        </w:rPr>
        <w:t xml:space="preserve">Equality </w:t>
      </w:r>
      <w:r w:rsidR="00333025">
        <w:rPr>
          <w:rFonts w:ascii="Arial" w:eastAsiaTheme="minorEastAsia" w:hAnsi="Arial" w:cs="Arial"/>
          <w:i/>
          <w:iCs/>
          <w:color w:val="404040" w:themeColor="text1" w:themeTint="BF"/>
          <w:kern w:val="24"/>
          <w:sz w:val="20"/>
          <w:szCs w:val="20"/>
          <w:lang w:val="en-US" w:eastAsia="en-GB"/>
          <w14:ligatures w14:val="none"/>
        </w:rPr>
        <w:t>vs</w:t>
      </w:r>
      <w:r w:rsidRPr="00692F4C">
        <w:rPr>
          <w:rFonts w:ascii="Arial" w:eastAsiaTheme="minorEastAsia" w:hAnsi="Arial" w:cs="Arial"/>
          <w:i/>
          <w:iCs/>
          <w:color w:val="404040" w:themeColor="text1" w:themeTint="BF"/>
          <w:kern w:val="24"/>
          <w:sz w:val="20"/>
          <w:szCs w:val="20"/>
          <w:lang w:val="en-US" w:eastAsia="en-GB"/>
          <w14:ligatures w14:val="none"/>
        </w:rPr>
        <w:t xml:space="preserve"> Equity</w:t>
      </w:r>
      <w:r w:rsidRPr="00692F4C">
        <w:rPr>
          <w:rFonts w:ascii="Arial" w:eastAsiaTheme="minorEastAsia" w:hAnsi="Arial" w:cs="Arial"/>
          <w:color w:val="404040" w:themeColor="text1" w:themeTint="BF"/>
          <w:kern w:val="24"/>
          <w:sz w:val="20"/>
          <w:szCs w:val="20"/>
          <w:lang w:val="en-US" w:eastAsia="en-GB"/>
          <w14:ligatures w14:val="none"/>
        </w:rPr>
        <w:t xml:space="preserve"> [Graphic]. Available at: </w:t>
      </w:r>
      <w:hyperlink r:id="rId25" w:history="1">
        <w:r w:rsidRPr="00692F4C">
          <w:rPr>
            <w:rFonts w:ascii="Arial" w:eastAsiaTheme="minorEastAsia" w:hAnsi="Arial" w:cs="Arial"/>
            <w:color w:val="404040" w:themeColor="text1" w:themeTint="BF"/>
            <w:kern w:val="24"/>
            <w:sz w:val="20"/>
            <w:szCs w:val="20"/>
            <w:u w:val="single"/>
            <w:lang w:val="en-US" w:eastAsia="en-GB"/>
            <w14:ligatures w14:val="none"/>
          </w:rPr>
          <w:t>https://www.interaction-design.org</w:t>
        </w:r>
      </w:hyperlink>
      <w:r w:rsidRPr="00692F4C">
        <w:rPr>
          <w:rFonts w:ascii="Arial" w:eastAsiaTheme="minorEastAsia" w:hAnsi="Arial" w:cs="Arial"/>
          <w:color w:val="404040" w:themeColor="text1" w:themeTint="BF"/>
          <w:kern w:val="24"/>
          <w:sz w:val="20"/>
          <w:szCs w:val="20"/>
          <w:lang w:val="en-US" w:eastAsia="en-GB"/>
          <w14:ligatures w14:val="none"/>
        </w:rPr>
        <w:t xml:space="preserve"> [Accessed 16 Jan 2026].</w:t>
      </w:r>
    </w:p>
    <w:p w14:paraId="6E9E3DBA" w14:textId="77777777" w:rsidR="00692F4C" w:rsidRPr="00692F4C" w:rsidRDefault="00692F4C" w:rsidP="00692F4C">
      <w:pPr>
        <w:spacing w:after="0" w:line="240" w:lineRule="auto"/>
        <w:contextualSpacing/>
        <w:rPr>
          <w:rFonts w:ascii="Arial" w:eastAsia="Times New Roman" w:hAnsi="Arial" w:cs="Arial"/>
          <w:kern w:val="0"/>
          <w:sz w:val="20"/>
          <w:szCs w:val="20"/>
          <w:lang w:eastAsia="en-GB"/>
          <w14:ligatures w14:val="none"/>
        </w:rPr>
      </w:pPr>
    </w:p>
    <w:p w14:paraId="50A5EA33" w14:textId="4ABFB2F9" w:rsidR="00C03C57" w:rsidRPr="0024198C" w:rsidRDefault="00C03C57" w:rsidP="00C03C57">
      <w:pPr>
        <w:rPr>
          <w:rFonts w:ascii="Arial" w:hAnsi="Arial" w:cs="Arial"/>
          <w:sz w:val="20"/>
          <w:szCs w:val="20"/>
          <w:lang w:eastAsia="en-GB"/>
        </w:rPr>
      </w:pPr>
      <w:r w:rsidRPr="0024198C">
        <w:rPr>
          <w:rFonts w:ascii="Arial" w:hAnsi="Arial" w:cs="Arial"/>
          <w:sz w:val="20"/>
          <w:szCs w:val="20"/>
          <w:lang w:eastAsia="en-GB"/>
        </w:rPr>
        <w:t xml:space="preserve">Kaplan, R.S. and Norton, D.P. (1992) ‘The Balanced Scorecard: Measures that drive performance’, </w:t>
      </w:r>
      <w:r w:rsidRPr="0024198C">
        <w:rPr>
          <w:rFonts w:ascii="Arial" w:hAnsi="Arial" w:cs="Arial"/>
          <w:i/>
          <w:iCs/>
          <w:sz w:val="20"/>
          <w:szCs w:val="20"/>
          <w:lang w:eastAsia="en-GB"/>
        </w:rPr>
        <w:t>Harvard Business Review</w:t>
      </w:r>
      <w:r w:rsidRPr="0024198C">
        <w:rPr>
          <w:rFonts w:ascii="Arial" w:hAnsi="Arial" w:cs="Arial"/>
          <w:sz w:val="20"/>
          <w:szCs w:val="20"/>
          <w:lang w:eastAsia="en-GB"/>
        </w:rPr>
        <w:t>, 70(1), pp. 71–79.</w:t>
      </w:r>
    </w:p>
    <w:p w14:paraId="123612E2" w14:textId="18D7D589" w:rsidR="00C92B4E" w:rsidRPr="0024198C" w:rsidRDefault="00C92B4E" w:rsidP="00C03C57">
      <w:pPr>
        <w:rPr>
          <w:rFonts w:ascii="Arial" w:hAnsi="Arial" w:cs="Arial"/>
          <w:sz w:val="20"/>
          <w:szCs w:val="20"/>
          <w:lang w:eastAsia="en-GB"/>
        </w:rPr>
      </w:pPr>
      <w:r w:rsidRPr="0024198C">
        <w:rPr>
          <w:rFonts w:ascii="Arial" w:hAnsi="Arial" w:cs="Arial"/>
          <w:sz w:val="20"/>
          <w:szCs w:val="20"/>
        </w:rPr>
        <w:t xml:space="preserve">Kaplan, R.S. and Norton, D.P. (2004) </w:t>
      </w:r>
      <w:r w:rsidRPr="0024198C">
        <w:rPr>
          <w:rStyle w:val="Emphasis"/>
          <w:rFonts w:ascii="Arial" w:hAnsi="Arial" w:cs="Arial"/>
          <w:sz w:val="20"/>
          <w:szCs w:val="20"/>
        </w:rPr>
        <w:t xml:space="preserve">Strategy-Focused </w:t>
      </w:r>
      <w:r w:rsidR="00047341" w:rsidRPr="0024198C">
        <w:rPr>
          <w:rStyle w:val="Emphasis"/>
          <w:rFonts w:ascii="Arial" w:hAnsi="Arial" w:cs="Arial"/>
          <w:sz w:val="20"/>
          <w:szCs w:val="20"/>
        </w:rPr>
        <w:t>Organisation</w:t>
      </w:r>
      <w:r w:rsidRPr="0024198C">
        <w:rPr>
          <w:rFonts w:ascii="Arial" w:hAnsi="Arial" w:cs="Arial"/>
          <w:sz w:val="20"/>
          <w:szCs w:val="20"/>
        </w:rPr>
        <w:t>. Boston: Harvard Business School Press.</w:t>
      </w:r>
    </w:p>
    <w:p w14:paraId="0816992C" w14:textId="00191BEF" w:rsidR="00C03C57" w:rsidRPr="0024198C" w:rsidRDefault="00C03C57" w:rsidP="00C03C57">
      <w:pPr>
        <w:rPr>
          <w:rFonts w:ascii="Arial" w:hAnsi="Arial" w:cs="Arial"/>
          <w:sz w:val="20"/>
          <w:szCs w:val="20"/>
          <w:lang w:eastAsia="en-GB"/>
        </w:rPr>
      </w:pPr>
      <w:r w:rsidRPr="0024198C">
        <w:rPr>
          <w:rFonts w:ascii="Arial" w:hAnsi="Arial" w:cs="Arial"/>
          <w:sz w:val="20"/>
          <w:szCs w:val="20"/>
          <w:lang w:eastAsia="en-GB"/>
        </w:rPr>
        <w:t>Kolb, D.A. (2014)</w:t>
      </w:r>
      <w:r w:rsidR="00CD29D9" w:rsidRPr="0024198C">
        <w:rPr>
          <w:rFonts w:ascii="Arial" w:hAnsi="Arial" w:cs="Arial"/>
          <w:sz w:val="20"/>
          <w:szCs w:val="20"/>
          <w:lang w:eastAsia="en-GB"/>
        </w:rPr>
        <w:t>.</w:t>
      </w:r>
      <w:r w:rsidRPr="0024198C">
        <w:rPr>
          <w:rFonts w:ascii="Arial" w:hAnsi="Arial" w:cs="Arial"/>
          <w:sz w:val="20"/>
          <w:szCs w:val="20"/>
          <w:lang w:eastAsia="en-GB"/>
        </w:rPr>
        <w:t xml:space="preserve"> </w:t>
      </w:r>
      <w:r w:rsidRPr="0024198C">
        <w:rPr>
          <w:rFonts w:ascii="Arial" w:hAnsi="Arial" w:cs="Arial"/>
          <w:i/>
          <w:iCs/>
          <w:sz w:val="20"/>
          <w:szCs w:val="20"/>
          <w:lang w:eastAsia="en-GB"/>
        </w:rPr>
        <w:t>Experiential Learning: Experience as the Source of Learning and Development</w:t>
      </w:r>
      <w:r w:rsidRPr="0024198C">
        <w:rPr>
          <w:rFonts w:ascii="Arial" w:hAnsi="Arial" w:cs="Arial"/>
          <w:sz w:val="20"/>
          <w:szCs w:val="20"/>
          <w:lang w:eastAsia="en-GB"/>
        </w:rPr>
        <w:t xml:space="preserve">. 2nd </w:t>
      </w:r>
      <w:proofErr w:type="spellStart"/>
      <w:r w:rsidRPr="0024198C">
        <w:rPr>
          <w:rFonts w:ascii="Arial" w:hAnsi="Arial" w:cs="Arial"/>
          <w:sz w:val="20"/>
          <w:szCs w:val="20"/>
          <w:lang w:eastAsia="en-GB"/>
        </w:rPr>
        <w:t>edn</w:t>
      </w:r>
      <w:proofErr w:type="spellEnd"/>
      <w:r w:rsidRPr="0024198C">
        <w:rPr>
          <w:rFonts w:ascii="Arial" w:hAnsi="Arial" w:cs="Arial"/>
          <w:sz w:val="20"/>
          <w:szCs w:val="20"/>
          <w:lang w:eastAsia="en-GB"/>
        </w:rPr>
        <w:t>. New Jersey: Pearson Education.</w:t>
      </w:r>
    </w:p>
    <w:p w14:paraId="03C5BFC4" w14:textId="2B2FFCA9" w:rsidR="00047341" w:rsidRPr="0024198C" w:rsidRDefault="00C03C57" w:rsidP="008817B1">
      <w:pPr>
        <w:rPr>
          <w:rFonts w:ascii="Arial" w:hAnsi="Arial" w:cs="Arial"/>
          <w:sz w:val="20"/>
          <w:szCs w:val="20"/>
          <w:lang w:eastAsia="en-GB"/>
        </w:rPr>
      </w:pPr>
      <w:r w:rsidRPr="0024198C">
        <w:rPr>
          <w:rFonts w:ascii="Arial" w:hAnsi="Arial" w:cs="Arial"/>
          <w:sz w:val="20"/>
          <w:szCs w:val="20"/>
          <w:lang w:eastAsia="en-GB"/>
        </w:rPr>
        <w:t>Kotter, J.P. (1996)</w:t>
      </w:r>
      <w:r w:rsidR="00CD29D9" w:rsidRPr="0024198C">
        <w:rPr>
          <w:rFonts w:ascii="Arial" w:hAnsi="Arial" w:cs="Arial"/>
          <w:sz w:val="20"/>
          <w:szCs w:val="20"/>
          <w:lang w:eastAsia="en-GB"/>
        </w:rPr>
        <w:t>.</w:t>
      </w:r>
      <w:r w:rsidRPr="0024198C">
        <w:rPr>
          <w:rFonts w:ascii="Arial" w:hAnsi="Arial" w:cs="Arial"/>
          <w:sz w:val="20"/>
          <w:szCs w:val="20"/>
          <w:lang w:eastAsia="en-GB"/>
        </w:rPr>
        <w:t xml:space="preserve"> </w:t>
      </w:r>
      <w:r w:rsidRPr="0024198C">
        <w:rPr>
          <w:rFonts w:ascii="Arial" w:hAnsi="Arial" w:cs="Arial"/>
          <w:i/>
          <w:iCs/>
          <w:sz w:val="20"/>
          <w:szCs w:val="20"/>
          <w:lang w:eastAsia="en-GB"/>
        </w:rPr>
        <w:t>Leading Change</w:t>
      </w:r>
      <w:r w:rsidRPr="0024198C">
        <w:rPr>
          <w:rFonts w:ascii="Arial" w:hAnsi="Arial" w:cs="Arial"/>
          <w:sz w:val="20"/>
          <w:szCs w:val="20"/>
          <w:lang w:eastAsia="en-GB"/>
        </w:rPr>
        <w:t>. Boston: Harvard Business School Press.</w:t>
      </w:r>
    </w:p>
    <w:p w14:paraId="2DEE8166" w14:textId="486FE38C" w:rsidR="002935CB" w:rsidRPr="0024198C" w:rsidRDefault="002935CB" w:rsidP="008817B1">
      <w:pPr>
        <w:rPr>
          <w:rFonts w:ascii="Arial" w:hAnsi="Arial" w:cs="Arial"/>
          <w:sz w:val="20"/>
          <w:szCs w:val="20"/>
          <w:lang w:eastAsia="en-GB"/>
        </w:rPr>
      </w:pPr>
      <w:proofErr w:type="spellStart"/>
      <w:r w:rsidRPr="0024198C">
        <w:rPr>
          <w:rFonts w:ascii="Arial" w:hAnsi="Arial" w:cs="Arial"/>
          <w:sz w:val="20"/>
          <w:szCs w:val="20"/>
          <w:lang w:eastAsia="en-GB"/>
        </w:rPr>
        <w:t>Metaview</w:t>
      </w:r>
      <w:proofErr w:type="spellEnd"/>
      <w:r w:rsidRPr="0024198C">
        <w:rPr>
          <w:rFonts w:ascii="Arial" w:hAnsi="Arial" w:cs="Arial"/>
          <w:sz w:val="20"/>
          <w:szCs w:val="20"/>
          <w:lang w:eastAsia="en-GB"/>
        </w:rPr>
        <w:t xml:space="preserve"> (2025) </w:t>
      </w:r>
      <w:r w:rsidRPr="0024198C">
        <w:rPr>
          <w:rFonts w:ascii="Arial" w:hAnsi="Arial" w:cs="Arial"/>
          <w:i/>
          <w:iCs/>
          <w:sz w:val="20"/>
          <w:szCs w:val="20"/>
          <w:lang w:eastAsia="en-GB"/>
        </w:rPr>
        <w:t>Cost Per Hire</w:t>
      </w:r>
      <w:r w:rsidR="001369D8" w:rsidRPr="0024198C">
        <w:rPr>
          <w:rFonts w:ascii="Arial" w:hAnsi="Arial" w:cs="Arial"/>
          <w:i/>
          <w:iCs/>
          <w:sz w:val="20"/>
          <w:szCs w:val="20"/>
          <w:lang w:eastAsia="en-GB"/>
        </w:rPr>
        <w:t>: How to calculate and reduce recruiting expenses</w:t>
      </w:r>
      <w:r w:rsidR="001369D8" w:rsidRPr="0024198C">
        <w:rPr>
          <w:rFonts w:ascii="Arial" w:hAnsi="Arial" w:cs="Arial"/>
          <w:sz w:val="20"/>
          <w:szCs w:val="20"/>
          <w:lang w:eastAsia="en-GB"/>
        </w:rPr>
        <w:t xml:space="preserve">. </w:t>
      </w:r>
      <w:r w:rsidR="003C2472" w:rsidRPr="0024198C">
        <w:rPr>
          <w:rFonts w:ascii="Arial" w:hAnsi="Arial" w:cs="Arial"/>
          <w:sz w:val="20"/>
          <w:szCs w:val="20"/>
          <w:lang w:eastAsia="en-GB"/>
        </w:rPr>
        <w:t>A</w:t>
      </w:r>
      <w:r w:rsidR="001369D8" w:rsidRPr="0024198C">
        <w:rPr>
          <w:rFonts w:ascii="Arial" w:hAnsi="Arial" w:cs="Arial"/>
          <w:sz w:val="20"/>
          <w:szCs w:val="20"/>
          <w:lang w:eastAsia="en-GB"/>
        </w:rPr>
        <w:t>vailable</w:t>
      </w:r>
      <w:r w:rsidR="003C2472" w:rsidRPr="0024198C">
        <w:rPr>
          <w:rFonts w:ascii="Arial" w:hAnsi="Arial" w:cs="Arial"/>
          <w:sz w:val="20"/>
          <w:szCs w:val="20"/>
          <w:lang w:eastAsia="en-GB"/>
        </w:rPr>
        <w:t xml:space="preserve"> at: </w:t>
      </w:r>
      <w:hyperlink r:id="rId26" w:history="1">
        <w:r w:rsidR="00140E63" w:rsidRPr="0024198C">
          <w:rPr>
            <w:rStyle w:val="Hyperlink"/>
            <w:rFonts w:ascii="Arial" w:hAnsi="Arial" w:cs="Arial"/>
            <w:sz w:val="20"/>
            <w:szCs w:val="20"/>
            <w:lang w:eastAsia="en-GB"/>
          </w:rPr>
          <w:t>https://www.metaview.ai/resourcing/blog/costperhire</w:t>
        </w:r>
      </w:hyperlink>
      <w:r w:rsidR="00140E63" w:rsidRPr="0024198C">
        <w:rPr>
          <w:rFonts w:ascii="Arial" w:hAnsi="Arial" w:cs="Arial"/>
          <w:sz w:val="20"/>
          <w:szCs w:val="20"/>
          <w:lang w:eastAsia="en-GB"/>
        </w:rPr>
        <w:t xml:space="preserve"> (</w:t>
      </w:r>
      <w:r w:rsidR="000200D1">
        <w:rPr>
          <w:rFonts w:ascii="Arial" w:hAnsi="Arial" w:cs="Arial"/>
          <w:sz w:val="20"/>
          <w:szCs w:val="20"/>
          <w:lang w:eastAsia="en-GB"/>
        </w:rPr>
        <w:t>A</w:t>
      </w:r>
      <w:r w:rsidR="00140E63" w:rsidRPr="0024198C">
        <w:rPr>
          <w:rFonts w:ascii="Arial" w:hAnsi="Arial" w:cs="Arial"/>
          <w:sz w:val="20"/>
          <w:szCs w:val="20"/>
          <w:lang w:eastAsia="en-GB"/>
        </w:rPr>
        <w:t>ccessed: 15 February 2026)</w:t>
      </w:r>
    </w:p>
    <w:p w14:paraId="7D71A67C" w14:textId="705502D4" w:rsidR="00C03C57" w:rsidRPr="0024198C" w:rsidRDefault="00C03C57" w:rsidP="00C03C57">
      <w:pPr>
        <w:rPr>
          <w:rFonts w:ascii="Arial" w:hAnsi="Arial" w:cs="Arial"/>
          <w:sz w:val="20"/>
          <w:szCs w:val="20"/>
          <w:lang w:eastAsia="en-GB"/>
        </w:rPr>
      </w:pPr>
      <w:r w:rsidRPr="0024198C">
        <w:rPr>
          <w:rFonts w:ascii="Arial" w:hAnsi="Arial" w:cs="Arial"/>
          <w:sz w:val="20"/>
          <w:szCs w:val="20"/>
          <w:lang w:eastAsia="en-GB"/>
        </w:rPr>
        <w:t>Muller, J.Z. (2018)</w:t>
      </w:r>
      <w:r w:rsidR="00CD29D9" w:rsidRPr="0024198C">
        <w:rPr>
          <w:rFonts w:ascii="Arial" w:hAnsi="Arial" w:cs="Arial"/>
          <w:sz w:val="20"/>
          <w:szCs w:val="20"/>
          <w:lang w:eastAsia="en-GB"/>
        </w:rPr>
        <w:t>.</w:t>
      </w:r>
      <w:r w:rsidRPr="0024198C">
        <w:rPr>
          <w:rFonts w:ascii="Arial" w:hAnsi="Arial" w:cs="Arial"/>
          <w:sz w:val="20"/>
          <w:szCs w:val="20"/>
          <w:lang w:eastAsia="en-GB"/>
        </w:rPr>
        <w:t xml:space="preserve"> </w:t>
      </w:r>
      <w:r w:rsidRPr="0024198C">
        <w:rPr>
          <w:rFonts w:ascii="Arial" w:hAnsi="Arial" w:cs="Arial"/>
          <w:i/>
          <w:iCs/>
          <w:sz w:val="20"/>
          <w:szCs w:val="20"/>
          <w:lang w:eastAsia="en-GB"/>
        </w:rPr>
        <w:t>The Tyranny of Metrics</w:t>
      </w:r>
      <w:r w:rsidRPr="0024198C">
        <w:rPr>
          <w:rFonts w:ascii="Arial" w:hAnsi="Arial" w:cs="Arial"/>
          <w:sz w:val="20"/>
          <w:szCs w:val="20"/>
          <w:lang w:eastAsia="en-GB"/>
        </w:rPr>
        <w:t>. Princeton: Princeton University Press.</w:t>
      </w:r>
    </w:p>
    <w:p w14:paraId="0C0CE08E" w14:textId="6C01892C" w:rsidR="00C03C57" w:rsidRDefault="00C03C57" w:rsidP="00C03C57">
      <w:pPr>
        <w:rPr>
          <w:rFonts w:ascii="Arial" w:hAnsi="Arial" w:cs="Arial"/>
          <w:sz w:val="20"/>
          <w:szCs w:val="20"/>
          <w:lang w:eastAsia="en-GB"/>
        </w:rPr>
      </w:pPr>
      <w:r w:rsidRPr="0024198C">
        <w:rPr>
          <w:rFonts w:ascii="Arial" w:hAnsi="Arial" w:cs="Arial"/>
          <w:sz w:val="20"/>
          <w:szCs w:val="20"/>
          <w:lang w:eastAsia="en-GB"/>
        </w:rPr>
        <w:t>Mullins, L.J. (2023)</w:t>
      </w:r>
      <w:r w:rsidR="00CD29D9" w:rsidRPr="0024198C">
        <w:rPr>
          <w:rFonts w:ascii="Arial" w:hAnsi="Arial" w:cs="Arial"/>
          <w:sz w:val="20"/>
          <w:szCs w:val="20"/>
          <w:lang w:eastAsia="en-GB"/>
        </w:rPr>
        <w:t>.</w:t>
      </w:r>
      <w:r w:rsidRPr="0024198C">
        <w:rPr>
          <w:rFonts w:ascii="Arial" w:hAnsi="Arial" w:cs="Arial"/>
          <w:sz w:val="20"/>
          <w:szCs w:val="20"/>
          <w:lang w:eastAsia="en-GB"/>
        </w:rPr>
        <w:t xml:space="preserve"> </w:t>
      </w:r>
      <w:r w:rsidRPr="0024198C">
        <w:rPr>
          <w:rFonts w:ascii="Arial" w:hAnsi="Arial" w:cs="Arial"/>
          <w:i/>
          <w:iCs/>
          <w:sz w:val="20"/>
          <w:szCs w:val="20"/>
          <w:lang w:eastAsia="en-GB"/>
        </w:rPr>
        <w:t>Management and Organisational Behaviour</w:t>
      </w:r>
      <w:r w:rsidRPr="0024198C">
        <w:rPr>
          <w:rFonts w:ascii="Arial" w:hAnsi="Arial" w:cs="Arial"/>
          <w:sz w:val="20"/>
          <w:szCs w:val="20"/>
          <w:lang w:eastAsia="en-GB"/>
        </w:rPr>
        <w:t xml:space="preserve">. 13th </w:t>
      </w:r>
      <w:proofErr w:type="spellStart"/>
      <w:r w:rsidRPr="0024198C">
        <w:rPr>
          <w:rFonts w:ascii="Arial" w:hAnsi="Arial" w:cs="Arial"/>
          <w:sz w:val="20"/>
          <w:szCs w:val="20"/>
          <w:lang w:eastAsia="en-GB"/>
        </w:rPr>
        <w:t>edn</w:t>
      </w:r>
      <w:proofErr w:type="spellEnd"/>
      <w:r w:rsidRPr="0024198C">
        <w:rPr>
          <w:rFonts w:ascii="Arial" w:hAnsi="Arial" w:cs="Arial"/>
          <w:sz w:val="20"/>
          <w:szCs w:val="20"/>
          <w:lang w:eastAsia="en-GB"/>
        </w:rPr>
        <w:t>. London: Pearson.</w:t>
      </w:r>
    </w:p>
    <w:p w14:paraId="37E1CC86" w14:textId="077959A4" w:rsidR="003B28D9" w:rsidRDefault="003B28D9" w:rsidP="00C03C57">
      <w:pPr>
        <w:rPr>
          <w:rFonts w:ascii="Arial" w:hAnsi="Arial" w:cs="Arial"/>
          <w:sz w:val="20"/>
          <w:szCs w:val="20"/>
          <w:lang w:eastAsia="en-GB"/>
        </w:rPr>
      </w:pPr>
      <w:r>
        <w:rPr>
          <w:rFonts w:ascii="Arial" w:hAnsi="Arial" w:cs="Arial"/>
          <w:sz w:val="20"/>
          <w:szCs w:val="20"/>
          <w:lang w:eastAsia="en-GB"/>
        </w:rPr>
        <w:t>Perera, N. (2019)</w:t>
      </w:r>
      <w:r w:rsidR="000200D1">
        <w:rPr>
          <w:rFonts w:ascii="Arial" w:hAnsi="Arial" w:cs="Arial"/>
          <w:sz w:val="20"/>
          <w:szCs w:val="20"/>
          <w:lang w:eastAsia="en-GB"/>
        </w:rPr>
        <w:t>.</w:t>
      </w:r>
      <w:r>
        <w:rPr>
          <w:rFonts w:ascii="Arial" w:hAnsi="Arial" w:cs="Arial"/>
          <w:sz w:val="20"/>
          <w:szCs w:val="20"/>
          <w:lang w:eastAsia="en-GB"/>
        </w:rPr>
        <w:t xml:space="preserve"> </w:t>
      </w:r>
      <w:r w:rsidRPr="000200D1">
        <w:rPr>
          <w:rFonts w:ascii="Arial" w:hAnsi="Arial" w:cs="Arial"/>
          <w:i/>
          <w:iCs/>
          <w:sz w:val="20"/>
          <w:szCs w:val="20"/>
          <w:lang w:eastAsia="en-GB"/>
        </w:rPr>
        <w:t>High Needs Funding</w:t>
      </w:r>
      <w:r w:rsidR="0095726D" w:rsidRPr="000200D1">
        <w:rPr>
          <w:rFonts w:ascii="Arial" w:hAnsi="Arial" w:cs="Arial"/>
          <w:i/>
          <w:iCs/>
          <w:sz w:val="20"/>
          <w:szCs w:val="20"/>
          <w:lang w:eastAsia="en-GB"/>
        </w:rPr>
        <w:t>: An overview of the key issues</w:t>
      </w:r>
      <w:r w:rsidR="0095726D">
        <w:rPr>
          <w:rFonts w:ascii="Arial" w:hAnsi="Arial" w:cs="Arial"/>
          <w:sz w:val="20"/>
          <w:szCs w:val="20"/>
          <w:lang w:eastAsia="en-GB"/>
        </w:rPr>
        <w:t>. London: Education Policy Institute</w:t>
      </w:r>
      <w:r w:rsidR="000C7C58">
        <w:rPr>
          <w:rFonts w:ascii="Arial" w:hAnsi="Arial" w:cs="Arial"/>
          <w:sz w:val="20"/>
          <w:szCs w:val="20"/>
          <w:lang w:eastAsia="en-GB"/>
        </w:rPr>
        <w:t xml:space="preserve">. Available at: </w:t>
      </w:r>
      <w:hyperlink r:id="rId27" w:history="1">
        <w:r w:rsidR="001D2D73" w:rsidRPr="00D43FE2">
          <w:rPr>
            <w:rStyle w:val="Hyperlink"/>
            <w:rFonts w:ascii="Arial" w:hAnsi="Arial" w:cs="Arial"/>
            <w:sz w:val="20"/>
            <w:szCs w:val="20"/>
            <w:lang w:eastAsia="en-GB"/>
          </w:rPr>
          <w:t>https://epi.org.uk/wp-content/uploads/2019/04/EPI_High-Needs-Funding_2019.pdf</w:t>
        </w:r>
      </w:hyperlink>
      <w:r w:rsidR="001D2D73">
        <w:rPr>
          <w:rFonts w:ascii="Arial" w:hAnsi="Arial" w:cs="Arial"/>
          <w:sz w:val="20"/>
          <w:szCs w:val="20"/>
          <w:lang w:eastAsia="en-GB"/>
        </w:rPr>
        <w:t xml:space="preserve"> (</w:t>
      </w:r>
      <w:r w:rsidR="000200D1">
        <w:rPr>
          <w:rFonts w:ascii="Arial" w:hAnsi="Arial" w:cs="Arial"/>
          <w:sz w:val="20"/>
          <w:szCs w:val="20"/>
          <w:lang w:eastAsia="en-GB"/>
        </w:rPr>
        <w:t>A</w:t>
      </w:r>
      <w:r w:rsidR="001D2D73">
        <w:rPr>
          <w:rFonts w:ascii="Arial" w:hAnsi="Arial" w:cs="Arial"/>
          <w:sz w:val="20"/>
          <w:szCs w:val="20"/>
          <w:lang w:eastAsia="en-GB"/>
        </w:rPr>
        <w:t>ccessed 20 February 2026</w:t>
      </w:r>
      <w:r w:rsidR="000200D1">
        <w:rPr>
          <w:rFonts w:ascii="Arial" w:hAnsi="Arial" w:cs="Arial"/>
          <w:sz w:val="20"/>
          <w:szCs w:val="20"/>
          <w:lang w:eastAsia="en-GB"/>
        </w:rPr>
        <w:t>)</w:t>
      </w:r>
    </w:p>
    <w:p w14:paraId="69C95074" w14:textId="0FB021B3" w:rsidR="004F59AE" w:rsidRPr="004F59AE" w:rsidRDefault="004F59AE" w:rsidP="00C03C57">
      <w:pPr>
        <w:rPr>
          <w:rFonts w:ascii="Arial" w:hAnsi="Arial" w:cs="Arial"/>
          <w:sz w:val="20"/>
          <w:szCs w:val="20"/>
          <w:lang w:eastAsia="en-GB"/>
        </w:rPr>
      </w:pPr>
      <w:r w:rsidRPr="004F59AE">
        <w:rPr>
          <w:rFonts w:ascii="Arial" w:hAnsi="Arial" w:cs="Arial"/>
          <w:sz w:val="20"/>
          <w:szCs w:val="20"/>
        </w:rPr>
        <w:t xml:space="preserve">Procter-Legg, C. (2025) 'The five-year itch: Motivational factors that influence the career decisions of early career teachers in England', </w:t>
      </w:r>
      <w:r w:rsidRPr="004F59AE">
        <w:rPr>
          <w:rFonts w:ascii="Arial" w:hAnsi="Arial" w:cs="Arial"/>
          <w:i/>
          <w:iCs/>
          <w:sz w:val="20"/>
          <w:szCs w:val="20"/>
        </w:rPr>
        <w:t>British Educational Research Journal</w:t>
      </w:r>
      <w:r w:rsidRPr="004F59AE">
        <w:rPr>
          <w:rFonts w:ascii="Arial" w:hAnsi="Arial" w:cs="Arial"/>
          <w:sz w:val="20"/>
          <w:szCs w:val="20"/>
        </w:rPr>
        <w:t xml:space="preserve">, [online first]. Available at: </w:t>
      </w:r>
      <w:hyperlink r:id="rId28" w:history="1">
        <w:r w:rsidRPr="004F59AE">
          <w:rPr>
            <w:rFonts w:ascii="Arial" w:hAnsi="Arial" w:cs="Arial"/>
            <w:color w:val="0000FF"/>
            <w:sz w:val="20"/>
            <w:szCs w:val="20"/>
            <w:u w:val="single"/>
          </w:rPr>
          <w:t>https://doi.org/10.1002/berj.4149</w:t>
        </w:r>
      </w:hyperlink>
      <w:r w:rsidRPr="004F59AE">
        <w:rPr>
          <w:rFonts w:ascii="Arial" w:hAnsi="Arial" w:cs="Arial"/>
          <w:sz w:val="20"/>
          <w:szCs w:val="20"/>
        </w:rPr>
        <w:t xml:space="preserve"> (Accessed: 19 March 2026).</w:t>
      </w:r>
    </w:p>
    <w:p w14:paraId="1A9535EF" w14:textId="77777777" w:rsidR="00C03C57" w:rsidRPr="0024198C" w:rsidRDefault="00C03C57" w:rsidP="00C03C57">
      <w:pPr>
        <w:rPr>
          <w:rFonts w:ascii="Arial" w:hAnsi="Arial" w:cs="Arial"/>
          <w:sz w:val="20"/>
          <w:szCs w:val="20"/>
          <w:lang w:eastAsia="en-GB"/>
        </w:rPr>
      </w:pPr>
      <w:r w:rsidRPr="0024198C">
        <w:rPr>
          <w:rFonts w:ascii="Arial" w:hAnsi="Arial" w:cs="Arial"/>
          <w:sz w:val="20"/>
          <w:szCs w:val="20"/>
          <w:lang w:eastAsia="en-GB"/>
        </w:rPr>
        <w:t xml:space="preserve">Purcell, J. and Hutchinson, S. (2007) ‘Front-line managers as agents in the HRM-performance causal chain’, </w:t>
      </w:r>
      <w:r w:rsidRPr="0024198C">
        <w:rPr>
          <w:rFonts w:ascii="Arial" w:hAnsi="Arial" w:cs="Arial"/>
          <w:i/>
          <w:iCs/>
          <w:sz w:val="20"/>
          <w:szCs w:val="20"/>
          <w:lang w:eastAsia="en-GB"/>
        </w:rPr>
        <w:t>Human Resource Management Journal</w:t>
      </w:r>
      <w:r w:rsidRPr="0024198C">
        <w:rPr>
          <w:rFonts w:ascii="Arial" w:hAnsi="Arial" w:cs="Arial"/>
          <w:sz w:val="20"/>
          <w:szCs w:val="20"/>
          <w:lang w:eastAsia="en-GB"/>
        </w:rPr>
        <w:t>, 17(1), pp. 3–20.</w:t>
      </w:r>
    </w:p>
    <w:p w14:paraId="6942CE70" w14:textId="77777777" w:rsidR="00C03C57" w:rsidRDefault="00C03C57" w:rsidP="00C03C57">
      <w:pPr>
        <w:rPr>
          <w:rFonts w:ascii="Arial" w:hAnsi="Arial" w:cs="Arial"/>
          <w:sz w:val="20"/>
          <w:szCs w:val="20"/>
          <w:lang w:eastAsia="en-GB"/>
        </w:rPr>
      </w:pPr>
      <w:r w:rsidRPr="0024198C">
        <w:rPr>
          <w:rFonts w:ascii="Arial" w:hAnsi="Arial" w:cs="Arial"/>
          <w:sz w:val="20"/>
          <w:szCs w:val="20"/>
          <w:lang w:eastAsia="en-GB"/>
        </w:rPr>
        <w:t xml:space="preserve">Raghavan, M., Barocas, S., Kleinberg, J. and Levy, K. (2020) ‘Mitigating bias in algorithmic hiring’, </w:t>
      </w:r>
      <w:r w:rsidRPr="0024198C">
        <w:rPr>
          <w:rFonts w:ascii="Arial" w:hAnsi="Arial" w:cs="Arial"/>
          <w:i/>
          <w:iCs/>
          <w:sz w:val="20"/>
          <w:szCs w:val="20"/>
          <w:lang w:eastAsia="en-GB"/>
        </w:rPr>
        <w:t>Proceedings of the 2020 Conference on Fairness, Accountability, and Transparency</w:t>
      </w:r>
      <w:r w:rsidRPr="0024198C">
        <w:rPr>
          <w:rFonts w:ascii="Arial" w:hAnsi="Arial" w:cs="Arial"/>
          <w:sz w:val="20"/>
          <w:szCs w:val="20"/>
          <w:lang w:eastAsia="en-GB"/>
        </w:rPr>
        <w:t>, pp. 469–481.</w:t>
      </w:r>
    </w:p>
    <w:p w14:paraId="6E323A3A" w14:textId="52622085" w:rsidR="00D93157" w:rsidRPr="0024198C" w:rsidRDefault="00AF3D51" w:rsidP="00C03C57">
      <w:pPr>
        <w:rPr>
          <w:rFonts w:ascii="Arial" w:hAnsi="Arial" w:cs="Arial"/>
          <w:sz w:val="20"/>
          <w:szCs w:val="20"/>
          <w:lang w:eastAsia="en-GB"/>
        </w:rPr>
      </w:pPr>
      <w:r>
        <w:rPr>
          <w:rFonts w:ascii="Arial" w:hAnsi="Arial" w:cs="Arial"/>
          <w:sz w:val="20"/>
          <w:szCs w:val="20"/>
          <w:lang w:eastAsia="en-GB"/>
        </w:rPr>
        <w:t xml:space="preserve">Skills 4 All (2026) </w:t>
      </w:r>
      <w:r w:rsidRPr="00DA12A4">
        <w:rPr>
          <w:rFonts w:ascii="Arial" w:hAnsi="Arial" w:cs="Arial"/>
          <w:i/>
          <w:iCs/>
          <w:sz w:val="20"/>
          <w:szCs w:val="20"/>
          <w:lang w:eastAsia="en-GB"/>
        </w:rPr>
        <w:t>Our Alternative Provision</w:t>
      </w:r>
      <w:r w:rsidR="00D06AB8" w:rsidRPr="00DA12A4">
        <w:rPr>
          <w:rFonts w:ascii="Arial" w:hAnsi="Arial" w:cs="Arial"/>
          <w:i/>
          <w:iCs/>
          <w:sz w:val="20"/>
          <w:szCs w:val="20"/>
          <w:lang w:eastAsia="en-GB"/>
        </w:rPr>
        <w:t xml:space="preserve"> Programmes</w:t>
      </w:r>
      <w:r w:rsidR="00DA12A4">
        <w:rPr>
          <w:rFonts w:ascii="Arial" w:hAnsi="Arial" w:cs="Arial"/>
          <w:sz w:val="20"/>
          <w:szCs w:val="20"/>
          <w:lang w:eastAsia="en-GB"/>
        </w:rPr>
        <w:t xml:space="preserve">. </w:t>
      </w:r>
      <w:r w:rsidR="00910AED">
        <w:rPr>
          <w:rFonts w:ascii="Arial" w:hAnsi="Arial" w:cs="Arial"/>
          <w:sz w:val="20"/>
          <w:szCs w:val="20"/>
          <w:lang w:eastAsia="en-GB"/>
        </w:rPr>
        <w:t>Available at: https://skills4all.org/our-alternative-provision-programmes</w:t>
      </w:r>
      <w:r w:rsidR="00D06AB8">
        <w:rPr>
          <w:rFonts w:ascii="Arial" w:hAnsi="Arial" w:cs="Arial"/>
          <w:sz w:val="20"/>
          <w:szCs w:val="20"/>
          <w:lang w:eastAsia="en-GB"/>
        </w:rPr>
        <w:t>/?utm_source=chatgpt.com</w:t>
      </w:r>
      <w:r w:rsidR="00DA12A4">
        <w:rPr>
          <w:rFonts w:ascii="Arial" w:hAnsi="Arial" w:cs="Arial"/>
          <w:sz w:val="20"/>
          <w:szCs w:val="20"/>
          <w:lang w:eastAsia="en-GB"/>
        </w:rPr>
        <w:t xml:space="preserve"> </w:t>
      </w:r>
      <w:r w:rsidR="00B6502D">
        <w:rPr>
          <w:rFonts w:ascii="Arial" w:hAnsi="Arial" w:cs="Arial"/>
          <w:sz w:val="20"/>
          <w:szCs w:val="20"/>
          <w:lang w:eastAsia="en-GB"/>
        </w:rPr>
        <w:t>(Accessed: 23 February 2026)</w:t>
      </w:r>
    </w:p>
    <w:p w14:paraId="09ECC5FF" w14:textId="7754C4B5" w:rsidR="00C03C57" w:rsidRPr="0024198C" w:rsidRDefault="00C03C57" w:rsidP="00C03C57">
      <w:pPr>
        <w:rPr>
          <w:rFonts w:ascii="Arial" w:hAnsi="Arial" w:cs="Arial"/>
          <w:sz w:val="20"/>
          <w:szCs w:val="20"/>
          <w:lang w:eastAsia="en-GB"/>
        </w:rPr>
      </w:pPr>
      <w:r w:rsidRPr="0024198C">
        <w:rPr>
          <w:rFonts w:ascii="Arial" w:hAnsi="Arial" w:cs="Arial"/>
          <w:sz w:val="20"/>
          <w:szCs w:val="20"/>
          <w:lang w:eastAsia="en-GB"/>
        </w:rPr>
        <w:t xml:space="preserve">Tajfel, H. and Turner, J.C. (1979) ‘An integrative theory of intergroup conflict’, in Austin, W.G. and </w:t>
      </w:r>
      <w:proofErr w:type="spellStart"/>
      <w:r w:rsidRPr="0024198C">
        <w:rPr>
          <w:rFonts w:ascii="Arial" w:hAnsi="Arial" w:cs="Arial"/>
          <w:sz w:val="20"/>
          <w:szCs w:val="20"/>
          <w:lang w:eastAsia="en-GB"/>
        </w:rPr>
        <w:t>Worchel</w:t>
      </w:r>
      <w:proofErr w:type="spellEnd"/>
      <w:r w:rsidRPr="0024198C">
        <w:rPr>
          <w:rFonts w:ascii="Arial" w:hAnsi="Arial" w:cs="Arial"/>
          <w:sz w:val="20"/>
          <w:szCs w:val="20"/>
          <w:lang w:eastAsia="en-GB"/>
        </w:rPr>
        <w:t xml:space="preserve">, S. (eds.) </w:t>
      </w:r>
      <w:r w:rsidRPr="0024198C">
        <w:rPr>
          <w:rFonts w:ascii="Arial" w:hAnsi="Arial" w:cs="Arial"/>
          <w:i/>
          <w:iCs/>
          <w:sz w:val="20"/>
          <w:szCs w:val="20"/>
          <w:lang w:eastAsia="en-GB"/>
        </w:rPr>
        <w:t>The Social Psychology of Intergroup Relations</w:t>
      </w:r>
      <w:r w:rsidRPr="0024198C">
        <w:rPr>
          <w:rFonts w:ascii="Arial" w:hAnsi="Arial" w:cs="Arial"/>
          <w:sz w:val="20"/>
          <w:szCs w:val="20"/>
          <w:lang w:eastAsia="en-GB"/>
        </w:rPr>
        <w:t>. Monterey: Brooks/Cole.</w:t>
      </w:r>
    </w:p>
    <w:p w14:paraId="579D237C" w14:textId="1125D5E6" w:rsidR="00C03C57" w:rsidRPr="0024198C" w:rsidRDefault="00C03C57" w:rsidP="00C03C57">
      <w:pPr>
        <w:rPr>
          <w:rFonts w:ascii="Arial" w:hAnsi="Arial" w:cs="Arial"/>
          <w:sz w:val="20"/>
          <w:szCs w:val="20"/>
          <w:lang w:eastAsia="en-GB"/>
        </w:rPr>
      </w:pPr>
      <w:r w:rsidRPr="0024198C">
        <w:rPr>
          <w:rFonts w:ascii="Arial" w:hAnsi="Arial" w:cs="Arial"/>
          <w:sz w:val="20"/>
          <w:szCs w:val="20"/>
          <w:lang w:eastAsia="en-GB"/>
        </w:rPr>
        <w:t>Torrington, D., Hall, L., Taylor, S. and Atkinson, C. (2020)</w:t>
      </w:r>
      <w:r w:rsidR="00CD29D9" w:rsidRPr="0024198C">
        <w:rPr>
          <w:rFonts w:ascii="Arial" w:hAnsi="Arial" w:cs="Arial"/>
          <w:sz w:val="20"/>
          <w:szCs w:val="20"/>
          <w:lang w:eastAsia="en-GB"/>
        </w:rPr>
        <w:t>.</w:t>
      </w:r>
      <w:r w:rsidRPr="0024198C">
        <w:rPr>
          <w:rFonts w:ascii="Arial" w:hAnsi="Arial" w:cs="Arial"/>
          <w:sz w:val="20"/>
          <w:szCs w:val="20"/>
          <w:lang w:eastAsia="en-GB"/>
        </w:rPr>
        <w:t xml:space="preserve"> </w:t>
      </w:r>
      <w:r w:rsidRPr="0024198C">
        <w:rPr>
          <w:rFonts w:ascii="Arial" w:hAnsi="Arial" w:cs="Arial"/>
          <w:i/>
          <w:iCs/>
          <w:sz w:val="20"/>
          <w:szCs w:val="20"/>
          <w:lang w:eastAsia="en-GB"/>
        </w:rPr>
        <w:t>Human Resource Management</w:t>
      </w:r>
      <w:r w:rsidRPr="0024198C">
        <w:rPr>
          <w:rFonts w:ascii="Arial" w:hAnsi="Arial" w:cs="Arial"/>
          <w:sz w:val="20"/>
          <w:szCs w:val="20"/>
          <w:lang w:eastAsia="en-GB"/>
        </w:rPr>
        <w:t xml:space="preserve">. 11th </w:t>
      </w:r>
      <w:proofErr w:type="spellStart"/>
      <w:r w:rsidRPr="0024198C">
        <w:rPr>
          <w:rFonts w:ascii="Arial" w:hAnsi="Arial" w:cs="Arial"/>
          <w:sz w:val="20"/>
          <w:szCs w:val="20"/>
          <w:lang w:eastAsia="en-GB"/>
        </w:rPr>
        <w:t>edn</w:t>
      </w:r>
      <w:proofErr w:type="spellEnd"/>
      <w:r w:rsidRPr="0024198C">
        <w:rPr>
          <w:rFonts w:ascii="Arial" w:hAnsi="Arial" w:cs="Arial"/>
          <w:sz w:val="20"/>
          <w:szCs w:val="20"/>
          <w:lang w:eastAsia="en-GB"/>
        </w:rPr>
        <w:t>. Harlow: Pearson.</w:t>
      </w:r>
    </w:p>
    <w:sectPr w:rsidR="00C03C57" w:rsidRPr="0024198C" w:rsidSect="00B47090">
      <w:pgSz w:w="11906" w:h="16838"/>
      <w:pgMar w:top="1440" w:right="1274"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B0B64"/>
    <w:multiLevelType w:val="multilevel"/>
    <w:tmpl w:val="6E728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5948E2"/>
    <w:multiLevelType w:val="hybridMultilevel"/>
    <w:tmpl w:val="9D74DEBA"/>
    <w:lvl w:ilvl="0" w:tplc="31FE3932">
      <w:start w:val="1"/>
      <w:numFmt w:val="bullet"/>
      <w:lvlText w:val="•"/>
      <w:lvlJc w:val="left"/>
      <w:pPr>
        <w:tabs>
          <w:tab w:val="num" w:pos="720"/>
        </w:tabs>
        <w:ind w:left="720" w:hanging="360"/>
      </w:pPr>
      <w:rPr>
        <w:rFonts w:ascii="Times New Roman" w:hAnsi="Times New Roman" w:hint="default"/>
      </w:rPr>
    </w:lvl>
    <w:lvl w:ilvl="1" w:tplc="A7A62E0C" w:tentative="1">
      <w:start w:val="1"/>
      <w:numFmt w:val="bullet"/>
      <w:lvlText w:val="•"/>
      <w:lvlJc w:val="left"/>
      <w:pPr>
        <w:tabs>
          <w:tab w:val="num" w:pos="1440"/>
        </w:tabs>
        <w:ind w:left="1440" w:hanging="360"/>
      </w:pPr>
      <w:rPr>
        <w:rFonts w:ascii="Times New Roman" w:hAnsi="Times New Roman" w:hint="default"/>
      </w:rPr>
    </w:lvl>
    <w:lvl w:ilvl="2" w:tplc="DC9CFE2E" w:tentative="1">
      <w:start w:val="1"/>
      <w:numFmt w:val="bullet"/>
      <w:lvlText w:val="•"/>
      <w:lvlJc w:val="left"/>
      <w:pPr>
        <w:tabs>
          <w:tab w:val="num" w:pos="2160"/>
        </w:tabs>
        <w:ind w:left="2160" w:hanging="360"/>
      </w:pPr>
      <w:rPr>
        <w:rFonts w:ascii="Times New Roman" w:hAnsi="Times New Roman" w:hint="default"/>
      </w:rPr>
    </w:lvl>
    <w:lvl w:ilvl="3" w:tplc="E97820E0" w:tentative="1">
      <w:start w:val="1"/>
      <w:numFmt w:val="bullet"/>
      <w:lvlText w:val="•"/>
      <w:lvlJc w:val="left"/>
      <w:pPr>
        <w:tabs>
          <w:tab w:val="num" w:pos="2880"/>
        </w:tabs>
        <w:ind w:left="2880" w:hanging="360"/>
      </w:pPr>
      <w:rPr>
        <w:rFonts w:ascii="Times New Roman" w:hAnsi="Times New Roman" w:hint="default"/>
      </w:rPr>
    </w:lvl>
    <w:lvl w:ilvl="4" w:tplc="944CD306" w:tentative="1">
      <w:start w:val="1"/>
      <w:numFmt w:val="bullet"/>
      <w:lvlText w:val="•"/>
      <w:lvlJc w:val="left"/>
      <w:pPr>
        <w:tabs>
          <w:tab w:val="num" w:pos="3600"/>
        </w:tabs>
        <w:ind w:left="3600" w:hanging="360"/>
      </w:pPr>
      <w:rPr>
        <w:rFonts w:ascii="Times New Roman" w:hAnsi="Times New Roman" w:hint="default"/>
      </w:rPr>
    </w:lvl>
    <w:lvl w:ilvl="5" w:tplc="44D4D79C" w:tentative="1">
      <w:start w:val="1"/>
      <w:numFmt w:val="bullet"/>
      <w:lvlText w:val="•"/>
      <w:lvlJc w:val="left"/>
      <w:pPr>
        <w:tabs>
          <w:tab w:val="num" w:pos="4320"/>
        </w:tabs>
        <w:ind w:left="4320" w:hanging="360"/>
      </w:pPr>
      <w:rPr>
        <w:rFonts w:ascii="Times New Roman" w:hAnsi="Times New Roman" w:hint="default"/>
      </w:rPr>
    </w:lvl>
    <w:lvl w:ilvl="6" w:tplc="37D686FC" w:tentative="1">
      <w:start w:val="1"/>
      <w:numFmt w:val="bullet"/>
      <w:lvlText w:val="•"/>
      <w:lvlJc w:val="left"/>
      <w:pPr>
        <w:tabs>
          <w:tab w:val="num" w:pos="5040"/>
        </w:tabs>
        <w:ind w:left="5040" w:hanging="360"/>
      </w:pPr>
      <w:rPr>
        <w:rFonts w:ascii="Times New Roman" w:hAnsi="Times New Roman" w:hint="default"/>
      </w:rPr>
    </w:lvl>
    <w:lvl w:ilvl="7" w:tplc="07988DF2" w:tentative="1">
      <w:start w:val="1"/>
      <w:numFmt w:val="bullet"/>
      <w:lvlText w:val="•"/>
      <w:lvlJc w:val="left"/>
      <w:pPr>
        <w:tabs>
          <w:tab w:val="num" w:pos="5760"/>
        </w:tabs>
        <w:ind w:left="5760" w:hanging="360"/>
      </w:pPr>
      <w:rPr>
        <w:rFonts w:ascii="Times New Roman" w:hAnsi="Times New Roman" w:hint="default"/>
      </w:rPr>
    </w:lvl>
    <w:lvl w:ilvl="8" w:tplc="F90869B6" w:tentative="1">
      <w:start w:val="1"/>
      <w:numFmt w:val="bullet"/>
      <w:lvlText w:val="•"/>
      <w:lvlJc w:val="left"/>
      <w:pPr>
        <w:tabs>
          <w:tab w:val="num" w:pos="6480"/>
        </w:tabs>
        <w:ind w:left="6480" w:hanging="360"/>
      </w:pPr>
      <w:rPr>
        <w:rFonts w:ascii="Times New Roman" w:hAnsi="Times New Roman" w:hint="default"/>
      </w:rPr>
    </w:lvl>
  </w:abstractNum>
  <w:num w:numId="1" w16cid:durableId="1617370770">
    <w:abstractNumId w:val="0"/>
  </w:num>
  <w:num w:numId="2" w16cid:durableId="2140759346">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26B"/>
    <w:rsid w:val="00000A85"/>
    <w:rsid w:val="0000144D"/>
    <w:rsid w:val="000038A0"/>
    <w:rsid w:val="00007796"/>
    <w:rsid w:val="00010016"/>
    <w:rsid w:val="00011C3D"/>
    <w:rsid w:val="00012EE3"/>
    <w:rsid w:val="000200D1"/>
    <w:rsid w:val="000207DD"/>
    <w:rsid w:val="00023634"/>
    <w:rsid w:val="000239B0"/>
    <w:rsid w:val="0002476A"/>
    <w:rsid w:val="00024C5A"/>
    <w:rsid w:val="000346F2"/>
    <w:rsid w:val="000364AB"/>
    <w:rsid w:val="0003748A"/>
    <w:rsid w:val="00040957"/>
    <w:rsid w:val="0004396F"/>
    <w:rsid w:val="00044702"/>
    <w:rsid w:val="0004708D"/>
    <w:rsid w:val="00047341"/>
    <w:rsid w:val="00055396"/>
    <w:rsid w:val="000577C3"/>
    <w:rsid w:val="00061ADA"/>
    <w:rsid w:val="00066B62"/>
    <w:rsid w:val="00073877"/>
    <w:rsid w:val="00082A6E"/>
    <w:rsid w:val="00085271"/>
    <w:rsid w:val="00085681"/>
    <w:rsid w:val="00085CA3"/>
    <w:rsid w:val="00090869"/>
    <w:rsid w:val="00091E69"/>
    <w:rsid w:val="00094F0C"/>
    <w:rsid w:val="00095CA5"/>
    <w:rsid w:val="00096820"/>
    <w:rsid w:val="000A3680"/>
    <w:rsid w:val="000A4647"/>
    <w:rsid w:val="000B0FBE"/>
    <w:rsid w:val="000B1D42"/>
    <w:rsid w:val="000B27B5"/>
    <w:rsid w:val="000B3D46"/>
    <w:rsid w:val="000B6A91"/>
    <w:rsid w:val="000C105E"/>
    <w:rsid w:val="000C30AA"/>
    <w:rsid w:val="000C6AF0"/>
    <w:rsid w:val="000C7C58"/>
    <w:rsid w:val="000D5641"/>
    <w:rsid w:val="000D5B93"/>
    <w:rsid w:val="000E21B9"/>
    <w:rsid w:val="000E57DF"/>
    <w:rsid w:val="000E649B"/>
    <w:rsid w:val="000F00D6"/>
    <w:rsid w:val="000F0203"/>
    <w:rsid w:val="00101B53"/>
    <w:rsid w:val="001035AB"/>
    <w:rsid w:val="00105998"/>
    <w:rsid w:val="00105D6E"/>
    <w:rsid w:val="0010680C"/>
    <w:rsid w:val="001119D7"/>
    <w:rsid w:val="00111D39"/>
    <w:rsid w:val="001171C3"/>
    <w:rsid w:val="00121456"/>
    <w:rsid w:val="00124A86"/>
    <w:rsid w:val="001369D8"/>
    <w:rsid w:val="00140E63"/>
    <w:rsid w:val="00141FA3"/>
    <w:rsid w:val="00142B0F"/>
    <w:rsid w:val="00142E99"/>
    <w:rsid w:val="001450AF"/>
    <w:rsid w:val="0014592D"/>
    <w:rsid w:val="001524FF"/>
    <w:rsid w:val="00160539"/>
    <w:rsid w:val="001710BB"/>
    <w:rsid w:val="00175DBD"/>
    <w:rsid w:val="00176002"/>
    <w:rsid w:val="001767D2"/>
    <w:rsid w:val="001818A1"/>
    <w:rsid w:val="00190D3C"/>
    <w:rsid w:val="001944D5"/>
    <w:rsid w:val="0019662F"/>
    <w:rsid w:val="00196835"/>
    <w:rsid w:val="001A03A1"/>
    <w:rsid w:val="001A5307"/>
    <w:rsid w:val="001A5B2B"/>
    <w:rsid w:val="001B1D7D"/>
    <w:rsid w:val="001C2C85"/>
    <w:rsid w:val="001D0C3E"/>
    <w:rsid w:val="001D2D73"/>
    <w:rsid w:val="001D4651"/>
    <w:rsid w:val="001D467A"/>
    <w:rsid w:val="001E4338"/>
    <w:rsid w:val="001E5C4E"/>
    <w:rsid w:val="001F7757"/>
    <w:rsid w:val="00200C2F"/>
    <w:rsid w:val="00202C96"/>
    <w:rsid w:val="00203374"/>
    <w:rsid w:val="0021070A"/>
    <w:rsid w:val="00212A28"/>
    <w:rsid w:val="00212E02"/>
    <w:rsid w:val="00221395"/>
    <w:rsid w:val="00224F72"/>
    <w:rsid w:val="0023005A"/>
    <w:rsid w:val="00230607"/>
    <w:rsid w:val="00230E68"/>
    <w:rsid w:val="00231C28"/>
    <w:rsid w:val="0023545D"/>
    <w:rsid w:val="0024198C"/>
    <w:rsid w:val="00243ACB"/>
    <w:rsid w:val="002454B5"/>
    <w:rsid w:val="00245F91"/>
    <w:rsid w:val="002474AD"/>
    <w:rsid w:val="002516DA"/>
    <w:rsid w:val="0025495A"/>
    <w:rsid w:val="00260BD9"/>
    <w:rsid w:val="0026513C"/>
    <w:rsid w:val="002665AF"/>
    <w:rsid w:val="00270465"/>
    <w:rsid w:val="00271803"/>
    <w:rsid w:val="00276A88"/>
    <w:rsid w:val="00282B0F"/>
    <w:rsid w:val="00286BF8"/>
    <w:rsid w:val="00291151"/>
    <w:rsid w:val="002935CB"/>
    <w:rsid w:val="00297043"/>
    <w:rsid w:val="002A1294"/>
    <w:rsid w:val="002A6BAA"/>
    <w:rsid w:val="002A7C92"/>
    <w:rsid w:val="002B281A"/>
    <w:rsid w:val="002B5C1C"/>
    <w:rsid w:val="002B5CD4"/>
    <w:rsid w:val="002B6B29"/>
    <w:rsid w:val="002C2448"/>
    <w:rsid w:val="002C2A97"/>
    <w:rsid w:val="002C533F"/>
    <w:rsid w:val="002D09D3"/>
    <w:rsid w:val="002D33E9"/>
    <w:rsid w:val="002D405D"/>
    <w:rsid w:val="002D62C7"/>
    <w:rsid w:val="002E2E97"/>
    <w:rsid w:val="002E5E07"/>
    <w:rsid w:val="002E6082"/>
    <w:rsid w:val="002F2C19"/>
    <w:rsid w:val="002F3C03"/>
    <w:rsid w:val="002F482D"/>
    <w:rsid w:val="002F6365"/>
    <w:rsid w:val="002F658A"/>
    <w:rsid w:val="00300CF6"/>
    <w:rsid w:val="0030310B"/>
    <w:rsid w:val="00303540"/>
    <w:rsid w:val="003040BC"/>
    <w:rsid w:val="00305253"/>
    <w:rsid w:val="0030630A"/>
    <w:rsid w:val="003110E3"/>
    <w:rsid w:val="0031128A"/>
    <w:rsid w:val="00311E25"/>
    <w:rsid w:val="00315465"/>
    <w:rsid w:val="003211E6"/>
    <w:rsid w:val="00322222"/>
    <w:rsid w:val="003228DD"/>
    <w:rsid w:val="0032462B"/>
    <w:rsid w:val="0032501E"/>
    <w:rsid w:val="00325204"/>
    <w:rsid w:val="00333025"/>
    <w:rsid w:val="00341069"/>
    <w:rsid w:val="00354B4A"/>
    <w:rsid w:val="00354F57"/>
    <w:rsid w:val="003570B2"/>
    <w:rsid w:val="00360F21"/>
    <w:rsid w:val="00363D05"/>
    <w:rsid w:val="00372408"/>
    <w:rsid w:val="00372662"/>
    <w:rsid w:val="00372762"/>
    <w:rsid w:val="00376598"/>
    <w:rsid w:val="00376FF7"/>
    <w:rsid w:val="003811A0"/>
    <w:rsid w:val="0039176C"/>
    <w:rsid w:val="00391C41"/>
    <w:rsid w:val="0039257B"/>
    <w:rsid w:val="00394B8F"/>
    <w:rsid w:val="003A57EA"/>
    <w:rsid w:val="003B024C"/>
    <w:rsid w:val="003B28D9"/>
    <w:rsid w:val="003B2BD9"/>
    <w:rsid w:val="003B4173"/>
    <w:rsid w:val="003C2472"/>
    <w:rsid w:val="003C4148"/>
    <w:rsid w:val="003C44C1"/>
    <w:rsid w:val="003C5343"/>
    <w:rsid w:val="003C5960"/>
    <w:rsid w:val="003D4D53"/>
    <w:rsid w:val="003D718A"/>
    <w:rsid w:val="003E3370"/>
    <w:rsid w:val="003E653C"/>
    <w:rsid w:val="003E75A9"/>
    <w:rsid w:val="003F339C"/>
    <w:rsid w:val="003F393B"/>
    <w:rsid w:val="00401B4F"/>
    <w:rsid w:val="00403901"/>
    <w:rsid w:val="00403AC1"/>
    <w:rsid w:val="004048E7"/>
    <w:rsid w:val="00405441"/>
    <w:rsid w:val="00405CCD"/>
    <w:rsid w:val="00411250"/>
    <w:rsid w:val="004123AC"/>
    <w:rsid w:val="00412ACF"/>
    <w:rsid w:val="00413509"/>
    <w:rsid w:val="0042168F"/>
    <w:rsid w:val="004253ED"/>
    <w:rsid w:val="00425551"/>
    <w:rsid w:val="00425A3C"/>
    <w:rsid w:val="00431FF3"/>
    <w:rsid w:val="0043428F"/>
    <w:rsid w:val="004342CC"/>
    <w:rsid w:val="00435C01"/>
    <w:rsid w:val="00436209"/>
    <w:rsid w:val="00436957"/>
    <w:rsid w:val="00445412"/>
    <w:rsid w:val="00451A41"/>
    <w:rsid w:val="0045263B"/>
    <w:rsid w:val="00460E0F"/>
    <w:rsid w:val="004661C1"/>
    <w:rsid w:val="00467CC2"/>
    <w:rsid w:val="00467D01"/>
    <w:rsid w:val="00474559"/>
    <w:rsid w:val="00474A7D"/>
    <w:rsid w:val="00481CFA"/>
    <w:rsid w:val="004869FE"/>
    <w:rsid w:val="00490623"/>
    <w:rsid w:val="00490DF5"/>
    <w:rsid w:val="00494924"/>
    <w:rsid w:val="004951B9"/>
    <w:rsid w:val="00496DDE"/>
    <w:rsid w:val="00497280"/>
    <w:rsid w:val="004B51DC"/>
    <w:rsid w:val="004D1936"/>
    <w:rsid w:val="004D5096"/>
    <w:rsid w:val="004D62EC"/>
    <w:rsid w:val="004D6E0D"/>
    <w:rsid w:val="004E37A0"/>
    <w:rsid w:val="004E68F8"/>
    <w:rsid w:val="004E717E"/>
    <w:rsid w:val="004F090C"/>
    <w:rsid w:val="004F0A0A"/>
    <w:rsid w:val="004F52D5"/>
    <w:rsid w:val="004F59AE"/>
    <w:rsid w:val="00500EAA"/>
    <w:rsid w:val="005048FB"/>
    <w:rsid w:val="00512C05"/>
    <w:rsid w:val="00513B70"/>
    <w:rsid w:val="00514DE0"/>
    <w:rsid w:val="00522FEE"/>
    <w:rsid w:val="0052582F"/>
    <w:rsid w:val="00536CD0"/>
    <w:rsid w:val="00536D22"/>
    <w:rsid w:val="00537FA3"/>
    <w:rsid w:val="00541963"/>
    <w:rsid w:val="00545549"/>
    <w:rsid w:val="00547594"/>
    <w:rsid w:val="00551416"/>
    <w:rsid w:val="00551E99"/>
    <w:rsid w:val="00552620"/>
    <w:rsid w:val="00553A1D"/>
    <w:rsid w:val="005562E3"/>
    <w:rsid w:val="00556E4D"/>
    <w:rsid w:val="0056337C"/>
    <w:rsid w:val="00567DAC"/>
    <w:rsid w:val="00573526"/>
    <w:rsid w:val="005739E5"/>
    <w:rsid w:val="005741F9"/>
    <w:rsid w:val="005865EC"/>
    <w:rsid w:val="0059033C"/>
    <w:rsid w:val="00590A9B"/>
    <w:rsid w:val="00590B1E"/>
    <w:rsid w:val="00591C9C"/>
    <w:rsid w:val="00592076"/>
    <w:rsid w:val="00595E9A"/>
    <w:rsid w:val="00596C7C"/>
    <w:rsid w:val="005A0B94"/>
    <w:rsid w:val="005A229F"/>
    <w:rsid w:val="005B2562"/>
    <w:rsid w:val="005B2B41"/>
    <w:rsid w:val="005C4CEC"/>
    <w:rsid w:val="005D6CBE"/>
    <w:rsid w:val="005E0B24"/>
    <w:rsid w:val="005E2613"/>
    <w:rsid w:val="005E2DFD"/>
    <w:rsid w:val="005E5C4C"/>
    <w:rsid w:val="005E6D19"/>
    <w:rsid w:val="005E7CEF"/>
    <w:rsid w:val="005F0D8D"/>
    <w:rsid w:val="005F13DE"/>
    <w:rsid w:val="005F1B1F"/>
    <w:rsid w:val="00604DA6"/>
    <w:rsid w:val="006054C8"/>
    <w:rsid w:val="00605A70"/>
    <w:rsid w:val="006152AE"/>
    <w:rsid w:val="006236EE"/>
    <w:rsid w:val="0063300D"/>
    <w:rsid w:val="0063328E"/>
    <w:rsid w:val="00634FF8"/>
    <w:rsid w:val="006379B2"/>
    <w:rsid w:val="00646529"/>
    <w:rsid w:val="00663C76"/>
    <w:rsid w:val="00664F4B"/>
    <w:rsid w:val="006666DD"/>
    <w:rsid w:val="00667DEE"/>
    <w:rsid w:val="00673E50"/>
    <w:rsid w:val="00674A5C"/>
    <w:rsid w:val="00676A9B"/>
    <w:rsid w:val="006810DB"/>
    <w:rsid w:val="0068551A"/>
    <w:rsid w:val="00690726"/>
    <w:rsid w:val="00692F4C"/>
    <w:rsid w:val="00697C42"/>
    <w:rsid w:val="006A35EC"/>
    <w:rsid w:val="006A3915"/>
    <w:rsid w:val="006A4624"/>
    <w:rsid w:val="006A6204"/>
    <w:rsid w:val="006B0EFC"/>
    <w:rsid w:val="006B4F90"/>
    <w:rsid w:val="006B5523"/>
    <w:rsid w:val="006B5D22"/>
    <w:rsid w:val="006B5D6E"/>
    <w:rsid w:val="006C7215"/>
    <w:rsid w:val="006D2A00"/>
    <w:rsid w:val="006D2BAF"/>
    <w:rsid w:val="006D736C"/>
    <w:rsid w:val="006E1A6E"/>
    <w:rsid w:val="006E28E1"/>
    <w:rsid w:val="006E66F3"/>
    <w:rsid w:val="006E76F5"/>
    <w:rsid w:val="006F4D07"/>
    <w:rsid w:val="00705C13"/>
    <w:rsid w:val="007101EC"/>
    <w:rsid w:val="007113CF"/>
    <w:rsid w:val="00715606"/>
    <w:rsid w:val="00715D5A"/>
    <w:rsid w:val="007175AD"/>
    <w:rsid w:val="007260CC"/>
    <w:rsid w:val="00734BAE"/>
    <w:rsid w:val="0073572E"/>
    <w:rsid w:val="007359DD"/>
    <w:rsid w:val="0073793F"/>
    <w:rsid w:val="00742833"/>
    <w:rsid w:val="00745A3A"/>
    <w:rsid w:val="0075187C"/>
    <w:rsid w:val="00751F67"/>
    <w:rsid w:val="00752E36"/>
    <w:rsid w:val="00755547"/>
    <w:rsid w:val="00755F26"/>
    <w:rsid w:val="00757D12"/>
    <w:rsid w:val="007648A2"/>
    <w:rsid w:val="00766BF8"/>
    <w:rsid w:val="00766F89"/>
    <w:rsid w:val="00771FD3"/>
    <w:rsid w:val="00772E45"/>
    <w:rsid w:val="0077500A"/>
    <w:rsid w:val="00775018"/>
    <w:rsid w:val="007750F0"/>
    <w:rsid w:val="0077753C"/>
    <w:rsid w:val="0078019D"/>
    <w:rsid w:val="007802B7"/>
    <w:rsid w:val="00781F13"/>
    <w:rsid w:val="00786E16"/>
    <w:rsid w:val="0079296E"/>
    <w:rsid w:val="00797975"/>
    <w:rsid w:val="00797C99"/>
    <w:rsid w:val="00797EE8"/>
    <w:rsid w:val="007A178A"/>
    <w:rsid w:val="007A1D65"/>
    <w:rsid w:val="007A6398"/>
    <w:rsid w:val="007A6B24"/>
    <w:rsid w:val="007B2EA6"/>
    <w:rsid w:val="007B3FDD"/>
    <w:rsid w:val="007C4D0D"/>
    <w:rsid w:val="007D430B"/>
    <w:rsid w:val="007D4EB4"/>
    <w:rsid w:val="007D6AC7"/>
    <w:rsid w:val="007D7714"/>
    <w:rsid w:val="007D7CFA"/>
    <w:rsid w:val="007F17AC"/>
    <w:rsid w:val="007F2965"/>
    <w:rsid w:val="007F3E1A"/>
    <w:rsid w:val="00800DBF"/>
    <w:rsid w:val="00805E37"/>
    <w:rsid w:val="00810644"/>
    <w:rsid w:val="00814B14"/>
    <w:rsid w:val="008161DE"/>
    <w:rsid w:val="00821439"/>
    <w:rsid w:val="00825A8B"/>
    <w:rsid w:val="0082671F"/>
    <w:rsid w:val="00831ACC"/>
    <w:rsid w:val="008340E5"/>
    <w:rsid w:val="0084066E"/>
    <w:rsid w:val="0084324D"/>
    <w:rsid w:val="0085494E"/>
    <w:rsid w:val="00855C5A"/>
    <w:rsid w:val="0085659D"/>
    <w:rsid w:val="00863CD1"/>
    <w:rsid w:val="00870E2C"/>
    <w:rsid w:val="0087340C"/>
    <w:rsid w:val="0087471F"/>
    <w:rsid w:val="008817B1"/>
    <w:rsid w:val="008822F6"/>
    <w:rsid w:val="00885B0A"/>
    <w:rsid w:val="00886280"/>
    <w:rsid w:val="00886971"/>
    <w:rsid w:val="00887D62"/>
    <w:rsid w:val="0089009D"/>
    <w:rsid w:val="00891257"/>
    <w:rsid w:val="0089377C"/>
    <w:rsid w:val="00894EA7"/>
    <w:rsid w:val="008A6231"/>
    <w:rsid w:val="008B2309"/>
    <w:rsid w:val="008B785F"/>
    <w:rsid w:val="008C0C63"/>
    <w:rsid w:val="008C40CC"/>
    <w:rsid w:val="008C5B27"/>
    <w:rsid w:val="008C5BB6"/>
    <w:rsid w:val="008D1C0E"/>
    <w:rsid w:val="008D74E7"/>
    <w:rsid w:val="008E2E20"/>
    <w:rsid w:val="008E32C8"/>
    <w:rsid w:val="008E3CA8"/>
    <w:rsid w:val="008E705B"/>
    <w:rsid w:val="008F4E81"/>
    <w:rsid w:val="0090534A"/>
    <w:rsid w:val="00906F85"/>
    <w:rsid w:val="009104DF"/>
    <w:rsid w:val="00910AED"/>
    <w:rsid w:val="00914679"/>
    <w:rsid w:val="0092031F"/>
    <w:rsid w:val="00922516"/>
    <w:rsid w:val="00930DC6"/>
    <w:rsid w:val="00942C32"/>
    <w:rsid w:val="00946EDC"/>
    <w:rsid w:val="0094751C"/>
    <w:rsid w:val="0095258B"/>
    <w:rsid w:val="00956114"/>
    <w:rsid w:val="0095726D"/>
    <w:rsid w:val="00957FA3"/>
    <w:rsid w:val="0096004D"/>
    <w:rsid w:val="00960C89"/>
    <w:rsid w:val="00960F57"/>
    <w:rsid w:val="00964478"/>
    <w:rsid w:val="009672AA"/>
    <w:rsid w:val="009707A8"/>
    <w:rsid w:val="00970D4A"/>
    <w:rsid w:val="00974433"/>
    <w:rsid w:val="009774E1"/>
    <w:rsid w:val="00983595"/>
    <w:rsid w:val="00984E9E"/>
    <w:rsid w:val="009900B7"/>
    <w:rsid w:val="0099108C"/>
    <w:rsid w:val="00994D22"/>
    <w:rsid w:val="009A0EC6"/>
    <w:rsid w:val="009A5625"/>
    <w:rsid w:val="009C2344"/>
    <w:rsid w:val="009C27EF"/>
    <w:rsid w:val="009C5456"/>
    <w:rsid w:val="009D261A"/>
    <w:rsid w:val="009D46CE"/>
    <w:rsid w:val="009D6A7C"/>
    <w:rsid w:val="009D726B"/>
    <w:rsid w:val="009D7D0F"/>
    <w:rsid w:val="009E7909"/>
    <w:rsid w:val="009F27F6"/>
    <w:rsid w:val="009F4AFF"/>
    <w:rsid w:val="009F641C"/>
    <w:rsid w:val="00A004B8"/>
    <w:rsid w:val="00A0477C"/>
    <w:rsid w:val="00A06FBC"/>
    <w:rsid w:val="00A13224"/>
    <w:rsid w:val="00A2144F"/>
    <w:rsid w:val="00A24298"/>
    <w:rsid w:val="00A5060B"/>
    <w:rsid w:val="00A546B6"/>
    <w:rsid w:val="00A54ED4"/>
    <w:rsid w:val="00A5518F"/>
    <w:rsid w:val="00A55EF0"/>
    <w:rsid w:val="00A56AD5"/>
    <w:rsid w:val="00A60427"/>
    <w:rsid w:val="00A67355"/>
    <w:rsid w:val="00A702DE"/>
    <w:rsid w:val="00A72D73"/>
    <w:rsid w:val="00A73842"/>
    <w:rsid w:val="00A872FB"/>
    <w:rsid w:val="00A93330"/>
    <w:rsid w:val="00A9418B"/>
    <w:rsid w:val="00A95833"/>
    <w:rsid w:val="00A95CFA"/>
    <w:rsid w:val="00A9600A"/>
    <w:rsid w:val="00AA4BF1"/>
    <w:rsid w:val="00AA7D54"/>
    <w:rsid w:val="00AB02E1"/>
    <w:rsid w:val="00AB0C17"/>
    <w:rsid w:val="00AB4D78"/>
    <w:rsid w:val="00AC10F7"/>
    <w:rsid w:val="00AC4327"/>
    <w:rsid w:val="00AC5AAC"/>
    <w:rsid w:val="00AC66EB"/>
    <w:rsid w:val="00AD3D85"/>
    <w:rsid w:val="00AD4997"/>
    <w:rsid w:val="00AD5ED5"/>
    <w:rsid w:val="00AE357E"/>
    <w:rsid w:val="00AF1CF4"/>
    <w:rsid w:val="00AF3D51"/>
    <w:rsid w:val="00AF4677"/>
    <w:rsid w:val="00AF6109"/>
    <w:rsid w:val="00AF7896"/>
    <w:rsid w:val="00AF7F12"/>
    <w:rsid w:val="00B02E5D"/>
    <w:rsid w:val="00B068FE"/>
    <w:rsid w:val="00B10FF5"/>
    <w:rsid w:val="00B150C3"/>
    <w:rsid w:val="00B20A61"/>
    <w:rsid w:val="00B22842"/>
    <w:rsid w:val="00B22F33"/>
    <w:rsid w:val="00B2504B"/>
    <w:rsid w:val="00B259DF"/>
    <w:rsid w:val="00B312E3"/>
    <w:rsid w:val="00B37754"/>
    <w:rsid w:val="00B45FB4"/>
    <w:rsid w:val="00B468BB"/>
    <w:rsid w:val="00B47090"/>
    <w:rsid w:val="00B50184"/>
    <w:rsid w:val="00B51A62"/>
    <w:rsid w:val="00B537E2"/>
    <w:rsid w:val="00B56033"/>
    <w:rsid w:val="00B57C0A"/>
    <w:rsid w:val="00B6055D"/>
    <w:rsid w:val="00B611DF"/>
    <w:rsid w:val="00B6502D"/>
    <w:rsid w:val="00B65532"/>
    <w:rsid w:val="00B66F25"/>
    <w:rsid w:val="00B6778A"/>
    <w:rsid w:val="00B77FE5"/>
    <w:rsid w:val="00B80255"/>
    <w:rsid w:val="00B80FF4"/>
    <w:rsid w:val="00B83132"/>
    <w:rsid w:val="00B87676"/>
    <w:rsid w:val="00B93330"/>
    <w:rsid w:val="00B9384E"/>
    <w:rsid w:val="00B954A5"/>
    <w:rsid w:val="00B95672"/>
    <w:rsid w:val="00BA6B35"/>
    <w:rsid w:val="00BC0B4B"/>
    <w:rsid w:val="00BC148C"/>
    <w:rsid w:val="00BC39A0"/>
    <w:rsid w:val="00BD169E"/>
    <w:rsid w:val="00BD5081"/>
    <w:rsid w:val="00BD5C39"/>
    <w:rsid w:val="00BE0FC7"/>
    <w:rsid w:val="00BE46AC"/>
    <w:rsid w:val="00BE4DED"/>
    <w:rsid w:val="00BE6444"/>
    <w:rsid w:val="00BE6E60"/>
    <w:rsid w:val="00BE711E"/>
    <w:rsid w:val="00BF245C"/>
    <w:rsid w:val="00BF4058"/>
    <w:rsid w:val="00C0337C"/>
    <w:rsid w:val="00C03798"/>
    <w:rsid w:val="00C03C57"/>
    <w:rsid w:val="00C10AD4"/>
    <w:rsid w:val="00C14159"/>
    <w:rsid w:val="00C17C92"/>
    <w:rsid w:val="00C23913"/>
    <w:rsid w:val="00C337F1"/>
    <w:rsid w:val="00C4002A"/>
    <w:rsid w:val="00C421BE"/>
    <w:rsid w:val="00C425CE"/>
    <w:rsid w:val="00C458D6"/>
    <w:rsid w:val="00C45D49"/>
    <w:rsid w:val="00C51B67"/>
    <w:rsid w:val="00C549FB"/>
    <w:rsid w:val="00C579EC"/>
    <w:rsid w:val="00C66E41"/>
    <w:rsid w:val="00C7366D"/>
    <w:rsid w:val="00C74D67"/>
    <w:rsid w:val="00C74F32"/>
    <w:rsid w:val="00C82307"/>
    <w:rsid w:val="00C842BA"/>
    <w:rsid w:val="00C86520"/>
    <w:rsid w:val="00C90183"/>
    <w:rsid w:val="00C90FA0"/>
    <w:rsid w:val="00C92B4E"/>
    <w:rsid w:val="00CA1C24"/>
    <w:rsid w:val="00CA72CC"/>
    <w:rsid w:val="00CB2D4C"/>
    <w:rsid w:val="00CB59B6"/>
    <w:rsid w:val="00CB67F8"/>
    <w:rsid w:val="00CB77B7"/>
    <w:rsid w:val="00CC237C"/>
    <w:rsid w:val="00CC694F"/>
    <w:rsid w:val="00CC7F6F"/>
    <w:rsid w:val="00CD29D9"/>
    <w:rsid w:val="00CD38E9"/>
    <w:rsid w:val="00CD6812"/>
    <w:rsid w:val="00CD7FC2"/>
    <w:rsid w:val="00CE4808"/>
    <w:rsid w:val="00CE5C57"/>
    <w:rsid w:val="00CE6BAD"/>
    <w:rsid w:val="00CE7FAB"/>
    <w:rsid w:val="00CF257F"/>
    <w:rsid w:val="00CF75D9"/>
    <w:rsid w:val="00D00456"/>
    <w:rsid w:val="00D03F87"/>
    <w:rsid w:val="00D06AB8"/>
    <w:rsid w:val="00D1036C"/>
    <w:rsid w:val="00D10CFD"/>
    <w:rsid w:val="00D1181F"/>
    <w:rsid w:val="00D152FF"/>
    <w:rsid w:val="00D16489"/>
    <w:rsid w:val="00D21B1B"/>
    <w:rsid w:val="00D33C1B"/>
    <w:rsid w:val="00D3529B"/>
    <w:rsid w:val="00D4435F"/>
    <w:rsid w:val="00D44A21"/>
    <w:rsid w:val="00D44CD0"/>
    <w:rsid w:val="00D466B8"/>
    <w:rsid w:val="00D52C10"/>
    <w:rsid w:val="00D55A2A"/>
    <w:rsid w:val="00D560FF"/>
    <w:rsid w:val="00D56ACE"/>
    <w:rsid w:val="00D62ED8"/>
    <w:rsid w:val="00D76766"/>
    <w:rsid w:val="00D80E5D"/>
    <w:rsid w:val="00D836F5"/>
    <w:rsid w:val="00D85AD3"/>
    <w:rsid w:val="00D86407"/>
    <w:rsid w:val="00D9018A"/>
    <w:rsid w:val="00D903C5"/>
    <w:rsid w:val="00D93157"/>
    <w:rsid w:val="00D9433F"/>
    <w:rsid w:val="00D943B5"/>
    <w:rsid w:val="00D94443"/>
    <w:rsid w:val="00D94D15"/>
    <w:rsid w:val="00D973A9"/>
    <w:rsid w:val="00DA12A4"/>
    <w:rsid w:val="00DA209A"/>
    <w:rsid w:val="00DB418A"/>
    <w:rsid w:val="00DC1AC1"/>
    <w:rsid w:val="00DC1BFD"/>
    <w:rsid w:val="00DC3D2B"/>
    <w:rsid w:val="00DC53F9"/>
    <w:rsid w:val="00DD56F3"/>
    <w:rsid w:val="00DE2018"/>
    <w:rsid w:val="00DF01FB"/>
    <w:rsid w:val="00DF274B"/>
    <w:rsid w:val="00DF2C0B"/>
    <w:rsid w:val="00DF7552"/>
    <w:rsid w:val="00DF7AA6"/>
    <w:rsid w:val="00E01F21"/>
    <w:rsid w:val="00E021FF"/>
    <w:rsid w:val="00E023C4"/>
    <w:rsid w:val="00E0505E"/>
    <w:rsid w:val="00E1232A"/>
    <w:rsid w:val="00E20D3B"/>
    <w:rsid w:val="00E2309D"/>
    <w:rsid w:val="00E3284D"/>
    <w:rsid w:val="00E34235"/>
    <w:rsid w:val="00E3599F"/>
    <w:rsid w:val="00E3651D"/>
    <w:rsid w:val="00E40524"/>
    <w:rsid w:val="00E41BBF"/>
    <w:rsid w:val="00E449CA"/>
    <w:rsid w:val="00E565AA"/>
    <w:rsid w:val="00E67A14"/>
    <w:rsid w:val="00E736A7"/>
    <w:rsid w:val="00E803B7"/>
    <w:rsid w:val="00E91633"/>
    <w:rsid w:val="00E93CBC"/>
    <w:rsid w:val="00E97D4B"/>
    <w:rsid w:val="00EA5BD5"/>
    <w:rsid w:val="00EA6B32"/>
    <w:rsid w:val="00EA7B5B"/>
    <w:rsid w:val="00EB1B2B"/>
    <w:rsid w:val="00EB50D9"/>
    <w:rsid w:val="00EB61A8"/>
    <w:rsid w:val="00EB73DF"/>
    <w:rsid w:val="00ED2A54"/>
    <w:rsid w:val="00ED2BBF"/>
    <w:rsid w:val="00EE43A2"/>
    <w:rsid w:val="00EF08EF"/>
    <w:rsid w:val="00EF163A"/>
    <w:rsid w:val="00EF33CB"/>
    <w:rsid w:val="00EF49E7"/>
    <w:rsid w:val="00F07B0E"/>
    <w:rsid w:val="00F15CFB"/>
    <w:rsid w:val="00F2023F"/>
    <w:rsid w:val="00F2132A"/>
    <w:rsid w:val="00F24019"/>
    <w:rsid w:val="00F26870"/>
    <w:rsid w:val="00F27BB9"/>
    <w:rsid w:val="00F35B38"/>
    <w:rsid w:val="00F36498"/>
    <w:rsid w:val="00F440BC"/>
    <w:rsid w:val="00F44ACD"/>
    <w:rsid w:val="00F4620F"/>
    <w:rsid w:val="00F471EC"/>
    <w:rsid w:val="00F55467"/>
    <w:rsid w:val="00F60AB3"/>
    <w:rsid w:val="00F60F34"/>
    <w:rsid w:val="00F6155F"/>
    <w:rsid w:val="00F64A50"/>
    <w:rsid w:val="00F64A94"/>
    <w:rsid w:val="00F656D6"/>
    <w:rsid w:val="00F66502"/>
    <w:rsid w:val="00F713FB"/>
    <w:rsid w:val="00F714DC"/>
    <w:rsid w:val="00F72564"/>
    <w:rsid w:val="00F743B8"/>
    <w:rsid w:val="00F76470"/>
    <w:rsid w:val="00F76EAC"/>
    <w:rsid w:val="00F91958"/>
    <w:rsid w:val="00F92957"/>
    <w:rsid w:val="00F95417"/>
    <w:rsid w:val="00F9735E"/>
    <w:rsid w:val="00FA1B2D"/>
    <w:rsid w:val="00FC5677"/>
    <w:rsid w:val="00FC7773"/>
    <w:rsid w:val="00FD1599"/>
    <w:rsid w:val="00FD5DE2"/>
    <w:rsid w:val="00FD6F58"/>
    <w:rsid w:val="00FF678A"/>
    <w:rsid w:val="00FF7C9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3D69A"/>
  <w15:chartTrackingRefBased/>
  <w15:docId w15:val="{C254552C-08FF-4ED3-BD28-E75205F52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975"/>
  </w:style>
  <w:style w:type="paragraph" w:styleId="Heading1">
    <w:name w:val="heading 1"/>
    <w:basedOn w:val="Normal"/>
    <w:next w:val="Normal"/>
    <w:link w:val="Heading1Char"/>
    <w:uiPriority w:val="9"/>
    <w:qFormat/>
    <w:rsid w:val="009D72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D72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D72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72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72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72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72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72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72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72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D72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D72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72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72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72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72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72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726B"/>
    <w:rPr>
      <w:rFonts w:eastAsiaTheme="majorEastAsia" w:cstheme="majorBidi"/>
      <w:color w:val="272727" w:themeColor="text1" w:themeTint="D8"/>
    </w:rPr>
  </w:style>
  <w:style w:type="paragraph" w:styleId="Title">
    <w:name w:val="Title"/>
    <w:basedOn w:val="Normal"/>
    <w:next w:val="Normal"/>
    <w:link w:val="TitleChar"/>
    <w:uiPriority w:val="10"/>
    <w:qFormat/>
    <w:rsid w:val="009D72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72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72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72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726B"/>
    <w:pPr>
      <w:spacing w:before="160"/>
      <w:jc w:val="center"/>
    </w:pPr>
    <w:rPr>
      <w:i/>
      <w:iCs/>
      <w:color w:val="404040" w:themeColor="text1" w:themeTint="BF"/>
    </w:rPr>
  </w:style>
  <w:style w:type="character" w:customStyle="1" w:styleId="QuoteChar">
    <w:name w:val="Quote Char"/>
    <w:basedOn w:val="DefaultParagraphFont"/>
    <w:link w:val="Quote"/>
    <w:uiPriority w:val="29"/>
    <w:rsid w:val="009D726B"/>
    <w:rPr>
      <w:i/>
      <w:iCs/>
      <w:color w:val="404040" w:themeColor="text1" w:themeTint="BF"/>
    </w:rPr>
  </w:style>
  <w:style w:type="paragraph" w:styleId="ListParagraph">
    <w:name w:val="List Paragraph"/>
    <w:basedOn w:val="Normal"/>
    <w:uiPriority w:val="34"/>
    <w:qFormat/>
    <w:rsid w:val="009D726B"/>
    <w:pPr>
      <w:ind w:left="720"/>
      <w:contextualSpacing/>
    </w:pPr>
  </w:style>
  <w:style w:type="character" w:styleId="IntenseEmphasis">
    <w:name w:val="Intense Emphasis"/>
    <w:basedOn w:val="DefaultParagraphFont"/>
    <w:uiPriority w:val="21"/>
    <w:qFormat/>
    <w:rsid w:val="009D726B"/>
    <w:rPr>
      <w:i/>
      <w:iCs/>
      <w:color w:val="0F4761" w:themeColor="accent1" w:themeShade="BF"/>
    </w:rPr>
  </w:style>
  <w:style w:type="paragraph" w:styleId="IntenseQuote">
    <w:name w:val="Intense Quote"/>
    <w:basedOn w:val="Normal"/>
    <w:next w:val="Normal"/>
    <w:link w:val="IntenseQuoteChar"/>
    <w:uiPriority w:val="30"/>
    <w:qFormat/>
    <w:rsid w:val="009D72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726B"/>
    <w:rPr>
      <w:i/>
      <w:iCs/>
      <w:color w:val="0F4761" w:themeColor="accent1" w:themeShade="BF"/>
    </w:rPr>
  </w:style>
  <w:style w:type="character" w:styleId="IntenseReference">
    <w:name w:val="Intense Reference"/>
    <w:basedOn w:val="DefaultParagraphFont"/>
    <w:uiPriority w:val="32"/>
    <w:qFormat/>
    <w:rsid w:val="009D726B"/>
    <w:rPr>
      <w:b/>
      <w:bCs/>
      <w:smallCaps/>
      <w:color w:val="0F4761" w:themeColor="accent1" w:themeShade="BF"/>
      <w:spacing w:val="5"/>
    </w:rPr>
  </w:style>
  <w:style w:type="character" w:styleId="Strong">
    <w:name w:val="Strong"/>
    <w:basedOn w:val="DefaultParagraphFont"/>
    <w:uiPriority w:val="22"/>
    <w:qFormat/>
    <w:rsid w:val="0003748A"/>
    <w:rPr>
      <w:b/>
      <w:bCs/>
    </w:rPr>
  </w:style>
  <w:style w:type="paragraph" w:styleId="NormalWeb">
    <w:name w:val="Normal (Web)"/>
    <w:basedOn w:val="Normal"/>
    <w:uiPriority w:val="99"/>
    <w:unhideWhenUsed/>
    <w:rsid w:val="00512C0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512C05"/>
    <w:rPr>
      <w:color w:val="0000FF"/>
      <w:u w:val="single"/>
    </w:rPr>
  </w:style>
  <w:style w:type="character" w:customStyle="1" w:styleId="citation-428">
    <w:name w:val="citation-428"/>
    <w:basedOn w:val="DefaultParagraphFont"/>
    <w:rsid w:val="006A4624"/>
  </w:style>
  <w:style w:type="character" w:customStyle="1" w:styleId="citation-427">
    <w:name w:val="citation-427"/>
    <w:basedOn w:val="DefaultParagraphFont"/>
    <w:rsid w:val="006A4624"/>
  </w:style>
  <w:style w:type="character" w:customStyle="1" w:styleId="citation-426">
    <w:name w:val="citation-426"/>
    <w:basedOn w:val="DefaultParagraphFont"/>
    <w:rsid w:val="006A4624"/>
  </w:style>
  <w:style w:type="character" w:styleId="Emphasis">
    <w:name w:val="Emphasis"/>
    <w:basedOn w:val="DefaultParagraphFont"/>
    <w:uiPriority w:val="20"/>
    <w:qFormat/>
    <w:rsid w:val="00DB418A"/>
    <w:rPr>
      <w:i/>
      <w:iCs/>
    </w:rPr>
  </w:style>
  <w:style w:type="character" w:styleId="UnresolvedMention">
    <w:name w:val="Unresolved Mention"/>
    <w:basedOn w:val="DefaultParagraphFont"/>
    <w:uiPriority w:val="99"/>
    <w:semiHidden/>
    <w:unhideWhenUsed/>
    <w:rsid w:val="00140E63"/>
    <w:rPr>
      <w:color w:val="605E5C"/>
      <w:shd w:val="clear" w:color="auto" w:fill="E1DFDD"/>
    </w:rPr>
  </w:style>
  <w:style w:type="character" w:styleId="PlaceholderText">
    <w:name w:val="Placeholder Text"/>
    <w:basedOn w:val="DefaultParagraphFont"/>
    <w:uiPriority w:val="99"/>
    <w:semiHidden/>
    <w:rsid w:val="001A03A1"/>
    <w:rPr>
      <w:color w:val="666666"/>
    </w:rPr>
  </w:style>
  <w:style w:type="table" w:styleId="GridTable4-Accent6">
    <w:name w:val="Grid Table 4 Accent 6"/>
    <w:basedOn w:val="TableNormal"/>
    <w:uiPriority w:val="49"/>
    <w:rsid w:val="00C51B67"/>
    <w:pPr>
      <w:spacing w:after="0" w:line="240" w:lineRule="auto"/>
    </w:pPr>
    <w:rPr>
      <w:rFonts w:ascii="Arial" w:eastAsia="Arial" w:hAnsi="Arial" w:cs="Arial"/>
      <w:color w:val="1A1A2E"/>
      <w:kern w:val="0"/>
      <w:sz w:val="22"/>
      <w:szCs w:val="22"/>
      <w:lang w:eastAsia="en-GB"/>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microsoft.com/office/2007/relationships/hdphoto" Target="media/hdphoto2.wdp"/><Relationship Id="rId18" Type="http://schemas.openxmlformats.org/officeDocument/2006/relationships/image" Target="media/image11.png"/><Relationship Id="rId26" Type="http://schemas.openxmlformats.org/officeDocument/2006/relationships/hyperlink" Target="https://www.metaview.ai/resourcing/blog/costperhire" TargetMode="External"/><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3.jpeg"/><Relationship Id="rId12" Type="http://schemas.openxmlformats.org/officeDocument/2006/relationships/image" Target="media/image7.png"/><Relationship Id="rId17" Type="http://schemas.openxmlformats.org/officeDocument/2006/relationships/image" Target="media/image10.jpeg"/><Relationship Id="rId25" Type="http://schemas.openxmlformats.org/officeDocument/2006/relationships/hyperlink" Target="https://www.interaction-design.org/" TargetMode="External"/><Relationship Id="rId2" Type="http://schemas.openxmlformats.org/officeDocument/2006/relationships/styles" Target="styles.xml"/><Relationship Id="rId16" Type="http://schemas.openxmlformats.org/officeDocument/2006/relationships/image" Target="media/image9.jpg"/><Relationship Id="rId20" Type="http://schemas.openxmlformats.org/officeDocument/2006/relationships/image" Target="media/image12.jp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microsoft.com/office/2007/relationships/hdphoto" Target="media/hdphoto1.wdp"/><Relationship Id="rId24" Type="http://schemas.openxmlformats.org/officeDocument/2006/relationships/hyperlink" Target="https://www.legislation.gov.uk/ukpga/2010/15/contents" TargetMode="External"/><Relationship Id="rId5" Type="http://schemas.openxmlformats.org/officeDocument/2006/relationships/image" Target="media/image1.png"/><Relationship Id="rId15" Type="http://schemas.microsoft.com/office/2007/relationships/hdphoto" Target="media/hdphoto3.wdp"/><Relationship Id="rId23" Type="http://schemas.openxmlformats.org/officeDocument/2006/relationships/hyperlink" Target="https://www.cipd.org" TargetMode="External"/><Relationship Id="rId28" Type="http://schemas.openxmlformats.org/officeDocument/2006/relationships/hyperlink" Target="https://doi.org/10.1002/berj.4149" TargetMode="External"/><Relationship Id="rId10" Type="http://schemas.openxmlformats.org/officeDocument/2006/relationships/image" Target="media/image6.png"/><Relationship Id="rId19" Type="http://schemas.microsoft.com/office/2007/relationships/hdphoto" Target="media/hdphoto4.wdp"/><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8.png"/><Relationship Id="rId22" Type="http://schemas.microsoft.com/office/2007/relationships/hdphoto" Target="media/hdphoto5.wdp"/><Relationship Id="rId27" Type="http://schemas.openxmlformats.org/officeDocument/2006/relationships/hyperlink" Target="https://epi.org.uk/wp-content/uploads/2019/04/EPI_High-Needs-Funding_2019.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19890</TotalTime>
  <Pages>17</Pages>
  <Words>3624</Words>
  <Characters>20659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24235</CharactersWithSpaces>
  <SharedDoc>false</SharedDoc>
  <HLinks>
    <vt:vector size="30" baseType="variant">
      <vt:variant>
        <vt:i4>2293818</vt:i4>
      </vt:variant>
      <vt:variant>
        <vt:i4>12</vt:i4>
      </vt:variant>
      <vt:variant>
        <vt:i4>0</vt:i4>
      </vt:variant>
      <vt:variant>
        <vt:i4>5</vt:i4>
      </vt:variant>
      <vt:variant>
        <vt:lpwstr>https://epi.org.uk/wp-content/uploads/2019/04/EPI_High-Needs-Funding_2019.pdf</vt:lpwstr>
      </vt:variant>
      <vt:variant>
        <vt:lpwstr/>
      </vt:variant>
      <vt:variant>
        <vt:i4>2883627</vt:i4>
      </vt:variant>
      <vt:variant>
        <vt:i4>9</vt:i4>
      </vt:variant>
      <vt:variant>
        <vt:i4>0</vt:i4>
      </vt:variant>
      <vt:variant>
        <vt:i4>5</vt:i4>
      </vt:variant>
      <vt:variant>
        <vt:lpwstr>https://www.metaview.ai/resourcing/blog/costperhire</vt:lpwstr>
      </vt:variant>
      <vt:variant>
        <vt:lpwstr/>
      </vt:variant>
      <vt:variant>
        <vt:i4>8257639</vt:i4>
      </vt:variant>
      <vt:variant>
        <vt:i4>6</vt:i4>
      </vt:variant>
      <vt:variant>
        <vt:i4>0</vt:i4>
      </vt:variant>
      <vt:variant>
        <vt:i4>5</vt:i4>
      </vt:variant>
      <vt:variant>
        <vt:lpwstr>https://www.interaction-design.org/</vt:lpwstr>
      </vt:variant>
      <vt:variant>
        <vt:lpwstr/>
      </vt:variant>
      <vt:variant>
        <vt:i4>5636189</vt:i4>
      </vt:variant>
      <vt:variant>
        <vt:i4>3</vt:i4>
      </vt:variant>
      <vt:variant>
        <vt:i4>0</vt:i4>
      </vt:variant>
      <vt:variant>
        <vt:i4>5</vt:i4>
      </vt:variant>
      <vt:variant>
        <vt:lpwstr>https://www.legislation.gov.uk/ukpga/2010/15/contents</vt:lpwstr>
      </vt:variant>
      <vt:variant>
        <vt:lpwstr/>
      </vt:variant>
      <vt:variant>
        <vt:i4>5046287</vt:i4>
      </vt:variant>
      <vt:variant>
        <vt:i4>0</vt:i4>
      </vt:variant>
      <vt:variant>
        <vt:i4>0</vt:i4>
      </vt:variant>
      <vt:variant>
        <vt:i4>5</vt:i4>
      </vt:variant>
      <vt:variant>
        <vt:lpwstr>https://www.cipd.org/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T2 DABIZZLE</dc:creator>
  <cp:keywords/>
  <dc:description/>
  <cp:lastModifiedBy>T2 DABIZZLE</cp:lastModifiedBy>
  <cp:revision>701</cp:revision>
  <dcterms:created xsi:type="dcterms:W3CDTF">2026-01-26T10:13:00Z</dcterms:created>
  <dcterms:modified xsi:type="dcterms:W3CDTF">2026-03-20T06:37:00Z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246ae39f-174f-43ee-9274-f9424498f8c9</vt:lpwstr>
  </property>
</Properties>
</file>