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487DB" w14:textId="77777777" w:rsidR="00D96FE9" w:rsidRPr="00D53F79" w:rsidRDefault="00D96FE9" w:rsidP="00D96FE9">
      <w:pPr>
        <w:spacing w:line="360" w:lineRule="auto"/>
        <w:rPr>
          <w:rFonts w:ascii="Arial" w:hAnsi="Arial" w:cs="Arial"/>
          <w:b/>
          <w:sz w:val="24"/>
          <w:szCs w:val="24"/>
        </w:rPr>
      </w:pPr>
      <w:r w:rsidRPr="00D53F79">
        <w:rPr>
          <w:rFonts w:ascii="Arial" w:hAnsi="Arial" w:cs="Arial"/>
          <w:b/>
          <w:sz w:val="24"/>
          <w:szCs w:val="24"/>
        </w:rPr>
        <w:t>Reasonable Grounds to Believe or Suspect?</w:t>
      </w:r>
    </w:p>
    <w:p w14:paraId="012CCD68" w14:textId="77777777" w:rsidR="00D96FE9" w:rsidRPr="00D53F79" w:rsidRDefault="00D96FE9" w:rsidP="00D96FE9">
      <w:pPr>
        <w:spacing w:line="360" w:lineRule="auto"/>
        <w:rPr>
          <w:rFonts w:ascii="Arial" w:hAnsi="Arial" w:cs="Arial"/>
          <w:sz w:val="24"/>
          <w:szCs w:val="24"/>
        </w:rPr>
      </w:pPr>
      <w:r w:rsidRPr="00D53F79">
        <w:rPr>
          <w:rFonts w:ascii="Arial" w:hAnsi="Arial" w:cs="Arial"/>
          <w:sz w:val="24"/>
          <w:szCs w:val="24"/>
        </w:rPr>
        <w:t xml:space="preserve">The criteria for reasonable grounds to believe or suspect is the legal threshold for the exercise of almost all the coercive powers available under </w:t>
      </w:r>
      <w:proofErr w:type="gramStart"/>
      <w:r w:rsidRPr="00D53F79">
        <w:rPr>
          <w:rFonts w:ascii="Arial" w:hAnsi="Arial" w:cs="Arial"/>
          <w:sz w:val="24"/>
          <w:szCs w:val="24"/>
        </w:rPr>
        <w:t>PACE .</w:t>
      </w:r>
      <w:proofErr w:type="gramEnd"/>
      <w:r w:rsidRPr="00D53F79">
        <w:rPr>
          <w:rFonts w:ascii="Arial" w:hAnsi="Arial" w:cs="Arial"/>
          <w:sz w:val="24"/>
          <w:szCs w:val="24"/>
        </w:rPr>
        <w:t xml:space="preserve"> Senior police officers who may authorise the exercise of certain powers need to be satisfied there are reasonable grounds to believe that the exercise of those powers is justified. In the absence of reasonable grounds to believe or suspect, the exercise of those powers is not permitted and any consequential interference with the freedom of an individual is unlawful.</w:t>
      </w:r>
    </w:p>
    <w:p w14:paraId="2ED0B12D" w14:textId="77777777" w:rsidR="00D96FE9" w:rsidRPr="00D53F79" w:rsidRDefault="00D96FE9" w:rsidP="00D96FE9">
      <w:pPr>
        <w:spacing w:line="360" w:lineRule="auto"/>
        <w:rPr>
          <w:rFonts w:ascii="Arial" w:hAnsi="Arial" w:cs="Arial"/>
          <w:sz w:val="24"/>
          <w:szCs w:val="24"/>
        </w:rPr>
      </w:pPr>
      <w:r w:rsidRPr="00D53F79">
        <w:rPr>
          <w:rFonts w:ascii="Arial" w:hAnsi="Arial" w:cs="Arial"/>
          <w:sz w:val="24"/>
          <w:szCs w:val="24"/>
        </w:rPr>
        <w:t>Whether or not a constable has reasonable cause to suspect or believe is for a court to decide. The different formulations seek to impose a higher threshold for powers requiring "reasonable grounds to believe" which involve the invasion of a person's privacy, continued detention etc and decisions which require more mature reflection and consideration. In contrast, powers which are frequently exercised, for example stop and search and arrest powers are conditional upon the existence of "reasonable grounds to suspect. This is a much lower standard than "believe". In legal terms "reasonable grounds to believe" requires something close to certainty.</w:t>
      </w:r>
    </w:p>
    <w:p w14:paraId="1729CD24" w14:textId="77777777" w:rsidR="00D96FE9" w:rsidRPr="00D53F79" w:rsidRDefault="00D96FE9" w:rsidP="00D96FE9">
      <w:pPr>
        <w:spacing w:line="360" w:lineRule="auto"/>
        <w:rPr>
          <w:rFonts w:ascii="Arial" w:hAnsi="Arial" w:cs="Arial"/>
          <w:sz w:val="24"/>
          <w:szCs w:val="24"/>
        </w:rPr>
      </w:pPr>
      <w:r w:rsidRPr="00D53F79">
        <w:rPr>
          <w:rFonts w:ascii="Arial" w:hAnsi="Arial" w:cs="Arial"/>
          <w:sz w:val="24"/>
          <w:szCs w:val="24"/>
        </w:rPr>
        <w:t xml:space="preserve">It is not necessary to have substantial proof before one can be said to "believe" but the existence of a belief implies that there is more information available. For </w:t>
      </w:r>
      <w:proofErr w:type="gramStart"/>
      <w:r w:rsidRPr="00D53F79">
        <w:rPr>
          <w:rFonts w:ascii="Arial" w:hAnsi="Arial" w:cs="Arial"/>
          <w:sz w:val="24"/>
          <w:szCs w:val="24"/>
        </w:rPr>
        <w:t>example</w:t>
      </w:r>
      <w:proofErr w:type="gramEnd"/>
      <w:r w:rsidRPr="00D53F79">
        <w:rPr>
          <w:rFonts w:ascii="Arial" w:hAnsi="Arial" w:cs="Arial"/>
          <w:sz w:val="24"/>
          <w:szCs w:val="24"/>
        </w:rPr>
        <w:t xml:space="preserve"> in the offence of handling stolen goods the mental element is "knowing or believing" that the goods are stolen.</w:t>
      </w:r>
    </w:p>
    <w:p w14:paraId="39AF8920" w14:textId="77777777" w:rsidR="00D96FE9" w:rsidRPr="00D53F79" w:rsidRDefault="00D96FE9" w:rsidP="00D96FE9">
      <w:pPr>
        <w:spacing w:line="360" w:lineRule="auto"/>
        <w:rPr>
          <w:rFonts w:ascii="Arial" w:hAnsi="Arial" w:cs="Arial"/>
          <w:b/>
          <w:sz w:val="24"/>
          <w:szCs w:val="24"/>
        </w:rPr>
      </w:pPr>
      <w:r w:rsidRPr="00D53F79">
        <w:rPr>
          <w:rFonts w:ascii="Arial" w:hAnsi="Arial" w:cs="Arial"/>
          <w:b/>
          <w:sz w:val="24"/>
          <w:szCs w:val="24"/>
        </w:rPr>
        <w:t xml:space="preserve">Simple test </w:t>
      </w:r>
    </w:p>
    <w:p w14:paraId="1E2C64CF" w14:textId="77777777" w:rsidR="00D96FE9" w:rsidRPr="00D53F79" w:rsidRDefault="00D96FE9" w:rsidP="00D96FE9">
      <w:pPr>
        <w:spacing w:line="360" w:lineRule="auto"/>
        <w:rPr>
          <w:rFonts w:ascii="Arial" w:hAnsi="Arial" w:cs="Arial"/>
          <w:sz w:val="24"/>
          <w:szCs w:val="24"/>
        </w:rPr>
      </w:pPr>
      <w:r w:rsidRPr="00D53F79">
        <w:rPr>
          <w:rFonts w:ascii="Arial" w:hAnsi="Arial" w:cs="Arial"/>
          <w:sz w:val="24"/>
          <w:szCs w:val="24"/>
        </w:rPr>
        <w:t xml:space="preserve">If there are ten steps from mere suspicion to certainty, then </w:t>
      </w:r>
    </w:p>
    <w:p w14:paraId="282422A1" w14:textId="77777777" w:rsidR="00D96FE9" w:rsidRPr="00D53F79" w:rsidRDefault="00D96FE9" w:rsidP="00D96FE9">
      <w:pPr>
        <w:pStyle w:val="ListParagraph"/>
        <w:numPr>
          <w:ilvl w:val="0"/>
          <w:numId w:val="1"/>
        </w:numPr>
        <w:spacing w:line="360" w:lineRule="auto"/>
        <w:rPr>
          <w:rFonts w:ascii="Arial" w:hAnsi="Arial" w:cs="Arial"/>
          <w:sz w:val="24"/>
          <w:szCs w:val="24"/>
        </w:rPr>
      </w:pPr>
      <w:r w:rsidRPr="00D53F79">
        <w:rPr>
          <w:rFonts w:ascii="Arial" w:hAnsi="Arial" w:cs="Arial"/>
          <w:sz w:val="24"/>
          <w:szCs w:val="24"/>
        </w:rPr>
        <w:t xml:space="preserve">reasonable suspicion may be as low as step two or three, whilst </w:t>
      </w:r>
    </w:p>
    <w:p w14:paraId="0D5154A1" w14:textId="77777777" w:rsidR="00D96FE9" w:rsidRPr="00D53F79" w:rsidRDefault="00D96FE9" w:rsidP="00D96FE9">
      <w:pPr>
        <w:pStyle w:val="ListParagraph"/>
        <w:numPr>
          <w:ilvl w:val="0"/>
          <w:numId w:val="1"/>
        </w:numPr>
        <w:spacing w:line="360" w:lineRule="auto"/>
        <w:rPr>
          <w:rFonts w:ascii="Arial" w:hAnsi="Arial" w:cs="Arial"/>
          <w:sz w:val="24"/>
          <w:szCs w:val="24"/>
        </w:rPr>
      </w:pPr>
      <w:r w:rsidRPr="00D53F79">
        <w:rPr>
          <w:rFonts w:ascii="Arial" w:hAnsi="Arial" w:cs="Arial"/>
          <w:sz w:val="24"/>
          <w:szCs w:val="24"/>
        </w:rPr>
        <w:t xml:space="preserve">reasonable belief may be as high as step seven or eight. </w:t>
      </w:r>
    </w:p>
    <w:p w14:paraId="04286BAD" w14:textId="77777777" w:rsidR="00D96FE9" w:rsidRPr="00D53F79" w:rsidRDefault="00D96FE9" w:rsidP="00D96FE9">
      <w:pPr>
        <w:spacing w:line="360" w:lineRule="auto"/>
        <w:rPr>
          <w:rFonts w:ascii="Arial" w:hAnsi="Arial" w:cs="Arial"/>
          <w:sz w:val="24"/>
          <w:szCs w:val="24"/>
        </w:rPr>
      </w:pPr>
      <w:r w:rsidRPr="00D53F79">
        <w:rPr>
          <w:rFonts w:ascii="Arial" w:hAnsi="Arial" w:cs="Arial"/>
          <w:sz w:val="24"/>
          <w:szCs w:val="24"/>
        </w:rPr>
        <w:t>A police officer may receive information from various sources, some of it anonymous, stating that a person is responsible for an offence; he would have reasonable grounds to "suspect" but certainly not "believe".</w:t>
      </w:r>
    </w:p>
    <w:p w14:paraId="1919D0F6" w14:textId="77777777" w:rsidR="00347A92" w:rsidRDefault="00347A92"/>
    <w:sectPr w:rsidR="00347A92" w:rsidSect="00306CBA">
      <w:headerReference w:type="even" r:id="rId5"/>
      <w:headerReference w:type="default" r:id="rId6"/>
      <w:footerReference w:type="even"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F4471" w14:textId="77777777" w:rsidR="00306CBA" w:rsidRDefault="00000000" w:rsidP="00306CBA">
    <w:pPr>
      <w:pStyle w:val="Footer"/>
      <w:rPr>
        <w:color w:val="000000"/>
        <w:sz w:val="17"/>
      </w:rPr>
    </w:pPr>
    <w:bookmarkStart w:id="2" w:name="TITUS1FooterEvenPages"/>
    <w:r w:rsidRPr="00306CBA">
      <w:rPr>
        <w:color w:val="000000"/>
        <w:sz w:val="17"/>
      </w:rPr>
      <w:t> </w:t>
    </w:r>
  </w:p>
  <w:bookmarkEnd w:id="2"/>
  <w:p w14:paraId="1AF19398" w14:textId="77777777" w:rsidR="00306CBA"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744C2" w14:textId="77777777" w:rsidR="00306CBA" w:rsidRDefault="00000000" w:rsidP="00306CBA">
    <w:pPr>
      <w:pStyle w:val="Footer"/>
      <w:rPr>
        <w:color w:val="000000"/>
        <w:sz w:val="17"/>
      </w:rPr>
    </w:pPr>
    <w:bookmarkStart w:id="3" w:name="TITUS1FooterPrimary"/>
    <w:r w:rsidRPr="00306CBA">
      <w:rPr>
        <w:color w:val="000000"/>
        <w:sz w:val="17"/>
      </w:rPr>
      <w:t> </w:t>
    </w:r>
  </w:p>
  <w:bookmarkEnd w:id="3"/>
  <w:p w14:paraId="0DB5B97F" w14:textId="77777777" w:rsidR="00306CBA"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383EE" w14:textId="77777777" w:rsidR="00306CBA" w:rsidRDefault="00000000" w:rsidP="00306CBA">
    <w:pPr>
      <w:pStyle w:val="Footer"/>
      <w:rPr>
        <w:color w:val="000000"/>
        <w:sz w:val="17"/>
      </w:rPr>
    </w:pPr>
    <w:bookmarkStart w:id="5" w:name="TITUS1FooterFirstPage"/>
    <w:r w:rsidRPr="00306CBA">
      <w:rPr>
        <w:color w:val="000000"/>
        <w:sz w:val="17"/>
      </w:rPr>
      <w:t> </w:t>
    </w:r>
  </w:p>
  <w:bookmarkEnd w:id="5"/>
  <w:p w14:paraId="3E88F6F6" w14:textId="77777777" w:rsidR="00306CBA"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76E64" w14:textId="77777777" w:rsidR="00306CBA" w:rsidRDefault="00000000" w:rsidP="00306CBA">
    <w:pPr>
      <w:pStyle w:val="Header"/>
      <w:rPr>
        <w:color w:val="000000"/>
        <w:sz w:val="17"/>
      </w:rPr>
    </w:pPr>
    <w:bookmarkStart w:id="0" w:name="TITUS1HeaderEvenPages"/>
    <w:r w:rsidRPr="00306CBA">
      <w:rPr>
        <w:color w:val="000000"/>
        <w:sz w:val="17"/>
      </w:rPr>
      <w:t> </w:t>
    </w:r>
  </w:p>
  <w:bookmarkEnd w:id="0"/>
  <w:p w14:paraId="2112C20E" w14:textId="77777777" w:rsidR="00306CBA"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5C266" w14:textId="77777777" w:rsidR="00306CBA" w:rsidRDefault="00000000" w:rsidP="00306CBA">
    <w:pPr>
      <w:pStyle w:val="Header"/>
      <w:rPr>
        <w:color w:val="000000"/>
        <w:sz w:val="17"/>
      </w:rPr>
    </w:pPr>
    <w:bookmarkStart w:id="1" w:name="TITUS1HeaderPrimary"/>
    <w:r w:rsidRPr="00306CBA">
      <w:rPr>
        <w:color w:val="000000"/>
        <w:sz w:val="17"/>
      </w:rPr>
      <w:t> </w:t>
    </w:r>
  </w:p>
  <w:bookmarkEnd w:id="1"/>
  <w:p w14:paraId="393F8511" w14:textId="77777777" w:rsidR="00306CBA"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8149B" w14:textId="77777777" w:rsidR="00306CBA" w:rsidRDefault="00000000" w:rsidP="00306CBA">
    <w:pPr>
      <w:pStyle w:val="Header"/>
      <w:rPr>
        <w:color w:val="000000"/>
        <w:sz w:val="17"/>
      </w:rPr>
    </w:pPr>
    <w:bookmarkStart w:id="4" w:name="TITUS1HeaderFirstPage"/>
    <w:r w:rsidRPr="00306CBA">
      <w:rPr>
        <w:color w:val="000000"/>
        <w:sz w:val="17"/>
      </w:rPr>
      <w:t> </w:t>
    </w:r>
  </w:p>
  <w:bookmarkEnd w:id="4"/>
  <w:p w14:paraId="312B5334" w14:textId="77777777" w:rsidR="00306CBA"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E60D29"/>
    <w:multiLevelType w:val="hybridMultilevel"/>
    <w:tmpl w:val="3E4C4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1167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FE9"/>
    <w:rsid w:val="00347A92"/>
    <w:rsid w:val="00AC64E7"/>
    <w:rsid w:val="00D96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E3A7CA"/>
  <w15:chartTrackingRefBased/>
  <w15:docId w15:val="{BA6D0EA0-A8C0-DF48-BC6E-BA4A26E93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FE9"/>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FE9"/>
    <w:pPr>
      <w:ind w:left="720"/>
      <w:contextualSpacing/>
    </w:pPr>
  </w:style>
  <w:style w:type="paragraph" w:styleId="Header">
    <w:name w:val="header"/>
    <w:basedOn w:val="Normal"/>
    <w:link w:val="HeaderChar"/>
    <w:uiPriority w:val="99"/>
    <w:unhideWhenUsed/>
    <w:rsid w:val="00D96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FE9"/>
    <w:rPr>
      <w:sz w:val="22"/>
      <w:szCs w:val="22"/>
    </w:rPr>
  </w:style>
  <w:style w:type="paragraph" w:styleId="Footer">
    <w:name w:val="footer"/>
    <w:basedOn w:val="Normal"/>
    <w:link w:val="FooterChar"/>
    <w:uiPriority w:val="99"/>
    <w:unhideWhenUsed/>
    <w:rsid w:val="00D96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FE9"/>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286</Words>
  <Characters>1633</Characters>
  <Application>Microsoft Office Word</Application>
  <DocSecurity>0</DocSecurity>
  <Lines>13</Lines>
  <Paragraphs>3</Paragraphs>
  <ScaleCrop>false</ScaleCrop>
  <Company/>
  <LinksUpToDate>false</LinksUpToDate>
  <CharactersWithSpaces>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Rhiannon Lloyd</cp:lastModifiedBy>
  <cp:revision>1</cp:revision>
  <dcterms:created xsi:type="dcterms:W3CDTF">2022-09-08T21:01:00Z</dcterms:created>
  <dcterms:modified xsi:type="dcterms:W3CDTF">2022-09-08T21:01:00Z</dcterms:modified>
</cp:coreProperties>
</file>