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CE0233" w14:textId="778D1A74" w:rsidR="00A10655" w:rsidRDefault="00A10655" w:rsidP="00A10655">
      <w:pPr>
        <w:jc w:val="both"/>
        <w:rPr>
          <w:b/>
          <w:bCs/>
        </w:rPr>
      </w:pPr>
      <w:r w:rsidRPr="00FE6080">
        <w:rPr>
          <w:b/>
          <w:bCs/>
        </w:rPr>
        <w:t>HPHI5004  Britain and the Great War</w:t>
      </w:r>
      <w:r>
        <w:rPr>
          <w:b/>
          <w:bCs/>
        </w:rPr>
        <w:t xml:space="preserve"> </w:t>
      </w:r>
    </w:p>
    <w:p w14:paraId="6ADAA87C" w14:textId="77777777" w:rsidR="00A10655" w:rsidRDefault="00A10655" w:rsidP="00A10655">
      <w:pPr>
        <w:jc w:val="both"/>
        <w:rPr>
          <w:b/>
          <w:bCs/>
        </w:rPr>
      </w:pPr>
      <w:r w:rsidRPr="00FE6080">
        <w:rPr>
          <w:b/>
          <w:bCs/>
        </w:rPr>
        <w:t>Assessment One – Portfolio</w:t>
      </w:r>
    </w:p>
    <w:p w14:paraId="3896A795" w14:textId="0398754E" w:rsidR="00A10655" w:rsidRPr="00A10655" w:rsidRDefault="00A10655" w:rsidP="00A10655">
      <w:pPr>
        <w:jc w:val="both"/>
        <w:rPr>
          <w:b/>
          <w:bCs/>
        </w:rPr>
      </w:pPr>
      <w:r>
        <w:rPr>
          <w:b/>
          <w:bCs/>
        </w:rPr>
        <w:t>Part 1</w:t>
      </w:r>
    </w:p>
    <w:p w14:paraId="06A7D7FF" w14:textId="1276BCE8" w:rsidR="00A10655" w:rsidRDefault="00A10655" w:rsidP="00A10655">
      <w:pPr>
        <w:jc w:val="both"/>
      </w:pPr>
      <w:r>
        <w:t xml:space="preserve">Review </w:t>
      </w:r>
      <w:r>
        <w:t>o</w:t>
      </w:r>
      <w:r>
        <w:t xml:space="preserve">f </w:t>
      </w:r>
      <w:r>
        <w:t>Journal</w:t>
      </w:r>
      <w:r>
        <w:t xml:space="preserve"> Article by Professor Angela Woollacott (1994)</w:t>
      </w:r>
    </w:p>
    <w:p w14:paraId="70161572" w14:textId="77777777" w:rsidR="00A10655" w:rsidRPr="00A10655" w:rsidRDefault="00A10655" w:rsidP="00A10655">
      <w:pPr>
        <w:jc w:val="both"/>
        <w:rPr>
          <w:b/>
          <w:bCs/>
          <w:i/>
          <w:iCs/>
        </w:rPr>
      </w:pPr>
      <w:r w:rsidRPr="00A10655">
        <w:rPr>
          <w:b/>
          <w:bCs/>
          <w:i/>
          <w:iCs/>
        </w:rPr>
        <w:t>‘Khaki Fever’ and It’s Control: Gender, Class, Age and Sexual Morality on the British Homefront in the First World War</w:t>
      </w:r>
      <w:r w:rsidRPr="00A10655">
        <w:rPr>
          <w:rStyle w:val="FootnoteReference"/>
          <w:b/>
          <w:bCs/>
          <w:i/>
          <w:iCs/>
        </w:rPr>
        <w:footnoteReference w:id="1"/>
      </w:r>
    </w:p>
    <w:p w14:paraId="1A419F04" w14:textId="77777777" w:rsidR="00A10655" w:rsidRDefault="00A10655" w:rsidP="00A10655">
      <w:pPr>
        <w:ind w:firstLine="720"/>
        <w:jc w:val="both"/>
      </w:pPr>
      <w:r>
        <w:t>Professor Angela Woollacott is a contemporary and prominent historian whose fields of research and publications cover ‘Australian history; British Empire and postcolonial history; biography; political history; women's and gender history; transnational history; whiteness and settler colonialism’.</w:t>
      </w:r>
      <w:r>
        <w:rPr>
          <w:rStyle w:val="FootnoteReference"/>
        </w:rPr>
        <w:footnoteReference w:id="2"/>
      </w:r>
    </w:p>
    <w:p w14:paraId="627E25CE" w14:textId="4D3B50D3" w:rsidR="00A10655" w:rsidRDefault="00A10655" w:rsidP="00A10655">
      <w:pPr>
        <w:ind w:firstLine="720"/>
        <w:jc w:val="both"/>
      </w:pPr>
      <w:r>
        <w:t xml:space="preserve">Amongst </w:t>
      </w:r>
      <w:bookmarkStart w:id="0" w:name="_Hlk23500910"/>
      <w:r>
        <w:t>Professor Woollacott’s</w:t>
      </w:r>
      <w:bookmarkEnd w:id="0"/>
      <w:r>
        <w:t xml:space="preserve"> numerous publications can be found extensive research and writing on feminism and gender</w:t>
      </w:r>
      <w:r>
        <w:t xml:space="preserve">; </w:t>
      </w:r>
      <w:r>
        <w:t>covering a diverse range of areas throughout the last century and up to the present day.  Professor Woollacott’s research of women and their societal place during the First World War feature predominantly amongst her historical works.  This article is just one of many researched works of Professor Woollacott and illustrates her knowledge, research and passion for feminism and gender.  Gerard J. DeGroot</w:t>
      </w:r>
      <w:r>
        <w:rPr>
          <w:rStyle w:val="FootnoteReference"/>
        </w:rPr>
        <w:footnoteReference w:id="3"/>
      </w:r>
      <w:r>
        <w:t xml:space="preserve"> is amongst historical authors who have referenced the works of Professor Woollacott in their published works; discussing the First World War and the part played by women of all classes on the British ‘home front’.  This gives significant weight to the content and value of Professor Woollacott’s work.</w:t>
      </w:r>
    </w:p>
    <w:p w14:paraId="1C7D495F" w14:textId="77777777" w:rsidR="00A10655" w:rsidRDefault="00A10655" w:rsidP="00A10655">
      <w:pPr>
        <w:ind w:firstLine="720"/>
        <w:jc w:val="both"/>
      </w:pPr>
      <w:r>
        <w:t>The journal article ‘Khaki fever’, is written for academics and it could be strongly suggested that it opens the possibility for further study and questioning of what has been previously written and understood about  girls and women of the First World War.  The approach by Professor Woollacott to this area of feminism and gender in the First World War can be best described as revisionary; although many historical publications include talk of women, work and change, this article discusses attitudes and perceptions regarding sexuality and moral discourse with class distinctions.  Further, this article is in stark contrast to Arthur Marwick’s ‘Women at War’ which is more a writing of known facts rather than an investigation into deeper changes and perceptions of 1914 and beyond.</w:t>
      </w:r>
      <w:r>
        <w:rPr>
          <w:rStyle w:val="FootnoteReference"/>
        </w:rPr>
        <w:footnoteReference w:id="4"/>
      </w:r>
    </w:p>
    <w:p w14:paraId="0D748CD1" w14:textId="77777777" w:rsidR="00A10655" w:rsidRDefault="00A10655" w:rsidP="00A10655">
      <w:pPr>
        <w:ind w:firstLine="720"/>
        <w:jc w:val="both"/>
      </w:pPr>
      <w:r>
        <w:t>Professor Woollacott begins this journal article with a strong first line, ‘In late 1914 an epidemic of khaki fever broke out across Britain’.</w:t>
      </w:r>
      <w:r>
        <w:rPr>
          <w:rStyle w:val="FootnoteReference"/>
        </w:rPr>
        <w:footnoteReference w:id="5"/>
      </w:r>
      <w:r>
        <w:t xml:space="preserve">  A hard hitting, firm and decisive statement and starting point for the reader.  In this opening paragraph Professor Woollacott outlines the concerns of the authorities and those of the middle to upper classes regarding ‘young women’s social and sexual behaviour’.</w:t>
      </w:r>
      <w:r>
        <w:rPr>
          <w:rStyle w:val="FootnoteReference"/>
        </w:rPr>
        <w:footnoteReference w:id="6"/>
      </w:r>
      <w:r>
        <w:t xml:space="preserve">  </w:t>
      </w:r>
    </w:p>
    <w:p w14:paraId="4B4AF675" w14:textId="77777777" w:rsidR="00A10655" w:rsidRDefault="00A10655" w:rsidP="00A10655">
      <w:pPr>
        <w:ind w:firstLine="720"/>
        <w:jc w:val="both"/>
      </w:pPr>
      <w:r>
        <w:lastRenderedPageBreak/>
        <w:t>The problem of sexual behaviour and morals amongst the poor is discussed and it is noted that it is not a problem purely arising from the onset of war 1914; indeed the welfare of young girls and the consequences of prostitution, disease and ‘white Slavery’</w:t>
      </w:r>
      <w:r>
        <w:rPr>
          <w:rStyle w:val="FootnoteReference"/>
        </w:rPr>
        <w:footnoteReference w:id="7"/>
      </w:r>
      <w:r>
        <w:t>, led to changes culminating in the ‘Criminal Law Amendment Act of 1885’</w:t>
      </w:r>
      <w:r>
        <w:rPr>
          <w:rStyle w:val="FootnoteReference"/>
        </w:rPr>
        <w:footnoteReference w:id="8"/>
      </w:r>
      <w:r>
        <w:t xml:space="preserve"> where the age of consent  was raised from 13 to 16 years of age.  </w:t>
      </w:r>
    </w:p>
    <w:p w14:paraId="15DDB9C1" w14:textId="77777777" w:rsidR="00A10655" w:rsidRDefault="00A10655" w:rsidP="00A10655">
      <w:pPr>
        <w:ind w:firstLine="720"/>
        <w:jc w:val="both"/>
      </w:pPr>
      <w:r>
        <w:t>Professor Woollacott contrasts the attitudes towards prostitutes and ‘amateurs’</w:t>
      </w:r>
      <w:r>
        <w:rPr>
          <w:rStyle w:val="FootnoteReference"/>
        </w:rPr>
        <w:footnoteReference w:id="9"/>
      </w:r>
      <w:r>
        <w:t xml:space="preserve"> of the previous century with the behaviours of those caught up in and suffering ‘khaki fever’.  The ‘amateurs’ of the previous century, she suggests, could be tolerated, but the description of those with ‘khaki fever’ are described as being far from pleasant and their social class within society being prevalent in the discourse.</w:t>
      </w:r>
    </w:p>
    <w:p w14:paraId="762BCD05" w14:textId="77777777" w:rsidR="00A10655" w:rsidRDefault="00A10655" w:rsidP="00A10655">
      <w:pPr>
        <w:ind w:firstLine="720"/>
        <w:jc w:val="both"/>
      </w:pPr>
      <w:r>
        <w:t xml:space="preserve">The tone and the language used shows that there was a strong attitude change towards once ‘vulnerable’ young women to them becoming seen as vulgar in war time Britain of 1914 and forward.  This change and concern coming from upper and middle classes, whose high moral standing begins to be shaken.  </w:t>
      </w:r>
    </w:p>
    <w:p w14:paraId="09652398" w14:textId="77777777" w:rsidR="00A10655" w:rsidRDefault="00A10655" w:rsidP="00A10655">
      <w:pPr>
        <w:ind w:firstLine="720"/>
        <w:jc w:val="both"/>
      </w:pPr>
      <w:r>
        <w:t>As soldiers arrived in towns Professor Woollacott writes about the excitement stirred up by people from all ages, genders and class.  This was new part of life, a whole new community experience that affected all, from the very poorest in society to the upper classes.  What had previously not been seen was the excited behaviour of young girls and women caught up in the atmosphere of soldier heroes in uniform about to go to war to fight for their country.  The excitement was attached to morality, those in authority not able to make sense of the outward emotions and zeal exhibited by females, and thus the term ‘khaki fever’ became a new term used by those who would go forward trying to find solutions for a perceived escalating moral problem.  As well as the moral discourse Professor Woollacott also discusses the rise of Venereal Disease (VD) and parliamentary acts brought in to try to deal with the rising problem; again, gender specific solutions were introduced, advancing the need to control poor working-class women.</w:t>
      </w:r>
    </w:p>
    <w:p w14:paraId="08132B8E" w14:textId="77777777" w:rsidR="00A10655" w:rsidRDefault="00A10655" w:rsidP="00A10655">
      <w:pPr>
        <w:ind w:firstLine="720"/>
        <w:jc w:val="both"/>
      </w:pPr>
      <w:r>
        <w:t>Professor Woollacott suggests that ‘khaki fever’ was not just experienced by young girls, was not gender specific, and spanned across areas of society containing those who were unable to go to war ‘barred from direct war participation’</w:t>
      </w:r>
      <w:r>
        <w:rPr>
          <w:rStyle w:val="FootnoteReference"/>
        </w:rPr>
        <w:footnoteReference w:id="10"/>
      </w:r>
      <w:r>
        <w:t>.  However, the perceived need to take control and protect society and the soldiers, gave some the opportunity to aid the war effort.  Middle to upper class women organised themselves into patrols, namely the ‘Women’s Police Service’ and their rival ‘Women’s Patrol Committee,’</w:t>
      </w:r>
      <w:r>
        <w:rPr>
          <w:rStyle w:val="FootnoteReference"/>
        </w:rPr>
        <w:footnoteReference w:id="11"/>
      </w:r>
      <w:r>
        <w:t xml:space="preserve"> the policing of women by women and using the experience of age to and class to give legitimacy of control over their subordinates.  Professor Woollacott discusses the varying women’s groups, their top down attitudes and enforcement actions; noting that these middle to upper class women were also experiencing ‘khaki fever’ and partaking in freedoms of walking/patrolling in areas previously unacceptable for women of class and status.  The female fight for votes and greater autonomy may have been set aside for the war effort but Professor Woollacott writes of the career opportunities that women felt may become available post war and indeed it is noted that this was the case, although with limitations.  </w:t>
      </w:r>
    </w:p>
    <w:p w14:paraId="627A95F0" w14:textId="77777777" w:rsidR="00A10655" w:rsidRDefault="00A10655" w:rsidP="00A10655">
      <w:pPr>
        <w:ind w:firstLine="720"/>
        <w:jc w:val="both"/>
      </w:pPr>
      <w:r>
        <w:lastRenderedPageBreak/>
        <w:t xml:space="preserve">The sentiment behind the term ‘Khaki fever’ suggests that it was a societal disease for which there would be a cure; it was the upper to middle classes that are discussed as needing to find solutions and remedy. </w:t>
      </w:r>
    </w:p>
    <w:p w14:paraId="13D7109A" w14:textId="77777777" w:rsidR="00A10655" w:rsidRDefault="00A10655" w:rsidP="00A10655">
      <w:pPr>
        <w:ind w:firstLine="720"/>
        <w:jc w:val="both"/>
      </w:pPr>
      <w:r>
        <w:t xml:space="preserve">Professor Woollacott brings to attention that the early excitement was replaced by the need for women to work in place of the men gone to war, and that control, sexual morality and perceptions were more a fear of the times rather than a consequence of the beginning of the war.  </w:t>
      </w:r>
    </w:p>
    <w:p w14:paraId="3CA49373" w14:textId="77777777" w:rsidR="00A10655" w:rsidRDefault="00A10655" w:rsidP="00A10655">
      <w:pPr>
        <w:ind w:firstLine="720"/>
        <w:jc w:val="both"/>
      </w:pPr>
      <w:r>
        <w:t>This journal article is refreshing in its approach to women during the First World War, discussing the changes, the controls, perceptions and approaches made to curtail issues of immorality and behaviours.  It leads the reader to question and delve deeper into social prejudices during the early part of the 20</w:t>
      </w:r>
      <w:r w:rsidRPr="00423048">
        <w:rPr>
          <w:vertAlign w:val="superscript"/>
        </w:rPr>
        <w:t>th</w:t>
      </w:r>
      <w:r>
        <w:t xml:space="preserve"> century and onset of the First World War.  Professor Woollacott has used a plethora of references and researched the subject intensely; this is reflected in the reference lists and the numerous examples of prejudice and perceptions covered in just a few pages.  There is a lack of male perspective but although this may be of a disadvantage it could be said that given the innumerable amount of academic works available on WW1, male specific, it is time to take into account the ‘home-front’ from a feminist stand point and to allow for the voice of the working class women and girls to be heard and understood.  </w:t>
      </w:r>
    </w:p>
    <w:p w14:paraId="55C771AC" w14:textId="17B4867F" w:rsidR="00A10655" w:rsidRPr="00A10655" w:rsidRDefault="00A10655" w:rsidP="00A10655">
      <w:pPr>
        <w:ind w:firstLine="720"/>
        <w:jc w:val="both"/>
      </w:pPr>
      <w:r>
        <w:t>The article also highlights the control of the upper and middle classes and their continued need to give moral teaching and lessons to their subordinates.  In the 21</w:t>
      </w:r>
      <w:r w:rsidRPr="002A0E24">
        <w:rPr>
          <w:vertAlign w:val="superscript"/>
        </w:rPr>
        <w:t>st</w:t>
      </w:r>
      <w:r>
        <w:t xml:space="preserve"> century sexual morality, behaviours, control and solutions of the First World War may seem alien, but it can help academics in their social research of feminist issues, traditions and place within society and the changes over the last century.  Professor Woollacott’s journal article is well written, informative and although does not lay the blame of reactions to the phenomena of ‘Khaki fever’ to one specific area of society, there is a personable feel for her work, sense of understanding and empathy for all, regardless of the part that was played by each class and authority.  Top down control is not the answer to any societal issues, and this is very clear within this article.  An ability to have a voice is taken for granted within society of today; accepted gender specific behaviours are very different, women have many advantages, work, autonomy, sexual freedom and all of these are regardless of societal position.  The struggles, persecution, controls and parliamentary acts of the First World War lay foundations on which women could stand and call for change.  The article brings to the fore that whilst young men were fighting for freedoms of the empire, on the ‘home front’ battles were also being fought and challenges faced.  ‘Khaki fever’, a new phenomenon of the First World War, the article raises as many questions, as it answers.  This journal article is a perfect steppingstone to further study of women during the First World War.</w:t>
      </w:r>
    </w:p>
    <w:p w14:paraId="4AE7F5F6" w14:textId="4ADB2FD9" w:rsidR="00A10655" w:rsidRPr="002F28A4" w:rsidRDefault="00A10655" w:rsidP="00A10655">
      <w:pPr>
        <w:jc w:val="both"/>
        <w:rPr>
          <w:b/>
          <w:bCs/>
          <w:u w:val="single"/>
        </w:rPr>
      </w:pPr>
      <w:r w:rsidRPr="002F28A4">
        <w:rPr>
          <w:b/>
          <w:bCs/>
          <w:u w:val="single"/>
        </w:rPr>
        <w:t>References</w:t>
      </w:r>
    </w:p>
    <w:p w14:paraId="3FD3CB50" w14:textId="77777777" w:rsidR="00A10655" w:rsidRDefault="00A10655" w:rsidP="00A10655">
      <w:pPr>
        <w:pStyle w:val="FootnoteText"/>
      </w:pPr>
    </w:p>
    <w:p w14:paraId="3B2B99F3" w14:textId="77777777" w:rsidR="00A10655" w:rsidRPr="0089206C" w:rsidRDefault="00A10655" w:rsidP="00A10655">
      <w:pPr>
        <w:pStyle w:val="FootnoteText"/>
        <w:spacing w:line="276" w:lineRule="auto"/>
        <w:rPr>
          <w:sz w:val="22"/>
          <w:szCs w:val="22"/>
        </w:rPr>
      </w:pPr>
      <w:r w:rsidRPr="00D06FE1">
        <w:rPr>
          <w:sz w:val="22"/>
          <w:szCs w:val="22"/>
        </w:rPr>
        <w:t xml:space="preserve">G.J. DeGroot, </w:t>
      </w:r>
      <w:r w:rsidRPr="00D06FE1">
        <w:rPr>
          <w:i/>
          <w:iCs/>
          <w:sz w:val="22"/>
          <w:szCs w:val="22"/>
        </w:rPr>
        <w:t>Blighty:</w:t>
      </w:r>
      <w:r>
        <w:rPr>
          <w:i/>
          <w:iCs/>
          <w:sz w:val="22"/>
          <w:szCs w:val="22"/>
        </w:rPr>
        <w:t xml:space="preserve"> </w:t>
      </w:r>
      <w:r w:rsidRPr="00D06FE1">
        <w:rPr>
          <w:i/>
          <w:iCs/>
          <w:sz w:val="22"/>
          <w:szCs w:val="22"/>
        </w:rPr>
        <w:t xml:space="preserve">British Society in the Era of the Great War </w:t>
      </w:r>
      <w:r w:rsidRPr="00D06FE1">
        <w:rPr>
          <w:sz w:val="22"/>
          <w:szCs w:val="22"/>
        </w:rPr>
        <w:t>(Harlow: Longman</w:t>
      </w:r>
      <w:r>
        <w:rPr>
          <w:sz w:val="22"/>
          <w:szCs w:val="22"/>
        </w:rPr>
        <w:t>1996</w:t>
      </w:r>
      <w:r w:rsidRPr="00D06FE1">
        <w:rPr>
          <w:sz w:val="22"/>
          <w:szCs w:val="22"/>
        </w:rPr>
        <w:t>)</w:t>
      </w:r>
    </w:p>
    <w:p w14:paraId="12BDC99C" w14:textId="77777777" w:rsidR="00A10655" w:rsidRDefault="00A10655" w:rsidP="00A10655">
      <w:pPr>
        <w:spacing w:line="276" w:lineRule="auto"/>
        <w:jc w:val="both"/>
      </w:pPr>
      <w:proofErr w:type="spellStart"/>
      <w:r>
        <w:t>Marwick.A</w:t>
      </w:r>
      <w:proofErr w:type="spellEnd"/>
      <w:r>
        <w:t xml:space="preserve">., </w:t>
      </w:r>
      <w:r w:rsidRPr="00E07536">
        <w:rPr>
          <w:i/>
          <w:iCs/>
        </w:rPr>
        <w:t xml:space="preserve">Women at War </w:t>
      </w:r>
      <w:r>
        <w:t>(Imperial War Museum: Fontana Paperbacks, 2016) p.40</w:t>
      </w:r>
    </w:p>
    <w:p w14:paraId="15EC2058" w14:textId="77777777" w:rsidR="00A10655" w:rsidRPr="00C12D24" w:rsidRDefault="00A10655" w:rsidP="00A10655">
      <w:pPr>
        <w:pStyle w:val="FootnoteText"/>
        <w:spacing w:line="276" w:lineRule="auto"/>
        <w:rPr>
          <w:sz w:val="22"/>
          <w:szCs w:val="22"/>
        </w:rPr>
      </w:pPr>
      <w:r w:rsidRPr="00C12D24">
        <w:rPr>
          <w:sz w:val="22"/>
          <w:szCs w:val="22"/>
        </w:rPr>
        <w:t xml:space="preserve">A. Woollacott, ‘Khaki Fever and its Control: Gender, Class, Age and Sexual Morality on the British Homefront in the </w:t>
      </w:r>
      <w:r>
        <w:rPr>
          <w:sz w:val="22"/>
          <w:szCs w:val="22"/>
        </w:rPr>
        <w:t>First World War</w:t>
      </w:r>
      <w:r w:rsidRPr="00C12D24">
        <w:rPr>
          <w:sz w:val="22"/>
          <w:szCs w:val="22"/>
        </w:rPr>
        <w:t xml:space="preserve">’, </w:t>
      </w:r>
      <w:r w:rsidRPr="00C12D24">
        <w:rPr>
          <w:i/>
          <w:iCs/>
          <w:sz w:val="22"/>
          <w:szCs w:val="22"/>
        </w:rPr>
        <w:t xml:space="preserve">Journal of Contemporary History </w:t>
      </w:r>
      <w:r w:rsidRPr="00C12D24">
        <w:rPr>
          <w:sz w:val="22"/>
          <w:szCs w:val="22"/>
        </w:rPr>
        <w:t>29 (2), (April 1994) pp.325-347</w:t>
      </w:r>
    </w:p>
    <w:p w14:paraId="1EA18C10" w14:textId="77777777" w:rsidR="00A10655" w:rsidRPr="00C12D24" w:rsidRDefault="00A10655" w:rsidP="00A10655">
      <w:pPr>
        <w:pStyle w:val="FootnoteText"/>
        <w:spacing w:line="276" w:lineRule="auto"/>
        <w:rPr>
          <w:sz w:val="22"/>
          <w:szCs w:val="22"/>
        </w:rPr>
      </w:pPr>
      <w:hyperlink r:id="rId10" w:history="1">
        <w:r w:rsidRPr="00C12D24">
          <w:rPr>
            <w:rStyle w:val="Hyperlink"/>
            <w:sz w:val="22"/>
            <w:szCs w:val="22"/>
          </w:rPr>
          <w:t>http://www.jstor.org/stable/260893</w:t>
        </w:r>
      </w:hyperlink>
      <w:r w:rsidRPr="00C12D24">
        <w:rPr>
          <w:sz w:val="22"/>
          <w:szCs w:val="22"/>
        </w:rPr>
        <w:t xml:space="preserve">  [Accessed: 1 November 2019]</w:t>
      </w:r>
    </w:p>
    <w:p w14:paraId="36870F37" w14:textId="77777777" w:rsidR="00A10655" w:rsidRDefault="00A10655" w:rsidP="00A10655">
      <w:pPr>
        <w:pStyle w:val="FootnoteText"/>
        <w:spacing w:line="276" w:lineRule="auto"/>
        <w:rPr>
          <w:sz w:val="22"/>
          <w:szCs w:val="22"/>
        </w:rPr>
      </w:pPr>
      <w:hyperlink r:id="rId11" w:history="1">
        <w:r w:rsidRPr="00C12D24">
          <w:rPr>
            <w:rStyle w:val="Hyperlink"/>
            <w:sz w:val="22"/>
            <w:szCs w:val="22"/>
          </w:rPr>
          <w:t>https://researchers.anu.edu.au/researchers/woollacott-a</w:t>
        </w:r>
      </w:hyperlink>
      <w:r w:rsidRPr="00C12D24">
        <w:rPr>
          <w:sz w:val="22"/>
          <w:szCs w:val="22"/>
        </w:rPr>
        <w:t xml:space="preserve"> [Accessed: 1 November 2019]</w:t>
      </w:r>
    </w:p>
    <w:p w14:paraId="765F7CCE" w14:textId="69F77E51" w:rsidR="00A10655" w:rsidRDefault="00A10655" w:rsidP="00A10655">
      <w:pPr>
        <w:pStyle w:val="FootnoteText"/>
        <w:spacing w:line="276" w:lineRule="auto"/>
        <w:rPr>
          <w:sz w:val="22"/>
          <w:szCs w:val="22"/>
        </w:rPr>
      </w:pPr>
    </w:p>
    <w:p w14:paraId="56B5CE34" w14:textId="77777777" w:rsidR="00A10655" w:rsidRDefault="00A10655" w:rsidP="00A10655">
      <w:pPr>
        <w:pStyle w:val="FootnoteText"/>
        <w:spacing w:line="276" w:lineRule="auto"/>
        <w:rPr>
          <w:sz w:val="22"/>
          <w:szCs w:val="22"/>
        </w:rPr>
      </w:pPr>
    </w:p>
    <w:p w14:paraId="4843E425" w14:textId="77777777" w:rsidR="00A10655" w:rsidRPr="001C06DC" w:rsidRDefault="00A10655" w:rsidP="00A10655">
      <w:pPr>
        <w:jc w:val="both"/>
        <w:rPr>
          <w:b/>
          <w:bCs/>
        </w:rPr>
      </w:pPr>
      <w:r w:rsidRPr="001C06DC">
        <w:rPr>
          <w:b/>
          <w:bCs/>
        </w:rPr>
        <w:t>HPHI5004  Britain and the Great War</w:t>
      </w:r>
    </w:p>
    <w:p w14:paraId="3A8DB8CE" w14:textId="77777777" w:rsidR="00A10655" w:rsidRDefault="00A10655" w:rsidP="00A10655">
      <w:pPr>
        <w:jc w:val="both"/>
        <w:rPr>
          <w:b/>
          <w:bCs/>
        </w:rPr>
      </w:pPr>
      <w:r w:rsidRPr="00FE6080">
        <w:rPr>
          <w:b/>
          <w:bCs/>
        </w:rPr>
        <w:lastRenderedPageBreak/>
        <w:t>Assessment One – Portfolio</w:t>
      </w:r>
    </w:p>
    <w:p w14:paraId="6F943C46" w14:textId="449F9E6E" w:rsidR="00A10655" w:rsidRPr="00631083" w:rsidRDefault="00A10655" w:rsidP="00A10655">
      <w:pPr>
        <w:jc w:val="both"/>
        <w:rPr>
          <w:b/>
          <w:bCs/>
        </w:rPr>
      </w:pPr>
      <w:r>
        <w:rPr>
          <w:b/>
          <w:bCs/>
        </w:rPr>
        <w:t>Part 2</w:t>
      </w:r>
    </w:p>
    <w:p w14:paraId="24D94BA8" w14:textId="77777777" w:rsidR="00A10655" w:rsidRDefault="00A10655" w:rsidP="00A10655">
      <w:pPr>
        <w:pStyle w:val="FootnoteText"/>
        <w:spacing w:line="276" w:lineRule="auto"/>
        <w:rPr>
          <w:sz w:val="22"/>
          <w:szCs w:val="22"/>
        </w:rPr>
      </w:pPr>
    </w:p>
    <w:p w14:paraId="3F383A2F" w14:textId="77777777" w:rsidR="00A10655" w:rsidRPr="00A10655" w:rsidRDefault="00A10655" w:rsidP="00A10655">
      <w:pPr>
        <w:pStyle w:val="FootnoteText"/>
        <w:spacing w:line="276" w:lineRule="auto"/>
        <w:rPr>
          <w:b/>
          <w:bCs/>
          <w:i/>
          <w:iCs/>
          <w:sz w:val="22"/>
          <w:szCs w:val="22"/>
        </w:rPr>
      </w:pPr>
      <w:r w:rsidRPr="00A10655">
        <w:rPr>
          <w:b/>
          <w:bCs/>
          <w:sz w:val="22"/>
          <w:szCs w:val="22"/>
        </w:rPr>
        <w:t xml:space="preserve">Document Review – </w:t>
      </w:r>
      <w:r w:rsidRPr="00A10655">
        <w:rPr>
          <w:b/>
          <w:bCs/>
          <w:i/>
          <w:iCs/>
          <w:sz w:val="22"/>
          <w:szCs w:val="22"/>
        </w:rPr>
        <w:t xml:space="preserve">‘St David’s College Tutors Register 1899 to 1959’ </w:t>
      </w:r>
    </w:p>
    <w:p w14:paraId="6B1CE1DB" w14:textId="77777777" w:rsidR="00A10655" w:rsidRPr="00A10655" w:rsidRDefault="00A10655" w:rsidP="00A10655">
      <w:pPr>
        <w:pStyle w:val="FootnoteText"/>
        <w:spacing w:line="276" w:lineRule="auto"/>
        <w:rPr>
          <w:i/>
          <w:iCs/>
          <w:sz w:val="22"/>
          <w:szCs w:val="22"/>
        </w:rPr>
      </w:pPr>
    </w:p>
    <w:p w14:paraId="4E118505" w14:textId="77777777" w:rsidR="00A10655" w:rsidRDefault="00A10655" w:rsidP="00A10655">
      <w:pPr>
        <w:ind w:firstLine="720"/>
        <w:jc w:val="both"/>
      </w:pPr>
      <w:r>
        <w:t>Primary documents are an invaluable resource, giving insight and understanding to the society of our past; answering questions of curiosity and academic conundrums.  A single document standing alone can offer a great deal of information but used alongside other primary evidence, a document can paint a larger picture; it is with this in mind that the ‘St. David’s College Tutor’s Register, 1899 – 1959’ and the St. David’s College magazine of 1913 to 1915 have been chosen, for review, to assist in understanding the impact of the First World War at the Lampeter college.</w:t>
      </w:r>
    </w:p>
    <w:p w14:paraId="1128F167" w14:textId="77777777" w:rsidR="00A10655" w:rsidRDefault="00A10655" w:rsidP="00A10655">
      <w:pPr>
        <w:jc w:val="both"/>
      </w:pPr>
      <w:r>
        <w:tab/>
        <w:t>When opening the ‘Tutor’s Register’ the first information is an A to Z index of students; beyond this is the record of every student entering St. David’s College from 1899 to 1959.  The headings of each page show the following information:</w:t>
      </w:r>
    </w:p>
    <w:p w14:paraId="6AC1B510" w14:textId="77777777" w:rsidR="00A10655" w:rsidRDefault="00A10655" w:rsidP="00A10655">
      <w:pPr>
        <w:pStyle w:val="ListParagraph"/>
        <w:numPr>
          <w:ilvl w:val="0"/>
          <w:numId w:val="1"/>
        </w:numPr>
        <w:jc w:val="both"/>
      </w:pPr>
      <w:r>
        <w:t>Student number</w:t>
      </w:r>
    </w:p>
    <w:p w14:paraId="244C0CF1" w14:textId="77777777" w:rsidR="00A10655" w:rsidRDefault="00A10655" w:rsidP="00A10655">
      <w:pPr>
        <w:pStyle w:val="ListParagraph"/>
        <w:numPr>
          <w:ilvl w:val="0"/>
          <w:numId w:val="1"/>
        </w:numPr>
        <w:jc w:val="both"/>
      </w:pPr>
      <w:r>
        <w:t>Surname</w:t>
      </w:r>
    </w:p>
    <w:p w14:paraId="14994322" w14:textId="77777777" w:rsidR="00A10655" w:rsidRDefault="00A10655" w:rsidP="00A10655">
      <w:pPr>
        <w:pStyle w:val="ListParagraph"/>
        <w:numPr>
          <w:ilvl w:val="0"/>
          <w:numId w:val="1"/>
        </w:numPr>
        <w:jc w:val="both"/>
      </w:pPr>
      <w:r>
        <w:t>Christian name</w:t>
      </w:r>
    </w:p>
    <w:p w14:paraId="56B13110" w14:textId="77777777" w:rsidR="00A10655" w:rsidRDefault="00A10655" w:rsidP="00A10655">
      <w:pPr>
        <w:pStyle w:val="ListParagraph"/>
        <w:numPr>
          <w:ilvl w:val="0"/>
          <w:numId w:val="1"/>
        </w:numPr>
        <w:jc w:val="both"/>
      </w:pPr>
      <w:r>
        <w:t>Parent’s name</w:t>
      </w:r>
    </w:p>
    <w:p w14:paraId="66B4181D" w14:textId="77777777" w:rsidR="00A10655" w:rsidRDefault="00A10655" w:rsidP="00A10655">
      <w:pPr>
        <w:pStyle w:val="ListParagraph"/>
        <w:numPr>
          <w:ilvl w:val="0"/>
          <w:numId w:val="1"/>
        </w:numPr>
        <w:jc w:val="both"/>
      </w:pPr>
      <w:r>
        <w:t>Calling</w:t>
      </w:r>
    </w:p>
    <w:p w14:paraId="260E008E" w14:textId="77777777" w:rsidR="00A10655" w:rsidRDefault="00A10655" w:rsidP="00A10655">
      <w:pPr>
        <w:pStyle w:val="ListParagraph"/>
        <w:numPr>
          <w:ilvl w:val="0"/>
          <w:numId w:val="1"/>
        </w:numPr>
        <w:jc w:val="both"/>
      </w:pPr>
      <w:r>
        <w:t>Place of birth</w:t>
      </w:r>
    </w:p>
    <w:p w14:paraId="02381045" w14:textId="77777777" w:rsidR="00A10655" w:rsidRDefault="00A10655" w:rsidP="00A10655">
      <w:pPr>
        <w:pStyle w:val="ListParagraph"/>
        <w:numPr>
          <w:ilvl w:val="0"/>
          <w:numId w:val="1"/>
        </w:numPr>
        <w:jc w:val="both"/>
      </w:pPr>
      <w:r>
        <w:t>Date of birth</w:t>
      </w:r>
    </w:p>
    <w:p w14:paraId="3BD4E1E3" w14:textId="77777777" w:rsidR="00A10655" w:rsidRDefault="00A10655" w:rsidP="00A10655">
      <w:pPr>
        <w:pStyle w:val="ListParagraph"/>
        <w:numPr>
          <w:ilvl w:val="0"/>
          <w:numId w:val="1"/>
        </w:numPr>
        <w:jc w:val="both"/>
      </w:pPr>
      <w:r>
        <w:t>Date of entry</w:t>
      </w:r>
    </w:p>
    <w:p w14:paraId="70EA8B7E" w14:textId="77777777" w:rsidR="00A10655" w:rsidRDefault="00A10655" w:rsidP="00A10655">
      <w:pPr>
        <w:pStyle w:val="ListParagraph"/>
        <w:numPr>
          <w:ilvl w:val="0"/>
          <w:numId w:val="1"/>
        </w:numPr>
        <w:jc w:val="both"/>
      </w:pPr>
      <w:r>
        <w:t>Place of Education</w:t>
      </w:r>
    </w:p>
    <w:p w14:paraId="70F6634C" w14:textId="77777777" w:rsidR="00A10655" w:rsidRDefault="00A10655" w:rsidP="00A10655">
      <w:pPr>
        <w:pStyle w:val="ListParagraph"/>
        <w:numPr>
          <w:ilvl w:val="0"/>
          <w:numId w:val="1"/>
        </w:numPr>
        <w:jc w:val="both"/>
      </w:pPr>
      <w:r>
        <w:t>Remarks</w:t>
      </w:r>
    </w:p>
    <w:p w14:paraId="374C44A2" w14:textId="77777777" w:rsidR="00A10655" w:rsidRDefault="00A10655" w:rsidP="00A10655">
      <w:pPr>
        <w:jc w:val="both"/>
      </w:pPr>
      <w:r>
        <w:t>This basic information shows how many young men attended between 1899 to 1959; the area they came from; the work/status of parents, which was diverse; on page 109 of the register the following parent occupations are listed as, ‘Advertising contractor, dairyman, farmer, jeweller, sanitary supervisor, colliery engineer and butcher.’</w:t>
      </w:r>
      <w:r>
        <w:rPr>
          <w:rStyle w:val="FootnoteReference"/>
        </w:rPr>
        <w:footnoteReference w:id="12"/>
      </w:r>
      <w:r>
        <w:t xml:space="preserve"> ; education establishment prior to St. David’s College is also noted; scholarship details, academic results and qualifications including progression details.  An addition to the entries, marked in red ink compared to the black ink of other entry details, shows those young men killed in the First World War.  The 3</w:t>
      </w:r>
      <w:r w:rsidRPr="00F36F5E">
        <w:rPr>
          <w:vertAlign w:val="superscript"/>
        </w:rPr>
        <w:t>rd</w:t>
      </w:r>
      <w:r>
        <w:t xml:space="preserve"> entry of page 1 of the ‘Tutor’s register’ shows an ex-student, aged 38, killed in battle during 1916.  There are further entries showing the medals that were awarded during the war.  It cannot however be concluded that the register entries are complete and exhaustible.</w:t>
      </w:r>
    </w:p>
    <w:p w14:paraId="03F1D598" w14:textId="77777777" w:rsidR="00A10655" w:rsidRDefault="00A10655" w:rsidP="00A10655">
      <w:pPr>
        <w:ind w:firstLine="720"/>
        <w:jc w:val="both"/>
      </w:pPr>
      <w:r>
        <w:t>From the ‘Tutor’s Register’ it can be established that students were not purely from an upper-class or middle-class background and that ages varied; page 109 shows ages ranging from 18 to 28 years</w:t>
      </w:r>
      <w:r>
        <w:rPr>
          <w:rStyle w:val="FootnoteReference"/>
        </w:rPr>
        <w:footnoteReference w:id="13"/>
      </w:r>
      <w:r>
        <w:t xml:space="preserve">.  Already, at a glance, there is a valuable amount of information.  </w:t>
      </w:r>
    </w:p>
    <w:p w14:paraId="6F9BDA6B" w14:textId="77777777" w:rsidR="00A10655" w:rsidRPr="002F2AE3" w:rsidRDefault="00A10655" w:rsidP="00A10655">
      <w:pPr>
        <w:jc w:val="both"/>
        <w:rPr>
          <w:b/>
          <w:bCs/>
        </w:rPr>
      </w:pPr>
      <w:r>
        <w:tab/>
        <w:t xml:space="preserve">The document is all hand-written and it is to be assumed that the information is correct; however, there are examples throughout the entire document that do show error corrections and the </w:t>
      </w:r>
      <w:r>
        <w:lastRenderedPageBreak/>
        <w:t>A-Z index at the beginning of the register cannot be fully relied on to correspond with actual entries of the following pages.</w:t>
      </w:r>
    </w:p>
    <w:p w14:paraId="49172F89" w14:textId="77777777" w:rsidR="00A10655" w:rsidRDefault="00A10655" w:rsidP="00A10655">
      <w:pPr>
        <w:jc w:val="both"/>
      </w:pPr>
      <w:r>
        <w:tab/>
        <w:t xml:space="preserve">This document is a stepping-stone to discovering the effects of the first world war on St. David’s College.  Pages 100 to 129 show the impact of the war on numbers of students entering the college.  In 1912 and 1913 student numbers were 57 and 52 respectively but in 1914 the intake was down to 30 young men, and by 1918 there were as few as 10 young men entering the college.  The register reveals that in 1919, post war numbers rose, with 65 young men being newly enrolled.  </w:t>
      </w:r>
    </w:p>
    <w:p w14:paraId="19876D91" w14:textId="77777777" w:rsidR="00A10655" w:rsidRDefault="00A10655" w:rsidP="00A10655">
      <w:pPr>
        <w:jc w:val="both"/>
      </w:pPr>
      <w:r>
        <w:tab/>
        <w:t>The ‘Tutors Register’ has limited information, it does not show who enlisted and does not explain the increase in post war numbers, and so it is necessary to look at further documents from the time being studied; being 1914 to 1918.</w:t>
      </w:r>
    </w:p>
    <w:p w14:paraId="7B83227F" w14:textId="77777777" w:rsidR="00A10655" w:rsidRDefault="00A10655" w:rsidP="00A10655">
      <w:pPr>
        <w:ind w:firstLine="720"/>
        <w:jc w:val="both"/>
      </w:pPr>
      <w:r>
        <w:t>The St. David’s magazine of 1915 offers additional primary insight into the effects of the early part of the war on the Lampeter college.  The magazine lists those enlisted in 1914 and early 1915.  The ‘</w:t>
      </w:r>
      <w:proofErr w:type="spellStart"/>
      <w:r>
        <w:t>Varia</w:t>
      </w:r>
      <w:proofErr w:type="spellEnd"/>
      <w:r>
        <w:t>’</w:t>
      </w:r>
      <w:r>
        <w:rPr>
          <w:rStyle w:val="FootnoteReference"/>
        </w:rPr>
        <w:footnoteReference w:id="14"/>
      </w:r>
      <w:r>
        <w:t xml:space="preserve"> of the first page tells of the reduction in resident students, the expectation of more gentlemen going to war, and brings attention to the ‘List of Members of St. David’s College Who are Serving Their Country’.</w:t>
      </w:r>
      <w:r>
        <w:rPr>
          <w:rStyle w:val="FootnoteReference"/>
        </w:rPr>
        <w:footnoteReference w:id="15"/>
      </w:r>
      <w:r>
        <w:t xml:space="preserve">  This records the names 54 gentlemen enlisted at that time.  </w:t>
      </w:r>
    </w:p>
    <w:p w14:paraId="70CF65A2" w14:textId="77777777" w:rsidR="00A10655" w:rsidRDefault="00A10655" w:rsidP="00A10655">
      <w:pPr>
        <w:jc w:val="both"/>
      </w:pPr>
      <w:r>
        <w:tab/>
        <w:t>Student reduction influenced the college activities, and this is noted within the magazine articles.  The ‘Rugger’</w:t>
      </w:r>
      <w:r>
        <w:rPr>
          <w:rStyle w:val="FootnoteReference"/>
        </w:rPr>
        <w:footnoteReference w:id="16"/>
      </w:r>
      <w:r>
        <w:t xml:space="preserve"> society writes that ‘Rugby has been dropped’</w:t>
      </w:r>
      <w:r>
        <w:rPr>
          <w:rStyle w:val="FootnoteReference"/>
        </w:rPr>
        <w:footnoteReference w:id="17"/>
      </w:r>
      <w:r>
        <w:t xml:space="preserve"> there were not enough resident young men to make up a team; the hockey and soccer societies managed some matches but noted that the deficiency of players had made matches difficult.  The traditional St. David’s day Feast was cancelled as a matter of respect.  The ‘Musical Society’ noted ‘…war has cast a gloom on the college’, </w:t>
      </w:r>
      <w:r>
        <w:rPr>
          <w:rStyle w:val="FootnoteReference"/>
        </w:rPr>
        <w:footnoteReference w:id="18"/>
      </w:r>
      <w:r>
        <w:t xml:space="preserve"> this was partially addressed by a concert performance of ‘Trial by Jury’, the funds raised were for ‘the benefit of War Funds’.</w:t>
      </w:r>
      <w:r>
        <w:rPr>
          <w:rStyle w:val="FootnoteReference"/>
        </w:rPr>
        <w:footnoteReference w:id="19"/>
      </w:r>
      <w:r>
        <w:t xml:space="preserve">  Here can be seen that fundraising was prevalent within the college.</w:t>
      </w:r>
    </w:p>
    <w:p w14:paraId="5F7AEFA9" w14:textId="77777777" w:rsidR="00A10655" w:rsidRDefault="00A10655" w:rsidP="00A10655">
      <w:pPr>
        <w:jc w:val="both"/>
      </w:pPr>
      <w:r>
        <w:tab/>
        <w:t>The debating society throughout the term 1914 to 1915 was continuing.  Subjects debated varied and covered the questions of ‘clergy as combatants’, ‘Ireland and home rule’, and the ‘compulsory military training’</w:t>
      </w:r>
      <w:r>
        <w:rPr>
          <w:rStyle w:val="FootnoteReference"/>
        </w:rPr>
        <w:footnoteReference w:id="20"/>
      </w:r>
      <w:r>
        <w:t>.  On reading the results of each debate war and the subsequent issues were certainly being discussed and argued at an academic level.</w:t>
      </w:r>
    </w:p>
    <w:p w14:paraId="0A491152" w14:textId="77777777" w:rsidR="00A10655" w:rsidRDefault="00A10655" w:rsidP="00A10655">
      <w:pPr>
        <w:jc w:val="both"/>
      </w:pPr>
      <w:r>
        <w:tab/>
        <w:t>To put more context on these documents it is advantageous to also read the ‘The College Magazine-Memorial Number – 1920’</w:t>
      </w:r>
      <w:r>
        <w:rPr>
          <w:rStyle w:val="FootnoteReference"/>
        </w:rPr>
        <w:footnoteReference w:id="21"/>
      </w:r>
      <w:r>
        <w:t xml:space="preserve">  In this issue the names of the fallen during the war are seen in photo form.  No longer faceless names of a register.  33 in all lost to war.</w:t>
      </w:r>
    </w:p>
    <w:p w14:paraId="03348B02" w14:textId="2663F070" w:rsidR="00A10655" w:rsidRDefault="00A10655" w:rsidP="00A10655">
      <w:pPr>
        <w:ind w:firstLine="720"/>
        <w:jc w:val="both"/>
      </w:pPr>
      <w:r>
        <w:t xml:space="preserve">These documents are informative and invaluable to exploring the effect of war on the college.  They do not show the effects on the wider community of war and so only give a limited picture but nevertheless they give insight into how intake numbers fluctuated, and the sacrifice of those who did not return from conflict. </w:t>
      </w:r>
    </w:p>
    <w:p w14:paraId="630BCCC1" w14:textId="77777777" w:rsidR="00A10655" w:rsidRDefault="00A10655" w:rsidP="00A10655">
      <w:pPr>
        <w:ind w:firstLine="720"/>
        <w:jc w:val="both"/>
      </w:pPr>
    </w:p>
    <w:p w14:paraId="11C573D1" w14:textId="77777777" w:rsidR="00A10655" w:rsidRDefault="00A10655" w:rsidP="00A10655">
      <w:pPr>
        <w:jc w:val="both"/>
        <w:rPr>
          <w:b/>
          <w:bCs/>
        </w:rPr>
      </w:pPr>
      <w:r w:rsidRPr="00241E02">
        <w:rPr>
          <w:b/>
          <w:bCs/>
        </w:rPr>
        <w:t xml:space="preserve">References </w:t>
      </w:r>
    </w:p>
    <w:p w14:paraId="5EF8D339" w14:textId="77777777" w:rsidR="00A10655" w:rsidRDefault="00A10655" w:rsidP="00A10655">
      <w:pPr>
        <w:jc w:val="both"/>
      </w:pPr>
      <w:r>
        <w:t>St David’s College ‘</w:t>
      </w:r>
      <w:r w:rsidRPr="00CB1558">
        <w:rPr>
          <w:i/>
          <w:iCs/>
        </w:rPr>
        <w:t>Tutors Register 1899 to 1959</w:t>
      </w:r>
      <w:r>
        <w:t xml:space="preserve">’ (archive reference A/18, UWTSD Library and Archives, Lampeter). </w:t>
      </w:r>
    </w:p>
    <w:p w14:paraId="0ACC0854" w14:textId="77777777" w:rsidR="00A10655" w:rsidRDefault="00A10655" w:rsidP="00A10655">
      <w:pPr>
        <w:jc w:val="both"/>
      </w:pPr>
      <w:r w:rsidRPr="00894530">
        <w:rPr>
          <w:i/>
          <w:iCs/>
        </w:rPr>
        <w:t>St. David’s College and School Magazine</w:t>
      </w:r>
      <w:r>
        <w:t>, New Series, Vol. XL, No. 6, 1915. (UWTSD Library and Archives, Lampeter)</w:t>
      </w:r>
    </w:p>
    <w:p w14:paraId="50683117" w14:textId="6EC786D9" w:rsidR="00A10655" w:rsidRDefault="00A10655" w:rsidP="00A10655">
      <w:pPr>
        <w:jc w:val="both"/>
      </w:pPr>
      <w:r>
        <w:t xml:space="preserve">St. David’s College, </w:t>
      </w:r>
      <w:r w:rsidRPr="00B211D2">
        <w:rPr>
          <w:i/>
          <w:iCs/>
        </w:rPr>
        <w:t>The College Magazine – Memorial Number, 1920</w:t>
      </w:r>
      <w:r>
        <w:t xml:space="preserve">. New Series, Vol. </w:t>
      </w:r>
      <w:proofErr w:type="spellStart"/>
      <w:r>
        <w:t>XL</w:t>
      </w:r>
      <w:r>
        <w:t>l</w:t>
      </w:r>
      <w:proofErr w:type="spellEnd"/>
      <w:r>
        <w:t>. No.1. (UWTSD Library and Archives, Lampeter)</w:t>
      </w:r>
    </w:p>
    <w:p w14:paraId="440AE321" w14:textId="56BB00AC" w:rsidR="00A10655" w:rsidRDefault="00A10655" w:rsidP="00A10655">
      <w:pPr>
        <w:pStyle w:val="FootnoteText"/>
        <w:spacing w:line="276" w:lineRule="auto"/>
        <w:rPr>
          <w:sz w:val="22"/>
          <w:szCs w:val="22"/>
        </w:rPr>
      </w:pPr>
    </w:p>
    <w:p w14:paraId="5F15AA4A" w14:textId="7CACA8C5" w:rsidR="00A10655" w:rsidRPr="0089206C" w:rsidRDefault="00A10655" w:rsidP="00A10655">
      <w:pPr>
        <w:pStyle w:val="FootnoteText"/>
        <w:spacing w:line="276" w:lineRule="auto"/>
        <w:rPr>
          <w:sz w:val="22"/>
          <w:szCs w:val="22"/>
        </w:rPr>
      </w:pPr>
      <w:r>
        <w:rPr>
          <w:sz w:val="22"/>
          <w:szCs w:val="22"/>
        </w:rPr>
        <w:t>Portfolio Word Count (Excluding Titles and references) 2515.</w:t>
      </w:r>
      <w:bookmarkStart w:id="2" w:name="_GoBack"/>
      <w:bookmarkEnd w:id="2"/>
    </w:p>
    <w:sectPr w:rsidR="00A10655" w:rsidRPr="0089206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C522B4" w14:textId="77777777" w:rsidR="00A10655" w:rsidRDefault="00A10655" w:rsidP="00A10655">
      <w:pPr>
        <w:spacing w:after="0" w:line="240" w:lineRule="auto"/>
      </w:pPr>
      <w:r>
        <w:separator/>
      </w:r>
    </w:p>
  </w:endnote>
  <w:endnote w:type="continuationSeparator" w:id="0">
    <w:p w14:paraId="5F7DF42F" w14:textId="77777777" w:rsidR="00A10655" w:rsidRDefault="00A10655" w:rsidP="00A10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A9D85F" w14:textId="77777777" w:rsidR="00A10655" w:rsidRDefault="00A10655" w:rsidP="00A10655">
      <w:pPr>
        <w:spacing w:after="0" w:line="240" w:lineRule="auto"/>
      </w:pPr>
      <w:r>
        <w:separator/>
      </w:r>
    </w:p>
  </w:footnote>
  <w:footnote w:type="continuationSeparator" w:id="0">
    <w:p w14:paraId="792DB1F9" w14:textId="77777777" w:rsidR="00A10655" w:rsidRDefault="00A10655" w:rsidP="00A10655">
      <w:pPr>
        <w:spacing w:after="0" w:line="240" w:lineRule="auto"/>
      </w:pPr>
      <w:r>
        <w:continuationSeparator/>
      </w:r>
    </w:p>
  </w:footnote>
  <w:footnote w:id="1">
    <w:p w14:paraId="70B838A2" w14:textId="77777777" w:rsidR="00A10655" w:rsidRDefault="00A10655" w:rsidP="00A10655">
      <w:pPr>
        <w:pStyle w:val="FootnoteText"/>
      </w:pPr>
      <w:r>
        <w:rPr>
          <w:rStyle w:val="FootnoteReference"/>
        </w:rPr>
        <w:footnoteRef/>
      </w:r>
      <w:r>
        <w:t xml:space="preserve">  A. Woollacott, ‘Khaki Fever and its Control: Gender, Class, Age and Sexual Morality on the British Homefront in the First World War’, </w:t>
      </w:r>
      <w:r>
        <w:rPr>
          <w:i/>
          <w:iCs/>
        </w:rPr>
        <w:t xml:space="preserve">Journal of Contemporary History </w:t>
      </w:r>
      <w:r>
        <w:t>29 (2), (April 1994) pp.325-347</w:t>
      </w:r>
    </w:p>
    <w:p w14:paraId="6661A246" w14:textId="77777777" w:rsidR="00A10655" w:rsidRPr="003B5383" w:rsidRDefault="00A10655" w:rsidP="00A10655">
      <w:pPr>
        <w:pStyle w:val="FootnoteText"/>
      </w:pPr>
      <w:hyperlink r:id="rId1" w:history="1">
        <w:r w:rsidRPr="00E431E1">
          <w:rPr>
            <w:rStyle w:val="Hyperlink"/>
          </w:rPr>
          <w:t>http://www.jstor.org/stable/260893</w:t>
        </w:r>
      </w:hyperlink>
      <w:r>
        <w:t xml:space="preserve">  [Accessed: 1 November 2019]</w:t>
      </w:r>
    </w:p>
  </w:footnote>
  <w:footnote w:id="2">
    <w:p w14:paraId="4A9B4859" w14:textId="77777777" w:rsidR="00A10655" w:rsidRDefault="00A10655" w:rsidP="00A10655">
      <w:pPr>
        <w:pStyle w:val="FootnoteText"/>
      </w:pPr>
      <w:r>
        <w:rPr>
          <w:rStyle w:val="FootnoteReference"/>
        </w:rPr>
        <w:footnoteRef/>
      </w:r>
      <w:r>
        <w:t xml:space="preserve">  </w:t>
      </w:r>
      <w:hyperlink r:id="rId2" w:history="1">
        <w:r w:rsidRPr="00E431E1">
          <w:rPr>
            <w:rStyle w:val="Hyperlink"/>
          </w:rPr>
          <w:t>https://researchers.anu.edu.au/researchers/woollacott-a</w:t>
        </w:r>
      </w:hyperlink>
      <w:r>
        <w:t xml:space="preserve"> [Accessed: 1 November 2019]</w:t>
      </w:r>
    </w:p>
  </w:footnote>
  <w:footnote w:id="3">
    <w:p w14:paraId="42334DE8" w14:textId="77777777" w:rsidR="00A10655" w:rsidRPr="00AE7B8A" w:rsidRDefault="00A10655" w:rsidP="00A10655">
      <w:pPr>
        <w:pStyle w:val="FootnoteText"/>
      </w:pPr>
      <w:r>
        <w:rPr>
          <w:rStyle w:val="FootnoteReference"/>
        </w:rPr>
        <w:footnoteRef/>
      </w:r>
      <w:r>
        <w:t xml:space="preserve"> </w:t>
      </w:r>
      <w:bookmarkStart w:id="1" w:name="_Hlk24019680"/>
      <w:r>
        <w:t xml:space="preserve">G.J. DeGroot,1996 </w:t>
      </w:r>
      <w:r>
        <w:rPr>
          <w:i/>
          <w:iCs/>
        </w:rPr>
        <w:t xml:space="preserve">Blighty: British Society in the Era of the Great War </w:t>
      </w:r>
      <w:r>
        <w:t>(Harlow: Longman)</w:t>
      </w:r>
      <w:bookmarkEnd w:id="1"/>
    </w:p>
  </w:footnote>
  <w:footnote w:id="4">
    <w:p w14:paraId="45409360" w14:textId="77777777" w:rsidR="00A10655" w:rsidRPr="008408EA" w:rsidRDefault="00A10655" w:rsidP="00A10655">
      <w:pPr>
        <w:pStyle w:val="FootnoteText"/>
      </w:pPr>
      <w:r>
        <w:rPr>
          <w:rStyle w:val="FootnoteReference"/>
        </w:rPr>
        <w:footnoteRef/>
      </w:r>
      <w:r>
        <w:t xml:space="preserve"> A. Marwick, </w:t>
      </w:r>
      <w:r>
        <w:rPr>
          <w:i/>
          <w:iCs/>
        </w:rPr>
        <w:t xml:space="preserve">Women at War </w:t>
      </w:r>
      <w:r>
        <w:t xml:space="preserve">(Imperial War Museum: Fontana Paperbacks,2016) p.40  Marwick references the ‘National Council of Women, </w:t>
      </w:r>
      <w:r>
        <w:rPr>
          <w:i/>
          <w:iCs/>
        </w:rPr>
        <w:t xml:space="preserve">NCW Women Patrols 1914 to 1920 </w:t>
      </w:r>
      <w:proofErr w:type="spellStart"/>
      <w:r>
        <w:t>Wom</w:t>
      </w:r>
      <w:proofErr w:type="spellEnd"/>
      <w:r>
        <w:t>. Coll. Emp. 42.7 in discussing the National Union of Women Workers (NUWW) and their rival Women’s Police Volunteers, the formation of patrols and the need to control ‘behaviours’.</w:t>
      </w:r>
    </w:p>
  </w:footnote>
  <w:footnote w:id="5">
    <w:p w14:paraId="59629866" w14:textId="77777777" w:rsidR="00A10655" w:rsidRDefault="00A10655" w:rsidP="00A10655">
      <w:pPr>
        <w:pStyle w:val="FootnoteText"/>
      </w:pPr>
      <w:r>
        <w:rPr>
          <w:rStyle w:val="FootnoteReference"/>
        </w:rPr>
        <w:footnoteRef/>
      </w:r>
      <w:r>
        <w:t xml:space="preserve"> Woollacott, </w:t>
      </w:r>
      <w:r w:rsidRPr="00EE708E">
        <w:rPr>
          <w:i/>
          <w:iCs/>
        </w:rPr>
        <w:t>Khaki Fever</w:t>
      </w:r>
      <w:r>
        <w:t>, p.325</w:t>
      </w:r>
    </w:p>
  </w:footnote>
  <w:footnote w:id="6">
    <w:p w14:paraId="367D68AE" w14:textId="77777777" w:rsidR="00A10655" w:rsidRDefault="00A10655" w:rsidP="00A10655">
      <w:pPr>
        <w:pStyle w:val="FootnoteText"/>
      </w:pPr>
      <w:r>
        <w:rPr>
          <w:rStyle w:val="FootnoteReference"/>
        </w:rPr>
        <w:footnoteRef/>
      </w:r>
      <w:r>
        <w:t xml:space="preserve"> Ibid Woollacott, p.325</w:t>
      </w:r>
    </w:p>
  </w:footnote>
  <w:footnote w:id="7">
    <w:p w14:paraId="0425BD12" w14:textId="77777777" w:rsidR="00A10655" w:rsidRDefault="00A10655" w:rsidP="00A10655">
      <w:pPr>
        <w:pStyle w:val="FootnoteText"/>
      </w:pPr>
      <w:r>
        <w:rPr>
          <w:rStyle w:val="FootnoteReference"/>
        </w:rPr>
        <w:footnoteRef/>
      </w:r>
      <w:r>
        <w:t xml:space="preserve">  Woollacott, A. p.335-336</w:t>
      </w:r>
    </w:p>
  </w:footnote>
  <w:footnote w:id="8">
    <w:p w14:paraId="36D3178F" w14:textId="77777777" w:rsidR="00A10655" w:rsidRDefault="00A10655" w:rsidP="00A10655">
      <w:pPr>
        <w:pStyle w:val="FootnoteText"/>
      </w:pPr>
      <w:r>
        <w:rPr>
          <w:rStyle w:val="FootnoteReference"/>
        </w:rPr>
        <w:footnoteRef/>
      </w:r>
      <w:r>
        <w:t xml:space="preserve">  Woollacott, A. p.326</w:t>
      </w:r>
    </w:p>
  </w:footnote>
  <w:footnote w:id="9">
    <w:p w14:paraId="5B3B8F61" w14:textId="77777777" w:rsidR="00A10655" w:rsidRDefault="00A10655" w:rsidP="00A10655">
      <w:pPr>
        <w:pStyle w:val="FootnoteText"/>
      </w:pPr>
      <w:r>
        <w:rPr>
          <w:rStyle w:val="FootnoteReference"/>
        </w:rPr>
        <w:footnoteRef/>
      </w:r>
      <w:r>
        <w:t xml:space="preserve">  Woollacott, A. p. 326 </w:t>
      </w:r>
    </w:p>
  </w:footnote>
  <w:footnote w:id="10">
    <w:p w14:paraId="16F8728E" w14:textId="77777777" w:rsidR="00A10655" w:rsidRDefault="00A10655" w:rsidP="00A10655">
      <w:pPr>
        <w:pStyle w:val="FootnoteText"/>
      </w:pPr>
      <w:r>
        <w:rPr>
          <w:rStyle w:val="FootnoteReference"/>
        </w:rPr>
        <w:footnoteRef/>
      </w:r>
      <w:r>
        <w:t xml:space="preserve">  Woollacott, A. p.332</w:t>
      </w:r>
    </w:p>
  </w:footnote>
  <w:footnote w:id="11">
    <w:p w14:paraId="544F5DCB" w14:textId="77777777" w:rsidR="00A10655" w:rsidRPr="00FC3817" w:rsidRDefault="00A10655" w:rsidP="00A10655">
      <w:pPr>
        <w:pStyle w:val="FootnoteText"/>
      </w:pPr>
      <w:r>
        <w:rPr>
          <w:rStyle w:val="FootnoteReference"/>
        </w:rPr>
        <w:footnoteRef/>
      </w:r>
      <w:r>
        <w:t xml:space="preserve">  Woollacott, </w:t>
      </w:r>
      <w:r w:rsidRPr="0069053F">
        <w:rPr>
          <w:i/>
          <w:iCs/>
        </w:rPr>
        <w:t>‘Khaki fever</w:t>
      </w:r>
      <w:r>
        <w:t>’ p.334-335.  Also, Marwick, ‘</w:t>
      </w:r>
      <w:r w:rsidRPr="0069053F">
        <w:rPr>
          <w:i/>
          <w:iCs/>
        </w:rPr>
        <w:t>Women at War’</w:t>
      </w:r>
      <w:r>
        <w:rPr>
          <w:i/>
          <w:iCs/>
        </w:rPr>
        <w:t xml:space="preserve"> </w:t>
      </w:r>
      <w:r>
        <w:t xml:space="preserve">p.40 </w:t>
      </w:r>
    </w:p>
  </w:footnote>
  <w:footnote w:id="12">
    <w:p w14:paraId="03CE1508" w14:textId="77777777" w:rsidR="00A10655" w:rsidRDefault="00A10655" w:rsidP="00A10655">
      <w:pPr>
        <w:pStyle w:val="FootnoteText"/>
      </w:pPr>
      <w:r>
        <w:rPr>
          <w:rStyle w:val="FootnoteReference"/>
        </w:rPr>
        <w:footnoteRef/>
      </w:r>
      <w:r>
        <w:t xml:space="preserve">  St. David’s College ‘</w:t>
      </w:r>
      <w:r w:rsidRPr="001550C3">
        <w:rPr>
          <w:i/>
          <w:iCs/>
        </w:rPr>
        <w:t>Tutor’s Register 1889 to 1959</w:t>
      </w:r>
      <w:r>
        <w:t>’ p.109 (Lampeter library archives)</w:t>
      </w:r>
    </w:p>
  </w:footnote>
  <w:footnote w:id="13">
    <w:p w14:paraId="1409970C" w14:textId="77777777" w:rsidR="00A10655" w:rsidRDefault="00A10655" w:rsidP="00A10655">
      <w:pPr>
        <w:pStyle w:val="FootnoteText"/>
      </w:pPr>
      <w:r>
        <w:rPr>
          <w:rStyle w:val="FootnoteReference"/>
        </w:rPr>
        <w:footnoteRef/>
      </w:r>
      <w:r>
        <w:t xml:space="preserve">  Ibid. ‘Tutor’s Register, 1899 to 1959’ p.109</w:t>
      </w:r>
    </w:p>
  </w:footnote>
  <w:footnote w:id="14">
    <w:p w14:paraId="4EF4513E" w14:textId="77777777" w:rsidR="00A10655" w:rsidRDefault="00A10655" w:rsidP="00A10655">
      <w:pPr>
        <w:pStyle w:val="FootnoteText"/>
      </w:pPr>
      <w:r>
        <w:rPr>
          <w:rStyle w:val="FootnoteReference"/>
        </w:rPr>
        <w:footnoteRef/>
      </w:r>
      <w:r>
        <w:t xml:space="preserve">  St. David’s College and School Magazine Vol. 40, no.6 1915 page 1 ‘</w:t>
      </w:r>
      <w:proofErr w:type="spellStart"/>
      <w:r>
        <w:t>Varia</w:t>
      </w:r>
      <w:proofErr w:type="spellEnd"/>
      <w:r>
        <w:t>’</w:t>
      </w:r>
    </w:p>
  </w:footnote>
  <w:footnote w:id="15">
    <w:p w14:paraId="0DDDA5F9" w14:textId="77777777" w:rsidR="00A10655" w:rsidRDefault="00A10655" w:rsidP="00A10655">
      <w:pPr>
        <w:pStyle w:val="FootnoteText"/>
      </w:pPr>
      <w:r>
        <w:rPr>
          <w:rStyle w:val="FootnoteReference"/>
        </w:rPr>
        <w:footnoteRef/>
      </w:r>
      <w:r>
        <w:t xml:space="preserve">  St. David’s College and School Magazine p.185-186.  On these pages are the 54 names and regiments of college gentlemen that had so far enlisted.</w:t>
      </w:r>
    </w:p>
  </w:footnote>
  <w:footnote w:id="16">
    <w:p w14:paraId="0B34EAE5" w14:textId="77777777" w:rsidR="00A10655" w:rsidRDefault="00A10655" w:rsidP="00A10655">
      <w:pPr>
        <w:pStyle w:val="FootnoteText"/>
      </w:pPr>
      <w:r>
        <w:rPr>
          <w:rStyle w:val="FootnoteReference"/>
        </w:rPr>
        <w:footnoteRef/>
      </w:r>
      <w:r>
        <w:t xml:space="preserve">  St. David’s College and School Magazine, p.200</w:t>
      </w:r>
    </w:p>
  </w:footnote>
  <w:footnote w:id="17">
    <w:p w14:paraId="082417D4" w14:textId="77777777" w:rsidR="00A10655" w:rsidRDefault="00A10655" w:rsidP="00A10655">
      <w:pPr>
        <w:pStyle w:val="FootnoteText"/>
      </w:pPr>
      <w:r>
        <w:rPr>
          <w:rStyle w:val="FootnoteReference"/>
        </w:rPr>
        <w:footnoteRef/>
      </w:r>
      <w:r>
        <w:t xml:space="preserve">  Ibid. St. David’s College and School Magazine, p.200</w:t>
      </w:r>
    </w:p>
  </w:footnote>
  <w:footnote w:id="18">
    <w:p w14:paraId="6BB2E22D" w14:textId="77777777" w:rsidR="00A10655" w:rsidRDefault="00A10655" w:rsidP="00A10655">
      <w:pPr>
        <w:pStyle w:val="FootnoteText"/>
      </w:pPr>
      <w:r>
        <w:rPr>
          <w:rStyle w:val="FootnoteReference"/>
        </w:rPr>
        <w:footnoteRef/>
      </w:r>
      <w:r>
        <w:t xml:space="preserve">  St. David’s College and School Magazine, p.201.  An account of the ‘Musical Society’ concert performance.</w:t>
      </w:r>
    </w:p>
  </w:footnote>
  <w:footnote w:id="19">
    <w:p w14:paraId="489BC119" w14:textId="77777777" w:rsidR="00A10655" w:rsidRDefault="00A10655" w:rsidP="00A10655">
      <w:pPr>
        <w:pStyle w:val="FootnoteText"/>
      </w:pPr>
      <w:r>
        <w:rPr>
          <w:rStyle w:val="FootnoteReference"/>
        </w:rPr>
        <w:footnoteRef/>
      </w:r>
      <w:r>
        <w:t xml:space="preserve">  Ibid. St. David’s College and School Magazine, p.201.  </w:t>
      </w:r>
    </w:p>
  </w:footnote>
  <w:footnote w:id="20">
    <w:p w14:paraId="1A4BB387" w14:textId="77777777" w:rsidR="00A10655" w:rsidRDefault="00A10655" w:rsidP="00A10655">
      <w:pPr>
        <w:pStyle w:val="FootnoteText"/>
      </w:pPr>
      <w:r>
        <w:rPr>
          <w:rStyle w:val="FootnoteReference"/>
        </w:rPr>
        <w:footnoteRef/>
      </w:r>
      <w:r>
        <w:t xml:space="preserve">  St. David’s Magazine, p.195-196</w:t>
      </w:r>
    </w:p>
  </w:footnote>
  <w:footnote w:id="21">
    <w:p w14:paraId="6532F48B" w14:textId="3E83E916" w:rsidR="00A10655" w:rsidRDefault="00A10655" w:rsidP="00A10655">
      <w:pPr>
        <w:pStyle w:val="FootnoteText"/>
      </w:pPr>
      <w:r>
        <w:rPr>
          <w:rStyle w:val="FootnoteReference"/>
        </w:rPr>
        <w:footnoteRef/>
      </w:r>
      <w:r>
        <w:t xml:space="preserve"> St David’s College, Lampeter. </w:t>
      </w:r>
      <w:r w:rsidRPr="002F7544">
        <w:rPr>
          <w:i/>
          <w:iCs/>
        </w:rPr>
        <w:t>The College Magazine – Memorial Number</w:t>
      </w:r>
      <w:r>
        <w:t xml:space="preserve">  </w:t>
      </w:r>
      <w:proofErr w:type="spellStart"/>
      <w:r>
        <w:t>vol.X</w:t>
      </w:r>
      <w:r>
        <w:t>L</w:t>
      </w:r>
      <w:r>
        <w:t>l</w:t>
      </w:r>
      <w:proofErr w:type="spellEnd"/>
      <w:r>
        <w:t xml:space="preserve"> No.1 (located in the UWTSD library archives)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C62AB" w14:textId="77777777" w:rsidR="007F093F" w:rsidRDefault="00A10655">
    <w:pPr>
      <w:pStyle w:val="Header"/>
    </w:pPr>
    <w:r>
      <w:t>Susan Fullwood - 1805948</w:t>
    </w:r>
  </w:p>
  <w:p w14:paraId="17C222B9" w14:textId="77777777" w:rsidR="007F093F" w:rsidRDefault="00A106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CB696D"/>
    <w:multiLevelType w:val="hybridMultilevel"/>
    <w:tmpl w:val="028E6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655"/>
    <w:rsid w:val="000A421A"/>
    <w:rsid w:val="00A10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E282C"/>
  <w15:chartTrackingRefBased/>
  <w15:docId w15:val="{2E5F4A4B-D032-4811-A6EB-568B05FA3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106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10655"/>
    <w:pPr>
      <w:spacing w:after="0" w:line="240" w:lineRule="auto"/>
    </w:pPr>
    <w:rPr>
      <w:sz w:val="20"/>
      <w:szCs w:val="20"/>
    </w:rPr>
  </w:style>
  <w:style w:type="character" w:customStyle="1" w:styleId="FootnoteTextChar">
    <w:name w:val="Footnote Text Char"/>
    <w:basedOn w:val="DefaultParagraphFont"/>
    <w:link w:val="FootnoteText"/>
    <w:uiPriority w:val="99"/>
    <w:rsid w:val="00A10655"/>
    <w:rPr>
      <w:sz w:val="20"/>
      <w:szCs w:val="20"/>
    </w:rPr>
  </w:style>
  <w:style w:type="character" w:styleId="FootnoteReference">
    <w:name w:val="footnote reference"/>
    <w:basedOn w:val="DefaultParagraphFont"/>
    <w:uiPriority w:val="99"/>
    <w:semiHidden/>
    <w:unhideWhenUsed/>
    <w:rsid w:val="00A10655"/>
    <w:rPr>
      <w:vertAlign w:val="superscript"/>
    </w:rPr>
  </w:style>
  <w:style w:type="character" w:styleId="Hyperlink">
    <w:name w:val="Hyperlink"/>
    <w:basedOn w:val="DefaultParagraphFont"/>
    <w:uiPriority w:val="99"/>
    <w:unhideWhenUsed/>
    <w:rsid w:val="00A10655"/>
    <w:rPr>
      <w:color w:val="0563C1" w:themeColor="hyperlink"/>
      <w:u w:val="single"/>
    </w:rPr>
  </w:style>
  <w:style w:type="paragraph" w:styleId="Header">
    <w:name w:val="header"/>
    <w:basedOn w:val="Normal"/>
    <w:link w:val="HeaderChar"/>
    <w:uiPriority w:val="99"/>
    <w:unhideWhenUsed/>
    <w:rsid w:val="00A106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655"/>
  </w:style>
  <w:style w:type="paragraph" w:styleId="ListParagraph">
    <w:name w:val="List Paragraph"/>
    <w:basedOn w:val="Normal"/>
    <w:uiPriority w:val="34"/>
    <w:qFormat/>
    <w:rsid w:val="00A106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searchers.anu.edu.au/researchers/woollacott-a" TargetMode="External"/><Relationship Id="rId5" Type="http://schemas.openxmlformats.org/officeDocument/2006/relationships/styles" Target="styles.xml"/><Relationship Id="rId10" Type="http://schemas.openxmlformats.org/officeDocument/2006/relationships/hyperlink" Target="http://www.jstor.org/stable/26089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researchers.anu.edu.au/researchers/woollacott-a" TargetMode="External"/><Relationship Id="rId1" Type="http://schemas.openxmlformats.org/officeDocument/2006/relationships/hyperlink" Target="http://www.jstor.org/stable/2608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8" ma:contentTypeDescription="Create a new document." ma:contentTypeScope="" ma:versionID="983eafa6d2434b538e693ff15bb132a3">
  <xsd:schema xmlns:xsd="http://www.w3.org/2001/XMLSchema" xmlns:xs="http://www.w3.org/2001/XMLSchema" xmlns:p="http://schemas.microsoft.com/office/2006/metadata/properties" xmlns:ns3="ada16477-4a9e-4f32-8a2f-23c8ffb0c900" targetNamespace="http://schemas.microsoft.com/office/2006/metadata/properties" ma:root="true" ma:fieldsID="e0b2db8f1e998f776305c98536182e36"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1B4AEC-5FDD-4000-A2E9-FE6863B9ED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D8702-9AEA-4C0D-9B3A-31D5A75AC13C}">
  <ds:schemaRefs>
    <ds:schemaRef ds:uri="http://schemas.microsoft.com/sharepoint/v3/contenttype/forms"/>
  </ds:schemaRefs>
</ds:datastoreItem>
</file>

<file path=customXml/itemProps3.xml><?xml version="1.0" encoding="utf-8"?>
<ds:datastoreItem xmlns:ds="http://schemas.openxmlformats.org/officeDocument/2006/customXml" ds:itemID="{EA12DDDF-5FC1-4639-ACFA-A8E474D3A0F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da16477-4a9e-4f32-8a2f-23c8ffb0c900"/>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2313</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fullwood</dc:creator>
  <cp:keywords/>
  <dc:description/>
  <cp:lastModifiedBy>susan fullwood</cp:lastModifiedBy>
  <cp:revision>1</cp:revision>
  <dcterms:created xsi:type="dcterms:W3CDTF">2019-11-15T09:24:00Z</dcterms:created>
  <dcterms:modified xsi:type="dcterms:W3CDTF">2019-11-15T09:34:00Z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