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F2B21" w:rsidP="5141BB62" w:rsidRDefault="23DA5604" w14:paraId="34F54194" w14:textId="2206E119">
      <w:pPr>
        <w:spacing w:after="0" w:line="360" w:lineRule="auto"/>
        <w:jc w:val="center"/>
        <w:rPr>
          <w:rFonts w:ascii="Arial" w:hAnsi="Arial" w:eastAsia="Arial" w:cs="Arial"/>
          <w:color w:val="000000" w:themeColor="text1"/>
          <w:sz w:val="32"/>
          <w:szCs w:val="32"/>
        </w:rPr>
      </w:pPr>
      <w:r w:rsidR="3378AD52">
        <w:drawing>
          <wp:inline wp14:editId="4D06E044" wp14:anchorId="590B8B5F">
            <wp:extent cx="5829300" cy="2619375"/>
            <wp:effectExtent l="0" t="0" r="0" b="0"/>
            <wp:docPr id="176839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839910" name="Picture 176839910"/>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5829300" cy="2619375"/>
                    </a:xfrm>
                    <a:prstGeom prst="rect">
                      <a:avLst/>
                    </a:prstGeom>
                  </pic:spPr>
                </pic:pic>
              </a:graphicData>
            </a:graphic>
          </wp:inline>
        </w:drawing>
      </w:r>
      <w:r w:rsidRPr="5141BB62" w:rsidR="37EA544E">
        <w:rPr>
          <w:rFonts w:ascii="Arial" w:hAnsi="Arial" w:eastAsia="Arial" w:cs="Arial"/>
          <w:b w:val="1"/>
          <w:bCs w:val="1"/>
          <w:sz w:val="32"/>
          <w:szCs w:val="32"/>
        </w:rPr>
        <w:t>Impact of Centralized Leadership in Medical Malpractice: The Lewis Blackman Case</w:t>
      </w:r>
    </w:p>
    <w:p w:rsidR="001F2B21" w:rsidP="5141BB62" w:rsidRDefault="00096081" w14:paraId="145648DE" w14:textId="1E6ED302">
      <w:pPr>
        <w:spacing w:after="0" w:line="360" w:lineRule="auto"/>
        <w:rPr>
          <w:rFonts w:ascii="Arial" w:hAnsi="Arial" w:eastAsia="Arial" w:cs="Arial"/>
          <w:color w:val="000000" w:themeColor="text1"/>
          <w:sz w:val="32"/>
          <w:szCs w:val="32"/>
        </w:rPr>
      </w:pPr>
      <w:r>
        <w:br/>
      </w:r>
      <w:r w:rsidRPr="5141BB62" w:rsidR="4BDFEF68">
        <w:rPr>
          <w:rFonts w:ascii="Arial" w:hAnsi="Arial" w:eastAsia="Arial" w:cs="Arial"/>
          <w:b w:val="1"/>
          <w:bCs w:val="1"/>
          <w:color w:val="000000" w:themeColor="text1" w:themeTint="FF" w:themeShade="FF"/>
          <w:sz w:val="32"/>
          <w:szCs w:val="32"/>
          <w:lang w:val="en-IN"/>
        </w:rPr>
        <w:t xml:space="preserve">Student Name: </w:t>
      </w:r>
      <w:r w:rsidRPr="5141BB62" w:rsidR="4BDFEF68">
        <w:rPr>
          <w:rFonts w:ascii="Arial" w:hAnsi="Arial" w:eastAsia="Arial" w:cs="Arial"/>
          <w:color w:val="000000" w:themeColor="text1" w:themeTint="FF" w:themeShade="FF"/>
          <w:sz w:val="32"/>
          <w:szCs w:val="32"/>
          <w:lang w:val="en-IN"/>
        </w:rPr>
        <w:t>Abdullah Ismail Nana</w:t>
      </w:r>
    </w:p>
    <w:p w:rsidR="001F2B21" w:rsidP="5141BB62" w:rsidRDefault="4431E308" w14:paraId="2BD4C946" w14:textId="1C805866">
      <w:pPr>
        <w:spacing w:after="0" w:line="360" w:lineRule="auto"/>
        <w:rPr>
          <w:rFonts w:ascii="Arial" w:hAnsi="Arial" w:eastAsia="Arial" w:cs="Arial"/>
          <w:color w:val="000000" w:themeColor="text1"/>
          <w:sz w:val="32"/>
          <w:szCs w:val="32"/>
        </w:rPr>
      </w:pPr>
      <w:r w:rsidRPr="5141BB62" w:rsidR="4BDFEF68">
        <w:rPr>
          <w:rFonts w:ascii="Arial" w:hAnsi="Arial" w:eastAsia="Arial" w:cs="Arial"/>
          <w:b w:val="1"/>
          <w:bCs w:val="1"/>
          <w:color w:val="000000" w:themeColor="text1" w:themeTint="FF" w:themeShade="FF"/>
          <w:sz w:val="32"/>
          <w:szCs w:val="32"/>
          <w:lang w:val="en-IN"/>
        </w:rPr>
        <w:t>Student ID:</w:t>
      </w:r>
      <w:r w:rsidRPr="5141BB62" w:rsidR="4BDFEF68">
        <w:rPr>
          <w:rFonts w:ascii="Arial" w:hAnsi="Arial" w:eastAsia="Arial" w:cs="Arial"/>
          <w:color w:val="000000" w:themeColor="text1" w:themeTint="FF" w:themeShade="FF"/>
          <w:sz w:val="32"/>
          <w:szCs w:val="32"/>
          <w:lang w:val="en-IN"/>
        </w:rPr>
        <w:t xml:space="preserve"> 2526419</w:t>
      </w:r>
    </w:p>
    <w:p w:rsidR="001F2B21" w:rsidP="5141BB62" w:rsidRDefault="4431E308" w14:paraId="4ADCB671" w14:textId="510417ED">
      <w:pPr>
        <w:spacing w:after="0" w:line="360" w:lineRule="auto"/>
        <w:rPr>
          <w:rFonts w:ascii="Arial" w:hAnsi="Arial" w:eastAsia="Arial" w:cs="Arial"/>
          <w:color w:val="000000" w:themeColor="text1"/>
          <w:sz w:val="32"/>
          <w:szCs w:val="32"/>
        </w:rPr>
      </w:pPr>
      <w:r w:rsidRPr="5141BB62" w:rsidR="4BDFEF68">
        <w:rPr>
          <w:rFonts w:ascii="Arial" w:hAnsi="Arial" w:eastAsia="Arial" w:cs="Arial"/>
          <w:b w:val="1"/>
          <w:bCs w:val="1"/>
          <w:color w:val="000000" w:themeColor="text1" w:themeTint="FF" w:themeShade="FF"/>
          <w:sz w:val="32"/>
          <w:szCs w:val="32"/>
          <w:lang w:val="en-IN"/>
        </w:rPr>
        <w:t xml:space="preserve">Module Name: </w:t>
      </w:r>
      <w:r w:rsidRPr="5141BB62" w:rsidR="4BDFEF68">
        <w:rPr>
          <w:rFonts w:ascii="Arial" w:hAnsi="Arial" w:eastAsia="Arial" w:cs="Arial"/>
          <w:color w:val="000000" w:themeColor="text1" w:themeTint="FF" w:themeShade="FF"/>
          <w:sz w:val="32"/>
          <w:szCs w:val="32"/>
          <w:lang w:val="en-IN"/>
        </w:rPr>
        <w:t>Health Care System Organisation and Leadership (LCHS7002)</w:t>
      </w:r>
    </w:p>
    <w:p w:rsidR="001F2B21" w:rsidP="5141BB62" w:rsidRDefault="4431E308" w14:paraId="57C12F4B" w14:textId="0DFEAD6A">
      <w:pPr>
        <w:spacing w:after="0" w:line="360" w:lineRule="auto"/>
        <w:rPr>
          <w:rFonts w:ascii="Arial" w:hAnsi="Arial" w:eastAsia="Arial" w:cs="Arial"/>
          <w:color w:val="000000" w:themeColor="text1"/>
          <w:sz w:val="32"/>
          <w:szCs w:val="32"/>
        </w:rPr>
      </w:pPr>
      <w:r w:rsidRPr="5141BB62" w:rsidR="4BDFEF68">
        <w:rPr>
          <w:rFonts w:ascii="Arial" w:hAnsi="Arial" w:eastAsia="Arial" w:cs="Arial"/>
          <w:b w:val="1"/>
          <w:bCs w:val="1"/>
          <w:color w:val="000000" w:themeColor="text1" w:themeTint="FF" w:themeShade="FF"/>
          <w:sz w:val="32"/>
          <w:szCs w:val="32"/>
          <w:lang w:val="en-IN"/>
        </w:rPr>
        <w:t>Assignment Title:</w:t>
      </w:r>
      <w:r w:rsidRPr="5141BB62" w:rsidR="4BDFEF68">
        <w:rPr>
          <w:rFonts w:ascii="Arial" w:hAnsi="Arial" w:eastAsia="Arial" w:cs="Arial"/>
          <w:color w:val="000000" w:themeColor="text1" w:themeTint="FF" w:themeShade="FF"/>
          <w:sz w:val="32"/>
          <w:szCs w:val="32"/>
          <w:lang w:val="en-IN"/>
        </w:rPr>
        <w:t xml:space="preserve"> </w:t>
      </w:r>
      <w:r w:rsidRPr="5141BB62" w:rsidR="4BDFEF68">
        <w:rPr>
          <w:rFonts w:ascii="Arial" w:hAnsi="Arial" w:eastAsia="Arial" w:cs="Arial"/>
          <w:color w:val="000000" w:themeColor="text1" w:themeTint="FF" w:themeShade="FF"/>
          <w:sz w:val="32"/>
          <w:szCs w:val="32"/>
        </w:rPr>
        <w:t>Impact of Centralized Leadership in Medical Malpractice: The Lewis Blackman Case</w:t>
      </w:r>
    </w:p>
    <w:p w:rsidR="001F2B21" w:rsidP="5141BB62" w:rsidRDefault="4431E308" w14:paraId="0E6A2A88" w14:textId="07D38393">
      <w:pPr>
        <w:spacing w:after="0" w:line="360" w:lineRule="auto"/>
        <w:rPr>
          <w:rFonts w:ascii="Arial" w:hAnsi="Arial" w:eastAsia="Arial" w:cs="Arial"/>
          <w:color w:val="000000" w:themeColor="text1"/>
          <w:sz w:val="32"/>
          <w:szCs w:val="32"/>
          <w:lang w:val="en-IN"/>
        </w:rPr>
      </w:pPr>
      <w:r w:rsidRPr="5141BB62" w:rsidR="4BDFEF68">
        <w:rPr>
          <w:rFonts w:ascii="Arial" w:hAnsi="Arial" w:eastAsia="Arial" w:cs="Arial"/>
          <w:b w:val="1"/>
          <w:bCs w:val="1"/>
          <w:color w:val="000000" w:themeColor="text1" w:themeTint="FF" w:themeShade="FF"/>
          <w:sz w:val="32"/>
          <w:szCs w:val="32"/>
          <w:lang w:val="en-IN"/>
        </w:rPr>
        <w:t>Programme/Course:</w:t>
      </w:r>
      <w:r w:rsidRPr="5141BB62" w:rsidR="4BDFEF68">
        <w:rPr>
          <w:rFonts w:ascii="Arial" w:hAnsi="Arial" w:eastAsia="Arial" w:cs="Arial"/>
          <w:color w:val="000000" w:themeColor="text1" w:themeTint="FF" w:themeShade="FF"/>
          <w:sz w:val="32"/>
          <w:szCs w:val="32"/>
          <w:lang w:val="en-IN"/>
        </w:rPr>
        <w:t xml:space="preserve"> </w:t>
      </w:r>
      <w:r w:rsidRPr="5141BB62" w:rsidR="4BDFEF68">
        <w:rPr>
          <w:rFonts w:ascii="Arial" w:hAnsi="Arial" w:eastAsia="Arial" w:cs="Arial"/>
          <w:color w:val="000000" w:themeColor="text1" w:themeTint="FF" w:themeShade="FF"/>
          <w:sz w:val="32"/>
          <w:szCs w:val="32"/>
          <w:lang w:val="en-IN"/>
        </w:rPr>
        <w:t>Msc</w:t>
      </w:r>
      <w:r w:rsidRPr="5141BB62" w:rsidR="4BDFEF68">
        <w:rPr>
          <w:rFonts w:ascii="Arial" w:hAnsi="Arial" w:eastAsia="Arial" w:cs="Arial"/>
          <w:color w:val="000000" w:themeColor="text1" w:themeTint="FF" w:themeShade="FF"/>
          <w:sz w:val="32"/>
          <w:szCs w:val="32"/>
          <w:lang w:val="en-IN"/>
        </w:rPr>
        <w:t xml:space="preserve"> </w:t>
      </w:r>
      <w:r w:rsidRPr="5141BB62" w:rsidR="4BDFEF68">
        <w:rPr>
          <w:rFonts w:ascii="Arial" w:hAnsi="Arial" w:eastAsia="Arial" w:cs="Arial"/>
          <w:color w:val="000000" w:themeColor="text1" w:themeTint="FF" w:themeShade="FF"/>
          <w:sz w:val="32"/>
          <w:szCs w:val="32"/>
          <w:lang w:val="en-IN"/>
        </w:rPr>
        <w:t>In</w:t>
      </w:r>
      <w:r w:rsidRPr="5141BB62" w:rsidR="4BDFEF68">
        <w:rPr>
          <w:rFonts w:ascii="Arial" w:hAnsi="Arial" w:eastAsia="Arial" w:cs="Arial"/>
          <w:color w:val="000000" w:themeColor="text1" w:themeTint="FF" w:themeShade="FF"/>
          <w:sz w:val="32"/>
          <w:szCs w:val="32"/>
          <w:lang w:val="en-IN"/>
        </w:rPr>
        <w:t xml:space="preserve"> Public Health </w:t>
      </w:r>
      <w:r w:rsidRPr="5141BB62" w:rsidR="4BDFEF68">
        <w:rPr>
          <w:rFonts w:ascii="Arial" w:hAnsi="Arial" w:eastAsia="Arial" w:cs="Arial"/>
          <w:color w:val="000000" w:themeColor="text1" w:themeTint="FF" w:themeShade="FF"/>
          <w:sz w:val="32"/>
          <w:szCs w:val="32"/>
          <w:lang w:val="en-IN"/>
        </w:rPr>
        <w:t>And</w:t>
      </w:r>
      <w:r w:rsidRPr="5141BB62" w:rsidR="4BDFEF68">
        <w:rPr>
          <w:rFonts w:ascii="Arial" w:hAnsi="Arial" w:eastAsia="Arial" w:cs="Arial"/>
          <w:color w:val="000000" w:themeColor="text1" w:themeTint="FF" w:themeShade="FF"/>
          <w:sz w:val="32"/>
          <w:szCs w:val="32"/>
          <w:lang w:val="en-IN"/>
        </w:rPr>
        <w:t xml:space="preserve"> Social Care </w:t>
      </w:r>
      <w:r w:rsidRPr="5141BB62" w:rsidR="4BDFEF68">
        <w:rPr>
          <w:rFonts w:ascii="Arial" w:hAnsi="Arial" w:eastAsia="Arial" w:cs="Arial"/>
          <w:color w:val="000000" w:themeColor="text1" w:themeTint="FF" w:themeShade="FF"/>
          <w:sz w:val="32"/>
          <w:szCs w:val="32"/>
          <w:lang w:val="en-IN"/>
        </w:rPr>
        <w:t>In</w:t>
      </w:r>
      <w:r w:rsidRPr="5141BB62" w:rsidR="4BDFEF68">
        <w:rPr>
          <w:rFonts w:ascii="Arial" w:hAnsi="Arial" w:eastAsia="Arial" w:cs="Arial"/>
          <w:color w:val="000000" w:themeColor="text1" w:themeTint="FF" w:themeShade="FF"/>
          <w:sz w:val="32"/>
          <w:szCs w:val="32"/>
          <w:lang w:val="en-IN"/>
        </w:rPr>
        <w:t xml:space="preserve"> Practice</w:t>
      </w:r>
    </w:p>
    <w:p w:rsidR="001F2B21" w:rsidP="5141BB62" w:rsidRDefault="4431E308" w14:paraId="780523F0" w14:textId="26FB2BF4">
      <w:pPr>
        <w:spacing w:after="0" w:line="360" w:lineRule="auto"/>
        <w:rPr>
          <w:rFonts w:ascii="Arial" w:hAnsi="Arial" w:eastAsia="Arial" w:cs="Arial"/>
          <w:color w:val="000000" w:themeColor="text1"/>
          <w:sz w:val="32"/>
          <w:szCs w:val="32"/>
        </w:rPr>
      </w:pPr>
      <w:r w:rsidRPr="5141BB62" w:rsidR="4BDFEF68">
        <w:rPr>
          <w:rFonts w:ascii="Arial" w:hAnsi="Arial" w:eastAsia="Arial" w:cs="Arial"/>
          <w:b w:val="1"/>
          <w:bCs w:val="1"/>
          <w:color w:val="000000" w:themeColor="text1" w:themeTint="FF" w:themeShade="FF"/>
          <w:sz w:val="32"/>
          <w:szCs w:val="32"/>
          <w:lang w:val="en-IN"/>
        </w:rPr>
        <w:t>Instructor/Supervisor:</w:t>
      </w:r>
      <w:r w:rsidRPr="5141BB62" w:rsidR="4BDFEF68">
        <w:rPr>
          <w:rFonts w:ascii="Arial" w:hAnsi="Arial" w:eastAsia="Arial" w:cs="Arial"/>
          <w:color w:val="000000" w:themeColor="text1" w:themeTint="FF" w:themeShade="FF"/>
          <w:sz w:val="32"/>
          <w:szCs w:val="32"/>
          <w:lang w:val="en-IN"/>
        </w:rPr>
        <w:t xml:space="preserve"> Dr. Fahad Khan</w:t>
      </w:r>
    </w:p>
    <w:p w:rsidR="001F2B21" w:rsidP="5141BB62" w:rsidRDefault="4431E308" w14:paraId="4DF681CC" w14:textId="49441763">
      <w:pPr>
        <w:spacing w:after="0" w:line="360" w:lineRule="auto"/>
        <w:rPr>
          <w:rFonts w:ascii="Arial" w:hAnsi="Arial" w:eastAsia="Arial" w:cs="Arial"/>
          <w:color w:val="000000" w:themeColor="text1"/>
          <w:sz w:val="32"/>
          <w:szCs w:val="32"/>
        </w:rPr>
      </w:pPr>
      <w:r w:rsidRPr="5141BB62" w:rsidR="4BDFEF68">
        <w:rPr>
          <w:rFonts w:ascii="Arial" w:hAnsi="Arial" w:eastAsia="Arial" w:cs="Arial"/>
          <w:b w:val="1"/>
          <w:bCs w:val="1"/>
          <w:color w:val="000000" w:themeColor="text1" w:themeTint="FF" w:themeShade="FF"/>
          <w:sz w:val="32"/>
          <w:szCs w:val="32"/>
          <w:lang w:val="en-IN"/>
        </w:rPr>
        <w:t>Date of Submission:</w:t>
      </w:r>
      <w:r w:rsidRPr="5141BB62" w:rsidR="4BDFEF68">
        <w:rPr>
          <w:rFonts w:ascii="Arial" w:hAnsi="Arial" w:eastAsia="Arial" w:cs="Arial"/>
          <w:color w:val="000000" w:themeColor="text1" w:themeTint="FF" w:themeShade="FF"/>
          <w:sz w:val="32"/>
          <w:szCs w:val="32"/>
          <w:lang w:val="en-IN"/>
        </w:rPr>
        <w:t xml:space="preserve"> 27/03/2026</w:t>
      </w:r>
    </w:p>
    <w:p w:rsidR="001F2B21" w:rsidP="779A5D22" w:rsidRDefault="001F2B21" w14:paraId="230B028C" w14:textId="32827352">
      <w:pPr>
        <w:spacing w:after="0" w:line="360" w:lineRule="auto"/>
        <w:rPr>
          <w:sz w:val="32"/>
          <w:szCs w:val="32"/>
        </w:rPr>
      </w:pPr>
    </w:p>
    <w:p w:rsidR="001F2B21" w:rsidP="779A5D22" w:rsidRDefault="00096081" w14:paraId="2664F4B3" w14:textId="77777777">
      <w:pPr>
        <w:pStyle w:val="Heading1"/>
        <w:spacing w:before="0" w:after="0" w:line="360" w:lineRule="auto"/>
        <w:rPr>
          <w:rFonts w:ascii="Arial" w:hAnsi="Arial" w:eastAsia="Arial" w:cs="Arial"/>
          <w:b w:val="1"/>
          <w:bCs w:val="1"/>
          <w:color w:val="000000"/>
          <w:sz w:val="22"/>
          <w:szCs w:val="22"/>
        </w:rPr>
      </w:pPr>
      <w:bookmarkStart w:name="_heading=h.6pjg2ornzc1k" w:id="0"/>
      <w:bookmarkEnd w:id="0"/>
      <w:r>
        <w:br w:type="page"/>
      </w:r>
      <w:r w:rsidRPr="5141BB62" w:rsidR="37EA544E">
        <w:rPr>
          <w:rFonts w:ascii="Arial" w:hAnsi="Arial" w:eastAsia="Arial" w:cs="Arial"/>
          <w:b w:val="1"/>
          <w:bCs w:val="1"/>
          <w:color w:val="000000" w:themeColor="text1" w:themeTint="FF" w:themeShade="FF"/>
          <w:sz w:val="22"/>
          <w:szCs w:val="22"/>
        </w:rPr>
        <w:t>Executive Summary</w:t>
      </w:r>
    </w:p>
    <w:p w:rsidR="001F2B21" w:rsidP="779A5D22" w:rsidRDefault="0FA687BF" w14:paraId="069B0A5C" w14:textId="3921C081">
      <w:pPr>
        <w:spacing w:after="0" w:line="360" w:lineRule="auto"/>
        <w:jc w:val="both"/>
        <w:rPr>
          <w:rFonts w:ascii="Arial" w:hAnsi="Arial" w:eastAsia="Arial" w:cs="Arial"/>
          <w:sz w:val="22"/>
          <w:szCs w:val="22"/>
          <w:lang w:val="en-US"/>
        </w:rPr>
      </w:pPr>
      <w:r w:rsidRPr="5141BB62" w:rsidR="37EA544E">
        <w:rPr>
          <w:rFonts w:ascii="Arial" w:hAnsi="Arial" w:eastAsia="Arial" w:cs="Arial"/>
          <w:sz w:val="22"/>
          <w:szCs w:val="22"/>
          <w:lang w:val="en-US"/>
        </w:rPr>
        <w:t xml:space="preserve">The case of Lewis Blackman shows that system failures, particularly in leadership and communication, have contributed to medical malpractice and preventable injuries to a patient. A case of Blackman (2003) was a 15-year-old male who </w:t>
      </w:r>
      <w:r w:rsidRPr="5141BB62" w:rsidR="37EA544E">
        <w:rPr>
          <w:rFonts w:ascii="Arial" w:hAnsi="Arial" w:eastAsia="Arial" w:cs="Arial"/>
          <w:sz w:val="22"/>
          <w:szCs w:val="22"/>
          <w:lang w:val="en-US"/>
        </w:rPr>
        <w:t>exhibited</w:t>
      </w:r>
      <w:r w:rsidRPr="5141BB62" w:rsidR="37EA544E">
        <w:rPr>
          <w:rFonts w:ascii="Arial" w:hAnsi="Arial" w:eastAsia="Arial" w:cs="Arial"/>
          <w:sz w:val="22"/>
          <w:szCs w:val="22"/>
          <w:lang w:val="en-US"/>
        </w:rPr>
        <w:t xml:space="preserve"> post-surgery sepsis after a normal surgery. However, the employees </w:t>
      </w:r>
      <w:r w:rsidRPr="5141BB62" w:rsidR="37EA544E">
        <w:rPr>
          <w:rFonts w:ascii="Arial" w:hAnsi="Arial" w:eastAsia="Arial" w:cs="Arial"/>
          <w:sz w:val="22"/>
          <w:szCs w:val="22"/>
          <w:lang w:val="en-US"/>
        </w:rPr>
        <w:t>were not able to</w:t>
      </w:r>
      <w:r w:rsidRPr="5141BB62" w:rsidR="37EA544E">
        <w:rPr>
          <w:rFonts w:ascii="Arial" w:hAnsi="Arial" w:eastAsia="Arial" w:cs="Arial"/>
          <w:sz w:val="22"/>
          <w:szCs w:val="22"/>
          <w:lang w:val="en-US"/>
        </w:rPr>
        <w:t xml:space="preserve"> intervene promptly, due to poor leadership, communication, and rigid hierarchical systems, which cost him his life (Acquaviva, </w:t>
      </w:r>
      <w:r w:rsidRPr="5141BB62" w:rsidR="37EA544E">
        <w:rPr>
          <w:rFonts w:ascii="Arial" w:hAnsi="Arial" w:eastAsia="Arial" w:cs="Arial"/>
          <w:sz w:val="22"/>
          <w:szCs w:val="22"/>
          <w:lang w:val="en-US"/>
        </w:rPr>
        <w:t>Haskell</w:t>
      </w:r>
      <w:r w:rsidRPr="5141BB62" w:rsidR="37EA544E">
        <w:rPr>
          <w:rFonts w:ascii="Arial" w:hAnsi="Arial" w:eastAsia="Arial" w:cs="Arial"/>
          <w:sz w:val="22"/>
          <w:szCs w:val="22"/>
          <w:lang w:val="en-US"/>
        </w:rPr>
        <w:t xml:space="preserve"> and </w:t>
      </w:r>
      <w:r w:rsidRPr="5141BB62" w:rsidR="37EA544E">
        <w:rPr>
          <w:rFonts w:ascii="Arial" w:hAnsi="Arial" w:eastAsia="Arial" w:cs="Arial"/>
          <w:sz w:val="22"/>
          <w:szCs w:val="22"/>
          <w:lang w:val="en-US"/>
        </w:rPr>
        <w:t>Johnson</w:t>
      </w:r>
      <w:r w:rsidRPr="5141BB62" w:rsidR="37EA544E">
        <w:rPr>
          <w:rFonts w:ascii="Arial" w:hAnsi="Arial" w:eastAsia="Arial" w:cs="Arial"/>
          <w:sz w:val="22"/>
          <w:szCs w:val="22"/>
          <w:lang w:val="en-US"/>
        </w:rPr>
        <w:t xml:space="preserve"> 2013). This case reflects the importance of effective healthcare leadership, and more so, good leadership in the context of advancing the culture of safety and responsiveness. The key benefit of the </w:t>
      </w:r>
      <w:r w:rsidRPr="5141BB62" w:rsidR="37EA544E">
        <w:rPr>
          <w:rFonts w:ascii="Arial" w:hAnsi="Arial" w:eastAsia="Arial" w:cs="Arial"/>
          <w:sz w:val="22"/>
          <w:szCs w:val="22"/>
          <w:lang w:val="en-US"/>
        </w:rPr>
        <w:t>centralised</w:t>
      </w:r>
      <w:r w:rsidRPr="5141BB62" w:rsidR="37EA544E">
        <w:rPr>
          <w:rFonts w:ascii="Arial" w:hAnsi="Arial" w:eastAsia="Arial" w:cs="Arial"/>
          <w:sz w:val="22"/>
          <w:szCs w:val="22"/>
          <w:lang w:val="en-US"/>
        </w:rPr>
        <w:t xml:space="preserve"> leadership, as it was seen with the case of Blackman, is the tendency to slow down the decision-making process and reduce the autonomy of the frontline staff, which </w:t>
      </w:r>
      <w:r w:rsidRPr="5141BB62" w:rsidR="37EA544E">
        <w:rPr>
          <w:rFonts w:ascii="Arial" w:hAnsi="Arial" w:eastAsia="Arial" w:cs="Arial"/>
          <w:sz w:val="22"/>
          <w:szCs w:val="22"/>
          <w:lang w:val="en-US"/>
        </w:rPr>
        <w:t>adversely impacts</w:t>
      </w:r>
      <w:r w:rsidRPr="5141BB62" w:rsidR="37EA544E">
        <w:rPr>
          <w:rFonts w:ascii="Arial" w:hAnsi="Arial" w:eastAsia="Arial" w:cs="Arial"/>
          <w:sz w:val="22"/>
          <w:szCs w:val="22"/>
          <w:lang w:val="en-US"/>
        </w:rPr>
        <w:t xml:space="preserve"> the response time to critical clinical scenarios (Anders, 2025). </w:t>
      </w:r>
      <w:r w:rsidRPr="5141BB62" w:rsidR="37EA544E">
        <w:rPr>
          <w:rFonts w:ascii="Arial" w:hAnsi="Arial" w:eastAsia="Arial" w:cs="Arial"/>
          <w:sz w:val="22"/>
          <w:szCs w:val="22"/>
          <w:lang w:val="en-US"/>
        </w:rPr>
        <w:t>Decentralisation</w:t>
      </w:r>
      <w:r w:rsidRPr="5141BB62" w:rsidR="37EA544E">
        <w:rPr>
          <w:rFonts w:ascii="Arial" w:hAnsi="Arial" w:eastAsia="Arial" w:cs="Arial"/>
          <w:sz w:val="22"/>
          <w:szCs w:val="22"/>
          <w:lang w:val="en-US"/>
        </w:rPr>
        <w:t xml:space="preserve">, on the one hand, can help </w:t>
      </w:r>
      <w:r w:rsidRPr="5141BB62" w:rsidR="37EA544E">
        <w:rPr>
          <w:rFonts w:ascii="Arial" w:hAnsi="Arial" w:eastAsia="Arial" w:cs="Arial"/>
          <w:sz w:val="22"/>
          <w:szCs w:val="22"/>
          <w:lang w:val="en-US"/>
        </w:rPr>
        <w:t>the healthcare</w:t>
      </w:r>
      <w:r w:rsidRPr="5141BB62" w:rsidR="37EA544E">
        <w:rPr>
          <w:rFonts w:ascii="Arial" w:hAnsi="Arial" w:eastAsia="Arial" w:cs="Arial"/>
          <w:sz w:val="22"/>
          <w:szCs w:val="22"/>
          <w:lang w:val="en-US"/>
        </w:rPr>
        <w:t xml:space="preserve"> workers to react in time, but it requires good coordination and training to avoid fragmentation (Asif et al., 2019).It has also been suggested that the positive influence of compassionate and empowering leadership styles on patient safety is high (Ahmed et al., 2024). More precisely, the concept of transformational leadership has been strongly associated with the increased quality of care and team performance, and it can be applied particularly in the context of preventing such failures (Alanazi, </w:t>
      </w:r>
      <w:r w:rsidRPr="5141BB62" w:rsidR="37EA544E">
        <w:rPr>
          <w:rFonts w:ascii="Arial" w:hAnsi="Arial" w:eastAsia="Arial" w:cs="Arial"/>
          <w:sz w:val="22"/>
          <w:szCs w:val="22"/>
          <w:lang w:val="en-US"/>
        </w:rPr>
        <w:t>A</w:t>
      </w:r>
      <w:r w:rsidRPr="5141BB62" w:rsidR="37EA544E">
        <w:rPr>
          <w:rFonts w:ascii="Arial" w:hAnsi="Arial" w:eastAsia="Arial" w:cs="Arial"/>
          <w:sz w:val="22"/>
          <w:szCs w:val="22"/>
          <w:lang w:val="en-US"/>
        </w:rPr>
        <w:t>lshamlani</w:t>
      </w:r>
      <w:r w:rsidRPr="5141BB62" w:rsidR="37EA544E">
        <w:rPr>
          <w:rFonts w:ascii="Arial" w:hAnsi="Arial" w:eastAsia="Arial" w:cs="Arial"/>
          <w:sz w:val="22"/>
          <w:szCs w:val="22"/>
          <w:lang w:val="en-US"/>
        </w:rPr>
        <w:t xml:space="preserve"> </w:t>
      </w:r>
      <w:r w:rsidRPr="5141BB62" w:rsidR="37EA544E">
        <w:rPr>
          <w:rFonts w:ascii="Arial" w:hAnsi="Arial" w:eastAsia="Arial" w:cs="Arial"/>
          <w:sz w:val="22"/>
          <w:szCs w:val="22"/>
          <w:lang w:val="en-US"/>
        </w:rPr>
        <w:t xml:space="preserve">and Baker 2022; </w:t>
      </w:r>
      <w:r w:rsidRPr="5141BB62" w:rsidR="37EA544E">
        <w:rPr>
          <w:rFonts w:ascii="Arial" w:hAnsi="Arial" w:eastAsia="Arial" w:cs="Arial"/>
          <w:sz w:val="22"/>
          <w:szCs w:val="22"/>
          <w:lang w:val="en-US"/>
        </w:rPr>
        <w:t>A</w:t>
      </w:r>
      <w:r w:rsidRPr="5141BB62" w:rsidR="37EA544E">
        <w:rPr>
          <w:rFonts w:ascii="Arial" w:hAnsi="Arial" w:eastAsia="Arial" w:cs="Arial"/>
          <w:sz w:val="22"/>
          <w:szCs w:val="22"/>
          <w:lang w:val="en-US"/>
        </w:rPr>
        <w:t>lthobaiti</w:t>
      </w:r>
      <w:r w:rsidRPr="5141BB62" w:rsidR="37EA544E">
        <w:rPr>
          <w:rFonts w:ascii="Arial" w:hAnsi="Arial" w:eastAsia="Arial" w:cs="Arial"/>
          <w:sz w:val="22"/>
          <w:szCs w:val="22"/>
          <w:lang w:val="en-US"/>
        </w:rPr>
        <w:t>,</w:t>
      </w:r>
      <w:r w:rsidRPr="5141BB62" w:rsidR="37EA544E">
        <w:rPr>
          <w:rFonts w:ascii="Arial" w:hAnsi="Arial" w:eastAsia="Arial" w:cs="Arial"/>
          <w:sz w:val="22"/>
          <w:szCs w:val="22"/>
          <w:lang w:val="en-US"/>
        </w:rPr>
        <w:t xml:space="preserve"> 2026). </w:t>
      </w:r>
    </w:p>
    <w:p w:rsidR="001F2B21" w:rsidRDefault="00096081" w14:paraId="672A6659" w14:textId="77777777">
      <w:pPr>
        <w:rPr>
          <w:rFonts w:ascii="Arial" w:hAnsi="Arial" w:eastAsia="Arial" w:cs="Arial"/>
          <w:sz w:val="22"/>
          <w:szCs w:val="22"/>
        </w:rPr>
      </w:pPr>
      <w:r w:rsidRPr="3EE7F6CF">
        <w:rPr>
          <w:rFonts w:ascii="Arial" w:hAnsi="Arial" w:eastAsia="Arial" w:cs="Arial"/>
        </w:rPr>
        <w:br w:type="page"/>
      </w:r>
    </w:p>
    <w:p w:rsidR="001F2B21" w:rsidP="779A5D22" w:rsidRDefault="0FA687BF" w14:paraId="406425CA" w14:textId="6192665D">
      <w:pPr>
        <w:keepNext w:val="1"/>
        <w:keepLines w:val="1"/>
        <w:spacing w:before="240" w:after="0" w:line="259" w:lineRule="auto"/>
        <w:rPr>
          <w:rFonts w:ascii="Arial" w:hAnsi="Arial" w:eastAsia="Arial" w:cs="Arial"/>
          <w:color w:val="2F5496"/>
          <w:sz w:val="22"/>
          <w:szCs w:val="22"/>
        </w:rPr>
      </w:pPr>
      <w:r w:rsidRPr="5141BB62" w:rsidR="37EA544E">
        <w:rPr>
          <w:rFonts w:ascii="Arial" w:hAnsi="Arial" w:eastAsia="Arial" w:cs="Arial"/>
          <w:color w:val="2F5496" w:themeColor="accent1" w:themeTint="FF" w:themeShade="BF"/>
          <w:sz w:val="28"/>
          <w:szCs w:val="28"/>
        </w:rPr>
        <w:t>Contents</w:t>
      </w:r>
    </w:p>
    <w:tbl>
      <w:tblPr>
        <w:tblStyle w:val="ListTable1Light-Accent1"/>
        <w:tblW w:w="0" w:type="auto"/>
        <w:tblLook w:val="06A0" w:firstRow="1" w:lastRow="0" w:firstColumn="1" w:lastColumn="0" w:noHBand="1" w:noVBand="1"/>
      </w:tblPr>
      <w:tblGrid>
        <w:gridCol w:w="6485"/>
        <w:gridCol w:w="2530"/>
      </w:tblGrid>
      <w:tr w:rsidR="5141BB62" w:rsidTr="5141BB62" w14:paraId="46A997D4">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3F66395B" w:rsidP="5141BB62" w:rsidRDefault="3F66395B" w14:paraId="49DB1099" w14:textId="2E15BF92">
            <w:pPr>
              <w:pStyle w:val="Normal"/>
              <w:ind w:left="0"/>
              <w:rPr>
                <w:rFonts w:ascii="Arial" w:hAnsi="Arial" w:eastAsia="Arial" w:cs="Arial"/>
                <w:b w:val="0"/>
                <w:bCs w:val="0"/>
                <w:color w:val="auto"/>
                <w:sz w:val="22"/>
                <w:szCs w:val="22"/>
              </w:rPr>
            </w:pPr>
            <w:r w:rsidRPr="5141BB62" w:rsidR="3F66395B">
              <w:rPr>
                <w:rFonts w:ascii="Arial" w:hAnsi="Arial" w:eastAsia="Arial" w:cs="Arial"/>
                <w:b w:val="0"/>
                <w:bCs w:val="0"/>
                <w:color w:val="auto"/>
                <w:sz w:val="22"/>
                <w:szCs w:val="22"/>
              </w:rPr>
              <w:t>1.</w:t>
            </w:r>
            <w:r w:rsidRPr="5141BB62" w:rsidR="097C8F76">
              <w:rPr>
                <w:rFonts w:ascii="Arial" w:hAnsi="Arial" w:eastAsia="Arial" w:cs="Arial"/>
                <w:b w:val="0"/>
                <w:bCs w:val="0"/>
                <w:color w:val="auto"/>
                <w:sz w:val="22"/>
                <w:szCs w:val="22"/>
              </w:rPr>
              <w:t>Introduction</w:t>
            </w:r>
          </w:p>
        </w:tc>
        <w:tc>
          <w:tcPr>
            <w:cnfStyle w:val="000000000000" w:firstRow="0" w:lastRow="0" w:firstColumn="0" w:lastColumn="0" w:oddVBand="0" w:evenVBand="0" w:oddHBand="0" w:evenHBand="0" w:firstRowFirstColumn="0" w:firstRowLastColumn="0" w:lastRowFirstColumn="0" w:lastRowLastColumn="0"/>
            <w:tcW w:w="2530" w:type="dxa"/>
            <w:tcMar/>
          </w:tcPr>
          <w:p w:rsidR="738F9BD0" w:rsidP="5141BB62" w:rsidRDefault="738F9BD0" w14:paraId="5203F02B" w14:textId="4AC76BF1">
            <w:pPr>
              <w:pStyle w:val="Normal"/>
              <w:rPr>
                <w:rFonts w:ascii="Arial" w:hAnsi="Arial" w:eastAsia="Arial" w:cs="Arial"/>
                <w:b w:val="0"/>
                <w:bCs w:val="0"/>
                <w:color w:val="auto"/>
                <w:sz w:val="28"/>
                <w:szCs w:val="28"/>
              </w:rPr>
            </w:pPr>
            <w:r w:rsidRPr="5141BB62" w:rsidR="738F9BD0">
              <w:rPr>
                <w:rFonts w:ascii="Arial" w:hAnsi="Arial" w:eastAsia="Arial" w:cs="Arial"/>
                <w:b w:val="0"/>
                <w:bCs w:val="0"/>
                <w:color w:val="auto"/>
                <w:sz w:val="28"/>
                <w:szCs w:val="28"/>
              </w:rPr>
              <w:t xml:space="preserve">                  </w:t>
            </w:r>
            <w:r w:rsidRPr="5141BB62" w:rsidR="1E09CFD9">
              <w:rPr>
                <w:rFonts w:ascii="Arial" w:hAnsi="Arial" w:eastAsia="Arial" w:cs="Arial"/>
                <w:b w:val="0"/>
                <w:bCs w:val="0"/>
                <w:color w:val="auto"/>
                <w:sz w:val="28"/>
                <w:szCs w:val="28"/>
              </w:rPr>
              <w:t>4</w:t>
            </w:r>
          </w:p>
        </w:tc>
      </w:tr>
      <w:tr w:rsidR="5141BB62" w:rsidTr="5141BB62" w14:paraId="7952FD29">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097C8F76" w:rsidP="5141BB62" w:rsidRDefault="097C8F76" w14:paraId="31C8EE43" w14:textId="59D518E2">
            <w:pPr>
              <w:pStyle w:val="Normal"/>
              <w:rPr>
                <w:rFonts w:ascii="Arial" w:hAnsi="Arial" w:eastAsia="Arial" w:cs="Arial"/>
                <w:b w:val="0"/>
                <w:bCs w:val="0"/>
                <w:color w:val="auto"/>
                <w:sz w:val="22"/>
                <w:szCs w:val="22"/>
              </w:rPr>
            </w:pPr>
            <w:r w:rsidRPr="5141BB62" w:rsidR="097C8F76">
              <w:rPr>
                <w:rFonts w:ascii="Arial" w:hAnsi="Arial" w:eastAsia="Arial" w:cs="Arial"/>
                <w:b w:val="0"/>
                <w:bCs w:val="0"/>
                <w:color w:val="auto"/>
                <w:sz w:val="22"/>
                <w:szCs w:val="22"/>
              </w:rPr>
              <w:t xml:space="preserve">2.Main Part </w:t>
            </w:r>
            <w:r w:rsidRPr="5141BB62" w:rsidR="097C8F76">
              <w:rPr>
                <w:rFonts w:ascii="Arial" w:hAnsi="Arial" w:eastAsia="Arial" w:cs="Arial"/>
                <w:b w:val="0"/>
                <w:bCs w:val="0"/>
                <w:color w:val="auto"/>
                <w:sz w:val="22"/>
                <w:szCs w:val="22"/>
              </w:rPr>
              <w:t>And</w:t>
            </w:r>
            <w:r w:rsidRPr="5141BB62" w:rsidR="097C8F76">
              <w:rPr>
                <w:rFonts w:ascii="Arial" w:hAnsi="Arial" w:eastAsia="Arial" w:cs="Arial"/>
                <w:b w:val="0"/>
                <w:bCs w:val="0"/>
                <w:color w:val="auto"/>
                <w:sz w:val="22"/>
                <w:szCs w:val="22"/>
              </w:rPr>
              <w:t xml:space="preserve"> Analysis</w:t>
            </w:r>
          </w:p>
        </w:tc>
        <w:tc>
          <w:tcPr>
            <w:cnfStyle w:val="000000000000" w:firstRow="0" w:lastRow="0" w:firstColumn="0" w:lastColumn="0" w:oddVBand="0" w:evenVBand="0" w:oddHBand="0" w:evenHBand="0" w:firstRowFirstColumn="0" w:firstRowLastColumn="0" w:lastRowFirstColumn="0" w:lastRowLastColumn="0"/>
            <w:tcW w:w="2530" w:type="dxa"/>
            <w:tcMar/>
          </w:tcPr>
          <w:p w:rsidR="644DB6C7" w:rsidP="5141BB62" w:rsidRDefault="644DB6C7" w14:paraId="137EA901" w14:textId="7F8E86B9">
            <w:pPr>
              <w:pStyle w:val="Normal"/>
              <w:rPr>
                <w:rFonts w:ascii="Arial" w:hAnsi="Arial" w:eastAsia="Arial" w:cs="Arial"/>
                <w:b w:val="0"/>
                <w:bCs w:val="0"/>
                <w:color w:val="auto"/>
                <w:sz w:val="28"/>
                <w:szCs w:val="28"/>
              </w:rPr>
            </w:pPr>
            <w:r w:rsidRPr="5141BB62" w:rsidR="644DB6C7">
              <w:rPr>
                <w:rFonts w:ascii="Arial" w:hAnsi="Arial" w:eastAsia="Arial" w:cs="Arial"/>
                <w:b w:val="0"/>
                <w:bCs w:val="0"/>
                <w:color w:val="auto"/>
                <w:sz w:val="28"/>
                <w:szCs w:val="28"/>
              </w:rPr>
              <w:t xml:space="preserve">                  </w:t>
            </w:r>
            <w:r w:rsidRPr="5141BB62" w:rsidR="7FE31221">
              <w:rPr>
                <w:rFonts w:ascii="Arial" w:hAnsi="Arial" w:eastAsia="Arial" w:cs="Arial"/>
                <w:b w:val="0"/>
                <w:bCs w:val="0"/>
                <w:color w:val="auto"/>
                <w:sz w:val="28"/>
                <w:szCs w:val="28"/>
              </w:rPr>
              <w:t>5</w:t>
            </w:r>
          </w:p>
        </w:tc>
      </w:tr>
      <w:tr w:rsidR="5141BB62" w:rsidTr="5141BB62" w14:paraId="39AA89D6">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6121DB30" w:rsidP="5141BB62" w:rsidRDefault="6121DB30" w14:paraId="7EEA99B1" w14:textId="3CBA61BE">
            <w:pPr>
              <w:pStyle w:val="Normal"/>
              <w:rPr>
                <w:rFonts w:ascii="Arial" w:hAnsi="Arial" w:eastAsia="Arial" w:cs="Arial"/>
                <w:b w:val="0"/>
                <w:bCs w:val="0"/>
                <w:color w:val="auto"/>
                <w:sz w:val="22"/>
                <w:szCs w:val="22"/>
                <w:lang w:val="en-US"/>
              </w:rPr>
            </w:pPr>
            <w:r w:rsidRPr="5141BB62" w:rsidR="6121DB30">
              <w:rPr>
                <w:rFonts w:ascii="Arial" w:hAnsi="Arial" w:eastAsia="Arial" w:cs="Arial"/>
                <w:b w:val="0"/>
                <w:bCs w:val="0"/>
                <w:color w:val="auto"/>
                <w:sz w:val="22"/>
                <w:szCs w:val="22"/>
              </w:rPr>
              <w:t xml:space="preserve">  </w:t>
            </w:r>
            <w:r w:rsidRPr="5141BB62" w:rsidR="097C8F76">
              <w:rPr>
                <w:rFonts w:ascii="Arial" w:hAnsi="Arial" w:eastAsia="Arial" w:cs="Arial"/>
                <w:b w:val="0"/>
                <w:bCs w:val="0"/>
                <w:color w:val="auto"/>
                <w:sz w:val="22"/>
                <w:szCs w:val="22"/>
              </w:rPr>
              <w:t>a.</w:t>
            </w:r>
            <w:r w:rsidRPr="5141BB62" w:rsidR="66C5F2F0">
              <w:rPr>
                <w:rFonts w:ascii="Arial" w:hAnsi="Arial" w:eastAsia="Arial" w:cs="Arial"/>
                <w:b w:val="0"/>
                <w:bCs w:val="0"/>
                <w:color w:val="auto"/>
                <w:sz w:val="22"/>
                <w:szCs w:val="22"/>
              </w:rPr>
              <w:t xml:space="preserve"> </w:t>
            </w:r>
            <w:r w:rsidRPr="5141BB62" w:rsidR="097C8F76">
              <w:rPr>
                <w:rFonts w:ascii="Arial" w:hAnsi="Arial" w:eastAsia="Arial" w:cs="Arial"/>
                <w:b w:val="0"/>
                <w:bCs w:val="0"/>
                <w:color w:val="auto"/>
                <w:sz w:val="22"/>
                <w:szCs w:val="22"/>
                <w:lang w:val="en-US"/>
              </w:rPr>
              <w:t>Identifying</w:t>
            </w:r>
            <w:r w:rsidRPr="5141BB62" w:rsidR="097C8F76">
              <w:rPr>
                <w:rFonts w:ascii="Arial" w:hAnsi="Arial" w:eastAsia="Arial" w:cs="Arial"/>
                <w:b w:val="0"/>
                <w:bCs w:val="0"/>
                <w:color w:val="auto"/>
                <w:sz w:val="22"/>
                <w:szCs w:val="22"/>
                <w:lang w:val="en-US"/>
              </w:rPr>
              <w:t xml:space="preserve"> the Problem and Setting the System Context – Applying Systems Thinking and the Rich Picture</w:t>
            </w:r>
          </w:p>
        </w:tc>
        <w:tc>
          <w:tcPr>
            <w:cnfStyle w:val="000000000000" w:firstRow="0" w:lastRow="0" w:firstColumn="0" w:lastColumn="0" w:oddVBand="0" w:evenVBand="0" w:oddHBand="0" w:evenHBand="0" w:firstRowFirstColumn="0" w:firstRowLastColumn="0" w:lastRowFirstColumn="0" w:lastRowLastColumn="0"/>
            <w:tcW w:w="2530" w:type="dxa"/>
            <w:tcMar/>
          </w:tcPr>
          <w:p w:rsidR="31B5CCF4" w:rsidP="5141BB62" w:rsidRDefault="31B5CCF4" w14:paraId="5E36961B" w14:textId="0CEC5D07">
            <w:pPr>
              <w:pStyle w:val="Normal"/>
              <w:rPr>
                <w:rFonts w:ascii="Arial" w:hAnsi="Arial" w:eastAsia="Arial" w:cs="Arial"/>
                <w:color w:val="auto"/>
                <w:sz w:val="28"/>
                <w:szCs w:val="28"/>
              </w:rPr>
            </w:pPr>
            <w:r w:rsidRPr="5141BB62" w:rsidR="31B5CCF4">
              <w:rPr>
                <w:rFonts w:ascii="Arial" w:hAnsi="Arial" w:eastAsia="Arial" w:cs="Arial"/>
                <w:color w:val="auto"/>
                <w:sz w:val="28"/>
                <w:szCs w:val="28"/>
              </w:rPr>
              <w:t xml:space="preserve">                  </w:t>
            </w:r>
            <w:r w:rsidRPr="5141BB62" w:rsidR="6E0F868E">
              <w:rPr>
                <w:rFonts w:ascii="Arial" w:hAnsi="Arial" w:eastAsia="Arial" w:cs="Arial"/>
                <w:color w:val="auto"/>
                <w:sz w:val="28"/>
                <w:szCs w:val="28"/>
              </w:rPr>
              <w:t>5</w:t>
            </w:r>
          </w:p>
        </w:tc>
      </w:tr>
      <w:tr w:rsidR="5141BB62" w:rsidTr="5141BB62" w14:paraId="497D6CD1">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097C8F76" w:rsidP="5141BB62" w:rsidRDefault="097C8F76" w14:paraId="13192728" w14:textId="38A0B6E2">
            <w:pPr>
              <w:pStyle w:val="Normal"/>
              <w:rPr>
                <w:rFonts w:ascii="Arial" w:hAnsi="Arial" w:eastAsia="Arial" w:cs="Arial"/>
                <w:b w:val="0"/>
                <w:bCs w:val="0"/>
                <w:color w:val="auto"/>
                <w:sz w:val="22"/>
                <w:szCs w:val="22"/>
              </w:rPr>
            </w:pPr>
            <w:r w:rsidRPr="5141BB62" w:rsidR="097C8F76">
              <w:rPr>
                <w:rFonts w:ascii="Arial" w:hAnsi="Arial" w:eastAsia="Arial" w:cs="Arial"/>
                <w:b w:val="0"/>
                <w:bCs w:val="0"/>
                <w:color w:val="auto"/>
                <w:sz w:val="22"/>
                <w:szCs w:val="22"/>
              </w:rPr>
              <w:t xml:space="preserve">   Problem Identification</w:t>
            </w:r>
          </w:p>
        </w:tc>
        <w:tc>
          <w:tcPr>
            <w:cnfStyle w:val="000000000000" w:firstRow="0" w:lastRow="0" w:firstColumn="0" w:lastColumn="0" w:oddVBand="0" w:evenVBand="0" w:oddHBand="0" w:evenHBand="0" w:firstRowFirstColumn="0" w:firstRowLastColumn="0" w:lastRowFirstColumn="0" w:lastRowLastColumn="0"/>
            <w:tcW w:w="2530" w:type="dxa"/>
            <w:tcMar/>
          </w:tcPr>
          <w:p w:rsidR="04091418" w:rsidP="5141BB62" w:rsidRDefault="04091418" w14:paraId="14DAB5A9" w14:textId="1AAFB46B">
            <w:pPr>
              <w:pStyle w:val="Normal"/>
              <w:rPr>
                <w:rFonts w:ascii="Arial" w:hAnsi="Arial" w:eastAsia="Arial" w:cs="Arial"/>
                <w:color w:val="auto"/>
                <w:sz w:val="28"/>
                <w:szCs w:val="28"/>
              </w:rPr>
            </w:pPr>
            <w:r w:rsidRPr="5141BB62" w:rsidR="04091418">
              <w:rPr>
                <w:rFonts w:ascii="Arial" w:hAnsi="Arial" w:eastAsia="Arial" w:cs="Arial"/>
                <w:color w:val="auto"/>
                <w:sz w:val="28"/>
                <w:szCs w:val="28"/>
              </w:rPr>
              <w:t xml:space="preserve">                  </w:t>
            </w:r>
            <w:r w:rsidRPr="5141BB62" w:rsidR="5FE106C1">
              <w:rPr>
                <w:rFonts w:ascii="Arial" w:hAnsi="Arial" w:eastAsia="Arial" w:cs="Arial"/>
                <w:color w:val="auto"/>
                <w:sz w:val="28"/>
                <w:szCs w:val="28"/>
              </w:rPr>
              <w:t>5</w:t>
            </w:r>
          </w:p>
        </w:tc>
      </w:tr>
      <w:tr w:rsidR="5141BB62" w:rsidTr="5141BB62" w14:paraId="63C6CE1E">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5AB40511" w14:textId="521E4B07">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Global and National Statistical Context</w:t>
            </w:r>
          </w:p>
        </w:tc>
        <w:tc>
          <w:tcPr>
            <w:cnfStyle w:val="000000000000" w:firstRow="0" w:lastRow="0" w:firstColumn="0" w:lastColumn="0" w:oddVBand="0" w:evenVBand="0" w:oddHBand="0" w:evenHBand="0" w:firstRowFirstColumn="0" w:firstRowLastColumn="0" w:lastRowFirstColumn="0" w:lastRowLastColumn="0"/>
            <w:tcW w:w="2530" w:type="dxa"/>
            <w:tcMar/>
          </w:tcPr>
          <w:p w:rsidR="1BF8DA5A" w:rsidP="5141BB62" w:rsidRDefault="1BF8DA5A" w14:paraId="45D77F00" w14:textId="41E0F611">
            <w:pPr>
              <w:pStyle w:val="Normal"/>
              <w:rPr>
                <w:rFonts w:ascii="Arial" w:hAnsi="Arial" w:eastAsia="Arial" w:cs="Arial"/>
                <w:color w:val="auto"/>
                <w:sz w:val="28"/>
                <w:szCs w:val="28"/>
              </w:rPr>
            </w:pPr>
            <w:r w:rsidRPr="5141BB62" w:rsidR="1BF8DA5A">
              <w:rPr>
                <w:rFonts w:ascii="Arial" w:hAnsi="Arial" w:eastAsia="Arial" w:cs="Arial"/>
                <w:color w:val="auto"/>
                <w:sz w:val="28"/>
                <w:szCs w:val="28"/>
              </w:rPr>
              <w:t xml:space="preserve">                  </w:t>
            </w:r>
            <w:r w:rsidRPr="5141BB62" w:rsidR="2C2CB2BB">
              <w:rPr>
                <w:rFonts w:ascii="Arial" w:hAnsi="Arial" w:eastAsia="Arial" w:cs="Arial"/>
                <w:color w:val="auto"/>
                <w:sz w:val="28"/>
                <w:szCs w:val="28"/>
              </w:rPr>
              <w:t>6</w:t>
            </w:r>
          </w:p>
        </w:tc>
      </w:tr>
      <w:tr w:rsidR="5141BB62" w:rsidTr="5141BB62" w14:paraId="099C7C9F">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5130ACCC" w14:textId="4E67ED8F">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System and Governance Levels Weaknesses</w:t>
            </w:r>
          </w:p>
        </w:tc>
        <w:tc>
          <w:tcPr>
            <w:cnfStyle w:val="000000000000" w:firstRow="0" w:lastRow="0" w:firstColumn="0" w:lastColumn="0" w:oddVBand="0" w:evenVBand="0" w:oddHBand="0" w:evenHBand="0" w:firstRowFirstColumn="0" w:firstRowLastColumn="0" w:lastRowFirstColumn="0" w:lastRowLastColumn="0"/>
            <w:tcW w:w="2530" w:type="dxa"/>
            <w:tcMar/>
          </w:tcPr>
          <w:p w:rsidR="731D3B50" w:rsidP="5141BB62" w:rsidRDefault="731D3B50" w14:paraId="7FBD4BA8" w14:textId="1A4694F5">
            <w:pPr>
              <w:pStyle w:val="Normal"/>
              <w:rPr>
                <w:rFonts w:ascii="Arial" w:hAnsi="Arial" w:eastAsia="Arial" w:cs="Arial"/>
                <w:color w:val="auto"/>
                <w:sz w:val="28"/>
                <w:szCs w:val="28"/>
              </w:rPr>
            </w:pPr>
            <w:r w:rsidRPr="5141BB62" w:rsidR="731D3B50">
              <w:rPr>
                <w:rFonts w:ascii="Arial" w:hAnsi="Arial" w:eastAsia="Arial" w:cs="Arial"/>
                <w:color w:val="auto"/>
                <w:sz w:val="28"/>
                <w:szCs w:val="28"/>
              </w:rPr>
              <w:t xml:space="preserve">                  </w:t>
            </w:r>
            <w:r w:rsidRPr="5141BB62" w:rsidR="55B126A6">
              <w:rPr>
                <w:rFonts w:ascii="Arial" w:hAnsi="Arial" w:eastAsia="Arial" w:cs="Arial"/>
                <w:color w:val="auto"/>
                <w:sz w:val="28"/>
                <w:szCs w:val="28"/>
              </w:rPr>
              <w:t>8</w:t>
            </w:r>
          </w:p>
        </w:tc>
      </w:tr>
      <w:tr w:rsidR="5141BB62" w:rsidTr="5141BB62" w14:paraId="5379228A">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43347977" w:rsidP="5141BB62" w:rsidRDefault="43347977" w14:paraId="46EC79D1" w14:textId="65A36A10">
            <w:pPr>
              <w:pStyle w:val="Normal"/>
              <w:rPr>
                <w:rFonts w:ascii="Arial" w:hAnsi="Arial" w:eastAsia="Arial" w:cs="Arial"/>
                <w:b w:val="0"/>
                <w:bCs w:val="0"/>
                <w:color w:val="auto"/>
                <w:sz w:val="22"/>
                <w:szCs w:val="22"/>
              </w:rPr>
            </w:pPr>
            <w:r w:rsidRPr="5141BB62" w:rsidR="43347977">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b. Centralization or Decentralization within the Case Study</w:t>
            </w:r>
          </w:p>
        </w:tc>
        <w:tc>
          <w:tcPr>
            <w:cnfStyle w:val="000000000000" w:firstRow="0" w:lastRow="0" w:firstColumn="0" w:lastColumn="0" w:oddVBand="0" w:evenVBand="0" w:oddHBand="0" w:evenHBand="0" w:firstRowFirstColumn="0" w:firstRowLastColumn="0" w:lastRowFirstColumn="0" w:lastRowLastColumn="0"/>
            <w:tcW w:w="2530" w:type="dxa"/>
            <w:tcMar/>
          </w:tcPr>
          <w:p w:rsidR="70B31524" w:rsidP="5141BB62" w:rsidRDefault="70B31524" w14:paraId="63D032BA" w14:textId="5772C5F0">
            <w:pPr>
              <w:pStyle w:val="Normal"/>
              <w:rPr>
                <w:rFonts w:ascii="Arial" w:hAnsi="Arial" w:eastAsia="Arial" w:cs="Arial"/>
                <w:color w:val="auto"/>
                <w:sz w:val="28"/>
                <w:szCs w:val="28"/>
              </w:rPr>
            </w:pPr>
            <w:r w:rsidRPr="5141BB62" w:rsidR="70B31524">
              <w:rPr>
                <w:rFonts w:ascii="Arial" w:hAnsi="Arial" w:eastAsia="Arial" w:cs="Arial"/>
                <w:color w:val="auto"/>
                <w:sz w:val="28"/>
                <w:szCs w:val="28"/>
              </w:rPr>
              <w:t xml:space="preserve">                 </w:t>
            </w:r>
            <w:r w:rsidRPr="5141BB62" w:rsidR="6B5D858A">
              <w:rPr>
                <w:rFonts w:ascii="Arial" w:hAnsi="Arial" w:eastAsia="Arial" w:cs="Arial"/>
                <w:color w:val="auto"/>
                <w:sz w:val="28"/>
                <w:szCs w:val="28"/>
              </w:rPr>
              <w:t>10</w:t>
            </w:r>
          </w:p>
        </w:tc>
      </w:tr>
      <w:tr w:rsidR="5141BB62" w:rsidTr="5141BB62" w14:paraId="2FFE192C">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4D5EBDFA" w:rsidP="5141BB62" w:rsidRDefault="4D5EBDFA" w14:paraId="51504A27" w14:textId="3312DCA6">
            <w:pPr>
              <w:pStyle w:val="Normal"/>
              <w:rPr>
                <w:rFonts w:ascii="Arial" w:hAnsi="Arial" w:eastAsia="Arial" w:cs="Arial"/>
                <w:b w:val="0"/>
                <w:bCs w:val="0"/>
                <w:color w:val="auto"/>
                <w:sz w:val="22"/>
                <w:szCs w:val="22"/>
              </w:rPr>
            </w:pPr>
            <w:r w:rsidRPr="5141BB62" w:rsidR="4D5EBDFA">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Centralization vs Decentralization</w:t>
            </w:r>
          </w:p>
        </w:tc>
        <w:tc>
          <w:tcPr>
            <w:cnfStyle w:val="000000000000" w:firstRow="0" w:lastRow="0" w:firstColumn="0" w:lastColumn="0" w:oddVBand="0" w:evenVBand="0" w:oddHBand="0" w:evenHBand="0" w:firstRowFirstColumn="0" w:firstRowLastColumn="0" w:lastRowFirstColumn="0" w:lastRowLastColumn="0"/>
            <w:tcW w:w="2530" w:type="dxa"/>
            <w:tcMar/>
          </w:tcPr>
          <w:p w:rsidR="69FA3C4D" w:rsidP="5141BB62" w:rsidRDefault="69FA3C4D" w14:paraId="7D1922A0" w14:textId="571F7FB3">
            <w:pPr>
              <w:pStyle w:val="Normal"/>
              <w:rPr>
                <w:rFonts w:ascii="Arial" w:hAnsi="Arial" w:eastAsia="Arial" w:cs="Arial"/>
                <w:color w:val="auto"/>
                <w:sz w:val="28"/>
                <w:szCs w:val="28"/>
              </w:rPr>
            </w:pPr>
            <w:r w:rsidRPr="5141BB62" w:rsidR="69FA3C4D">
              <w:rPr>
                <w:rFonts w:ascii="Arial" w:hAnsi="Arial" w:eastAsia="Arial" w:cs="Arial"/>
                <w:color w:val="auto"/>
                <w:sz w:val="28"/>
                <w:szCs w:val="28"/>
              </w:rPr>
              <w:t xml:space="preserve">                 </w:t>
            </w:r>
            <w:r w:rsidRPr="5141BB62" w:rsidR="18DF4394">
              <w:rPr>
                <w:rFonts w:ascii="Arial" w:hAnsi="Arial" w:eastAsia="Arial" w:cs="Arial"/>
                <w:color w:val="auto"/>
                <w:sz w:val="28"/>
                <w:szCs w:val="28"/>
              </w:rPr>
              <w:t>11</w:t>
            </w:r>
          </w:p>
        </w:tc>
      </w:tr>
      <w:tr w:rsidR="5141BB62" w:rsidTr="5141BB62" w14:paraId="2A1ABE65">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1217FDF2" w:rsidP="5141BB62" w:rsidRDefault="1217FDF2" w14:paraId="2E04FBF5" w14:textId="22F935AE">
            <w:pPr>
              <w:pStyle w:val="Normal"/>
              <w:rPr>
                <w:rFonts w:ascii="Arial" w:hAnsi="Arial" w:eastAsia="Arial" w:cs="Arial"/>
                <w:b w:val="0"/>
                <w:bCs w:val="0"/>
                <w:color w:val="auto"/>
                <w:sz w:val="22"/>
                <w:szCs w:val="22"/>
                <w:lang w:val="en-US"/>
              </w:rPr>
            </w:pPr>
            <w:r w:rsidRPr="5141BB62" w:rsidR="1217FDF2">
              <w:rPr>
                <w:rFonts w:ascii="Arial" w:hAnsi="Arial" w:eastAsia="Arial" w:cs="Arial"/>
                <w:b w:val="0"/>
                <w:bCs w:val="0"/>
                <w:color w:val="auto"/>
                <w:sz w:val="22"/>
                <w:szCs w:val="22"/>
                <w:lang w:val="en-US"/>
              </w:rPr>
              <w:t xml:space="preserve">     </w:t>
            </w:r>
            <w:r w:rsidRPr="5141BB62" w:rsidR="2B5D1BFD">
              <w:rPr>
                <w:rFonts w:ascii="Arial" w:hAnsi="Arial" w:eastAsia="Arial" w:cs="Arial"/>
                <w:b w:val="0"/>
                <w:bCs w:val="0"/>
                <w:color w:val="auto"/>
                <w:sz w:val="22"/>
                <w:szCs w:val="22"/>
                <w:lang w:val="en-US"/>
              </w:rPr>
              <w:t>Centralisation</w:t>
            </w:r>
            <w:r w:rsidRPr="5141BB62" w:rsidR="2B5D1BFD">
              <w:rPr>
                <w:rFonts w:ascii="Arial" w:hAnsi="Arial" w:eastAsia="Arial" w:cs="Arial"/>
                <w:b w:val="0"/>
                <w:bCs w:val="0"/>
                <w:color w:val="auto"/>
                <w:sz w:val="22"/>
                <w:szCs w:val="22"/>
                <w:lang w:val="en-US"/>
              </w:rPr>
              <w:t>: Advantages and Disadvantages</w:t>
            </w:r>
          </w:p>
        </w:tc>
        <w:tc>
          <w:tcPr>
            <w:cnfStyle w:val="000000000000" w:firstRow="0" w:lastRow="0" w:firstColumn="0" w:lastColumn="0" w:oddVBand="0" w:evenVBand="0" w:oddHBand="0" w:evenHBand="0" w:firstRowFirstColumn="0" w:firstRowLastColumn="0" w:lastRowFirstColumn="0" w:lastRowLastColumn="0"/>
            <w:tcW w:w="2530" w:type="dxa"/>
            <w:tcMar/>
          </w:tcPr>
          <w:p w:rsidR="66C74CF4" w:rsidP="5141BB62" w:rsidRDefault="66C74CF4" w14:paraId="1F2CB85C" w14:textId="354FA0B1">
            <w:pPr>
              <w:pStyle w:val="Normal"/>
              <w:rPr>
                <w:rFonts w:ascii="Arial" w:hAnsi="Arial" w:eastAsia="Arial" w:cs="Arial"/>
                <w:color w:val="auto"/>
                <w:sz w:val="28"/>
                <w:szCs w:val="28"/>
              </w:rPr>
            </w:pPr>
            <w:r w:rsidRPr="5141BB62" w:rsidR="66C74CF4">
              <w:rPr>
                <w:rFonts w:ascii="Arial" w:hAnsi="Arial" w:eastAsia="Arial" w:cs="Arial"/>
                <w:color w:val="auto"/>
                <w:sz w:val="28"/>
                <w:szCs w:val="28"/>
              </w:rPr>
              <w:t xml:space="preserve">                 </w:t>
            </w:r>
            <w:r w:rsidRPr="5141BB62" w:rsidR="74C9F5D4">
              <w:rPr>
                <w:rFonts w:ascii="Arial" w:hAnsi="Arial" w:eastAsia="Arial" w:cs="Arial"/>
                <w:color w:val="auto"/>
                <w:sz w:val="28"/>
                <w:szCs w:val="28"/>
              </w:rPr>
              <w:t>11</w:t>
            </w:r>
          </w:p>
        </w:tc>
      </w:tr>
      <w:tr w:rsidR="5141BB62" w:rsidTr="5141BB62" w14:paraId="20EB410B">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F7FB580" w:rsidP="5141BB62" w:rsidRDefault="2F7FB580" w14:paraId="33D15676" w14:textId="03D9D360">
            <w:pPr>
              <w:pStyle w:val="Normal"/>
              <w:rPr>
                <w:rFonts w:ascii="Arial" w:hAnsi="Arial" w:eastAsia="Arial" w:cs="Arial"/>
                <w:b w:val="0"/>
                <w:bCs w:val="0"/>
                <w:color w:val="auto"/>
                <w:sz w:val="22"/>
                <w:szCs w:val="22"/>
                <w:lang w:val="en-US"/>
              </w:rPr>
            </w:pPr>
            <w:r w:rsidRPr="5141BB62" w:rsidR="2F7FB580">
              <w:rPr>
                <w:rFonts w:ascii="Arial" w:hAnsi="Arial" w:eastAsia="Arial" w:cs="Arial"/>
                <w:b w:val="0"/>
                <w:bCs w:val="0"/>
                <w:color w:val="auto"/>
                <w:sz w:val="22"/>
                <w:szCs w:val="22"/>
                <w:lang w:val="en-US"/>
              </w:rPr>
              <w:t xml:space="preserve">     </w:t>
            </w:r>
            <w:r w:rsidRPr="5141BB62" w:rsidR="2B5D1BFD">
              <w:rPr>
                <w:rFonts w:ascii="Arial" w:hAnsi="Arial" w:eastAsia="Arial" w:cs="Arial"/>
                <w:b w:val="0"/>
                <w:bCs w:val="0"/>
                <w:color w:val="auto"/>
                <w:sz w:val="22"/>
                <w:szCs w:val="22"/>
                <w:lang w:val="en-US"/>
              </w:rPr>
              <w:t>Decentralised</w:t>
            </w:r>
            <w:r w:rsidRPr="5141BB62" w:rsidR="2B5D1BFD">
              <w:rPr>
                <w:rFonts w:ascii="Arial" w:hAnsi="Arial" w:eastAsia="Arial" w:cs="Arial"/>
                <w:b w:val="0"/>
                <w:bCs w:val="0"/>
                <w:color w:val="auto"/>
                <w:sz w:val="22"/>
                <w:szCs w:val="22"/>
                <w:lang w:val="en-US"/>
              </w:rPr>
              <w:t xml:space="preserve"> Systems</w:t>
            </w:r>
          </w:p>
        </w:tc>
        <w:tc>
          <w:tcPr>
            <w:cnfStyle w:val="000000000000" w:firstRow="0" w:lastRow="0" w:firstColumn="0" w:lastColumn="0" w:oddVBand="0" w:evenVBand="0" w:oddHBand="0" w:evenHBand="0" w:firstRowFirstColumn="0" w:firstRowLastColumn="0" w:lastRowFirstColumn="0" w:lastRowLastColumn="0"/>
            <w:tcW w:w="2530" w:type="dxa"/>
            <w:tcMar/>
          </w:tcPr>
          <w:p w:rsidR="0BFC8D63" w:rsidP="5141BB62" w:rsidRDefault="0BFC8D63" w14:paraId="7C45C4D0" w14:textId="0D4FB34E">
            <w:pPr>
              <w:pStyle w:val="Normal"/>
              <w:rPr>
                <w:rFonts w:ascii="Arial" w:hAnsi="Arial" w:eastAsia="Arial" w:cs="Arial"/>
                <w:color w:val="auto"/>
                <w:sz w:val="28"/>
                <w:szCs w:val="28"/>
              </w:rPr>
            </w:pPr>
            <w:r w:rsidRPr="5141BB62" w:rsidR="0BFC8D63">
              <w:rPr>
                <w:rFonts w:ascii="Arial" w:hAnsi="Arial" w:eastAsia="Arial" w:cs="Arial"/>
                <w:color w:val="auto"/>
                <w:sz w:val="28"/>
                <w:szCs w:val="28"/>
              </w:rPr>
              <w:t xml:space="preserve">                 </w:t>
            </w:r>
            <w:r w:rsidRPr="5141BB62" w:rsidR="55BE1610">
              <w:rPr>
                <w:rFonts w:ascii="Arial" w:hAnsi="Arial" w:eastAsia="Arial" w:cs="Arial"/>
                <w:color w:val="auto"/>
                <w:sz w:val="28"/>
                <w:szCs w:val="28"/>
              </w:rPr>
              <w:t>12</w:t>
            </w:r>
          </w:p>
        </w:tc>
      </w:tr>
      <w:tr w:rsidR="5141BB62" w:rsidTr="5141BB62" w14:paraId="3B392375">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769D795F" w:rsidP="5141BB62" w:rsidRDefault="769D795F" w14:paraId="43AFC1FA" w14:textId="47FAC2AB">
            <w:pPr>
              <w:pStyle w:val="Normal"/>
              <w:rPr>
                <w:rFonts w:ascii="Arial" w:hAnsi="Arial" w:eastAsia="Arial" w:cs="Arial"/>
                <w:b w:val="0"/>
                <w:bCs w:val="0"/>
                <w:color w:val="auto"/>
                <w:sz w:val="22"/>
                <w:szCs w:val="22"/>
                <w:lang w:val="en-US"/>
              </w:rPr>
            </w:pPr>
            <w:r w:rsidRPr="5141BB62" w:rsidR="769D795F">
              <w:rPr>
                <w:rFonts w:ascii="Arial" w:hAnsi="Arial" w:eastAsia="Arial" w:cs="Arial"/>
                <w:b w:val="0"/>
                <w:bCs w:val="0"/>
                <w:color w:val="auto"/>
                <w:sz w:val="22"/>
                <w:szCs w:val="22"/>
                <w:lang w:val="en-US"/>
              </w:rPr>
              <w:t xml:space="preserve">     </w:t>
            </w:r>
            <w:r w:rsidRPr="5141BB62" w:rsidR="2B5D1BFD">
              <w:rPr>
                <w:rFonts w:ascii="Arial" w:hAnsi="Arial" w:eastAsia="Arial" w:cs="Arial"/>
                <w:b w:val="0"/>
                <w:bCs w:val="0"/>
                <w:color w:val="auto"/>
                <w:sz w:val="22"/>
                <w:szCs w:val="22"/>
                <w:lang w:val="en-US"/>
              </w:rPr>
              <w:t xml:space="preserve">Advantages and disadvantages of </w:t>
            </w:r>
            <w:r w:rsidRPr="5141BB62" w:rsidR="2B5D1BFD">
              <w:rPr>
                <w:rFonts w:ascii="Arial" w:hAnsi="Arial" w:eastAsia="Arial" w:cs="Arial"/>
                <w:b w:val="0"/>
                <w:bCs w:val="0"/>
                <w:color w:val="auto"/>
                <w:sz w:val="22"/>
                <w:szCs w:val="22"/>
                <w:lang w:val="en-US"/>
              </w:rPr>
              <w:t>Decentralisation</w:t>
            </w:r>
          </w:p>
        </w:tc>
        <w:tc>
          <w:tcPr>
            <w:cnfStyle w:val="000000000000" w:firstRow="0" w:lastRow="0" w:firstColumn="0" w:lastColumn="0" w:oddVBand="0" w:evenVBand="0" w:oddHBand="0" w:evenHBand="0" w:firstRowFirstColumn="0" w:firstRowLastColumn="0" w:lastRowFirstColumn="0" w:lastRowLastColumn="0"/>
            <w:tcW w:w="2530" w:type="dxa"/>
            <w:tcMar/>
          </w:tcPr>
          <w:p w:rsidR="55426BFE" w:rsidP="5141BB62" w:rsidRDefault="55426BFE" w14:paraId="235D49B8" w14:textId="624CEB46">
            <w:pPr>
              <w:pStyle w:val="Normal"/>
              <w:rPr>
                <w:rFonts w:ascii="Arial" w:hAnsi="Arial" w:eastAsia="Arial" w:cs="Arial"/>
                <w:color w:val="auto"/>
                <w:sz w:val="28"/>
                <w:szCs w:val="28"/>
              </w:rPr>
            </w:pPr>
            <w:r w:rsidRPr="5141BB62" w:rsidR="55426BFE">
              <w:rPr>
                <w:rFonts w:ascii="Arial" w:hAnsi="Arial" w:eastAsia="Arial" w:cs="Arial"/>
                <w:color w:val="auto"/>
                <w:sz w:val="28"/>
                <w:szCs w:val="28"/>
              </w:rPr>
              <w:t xml:space="preserve">                 </w:t>
            </w:r>
            <w:r w:rsidRPr="5141BB62" w:rsidR="0B23DC21">
              <w:rPr>
                <w:rFonts w:ascii="Arial" w:hAnsi="Arial" w:eastAsia="Arial" w:cs="Arial"/>
                <w:color w:val="auto"/>
                <w:sz w:val="28"/>
                <w:szCs w:val="28"/>
              </w:rPr>
              <w:t>13</w:t>
            </w:r>
          </w:p>
        </w:tc>
      </w:tr>
      <w:tr w:rsidR="5141BB62" w:rsidTr="5141BB62" w14:paraId="3DEF9BBD">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1F1AB513" w:rsidP="5141BB62" w:rsidRDefault="1F1AB513" w14:paraId="55FC0EEA" w14:textId="4AC1CA81">
            <w:pPr>
              <w:pStyle w:val="Normal"/>
              <w:rPr>
                <w:rFonts w:ascii="Arial" w:hAnsi="Arial" w:eastAsia="Arial" w:cs="Arial"/>
                <w:b w:val="0"/>
                <w:bCs w:val="0"/>
                <w:color w:val="auto"/>
                <w:sz w:val="22"/>
                <w:szCs w:val="22"/>
              </w:rPr>
            </w:pPr>
            <w:r w:rsidRPr="5141BB62" w:rsidR="1F1AB513">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Theory of leadership and its applicability</w:t>
            </w:r>
          </w:p>
        </w:tc>
        <w:tc>
          <w:tcPr>
            <w:cnfStyle w:val="000000000000" w:firstRow="0" w:lastRow="0" w:firstColumn="0" w:lastColumn="0" w:oddVBand="0" w:evenVBand="0" w:oddHBand="0" w:evenHBand="0" w:firstRowFirstColumn="0" w:firstRowLastColumn="0" w:lastRowFirstColumn="0" w:lastRowLastColumn="0"/>
            <w:tcW w:w="2530" w:type="dxa"/>
            <w:tcMar/>
          </w:tcPr>
          <w:p w:rsidR="3C122D2D" w:rsidP="5141BB62" w:rsidRDefault="3C122D2D" w14:paraId="311963FB" w14:textId="4D9AB62A">
            <w:pPr>
              <w:pStyle w:val="Normal"/>
              <w:rPr>
                <w:rFonts w:ascii="Arial" w:hAnsi="Arial" w:eastAsia="Arial" w:cs="Arial"/>
                <w:color w:val="auto"/>
                <w:sz w:val="28"/>
                <w:szCs w:val="28"/>
              </w:rPr>
            </w:pPr>
            <w:r w:rsidRPr="5141BB62" w:rsidR="3C122D2D">
              <w:rPr>
                <w:rFonts w:ascii="Arial" w:hAnsi="Arial" w:eastAsia="Arial" w:cs="Arial"/>
                <w:color w:val="auto"/>
                <w:sz w:val="28"/>
                <w:szCs w:val="28"/>
              </w:rPr>
              <w:t xml:space="preserve">                 </w:t>
            </w:r>
            <w:r w:rsidRPr="5141BB62" w:rsidR="7C4324B7">
              <w:rPr>
                <w:rFonts w:ascii="Arial" w:hAnsi="Arial" w:eastAsia="Arial" w:cs="Arial"/>
                <w:color w:val="auto"/>
                <w:sz w:val="28"/>
                <w:szCs w:val="28"/>
              </w:rPr>
              <w:t>13</w:t>
            </w:r>
          </w:p>
        </w:tc>
      </w:tr>
      <w:tr w:rsidR="5141BB62" w:rsidTr="5141BB62" w14:paraId="17DDD6CE">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2ABB45A1" w14:textId="754141CE">
            <w:pPr>
              <w:pStyle w:val="Normal"/>
              <w:rPr>
                <w:rFonts w:ascii="Arial" w:hAnsi="Arial" w:eastAsia="Arial" w:cs="Arial"/>
                <w:b w:val="0"/>
                <w:bCs w:val="0"/>
                <w:color w:val="auto"/>
                <w:sz w:val="22"/>
                <w:szCs w:val="22"/>
                <w:lang w:val="en-US"/>
              </w:rPr>
            </w:pPr>
            <w:r w:rsidRPr="5141BB62" w:rsidR="2B5D1BFD">
              <w:rPr>
                <w:rFonts w:ascii="Arial" w:hAnsi="Arial" w:eastAsia="Arial" w:cs="Arial"/>
                <w:b w:val="0"/>
                <w:bCs w:val="0"/>
                <w:color w:val="auto"/>
                <w:sz w:val="22"/>
                <w:szCs w:val="22"/>
              </w:rPr>
              <w:t xml:space="preserve">   </w:t>
            </w:r>
            <w:r w:rsidRPr="5141BB62" w:rsidR="247FD03D">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lang w:val="en-US"/>
              </w:rPr>
              <w:t xml:space="preserve">Theory of </w:t>
            </w:r>
            <w:r w:rsidRPr="5141BB62" w:rsidR="2B5D1BFD">
              <w:rPr>
                <w:rFonts w:ascii="Arial" w:hAnsi="Arial" w:eastAsia="Arial" w:cs="Arial"/>
                <w:b w:val="0"/>
                <w:bCs w:val="0"/>
                <w:color w:val="auto"/>
                <w:sz w:val="22"/>
                <w:szCs w:val="22"/>
                <w:lang w:val="en-US"/>
              </w:rPr>
              <w:t>Behaviour</w:t>
            </w:r>
            <w:r w:rsidRPr="5141BB62" w:rsidR="2B5D1BFD">
              <w:rPr>
                <w:rFonts w:ascii="Arial" w:hAnsi="Arial" w:eastAsia="Arial" w:cs="Arial"/>
                <w:b w:val="0"/>
                <w:bCs w:val="0"/>
                <w:color w:val="auto"/>
                <w:sz w:val="22"/>
                <w:szCs w:val="22"/>
                <w:lang w:val="en-US"/>
              </w:rPr>
              <w:t xml:space="preserve"> of Leadership</w:t>
            </w:r>
          </w:p>
        </w:tc>
        <w:tc>
          <w:tcPr>
            <w:cnfStyle w:val="000000000000" w:firstRow="0" w:lastRow="0" w:firstColumn="0" w:lastColumn="0" w:oddVBand="0" w:evenVBand="0" w:oddHBand="0" w:evenHBand="0" w:firstRowFirstColumn="0" w:firstRowLastColumn="0" w:lastRowFirstColumn="0" w:lastRowLastColumn="0"/>
            <w:tcW w:w="2530" w:type="dxa"/>
            <w:tcMar/>
          </w:tcPr>
          <w:p w:rsidR="5265D3BC" w:rsidP="5141BB62" w:rsidRDefault="5265D3BC" w14:paraId="6043FA8E" w14:textId="25749C11">
            <w:pPr>
              <w:pStyle w:val="Normal"/>
              <w:rPr>
                <w:rFonts w:ascii="Arial" w:hAnsi="Arial" w:eastAsia="Arial" w:cs="Arial"/>
                <w:color w:val="auto"/>
                <w:sz w:val="28"/>
                <w:szCs w:val="28"/>
              </w:rPr>
            </w:pPr>
            <w:r w:rsidRPr="5141BB62" w:rsidR="5265D3BC">
              <w:rPr>
                <w:rFonts w:ascii="Arial" w:hAnsi="Arial" w:eastAsia="Arial" w:cs="Arial"/>
                <w:color w:val="auto"/>
                <w:sz w:val="28"/>
                <w:szCs w:val="28"/>
              </w:rPr>
              <w:t xml:space="preserve">                 </w:t>
            </w:r>
            <w:r w:rsidRPr="5141BB62" w:rsidR="20C3263C">
              <w:rPr>
                <w:rFonts w:ascii="Arial" w:hAnsi="Arial" w:eastAsia="Arial" w:cs="Arial"/>
                <w:color w:val="auto"/>
                <w:sz w:val="28"/>
                <w:szCs w:val="28"/>
              </w:rPr>
              <w:t>13</w:t>
            </w:r>
          </w:p>
        </w:tc>
      </w:tr>
      <w:tr w:rsidR="5141BB62" w:rsidTr="5141BB62" w14:paraId="350852CA">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63852A1B" w14:textId="6020933D">
            <w:pPr>
              <w:pStyle w:val="Normal"/>
              <w:keepNext w:val="1"/>
              <w:keepLines w:val="1"/>
              <w:rPr>
                <w:rFonts w:ascii="Arial" w:hAnsi="Arial" w:eastAsia="Arial" w:cs="Arial"/>
                <w:b w:val="0"/>
                <w:bCs w:val="0"/>
                <w:color w:val="auto"/>
                <w:sz w:val="22"/>
                <w:szCs w:val="22"/>
                <w:lang w:val="en-US"/>
              </w:rPr>
            </w:pPr>
            <w:r w:rsidRPr="5141BB62" w:rsidR="2B5D1BFD">
              <w:rPr>
                <w:rFonts w:ascii="Arial" w:hAnsi="Arial" w:eastAsia="Arial" w:cs="Arial"/>
                <w:b w:val="0"/>
                <w:bCs w:val="0"/>
                <w:color w:val="auto"/>
                <w:sz w:val="22"/>
                <w:szCs w:val="22"/>
              </w:rPr>
              <w:t xml:space="preserve">  </w:t>
            </w:r>
            <w:r w:rsidRPr="5141BB62" w:rsidR="59BBFADB">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lang w:val="en-US"/>
              </w:rPr>
              <w:t>Transformational Leadership in Practice</w:t>
            </w:r>
          </w:p>
        </w:tc>
        <w:tc>
          <w:tcPr>
            <w:cnfStyle w:val="000000000000" w:firstRow="0" w:lastRow="0" w:firstColumn="0" w:lastColumn="0" w:oddVBand="0" w:evenVBand="0" w:oddHBand="0" w:evenHBand="0" w:firstRowFirstColumn="0" w:firstRowLastColumn="0" w:lastRowFirstColumn="0" w:lastRowLastColumn="0"/>
            <w:tcW w:w="2530" w:type="dxa"/>
            <w:tcMar/>
          </w:tcPr>
          <w:p w:rsidR="532884A1" w:rsidP="5141BB62" w:rsidRDefault="532884A1" w14:paraId="6488ECBB" w14:textId="377AFE2D">
            <w:pPr>
              <w:pStyle w:val="Normal"/>
              <w:rPr>
                <w:rFonts w:ascii="Arial" w:hAnsi="Arial" w:eastAsia="Arial" w:cs="Arial"/>
                <w:color w:val="auto"/>
                <w:sz w:val="28"/>
                <w:szCs w:val="28"/>
              </w:rPr>
            </w:pPr>
            <w:r w:rsidRPr="5141BB62" w:rsidR="532884A1">
              <w:rPr>
                <w:rFonts w:ascii="Arial" w:hAnsi="Arial" w:eastAsia="Arial" w:cs="Arial"/>
                <w:color w:val="auto"/>
                <w:sz w:val="28"/>
                <w:szCs w:val="28"/>
              </w:rPr>
              <w:t xml:space="preserve">                 </w:t>
            </w:r>
            <w:r w:rsidRPr="5141BB62" w:rsidR="2001035F">
              <w:rPr>
                <w:rFonts w:ascii="Arial" w:hAnsi="Arial" w:eastAsia="Arial" w:cs="Arial"/>
                <w:color w:val="auto"/>
                <w:sz w:val="28"/>
                <w:szCs w:val="28"/>
              </w:rPr>
              <w:t>14</w:t>
            </w:r>
          </w:p>
        </w:tc>
      </w:tr>
      <w:tr w:rsidR="5141BB62" w:rsidTr="5141BB62" w14:paraId="1C41A50E">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42AAAA7D" w14:textId="1B105E8B">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2BBAA920">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 xml:space="preserve">Tannenbaum Leadership Continuum and Schmidt </w:t>
            </w:r>
            <w:r w:rsidRPr="5141BB62" w:rsidR="06FC33AF">
              <w:rPr>
                <w:rFonts w:ascii="Arial" w:hAnsi="Arial" w:eastAsia="Arial" w:cs="Arial"/>
                <w:b w:val="0"/>
                <w:bCs w:val="0"/>
                <w:color w:val="auto"/>
                <w:sz w:val="22"/>
                <w:szCs w:val="22"/>
              </w:rPr>
              <w:t xml:space="preserve">   </w:t>
            </w:r>
            <w:r w:rsidRPr="5141BB62" w:rsidR="648EDBF0">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Leadership Continuum</w:t>
            </w:r>
          </w:p>
        </w:tc>
        <w:tc>
          <w:tcPr>
            <w:cnfStyle w:val="000000000000" w:firstRow="0" w:lastRow="0" w:firstColumn="0" w:lastColumn="0" w:oddVBand="0" w:evenVBand="0" w:oddHBand="0" w:evenHBand="0" w:firstRowFirstColumn="0" w:firstRowLastColumn="0" w:lastRowFirstColumn="0" w:lastRowLastColumn="0"/>
            <w:tcW w:w="2530" w:type="dxa"/>
            <w:tcMar/>
          </w:tcPr>
          <w:p w:rsidR="0BED6CCC" w:rsidP="5141BB62" w:rsidRDefault="0BED6CCC" w14:paraId="53488D1A" w14:textId="72183E63">
            <w:pPr>
              <w:pStyle w:val="Normal"/>
              <w:rPr>
                <w:rFonts w:ascii="Arial" w:hAnsi="Arial" w:eastAsia="Arial" w:cs="Arial"/>
                <w:color w:val="auto"/>
                <w:sz w:val="28"/>
                <w:szCs w:val="28"/>
              </w:rPr>
            </w:pPr>
            <w:r w:rsidRPr="5141BB62" w:rsidR="0BED6CCC">
              <w:rPr>
                <w:rFonts w:ascii="Arial" w:hAnsi="Arial" w:eastAsia="Arial" w:cs="Arial"/>
                <w:color w:val="auto"/>
                <w:sz w:val="28"/>
                <w:szCs w:val="28"/>
              </w:rPr>
              <w:t xml:space="preserve">                 </w:t>
            </w:r>
            <w:r w:rsidRPr="5141BB62" w:rsidR="419F8919">
              <w:rPr>
                <w:rFonts w:ascii="Arial" w:hAnsi="Arial" w:eastAsia="Arial" w:cs="Arial"/>
                <w:color w:val="auto"/>
                <w:sz w:val="28"/>
                <w:szCs w:val="28"/>
              </w:rPr>
              <w:t>15</w:t>
            </w:r>
          </w:p>
        </w:tc>
      </w:tr>
      <w:tr w:rsidR="5141BB62" w:rsidTr="5141BB62" w14:paraId="76B75461">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7844AF26" w14:textId="19C21ED8">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5A67E457">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Theory X and Theory Y</w:t>
            </w:r>
          </w:p>
          <w:p w:rsidR="188C5AD1" w:rsidP="5141BB62" w:rsidRDefault="188C5AD1" w14:paraId="0722A61E" w14:textId="35BCDF41">
            <w:pPr>
              <w:pStyle w:val="Normal"/>
              <w:rPr>
                <w:rFonts w:ascii="Arial" w:hAnsi="Arial" w:eastAsia="Arial" w:cs="Arial"/>
                <w:b w:val="0"/>
                <w:bCs w:val="0"/>
                <w:color w:val="auto"/>
                <w:sz w:val="22"/>
                <w:szCs w:val="22"/>
              </w:rPr>
            </w:pPr>
            <w:r w:rsidRPr="5141BB62" w:rsidR="188C5AD1">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Critical Analysis</w:t>
            </w:r>
          </w:p>
        </w:tc>
        <w:tc>
          <w:tcPr>
            <w:cnfStyle w:val="000000000000" w:firstRow="0" w:lastRow="0" w:firstColumn="0" w:lastColumn="0" w:oddVBand="0" w:evenVBand="0" w:oddHBand="0" w:evenHBand="0" w:firstRowFirstColumn="0" w:firstRowLastColumn="0" w:lastRowFirstColumn="0" w:lastRowLastColumn="0"/>
            <w:tcW w:w="2530" w:type="dxa"/>
            <w:tcMar/>
          </w:tcPr>
          <w:p w:rsidR="6654C4F8" w:rsidP="5141BB62" w:rsidRDefault="6654C4F8" w14:paraId="2734DE90" w14:textId="75986341">
            <w:pPr>
              <w:pStyle w:val="Normal"/>
              <w:rPr>
                <w:rFonts w:ascii="Arial" w:hAnsi="Arial" w:eastAsia="Arial" w:cs="Arial"/>
                <w:color w:val="auto"/>
                <w:sz w:val="28"/>
                <w:szCs w:val="28"/>
              </w:rPr>
            </w:pPr>
            <w:r w:rsidRPr="5141BB62" w:rsidR="6654C4F8">
              <w:rPr>
                <w:rFonts w:ascii="Arial" w:hAnsi="Arial" w:eastAsia="Arial" w:cs="Arial"/>
                <w:color w:val="auto"/>
                <w:sz w:val="28"/>
                <w:szCs w:val="28"/>
              </w:rPr>
              <w:t xml:space="preserve">                 </w:t>
            </w:r>
            <w:r w:rsidRPr="5141BB62" w:rsidR="68090C84">
              <w:rPr>
                <w:rFonts w:ascii="Arial" w:hAnsi="Arial" w:eastAsia="Arial" w:cs="Arial"/>
                <w:color w:val="auto"/>
                <w:sz w:val="28"/>
                <w:szCs w:val="28"/>
              </w:rPr>
              <w:t>16</w:t>
            </w:r>
          </w:p>
          <w:p w:rsidR="2DAF09E6" w:rsidP="5141BB62" w:rsidRDefault="2DAF09E6" w14:paraId="188329CB" w14:textId="017E2A5E">
            <w:pPr>
              <w:pStyle w:val="Normal"/>
              <w:rPr>
                <w:rFonts w:ascii="Arial" w:hAnsi="Arial" w:eastAsia="Arial" w:cs="Arial"/>
                <w:color w:val="auto"/>
                <w:sz w:val="28"/>
                <w:szCs w:val="28"/>
              </w:rPr>
            </w:pPr>
            <w:r w:rsidRPr="5141BB62" w:rsidR="2DAF09E6">
              <w:rPr>
                <w:rFonts w:ascii="Arial" w:hAnsi="Arial" w:eastAsia="Arial" w:cs="Arial"/>
                <w:color w:val="auto"/>
                <w:sz w:val="28"/>
                <w:szCs w:val="28"/>
              </w:rPr>
              <w:t xml:space="preserve">                 </w:t>
            </w:r>
            <w:r w:rsidRPr="5141BB62" w:rsidR="68090C84">
              <w:rPr>
                <w:rFonts w:ascii="Arial" w:hAnsi="Arial" w:eastAsia="Arial" w:cs="Arial"/>
                <w:color w:val="auto"/>
                <w:sz w:val="28"/>
                <w:szCs w:val="28"/>
              </w:rPr>
              <w:t>17</w:t>
            </w:r>
          </w:p>
        </w:tc>
      </w:tr>
      <w:tr w:rsidR="5141BB62" w:rsidTr="5141BB62" w14:paraId="1C740784">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5471B49C" w:rsidP="5141BB62" w:rsidRDefault="5471B49C" w14:paraId="0A3ECBF3" w14:textId="7D1F9DE0">
            <w:pPr>
              <w:pStyle w:val="Normal"/>
              <w:rPr>
                <w:rFonts w:ascii="Arial" w:hAnsi="Arial" w:eastAsia="Arial" w:cs="Arial"/>
                <w:b w:val="0"/>
                <w:bCs w:val="0"/>
                <w:color w:val="auto"/>
                <w:sz w:val="22"/>
                <w:szCs w:val="22"/>
              </w:rPr>
            </w:pPr>
            <w:r w:rsidRPr="5141BB62" w:rsidR="5471B49C">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d. Improvement, and Lessons Learned</w:t>
            </w:r>
          </w:p>
        </w:tc>
        <w:tc>
          <w:tcPr>
            <w:cnfStyle w:val="000000000000" w:firstRow="0" w:lastRow="0" w:firstColumn="0" w:lastColumn="0" w:oddVBand="0" w:evenVBand="0" w:oddHBand="0" w:evenHBand="0" w:firstRowFirstColumn="0" w:firstRowLastColumn="0" w:lastRowFirstColumn="0" w:lastRowLastColumn="0"/>
            <w:tcW w:w="2530" w:type="dxa"/>
            <w:tcMar/>
          </w:tcPr>
          <w:p w:rsidR="476B95E8" w:rsidP="5141BB62" w:rsidRDefault="476B95E8" w14:paraId="48762B2D" w14:textId="03FD3FA4">
            <w:pPr>
              <w:pStyle w:val="Normal"/>
              <w:rPr>
                <w:rFonts w:ascii="Arial" w:hAnsi="Arial" w:eastAsia="Arial" w:cs="Arial"/>
                <w:color w:val="auto"/>
                <w:sz w:val="28"/>
                <w:szCs w:val="28"/>
              </w:rPr>
            </w:pPr>
            <w:r w:rsidRPr="5141BB62" w:rsidR="476B95E8">
              <w:rPr>
                <w:rFonts w:ascii="Arial" w:hAnsi="Arial" w:eastAsia="Arial" w:cs="Arial"/>
                <w:color w:val="auto"/>
                <w:sz w:val="28"/>
                <w:szCs w:val="28"/>
              </w:rPr>
              <w:t xml:space="preserve">                 </w:t>
            </w:r>
            <w:r w:rsidRPr="5141BB62" w:rsidR="49406F17">
              <w:rPr>
                <w:rFonts w:ascii="Arial" w:hAnsi="Arial" w:eastAsia="Arial" w:cs="Arial"/>
                <w:color w:val="auto"/>
                <w:sz w:val="28"/>
                <w:szCs w:val="28"/>
              </w:rPr>
              <w:t>18</w:t>
            </w:r>
          </w:p>
        </w:tc>
      </w:tr>
      <w:tr w:rsidR="5141BB62" w:rsidTr="5141BB62" w14:paraId="1A6B8E09">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4F48681C" w14:textId="2EE201EB">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5CD23D0A">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Leadership and Governance Interaction</w:t>
            </w:r>
          </w:p>
        </w:tc>
        <w:tc>
          <w:tcPr>
            <w:cnfStyle w:val="000000000000" w:firstRow="0" w:lastRow="0" w:firstColumn="0" w:lastColumn="0" w:oddVBand="0" w:evenVBand="0" w:oddHBand="0" w:evenHBand="0" w:firstRowFirstColumn="0" w:firstRowLastColumn="0" w:lastRowFirstColumn="0" w:lastRowLastColumn="0"/>
            <w:tcW w:w="2530" w:type="dxa"/>
            <w:tcMar/>
          </w:tcPr>
          <w:p w:rsidR="36F9CE09" w:rsidP="5141BB62" w:rsidRDefault="36F9CE09" w14:paraId="55E4DCA2" w14:textId="6984DB4F">
            <w:pPr>
              <w:pStyle w:val="Normal"/>
              <w:rPr>
                <w:rFonts w:ascii="Arial" w:hAnsi="Arial" w:eastAsia="Arial" w:cs="Arial"/>
                <w:color w:val="auto"/>
                <w:sz w:val="28"/>
                <w:szCs w:val="28"/>
              </w:rPr>
            </w:pPr>
            <w:r w:rsidRPr="5141BB62" w:rsidR="36F9CE09">
              <w:rPr>
                <w:rFonts w:ascii="Arial" w:hAnsi="Arial" w:eastAsia="Arial" w:cs="Arial"/>
                <w:color w:val="auto"/>
                <w:sz w:val="28"/>
                <w:szCs w:val="28"/>
              </w:rPr>
              <w:t xml:space="preserve">                 </w:t>
            </w:r>
            <w:r w:rsidRPr="5141BB62" w:rsidR="5C67AC4A">
              <w:rPr>
                <w:rFonts w:ascii="Arial" w:hAnsi="Arial" w:eastAsia="Arial" w:cs="Arial"/>
                <w:color w:val="auto"/>
                <w:sz w:val="28"/>
                <w:szCs w:val="28"/>
              </w:rPr>
              <w:t>19</w:t>
            </w:r>
          </w:p>
        </w:tc>
      </w:tr>
      <w:tr w:rsidR="5141BB62" w:rsidTr="5141BB62" w14:paraId="525CF0C9">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62F87E46" w14:textId="516B04BC">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3594A621">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Missed Opportunities and Solutions</w:t>
            </w:r>
          </w:p>
        </w:tc>
        <w:tc>
          <w:tcPr>
            <w:cnfStyle w:val="000000000000" w:firstRow="0" w:lastRow="0" w:firstColumn="0" w:lastColumn="0" w:oddVBand="0" w:evenVBand="0" w:oddHBand="0" w:evenHBand="0" w:firstRowFirstColumn="0" w:firstRowLastColumn="0" w:lastRowFirstColumn="0" w:lastRowLastColumn="0"/>
            <w:tcW w:w="2530" w:type="dxa"/>
            <w:tcMar/>
          </w:tcPr>
          <w:p w:rsidR="16D95495" w:rsidP="5141BB62" w:rsidRDefault="16D95495" w14:paraId="6488C571" w14:textId="7C254471">
            <w:pPr>
              <w:pStyle w:val="Normal"/>
              <w:rPr>
                <w:rFonts w:ascii="Arial" w:hAnsi="Arial" w:eastAsia="Arial" w:cs="Arial"/>
                <w:color w:val="auto"/>
                <w:sz w:val="28"/>
                <w:szCs w:val="28"/>
              </w:rPr>
            </w:pPr>
            <w:r w:rsidRPr="5141BB62" w:rsidR="16D95495">
              <w:rPr>
                <w:rFonts w:ascii="Arial" w:hAnsi="Arial" w:eastAsia="Arial" w:cs="Arial"/>
                <w:color w:val="auto"/>
                <w:sz w:val="28"/>
                <w:szCs w:val="28"/>
              </w:rPr>
              <w:t xml:space="preserve">                 </w:t>
            </w:r>
            <w:r w:rsidRPr="5141BB62" w:rsidR="758925FA">
              <w:rPr>
                <w:rFonts w:ascii="Arial" w:hAnsi="Arial" w:eastAsia="Arial" w:cs="Arial"/>
                <w:color w:val="auto"/>
                <w:sz w:val="28"/>
                <w:szCs w:val="28"/>
              </w:rPr>
              <w:t>19</w:t>
            </w:r>
          </w:p>
        </w:tc>
      </w:tr>
      <w:tr w:rsidR="5141BB62" w:rsidTr="5141BB62" w14:paraId="00CCEF93">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4A102C91" w14:textId="04B41617">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48DC740F">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Linking Findings</w:t>
            </w:r>
          </w:p>
        </w:tc>
        <w:tc>
          <w:tcPr>
            <w:cnfStyle w:val="000000000000" w:firstRow="0" w:lastRow="0" w:firstColumn="0" w:lastColumn="0" w:oddVBand="0" w:evenVBand="0" w:oddHBand="0" w:evenHBand="0" w:firstRowFirstColumn="0" w:firstRowLastColumn="0" w:lastRowFirstColumn="0" w:lastRowLastColumn="0"/>
            <w:tcW w:w="2530" w:type="dxa"/>
            <w:tcMar/>
          </w:tcPr>
          <w:p w:rsidR="20938960" w:rsidP="5141BB62" w:rsidRDefault="20938960" w14:paraId="0509E4C1" w14:textId="64FE0DBF">
            <w:pPr>
              <w:pStyle w:val="Normal"/>
              <w:rPr>
                <w:rFonts w:ascii="Arial" w:hAnsi="Arial" w:eastAsia="Arial" w:cs="Arial"/>
                <w:color w:val="auto"/>
                <w:sz w:val="28"/>
                <w:szCs w:val="28"/>
              </w:rPr>
            </w:pPr>
            <w:r w:rsidRPr="5141BB62" w:rsidR="20938960">
              <w:rPr>
                <w:rFonts w:ascii="Arial" w:hAnsi="Arial" w:eastAsia="Arial" w:cs="Arial"/>
                <w:color w:val="auto"/>
                <w:sz w:val="28"/>
                <w:szCs w:val="28"/>
              </w:rPr>
              <w:t xml:space="preserve">                 </w:t>
            </w:r>
            <w:r w:rsidRPr="5141BB62" w:rsidR="3305B569">
              <w:rPr>
                <w:rFonts w:ascii="Arial" w:hAnsi="Arial" w:eastAsia="Arial" w:cs="Arial"/>
                <w:color w:val="auto"/>
                <w:sz w:val="28"/>
                <w:szCs w:val="28"/>
              </w:rPr>
              <w:t>20</w:t>
            </w:r>
          </w:p>
        </w:tc>
      </w:tr>
      <w:tr w:rsidR="5141BB62" w:rsidTr="5141BB62" w14:paraId="13FFA336">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0BE9C062" w14:textId="00BE8B0D">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3. Recommendations</w:t>
            </w:r>
          </w:p>
        </w:tc>
        <w:tc>
          <w:tcPr>
            <w:cnfStyle w:val="000000000000" w:firstRow="0" w:lastRow="0" w:firstColumn="0" w:lastColumn="0" w:oddVBand="0" w:evenVBand="0" w:oddHBand="0" w:evenHBand="0" w:firstRowFirstColumn="0" w:firstRowLastColumn="0" w:lastRowFirstColumn="0" w:lastRowLastColumn="0"/>
            <w:tcW w:w="2530" w:type="dxa"/>
            <w:tcMar/>
          </w:tcPr>
          <w:p w:rsidR="595FB413" w:rsidP="5141BB62" w:rsidRDefault="595FB413" w14:paraId="248718B5" w14:textId="73AED5D5">
            <w:pPr>
              <w:pStyle w:val="Normal"/>
              <w:rPr>
                <w:rFonts w:ascii="Arial" w:hAnsi="Arial" w:eastAsia="Arial" w:cs="Arial"/>
                <w:color w:val="auto"/>
                <w:sz w:val="28"/>
                <w:szCs w:val="28"/>
              </w:rPr>
            </w:pPr>
            <w:r w:rsidRPr="5141BB62" w:rsidR="595FB413">
              <w:rPr>
                <w:rFonts w:ascii="Arial" w:hAnsi="Arial" w:eastAsia="Arial" w:cs="Arial"/>
                <w:color w:val="auto"/>
                <w:sz w:val="28"/>
                <w:szCs w:val="28"/>
              </w:rPr>
              <w:t xml:space="preserve">                 </w:t>
            </w:r>
            <w:r w:rsidRPr="5141BB62" w:rsidR="0466FFB5">
              <w:rPr>
                <w:rFonts w:ascii="Arial" w:hAnsi="Arial" w:eastAsia="Arial" w:cs="Arial"/>
                <w:color w:val="auto"/>
                <w:sz w:val="28"/>
                <w:szCs w:val="28"/>
              </w:rPr>
              <w:t>20</w:t>
            </w:r>
          </w:p>
        </w:tc>
      </w:tr>
      <w:tr w:rsidR="5141BB62" w:rsidTr="5141BB62" w14:paraId="4BFE1D4E">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3B85B046" w14:textId="2A0C73F0">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310EA267">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Improvement of Governance and Communication</w:t>
            </w:r>
          </w:p>
        </w:tc>
        <w:tc>
          <w:tcPr>
            <w:cnfStyle w:val="000000000000" w:firstRow="0" w:lastRow="0" w:firstColumn="0" w:lastColumn="0" w:oddVBand="0" w:evenVBand="0" w:oddHBand="0" w:evenHBand="0" w:firstRowFirstColumn="0" w:firstRowLastColumn="0" w:lastRowFirstColumn="0" w:lastRowLastColumn="0"/>
            <w:tcW w:w="2530" w:type="dxa"/>
            <w:tcMar/>
          </w:tcPr>
          <w:p w:rsidR="5416F1BC" w:rsidP="5141BB62" w:rsidRDefault="5416F1BC" w14:paraId="09B0386A" w14:textId="628608E0">
            <w:pPr>
              <w:pStyle w:val="Normal"/>
              <w:rPr>
                <w:rFonts w:ascii="Arial" w:hAnsi="Arial" w:eastAsia="Arial" w:cs="Arial"/>
                <w:color w:val="auto"/>
                <w:sz w:val="28"/>
                <w:szCs w:val="28"/>
              </w:rPr>
            </w:pPr>
            <w:r w:rsidRPr="5141BB62" w:rsidR="5416F1BC">
              <w:rPr>
                <w:rFonts w:ascii="Arial" w:hAnsi="Arial" w:eastAsia="Arial" w:cs="Arial"/>
                <w:color w:val="auto"/>
                <w:sz w:val="28"/>
                <w:szCs w:val="28"/>
              </w:rPr>
              <w:t xml:space="preserve">                 </w:t>
            </w:r>
            <w:r w:rsidRPr="5141BB62" w:rsidR="37BD6D5B">
              <w:rPr>
                <w:rFonts w:ascii="Arial" w:hAnsi="Arial" w:eastAsia="Arial" w:cs="Arial"/>
                <w:color w:val="auto"/>
                <w:sz w:val="28"/>
                <w:szCs w:val="28"/>
              </w:rPr>
              <w:t>21</w:t>
            </w:r>
          </w:p>
        </w:tc>
      </w:tr>
      <w:tr w:rsidR="5141BB62" w:rsidTr="5141BB62" w14:paraId="2500E916">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499A3439" w14:textId="666CEF53">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 xml:space="preserve">  </w:t>
            </w:r>
            <w:r w:rsidRPr="5141BB62" w:rsidR="1100F6B5">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rPr>
              <w:t>Productivity Improving Measures</w:t>
            </w:r>
          </w:p>
        </w:tc>
        <w:tc>
          <w:tcPr>
            <w:cnfStyle w:val="000000000000" w:firstRow="0" w:lastRow="0" w:firstColumn="0" w:lastColumn="0" w:oddVBand="0" w:evenVBand="0" w:oddHBand="0" w:evenHBand="0" w:firstRowFirstColumn="0" w:firstRowLastColumn="0" w:lastRowFirstColumn="0" w:lastRowLastColumn="0"/>
            <w:tcW w:w="2530" w:type="dxa"/>
            <w:tcMar/>
          </w:tcPr>
          <w:p w:rsidR="5A057084" w:rsidP="5141BB62" w:rsidRDefault="5A057084" w14:paraId="29D29754" w14:textId="0B17DC1E">
            <w:pPr>
              <w:pStyle w:val="Normal"/>
              <w:rPr>
                <w:rFonts w:ascii="Arial" w:hAnsi="Arial" w:eastAsia="Arial" w:cs="Arial"/>
                <w:color w:val="auto"/>
                <w:sz w:val="28"/>
                <w:szCs w:val="28"/>
              </w:rPr>
            </w:pPr>
            <w:r w:rsidRPr="5141BB62" w:rsidR="5A057084">
              <w:rPr>
                <w:rFonts w:ascii="Arial" w:hAnsi="Arial" w:eastAsia="Arial" w:cs="Arial"/>
                <w:color w:val="auto"/>
                <w:sz w:val="28"/>
                <w:szCs w:val="28"/>
              </w:rPr>
              <w:t xml:space="preserve">                 </w:t>
            </w:r>
            <w:r w:rsidRPr="5141BB62" w:rsidR="02A45AE2">
              <w:rPr>
                <w:rFonts w:ascii="Arial" w:hAnsi="Arial" w:eastAsia="Arial" w:cs="Arial"/>
                <w:color w:val="auto"/>
                <w:sz w:val="28"/>
                <w:szCs w:val="28"/>
              </w:rPr>
              <w:t>21</w:t>
            </w:r>
          </w:p>
        </w:tc>
      </w:tr>
      <w:tr w:rsidR="5141BB62" w:rsidTr="5141BB62" w14:paraId="74E3A7D8">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517CA7A2" w14:textId="4C53AC2E">
            <w:pPr>
              <w:pStyle w:val="Normal"/>
              <w:keepNext w:val="1"/>
              <w:keepLines w:val="1"/>
              <w:rPr>
                <w:rFonts w:ascii="Arial" w:hAnsi="Arial" w:eastAsia="Arial" w:cs="Arial"/>
                <w:b w:val="0"/>
                <w:bCs w:val="0"/>
                <w:color w:val="auto"/>
                <w:sz w:val="22"/>
                <w:szCs w:val="22"/>
                <w:lang w:val="en-US"/>
              </w:rPr>
            </w:pPr>
            <w:r w:rsidRPr="5141BB62" w:rsidR="2B5D1BFD">
              <w:rPr>
                <w:rFonts w:ascii="Arial" w:hAnsi="Arial" w:eastAsia="Arial" w:cs="Arial"/>
                <w:b w:val="0"/>
                <w:bCs w:val="0"/>
                <w:color w:val="auto"/>
                <w:sz w:val="22"/>
                <w:szCs w:val="22"/>
              </w:rPr>
              <w:t xml:space="preserve">  </w:t>
            </w:r>
            <w:r w:rsidRPr="5141BB62" w:rsidR="2180CC95">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lang w:val="en-US"/>
              </w:rPr>
              <w:t>Stakeholder Engagement and Life-long Learning</w:t>
            </w:r>
          </w:p>
        </w:tc>
        <w:tc>
          <w:tcPr>
            <w:cnfStyle w:val="000000000000" w:firstRow="0" w:lastRow="0" w:firstColumn="0" w:lastColumn="0" w:oddVBand="0" w:evenVBand="0" w:oddHBand="0" w:evenHBand="0" w:firstRowFirstColumn="0" w:firstRowLastColumn="0" w:lastRowFirstColumn="0" w:lastRowLastColumn="0"/>
            <w:tcW w:w="2530" w:type="dxa"/>
            <w:tcMar/>
          </w:tcPr>
          <w:p w:rsidR="155D8A13" w:rsidP="5141BB62" w:rsidRDefault="155D8A13" w14:paraId="4C94A1AC" w14:textId="72238074">
            <w:pPr>
              <w:pStyle w:val="Normal"/>
              <w:rPr>
                <w:rFonts w:ascii="Arial" w:hAnsi="Arial" w:eastAsia="Arial" w:cs="Arial"/>
                <w:color w:val="auto"/>
                <w:sz w:val="28"/>
                <w:szCs w:val="28"/>
              </w:rPr>
            </w:pPr>
            <w:r w:rsidRPr="5141BB62" w:rsidR="155D8A13">
              <w:rPr>
                <w:rFonts w:ascii="Arial" w:hAnsi="Arial" w:eastAsia="Arial" w:cs="Arial"/>
                <w:color w:val="auto"/>
                <w:sz w:val="28"/>
                <w:szCs w:val="28"/>
              </w:rPr>
              <w:t xml:space="preserve">                 </w:t>
            </w:r>
            <w:r w:rsidRPr="5141BB62" w:rsidR="5E62E9DC">
              <w:rPr>
                <w:rFonts w:ascii="Arial" w:hAnsi="Arial" w:eastAsia="Arial" w:cs="Arial"/>
                <w:color w:val="auto"/>
                <w:sz w:val="28"/>
                <w:szCs w:val="28"/>
              </w:rPr>
              <w:t>21</w:t>
            </w:r>
          </w:p>
        </w:tc>
      </w:tr>
      <w:tr w:rsidR="5141BB62" w:rsidTr="5141BB62" w14:paraId="679B4F10">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302770DA" w14:textId="2F6A32E1">
            <w:pPr>
              <w:pStyle w:val="Normal"/>
              <w:rPr>
                <w:rFonts w:ascii="Arial" w:hAnsi="Arial" w:eastAsia="Arial" w:cs="Arial"/>
                <w:b w:val="0"/>
                <w:bCs w:val="0"/>
                <w:color w:val="auto"/>
                <w:sz w:val="22"/>
                <w:szCs w:val="22"/>
                <w:lang w:val="en-US"/>
              </w:rPr>
            </w:pPr>
            <w:r w:rsidRPr="5141BB62" w:rsidR="2B5D1BFD">
              <w:rPr>
                <w:rFonts w:ascii="Arial" w:hAnsi="Arial" w:eastAsia="Arial" w:cs="Arial"/>
                <w:b w:val="0"/>
                <w:bCs w:val="0"/>
                <w:color w:val="auto"/>
                <w:sz w:val="22"/>
                <w:szCs w:val="22"/>
              </w:rPr>
              <w:t xml:space="preserve"> </w:t>
            </w:r>
            <w:r w:rsidRPr="5141BB62" w:rsidR="05968C38">
              <w:rPr>
                <w:rFonts w:ascii="Arial" w:hAnsi="Arial" w:eastAsia="Arial" w:cs="Arial"/>
                <w:b w:val="0"/>
                <w:bCs w:val="0"/>
                <w:color w:val="auto"/>
                <w:sz w:val="22"/>
                <w:szCs w:val="22"/>
              </w:rPr>
              <w:t xml:space="preserve">     </w:t>
            </w:r>
            <w:r w:rsidRPr="5141BB62" w:rsidR="2B5D1BFD">
              <w:rPr>
                <w:rFonts w:ascii="Arial" w:hAnsi="Arial" w:eastAsia="Arial" w:cs="Arial"/>
                <w:b w:val="0"/>
                <w:bCs w:val="0"/>
                <w:color w:val="auto"/>
                <w:sz w:val="22"/>
                <w:szCs w:val="22"/>
                <w:lang w:val="en-US"/>
              </w:rPr>
              <w:t>Figure 9 recommendations to improve on leadership</w:t>
            </w:r>
          </w:p>
        </w:tc>
        <w:tc>
          <w:tcPr>
            <w:cnfStyle w:val="000000000000" w:firstRow="0" w:lastRow="0" w:firstColumn="0" w:lastColumn="0" w:oddVBand="0" w:evenVBand="0" w:oddHBand="0" w:evenHBand="0" w:firstRowFirstColumn="0" w:firstRowLastColumn="0" w:lastRowFirstColumn="0" w:lastRowLastColumn="0"/>
            <w:tcW w:w="2530" w:type="dxa"/>
            <w:tcMar/>
          </w:tcPr>
          <w:p w:rsidR="513E282C" w:rsidP="5141BB62" w:rsidRDefault="513E282C" w14:paraId="42DF57C1" w14:textId="46CFCADF">
            <w:pPr>
              <w:pStyle w:val="Normal"/>
              <w:rPr>
                <w:rFonts w:ascii="Arial" w:hAnsi="Arial" w:eastAsia="Arial" w:cs="Arial"/>
                <w:color w:val="auto"/>
                <w:sz w:val="28"/>
                <w:szCs w:val="28"/>
              </w:rPr>
            </w:pPr>
            <w:r w:rsidRPr="5141BB62" w:rsidR="513E282C">
              <w:rPr>
                <w:rFonts w:ascii="Arial" w:hAnsi="Arial" w:eastAsia="Arial" w:cs="Arial"/>
                <w:color w:val="auto"/>
                <w:sz w:val="28"/>
                <w:szCs w:val="28"/>
              </w:rPr>
              <w:t xml:space="preserve">                 </w:t>
            </w:r>
            <w:r w:rsidRPr="5141BB62" w:rsidR="23C3E900">
              <w:rPr>
                <w:rFonts w:ascii="Arial" w:hAnsi="Arial" w:eastAsia="Arial" w:cs="Arial"/>
                <w:color w:val="auto"/>
                <w:sz w:val="28"/>
                <w:szCs w:val="28"/>
              </w:rPr>
              <w:t>22</w:t>
            </w:r>
          </w:p>
        </w:tc>
      </w:tr>
      <w:tr w:rsidR="5141BB62" w:rsidTr="5141BB62" w14:paraId="3ED57D48">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2A56ADD1" w14:textId="6DB2F982">
            <w:pPr>
              <w:pStyle w:val="Normal"/>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4.Conclusion</w:t>
            </w:r>
          </w:p>
        </w:tc>
        <w:tc>
          <w:tcPr>
            <w:cnfStyle w:val="000000000000" w:firstRow="0" w:lastRow="0" w:firstColumn="0" w:lastColumn="0" w:oddVBand="0" w:evenVBand="0" w:oddHBand="0" w:evenHBand="0" w:firstRowFirstColumn="0" w:firstRowLastColumn="0" w:lastRowFirstColumn="0" w:lastRowLastColumn="0"/>
            <w:tcW w:w="2530" w:type="dxa"/>
            <w:tcMar/>
          </w:tcPr>
          <w:p w:rsidR="108F6DE4" w:rsidP="5141BB62" w:rsidRDefault="108F6DE4" w14:paraId="58295EA1" w14:textId="77B9C1D5">
            <w:pPr>
              <w:pStyle w:val="Normal"/>
              <w:rPr>
                <w:rFonts w:ascii="Arial" w:hAnsi="Arial" w:eastAsia="Arial" w:cs="Arial"/>
                <w:color w:val="auto"/>
                <w:sz w:val="28"/>
                <w:szCs w:val="28"/>
              </w:rPr>
            </w:pPr>
            <w:r w:rsidRPr="5141BB62" w:rsidR="108F6DE4">
              <w:rPr>
                <w:rFonts w:ascii="Arial" w:hAnsi="Arial" w:eastAsia="Arial" w:cs="Arial"/>
                <w:color w:val="auto"/>
                <w:sz w:val="28"/>
                <w:szCs w:val="28"/>
              </w:rPr>
              <w:t xml:space="preserve">                 </w:t>
            </w:r>
            <w:r w:rsidRPr="5141BB62" w:rsidR="3D8C2A00">
              <w:rPr>
                <w:rFonts w:ascii="Arial" w:hAnsi="Arial" w:eastAsia="Arial" w:cs="Arial"/>
                <w:color w:val="auto"/>
                <w:sz w:val="28"/>
                <w:szCs w:val="28"/>
              </w:rPr>
              <w:t>22</w:t>
            </w:r>
          </w:p>
        </w:tc>
      </w:tr>
      <w:tr w:rsidR="5141BB62" w:rsidTr="5141BB62" w14:paraId="41B8B02B">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2B5D1BFD" w:rsidP="5141BB62" w:rsidRDefault="2B5D1BFD" w14:paraId="57D0B8CC" w14:textId="26134D42">
            <w:pPr>
              <w:rPr>
                <w:rFonts w:ascii="Arial" w:hAnsi="Arial" w:eastAsia="Arial" w:cs="Arial"/>
                <w:b w:val="0"/>
                <w:bCs w:val="0"/>
                <w:color w:val="auto"/>
                <w:sz w:val="22"/>
                <w:szCs w:val="22"/>
              </w:rPr>
            </w:pPr>
            <w:r w:rsidRPr="5141BB62" w:rsidR="2B5D1BFD">
              <w:rPr>
                <w:rFonts w:ascii="Arial" w:hAnsi="Arial" w:eastAsia="Arial" w:cs="Arial"/>
                <w:b w:val="0"/>
                <w:bCs w:val="0"/>
                <w:color w:val="auto"/>
                <w:sz w:val="22"/>
                <w:szCs w:val="22"/>
              </w:rPr>
              <w:t>Reference list</w:t>
            </w:r>
          </w:p>
        </w:tc>
        <w:tc>
          <w:tcPr>
            <w:cnfStyle w:val="000000000000" w:firstRow="0" w:lastRow="0" w:firstColumn="0" w:lastColumn="0" w:oddVBand="0" w:evenVBand="0" w:oddHBand="0" w:evenHBand="0" w:firstRowFirstColumn="0" w:firstRowLastColumn="0" w:lastRowFirstColumn="0" w:lastRowLastColumn="0"/>
            <w:tcW w:w="2530" w:type="dxa"/>
            <w:tcMar/>
          </w:tcPr>
          <w:p w:rsidR="56DA37BE" w:rsidP="5141BB62" w:rsidRDefault="56DA37BE" w14:paraId="08CEFA0E" w14:textId="78DF2C92">
            <w:pPr>
              <w:pStyle w:val="Normal"/>
              <w:rPr>
                <w:rFonts w:ascii="Arial" w:hAnsi="Arial" w:eastAsia="Arial" w:cs="Arial"/>
                <w:color w:val="auto"/>
                <w:sz w:val="28"/>
                <w:szCs w:val="28"/>
              </w:rPr>
            </w:pPr>
            <w:r w:rsidRPr="5141BB62" w:rsidR="56DA37BE">
              <w:rPr>
                <w:rFonts w:ascii="Arial" w:hAnsi="Arial" w:eastAsia="Arial" w:cs="Arial"/>
                <w:color w:val="auto"/>
                <w:sz w:val="28"/>
                <w:szCs w:val="28"/>
              </w:rPr>
              <w:t xml:space="preserve">                 </w:t>
            </w:r>
            <w:r w:rsidRPr="5141BB62" w:rsidR="78E6ACB5">
              <w:rPr>
                <w:rFonts w:ascii="Arial" w:hAnsi="Arial" w:eastAsia="Arial" w:cs="Arial"/>
                <w:color w:val="auto"/>
                <w:sz w:val="28"/>
                <w:szCs w:val="28"/>
              </w:rPr>
              <w:t>24</w:t>
            </w:r>
          </w:p>
        </w:tc>
      </w:tr>
      <w:tr w:rsidR="5141BB62" w:rsidTr="5141BB62" w14:paraId="1733B6C9">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5141BB62" w:rsidP="5141BB62" w:rsidRDefault="5141BB62" w14:paraId="4D70ABCB" w14:textId="0C2A5DFA">
            <w:pPr>
              <w:pStyle w:val="Normal"/>
              <w:rPr>
                <w:rFonts w:ascii="Arial" w:hAnsi="Arial" w:eastAsia="Arial" w:cs="Arial"/>
                <w:b w:val="0"/>
                <w:bCs w:val="0"/>
                <w:color w:val="auto"/>
                <w:sz w:val="28"/>
                <w:szCs w:val="28"/>
              </w:rPr>
            </w:pPr>
          </w:p>
        </w:tc>
        <w:tc>
          <w:tcPr>
            <w:cnfStyle w:val="000000000000" w:firstRow="0" w:lastRow="0" w:firstColumn="0" w:lastColumn="0" w:oddVBand="0" w:evenVBand="0" w:oddHBand="0" w:evenHBand="0" w:firstRowFirstColumn="0" w:firstRowLastColumn="0" w:lastRowFirstColumn="0" w:lastRowLastColumn="0"/>
            <w:tcW w:w="2530" w:type="dxa"/>
            <w:tcMar/>
          </w:tcPr>
          <w:p w:rsidR="5141BB62" w:rsidP="5141BB62" w:rsidRDefault="5141BB62" w14:paraId="27ECB9CB" w14:textId="0C2A5DFA">
            <w:pPr>
              <w:pStyle w:val="Normal"/>
              <w:rPr>
                <w:rFonts w:ascii="Arial" w:hAnsi="Arial" w:eastAsia="Arial" w:cs="Arial"/>
                <w:color w:val="2F5496" w:themeColor="accent1" w:themeTint="FF" w:themeShade="BF"/>
                <w:sz w:val="28"/>
                <w:szCs w:val="28"/>
              </w:rPr>
            </w:pPr>
          </w:p>
        </w:tc>
      </w:tr>
      <w:tr w:rsidR="5141BB62" w:rsidTr="5141BB62" w14:paraId="0C88696F">
        <w:trPr>
          <w:trHeight w:val="300"/>
        </w:trPr>
        <w:tc>
          <w:tcPr>
            <w:cnfStyle w:val="001000000000" w:firstRow="0" w:lastRow="0" w:firstColumn="1" w:lastColumn="0" w:oddVBand="0" w:evenVBand="0" w:oddHBand="0" w:evenHBand="0" w:firstRowFirstColumn="0" w:firstRowLastColumn="0" w:lastRowFirstColumn="0" w:lastRowLastColumn="0"/>
            <w:tcW w:w="6485" w:type="dxa"/>
            <w:tcMar/>
          </w:tcPr>
          <w:p w:rsidR="5141BB62" w:rsidP="5141BB62" w:rsidRDefault="5141BB62" w14:paraId="4364CA4E" w14:textId="0C2A5DFA">
            <w:pPr>
              <w:pStyle w:val="Normal"/>
              <w:rPr>
                <w:rFonts w:ascii="Arial" w:hAnsi="Arial" w:eastAsia="Arial" w:cs="Arial"/>
                <w:b w:val="0"/>
                <w:bCs w:val="0"/>
                <w:color w:val="auto"/>
                <w:sz w:val="28"/>
                <w:szCs w:val="28"/>
              </w:rPr>
            </w:pPr>
          </w:p>
        </w:tc>
        <w:tc>
          <w:tcPr>
            <w:cnfStyle w:val="000000000000" w:firstRow="0" w:lastRow="0" w:firstColumn="0" w:lastColumn="0" w:oddVBand="0" w:evenVBand="0" w:oddHBand="0" w:evenHBand="0" w:firstRowFirstColumn="0" w:firstRowLastColumn="0" w:lastRowFirstColumn="0" w:lastRowLastColumn="0"/>
            <w:tcW w:w="2530" w:type="dxa"/>
            <w:tcMar/>
          </w:tcPr>
          <w:p w:rsidR="5141BB62" w:rsidP="5141BB62" w:rsidRDefault="5141BB62" w14:paraId="7FADD227" w14:textId="0C2A5DFA">
            <w:pPr>
              <w:pStyle w:val="Normal"/>
              <w:rPr>
                <w:rFonts w:ascii="Arial" w:hAnsi="Arial" w:eastAsia="Arial" w:cs="Arial"/>
                <w:color w:val="2F5496" w:themeColor="accent1" w:themeTint="FF" w:themeShade="BF"/>
                <w:sz w:val="28"/>
                <w:szCs w:val="28"/>
              </w:rPr>
            </w:pPr>
          </w:p>
        </w:tc>
      </w:tr>
    </w:tbl>
    <w:p w:rsidR="5141BB62" w:rsidP="5141BB62" w:rsidRDefault="5141BB62" w14:paraId="0AE17863" w14:textId="338F1CF5">
      <w:pPr>
        <w:pStyle w:val="Normal"/>
        <w:keepNext w:val="1"/>
        <w:keepLines w:val="1"/>
        <w:spacing w:before="240" w:after="0" w:line="259" w:lineRule="auto"/>
        <w:rPr>
          <w:rFonts w:ascii="Arial" w:hAnsi="Arial" w:eastAsia="Arial" w:cs="Arial"/>
          <w:color w:val="2F5496" w:themeColor="accent1" w:themeTint="FF" w:themeShade="BF"/>
          <w:sz w:val="28"/>
          <w:szCs w:val="28"/>
        </w:rPr>
      </w:pPr>
    </w:p>
    <w:p w:rsidR="001F2B21" w:rsidP="5141BB62" w:rsidRDefault="001F2B21" w14:paraId="6A05A809" w14:textId="5225930F">
      <w:pPr>
        <w:pStyle w:val="Normal"/>
        <w:tabs>
          <w:tab w:val="right" w:leader="dot" w:pos="9015"/>
        </w:tabs>
        <w:rPr>
          <w:rStyle w:val="Hyperlink"/>
        </w:rPr>
      </w:pPr>
    </w:p>
    <w:p w:rsidR="5141BB62" w:rsidP="5141BB62" w:rsidRDefault="5141BB62" w14:paraId="16D2207A" w14:textId="04CC8EAF">
      <w:pPr>
        <w:pStyle w:val="Normal"/>
        <w:tabs>
          <w:tab w:val="right" w:leader="dot" w:pos="9015"/>
        </w:tabs>
        <w:rPr>
          <w:rStyle w:val="Hyperlink"/>
        </w:rPr>
      </w:pPr>
    </w:p>
    <w:p w:rsidR="5141BB62" w:rsidP="5141BB62" w:rsidRDefault="5141BB62" w14:paraId="2D0A6CCB" w14:textId="0F37DE24">
      <w:pPr>
        <w:pStyle w:val="Normal"/>
        <w:tabs>
          <w:tab w:val="right" w:leader="dot" w:pos="9015"/>
        </w:tabs>
        <w:rPr>
          <w:rStyle w:val="Hyperlink"/>
        </w:rPr>
      </w:pPr>
    </w:p>
    <w:p w:rsidR="5141BB62" w:rsidP="5141BB62" w:rsidRDefault="5141BB62" w14:paraId="01715C06" w14:textId="5E659EBF">
      <w:pPr>
        <w:pStyle w:val="Normal"/>
        <w:tabs>
          <w:tab w:val="right" w:leader="dot" w:pos="9015"/>
        </w:tabs>
        <w:rPr>
          <w:rStyle w:val="Hyperlink"/>
        </w:rPr>
      </w:pPr>
    </w:p>
    <w:p w:rsidR="5141BB62" w:rsidP="5141BB62" w:rsidRDefault="5141BB62" w14:paraId="2D1411B8" w14:textId="72C1D9FA">
      <w:pPr>
        <w:pStyle w:val="Normal"/>
        <w:tabs>
          <w:tab w:val="right" w:leader="dot" w:pos="9015"/>
        </w:tabs>
        <w:rPr>
          <w:rStyle w:val="Hyperlink"/>
        </w:rPr>
      </w:pPr>
    </w:p>
    <w:p w:rsidR="001F2B21" w:rsidRDefault="00096081" w14:paraId="32A36C38" w14:textId="77777777">
      <w:pPr>
        <w:pStyle w:val="Heading1"/>
        <w:spacing w:before="0" w:after="0" w:line="360" w:lineRule="auto"/>
        <w:jc w:val="both"/>
        <w:rPr>
          <w:rFonts w:ascii="Arial" w:hAnsi="Arial" w:eastAsia="Arial" w:cs="Arial"/>
          <w:b w:val="1"/>
          <w:bCs w:val="1"/>
          <w:color w:val="000000"/>
          <w:sz w:val="22"/>
          <w:szCs w:val="22"/>
        </w:rPr>
      </w:pPr>
      <w:bookmarkStart w:name="_heading=h.523bwn4kbgqb" w:id="2"/>
      <w:bookmarkEnd w:id="2"/>
      <w:r w:rsidRPr="5141BB62" w:rsidR="4700305B">
        <w:rPr>
          <w:rFonts w:ascii="Arial" w:hAnsi="Arial" w:eastAsia="Arial" w:cs="Arial"/>
          <w:b w:val="1"/>
          <w:bCs w:val="1"/>
          <w:color w:val="000000" w:themeColor="text1" w:themeTint="FF" w:themeShade="FF"/>
          <w:sz w:val="22"/>
          <w:szCs w:val="22"/>
        </w:rPr>
        <w:t>1. Introduction</w:t>
      </w:r>
    </w:p>
    <w:p w:rsidR="001F2B21" w:rsidP="779A5D22" w:rsidRDefault="0FA687BF" w14:paraId="27DCBD38"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The tragic case of Lewis Blackman, a 15-year-old patient who died in 2003 following complications from routine spinal surgery, exemplifies the significant impact of leadership and governance failures in healthcare. Despite Blackman had the symptoms of sepsis (including hypotension, tachycardia, and fever), the medical staff did not react to his situation in time, and he became the victim of a preventable death (Acquaviva, Haskell, &amp; Johnson, 2013). This case shows that the absence of leadership, communication and accountability systems within the healthcare organisation can lead to disastrous outcomes. This report evaluates the failures, concentrating on leadership styles and organisation culture and governance, and provide evidence-based suggestions on how to improve healthcare outcomes and patient safety. Healthcare leadership may be characterised as the ability to influence others about their achievement of a shared goal, particularly, patient safety, quality services and efficiency within an organisation. Leadership extends past the work of administration and involves embracing a safety culture, advancing accountability, and enabling clinical teams to make decisions promptly (Ahmed et al., 2024; Anders, 2025). Lack of appropriate leadership in the case of Lewis Blackman meant that he did not appreciate his condition, which was deteriorating, because it caused a fatal delay. The report also focuses on the problems of centralisation and decentralisation in healthcare leadership. The centralisation also puts the power of making decisions at the uppermost level. Consequently, it may result in delays and may not allow frontline employees to make fast decisions in case of an emergency (Anders, 2025). Decentralisation, in its turn, has frontline personnel taking decisions but requires proper training and oversight to prevent variances in care delivery (Asif et al., 2019). The case of Blackman, a centralised system can lag behind in coming up with crucial decisions that result in delays in care. This report explores the key theories of leadership, which are transformational, transactional and situational theories of leadership. Transformational leadership is the motivational approach of teams based on shared vision, accountability, and patient care, which was lacking in the case of Blackman, and it was the factor of systemic inertia (Alanazi, Alshamlani and Baker 2022). A task-oriented and rule-oriented transactional leadership may be too rigid in crises to act quickly and make decisions. It would have been more fitting for the situation leadership, which varies dynamically in adapting the leadership style, based on the needs of a situation, to be used to solve the clinical degradation of Blackman. Particularly important is the leadership in the case of a crisis or change, as it determines the opportunity to make quick and informed decisions that can save patients. A higher culture of patient safety and reduced risk of clinical incidents has always been linked with good leadership (Althobaiti, 2026). The type of leadership style used in the healthcare context is crucial when it comes to making decisions on time that will save lives. Lastly, the importance of the proper selection of a leadership model that will allow delivering effective </w:t>
      </w:r>
      <w:r w:rsidRPr="3EE7F6CF">
        <w:rPr>
          <w:rFonts w:ascii="Arial" w:hAnsi="Arial" w:eastAsia="Arial" w:cs="Arial"/>
          <w:sz w:val="22"/>
          <w:szCs w:val="22"/>
          <w:lang w:val="en-US"/>
        </w:rPr>
        <w:lastRenderedPageBreak/>
        <w:t>crisis management will be addressed in the present report, and the suggestions to create flexible and responsive healthcare systems with the priority of patient safety will be discussed.</w:t>
      </w:r>
    </w:p>
    <w:p w:rsidR="001F2B21" w:rsidRDefault="350434C1" w14:paraId="5A39BBE3" w14:textId="77777777">
      <w:pPr>
        <w:spacing w:after="0" w:line="360" w:lineRule="auto"/>
        <w:jc w:val="both"/>
        <w:rPr>
          <w:rFonts w:ascii="Arial" w:hAnsi="Arial" w:eastAsia="Arial" w:cs="Arial"/>
          <w:sz w:val="22"/>
          <w:szCs w:val="22"/>
        </w:rPr>
      </w:pPr>
      <w:r>
        <w:rPr>
          <w:noProof/>
        </w:rPr>
        <w:drawing>
          <wp:inline distT="0" distB="0" distL="0" distR="0" wp14:anchorId="2193A129" wp14:editId="40E3DCFD">
            <wp:extent cx="5644670" cy="3191907"/>
            <wp:effectExtent l="0" t="0" r="0" b="8890"/>
            <wp:docPr id="17551573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644670" cy="3191907"/>
                    </a:xfrm>
                    <a:prstGeom prst="rect">
                      <a:avLst/>
                    </a:prstGeom>
                    <a:ln/>
                  </pic:spPr>
                </pic:pic>
              </a:graphicData>
            </a:graphic>
          </wp:inline>
        </w:drawing>
      </w:r>
    </w:p>
    <w:p w:rsidR="001F2B21" w:rsidP="3EE7F6CF" w:rsidRDefault="0FA687BF" w14:paraId="43A659EC" w14:textId="153F14F9">
      <w:pPr>
        <w:pBdr>
          <w:top w:val="nil"/>
          <w:left w:val="nil"/>
          <w:bottom w:val="nil"/>
          <w:right w:val="nil"/>
          <w:between w:val="nil"/>
        </w:pBdr>
        <w:spacing w:after="200" w:line="240" w:lineRule="auto"/>
        <w:jc w:val="center"/>
        <w:rPr>
          <w:rFonts w:ascii="Arial" w:hAnsi="Arial" w:eastAsia="Arial" w:cs="Arial"/>
          <w:sz w:val="22"/>
          <w:szCs w:val="22"/>
          <w:lang w:val="en-US"/>
        </w:rPr>
      </w:pPr>
      <w:r w:rsidRPr="3EE7F6CF">
        <w:rPr>
          <w:rFonts w:ascii="Arial" w:hAnsi="Arial" w:eastAsia="Arial" w:cs="Arial"/>
          <w:b/>
          <w:bCs/>
          <w:color w:val="000000" w:themeColor="text1"/>
          <w:sz w:val="22"/>
          <w:szCs w:val="22"/>
          <w:lang w:val="en-US"/>
        </w:rPr>
        <w:t xml:space="preserve">Figure 1 Centralised vs Decentralised Leadership Structure in Healthcare </w:t>
      </w:r>
      <w:r w:rsidRPr="3EE7F6CF" w:rsidR="15F9E6D4">
        <w:rPr>
          <w:rFonts w:ascii="Arial" w:hAnsi="Arial" w:eastAsia="Arial" w:cs="Arial"/>
          <w:b/>
          <w:bCs/>
          <w:color w:val="000000" w:themeColor="text1"/>
          <w:sz w:val="22"/>
          <w:szCs w:val="22"/>
          <w:lang w:val="en-US"/>
        </w:rPr>
        <w:t xml:space="preserve">      </w:t>
      </w:r>
      <w:r w:rsidRPr="3EE7F6CF">
        <w:rPr>
          <w:rFonts w:ascii="Arial" w:hAnsi="Arial" w:eastAsia="Arial" w:cs="Arial"/>
          <w:b/>
          <w:bCs/>
          <w:color w:val="000000" w:themeColor="text1"/>
          <w:sz w:val="22"/>
          <w:szCs w:val="22"/>
          <w:lang w:val="en-US"/>
        </w:rPr>
        <w:t>Organisations</w:t>
      </w:r>
      <w:r w:rsidRPr="3EE7F6CF" w:rsidR="0CC0C881">
        <w:rPr>
          <w:rFonts w:ascii="Arial" w:hAnsi="Arial" w:eastAsia="Arial" w:cs="Arial"/>
          <w:b/>
          <w:bCs/>
          <w:color w:val="000000" w:themeColor="text1"/>
          <w:sz w:val="22"/>
          <w:szCs w:val="22"/>
          <w:lang w:val="en-US"/>
        </w:rPr>
        <w:t xml:space="preserve">              </w:t>
      </w:r>
      <w:r w:rsidRPr="3EE7F6CF">
        <w:rPr>
          <w:rFonts w:ascii="Arial" w:hAnsi="Arial" w:eastAsia="Arial" w:cs="Arial"/>
          <w:sz w:val="22"/>
          <w:szCs w:val="22"/>
          <w:lang w:val="en-US"/>
        </w:rPr>
        <w:t>Source: (Universal Academy 2022)</w:t>
      </w:r>
    </w:p>
    <w:p w:rsidR="779A5D22" w:rsidP="3EE7F6CF" w:rsidRDefault="779A5D22" w14:paraId="79799B12" w14:textId="373FC48D">
      <w:pPr>
        <w:pBdr>
          <w:top w:val="nil"/>
          <w:left w:val="nil"/>
          <w:bottom w:val="nil"/>
          <w:right w:val="nil"/>
          <w:between w:val="nil"/>
        </w:pBdr>
        <w:spacing w:after="200" w:line="240" w:lineRule="auto"/>
        <w:jc w:val="center"/>
        <w:rPr>
          <w:rFonts w:ascii="Arial" w:hAnsi="Arial" w:eastAsia="Arial" w:cs="Arial"/>
          <w:sz w:val="22"/>
          <w:szCs w:val="22"/>
          <w:lang w:val="en-US"/>
        </w:rPr>
      </w:pPr>
    </w:p>
    <w:p w:rsidR="779A5D22" w:rsidP="3EE7F6CF" w:rsidRDefault="779A5D22" w14:paraId="35072E5B" w14:textId="1DBEBB11">
      <w:pPr>
        <w:pBdr>
          <w:top w:val="nil"/>
          <w:left w:val="nil"/>
          <w:bottom w:val="nil"/>
          <w:right w:val="nil"/>
          <w:between w:val="nil"/>
        </w:pBdr>
        <w:spacing w:after="200" w:line="240" w:lineRule="auto"/>
        <w:jc w:val="center"/>
        <w:rPr>
          <w:rFonts w:ascii="Arial" w:hAnsi="Arial" w:eastAsia="Arial" w:cs="Arial"/>
          <w:sz w:val="22"/>
          <w:szCs w:val="22"/>
          <w:lang w:val="en-US"/>
        </w:rPr>
      </w:pPr>
    </w:p>
    <w:p w:rsidR="001F2B21" w:rsidRDefault="0FA687BF" w14:paraId="1FF6C65F" w14:textId="5A85F69A">
      <w:pPr>
        <w:pStyle w:val="Heading1"/>
        <w:spacing w:before="0" w:after="0" w:line="360" w:lineRule="auto"/>
        <w:jc w:val="both"/>
        <w:rPr>
          <w:rFonts w:ascii="Arial" w:hAnsi="Arial" w:eastAsia="Arial" w:cs="Arial"/>
          <w:b w:val="1"/>
          <w:bCs w:val="1"/>
          <w:color w:val="000000"/>
          <w:sz w:val="22"/>
          <w:szCs w:val="22"/>
        </w:rPr>
      </w:pPr>
      <w:bookmarkStart w:name="_heading=h.6pm1ki374cye" w:id="4"/>
      <w:bookmarkEnd w:id="4"/>
      <w:r w:rsidRPr="5141BB62" w:rsidR="37EA544E">
        <w:rPr>
          <w:rFonts w:ascii="Arial" w:hAnsi="Arial" w:eastAsia="Arial" w:cs="Arial"/>
          <w:b w:val="1"/>
          <w:bCs w:val="1"/>
          <w:color w:val="000000" w:themeColor="text1" w:themeTint="FF" w:themeShade="FF"/>
          <w:sz w:val="22"/>
          <w:szCs w:val="22"/>
        </w:rPr>
        <w:t xml:space="preserve">2. Main </w:t>
      </w:r>
      <w:r w:rsidRPr="5141BB62" w:rsidR="7878433C">
        <w:rPr>
          <w:rFonts w:ascii="Arial" w:hAnsi="Arial" w:eastAsia="Arial" w:cs="Arial"/>
          <w:b w:val="1"/>
          <w:bCs w:val="1"/>
          <w:color w:val="000000" w:themeColor="text1" w:themeTint="FF" w:themeShade="FF"/>
          <w:sz w:val="22"/>
          <w:szCs w:val="22"/>
        </w:rPr>
        <w:t>Part</w:t>
      </w:r>
      <w:r w:rsidRPr="5141BB62" w:rsidR="37EA544E">
        <w:rPr>
          <w:rFonts w:ascii="Arial" w:hAnsi="Arial" w:eastAsia="Arial" w:cs="Arial"/>
          <w:b w:val="1"/>
          <w:bCs w:val="1"/>
          <w:color w:val="000000" w:themeColor="text1" w:themeTint="FF" w:themeShade="FF"/>
          <w:sz w:val="22"/>
          <w:szCs w:val="22"/>
        </w:rPr>
        <w:t xml:space="preserve"> and Analysis</w:t>
      </w:r>
      <w:r w:rsidRPr="5141BB62" w:rsidR="37EA544E">
        <w:rPr>
          <w:rFonts w:ascii="Arial" w:hAnsi="Arial" w:eastAsia="Arial" w:cs="Arial"/>
          <w:b w:val="1"/>
          <w:bCs w:val="1"/>
          <w:color w:val="000000" w:themeColor="text1" w:themeTint="FF" w:themeShade="FF"/>
          <w:sz w:val="22"/>
          <w:szCs w:val="22"/>
        </w:rPr>
        <w:t xml:space="preserve"> </w:t>
      </w:r>
    </w:p>
    <w:p w:rsidR="001F2B21" w:rsidP="779A5D22" w:rsidRDefault="0FA687BF" w14:paraId="34D80514" w14:textId="77777777">
      <w:pPr>
        <w:pStyle w:val="Heading2"/>
        <w:spacing w:before="0" w:after="0" w:line="360" w:lineRule="auto"/>
        <w:jc w:val="both"/>
        <w:rPr>
          <w:rFonts w:ascii="Arial" w:hAnsi="Arial" w:eastAsia="Arial" w:cs="Arial"/>
          <w:b w:val="1"/>
          <w:bCs w:val="1"/>
          <w:color w:val="000000"/>
          <w:sz w:val="22"/>
          <w:szCs w:val="22"/>
          <w:lang w:val="en-US"/>
        </w:rPr>
      </w:pPr>
      <w:bookmarkStart w:name="_heading=h.3g1cmjrjjo0i" w:id="6"/>
      <w:bookmarkEnd w:id="6"/>
      <w:r w:rsidRPr="5141BB62" w:rsidR="37EA544E">
        <w:rPr>
          <w:rFonts w:ascii="Arial" w:hAnsi="Arial" w:eastAsia="Arial" w:cs="Arial"/>
          <w:b w:val="1"/>
          <w:bCs w:val="1"/>
          <w:color w:val="000000" w:themeColor="text1" w:themeTint="FF" w:themeShade="FF"/>
          <w:sz w:val="22"/>
          <w:szCs w:val="22"/>
          <w:lang w:val="en-US"/>
        </w:rPr>
        <w:t xml:space="preserve">a. </w:t>
      </w:r>
      <w:r w:rsidRPr="5141BB62" w:rsidR="37EA544E">
        <w:rPr>
          <w:rFonts w:ascii="Arial" w:hAnsi="Arial" w:eastAsia="Arial" w:cs="Arial"/>
          <w:b w:val="1"/>
          <w:bCs w:val="1"/>
          <w:color w:val="000000" w:themeColor="text1" w:themeTint="FF" w:themeShade="FF"/>
          <w:sz w:val="22"/>
          <w:szCs w:val="22"/>
          <w:lang w:val="en-US"/>
        </w:rPr>
        <w:t>Identifying</w:t>
      </w:r>
      <w:r w:rsidRPr="5141BB62" w:rsidR="37EA544E">
        <w:rPr>
          <w:rFonts w:ascii="Arial" w:hAnsi="Arial" w:eastAsia="Arial" w:cs="Arial"/>
          <w:b w:val="1"/>
          <w:bCs w:val="1"/>
          <w:color w:val="000000" w:themeColor="text1" w:themeTint="FF" w:themeShade="FF"/>
          <w:sz w:val="22"/>
          <w:szCs w:val="22"/>
          <w:lang w:val="en-US"/>
        </w:rPr>
        <w:t xml:space="preserve"> the Problem and Setting the System Context – Applying Systems Thinking and the Rich Picture</w:t>
      </w:r>
      <w:r w:rsidRPr="5141BB62" w:rsidR="37EA544E">
        <w:rPr>
          <w:rFonts w:ascii="Arial" w:hAnsi="Arial" w:eastAsia="Arial" w:cs="Arial"/>
          <w:b w:val="1"/>
          <w:bCs w:val="1"/>
          <w:color w:val="000000" w:themeColor="text1" w:themeTint="FF" w:themeShade="FF"/>
          <w:sz w:val="22"/>
          <w:szCs w:val="22"/>
          <w:lang w:val="en-US"/>
        </w:rPr>
        <w:t xml:space="preserve"> </w:t>
      </w:r>
    </w:p>
    <w:p w:rsidR="001F2B21" w:rsidRDefault="001F2B21" w14:paraId="41C8F396" w14:textId="77777777">
      <w:pPr>
        <w:spacing w:after="0" w:line="360" w:lineRule="auto"/>
        <w:jc w:val="both"/>
        <w:rPr>
          <w:rFonts w:ascii="Arial" w:hAnsi="Arial" w:eastAsia="Arial" w:cs="Arial"/>
          <w:b/>
          <w:bCs/>
          <w:sz w:val="22"/>
          <w:szCs w:val="22"/>
        </w:rPr>
      </w:pPr>
    </w:p>
    <w:p w:rsidR="001F2B21" w:rsidRDefault="0FA687BF" w14:paraId="78EED9D6" w14:textId="77777777">
      <w:pPr>
        <w:pStyle w:val="Heading3"/>
        <w:spacing w:before="0" w:after="0" w:line="360" w:lineRule="auto"/>
        <w:jc w:val="both"/>
        <w:rPr>
          <w:rFonts w:ascii="Arial" w:hAnsi="Arial" w:eastAsia="Arial" w:cs="Arial"/>
          <w:b w:val="1"/>
          <w:bCs w:val="1"/>
          <w:color w:val="000000"/>
          <w:sz w:val="22"/>
          <w:szCs w:val="22"/>
        </w:rPr>
      </w:pPr>
      <w:bookmarkStart w:name="_heading=h.lldpocewe2tl" w:id="8"/>
      <w:bookmarkEnd w:id="8"/>
      <w:r w:rsidRPr="5141BB62" w:rsidR="37EA544E">
        <w:rPr>
          <w:rFonts w:ascii="Arial" w:hAnsi="Arial" w:eastAsia="Arial" w:cs="Arial"/>
          <w:b w:val="1"/>
          <w:bCs w:val="1"/>
          <w:color w:val="000000" w:themeColor="text1" w:themeTint="FF" w:themeShade="FF"/>
          <w:sz w:val="22"/>
          <w:szCs w:val="22"/>
        </w:rPr>
        <w:t>Problem Identification</w:t>
      </w:r>
    </w:p>
    <w:p w:rsidR="001F2B21" w:rsidP="5141BB62" w:rsidRDefault="001F2B21" w14:paraId="0D0B940D" w14:textId="13DE4BEE">
      <w:pPr>
        <w:spacing w:after="0" w:line="360" w:lineRule="auto"/>
        <w:jc w:val="both"/>
        <w:rPr>
          <w:rFonts w:ascii="Arial" w:hAnsi="Arial" w:eastAsia="Arial" w:cs="Arial"/>
          <w:sz w:val="22"/>
          <w:szCs w:val="22"/>
          <w:lang w:val="en-US"/>
        </w:rPr>
      </w:pPr>
      <w:r>
        <w:br/>
      </w:r>
      <w:r w:rsidRPr="5141BB62" w:rsidR="37CBBF08">
        <w:rPr>
          <w:rFonts w:ascii="Arial" w:hAnsi="Arial" w:eastAsia="Arial" w:cs="Arial"/>
          <w:sz w:val="22"/>
          <w:szCs w:val="22"/>
          <w:lang w:val="en-US"/>
        </w:rPr>
        <w:t xml:space="preserve">The </w:t>
      </w:r>
      <w:r w:rsidRPr="5141BB62" w:rsidR="37CBBF08">
        <w:rPr>
          <w:rFonts w:ascii="Arial" w:hAnsi="Arial" w:eastAsia="Arial" w:cs="Arial"/>
          <w:sz w:val="22"/>
          <w:szCs w:val="22"/>
          <w:lang w:val="en-US"/>
        </w:rPr>
        <w:t>organisational</w:t>
      </w:r>
      <w:r w:rsidRPr="5141BB62" w:rsidR="37CBBF08">
        <w:rPr>
          <w:rFonts w:ascii="Arial" w:hAnsi="Arial" w:eastAsia="Arial" w:cs="Arial"/>
          <w:sz w:val="22"/>
          <w:szCs w:val="22"/>
          <w:lang w:val="en-US"/>
        </w:rPr>
        <w:t xml:space="preserve"> systemic failures, as </w:t>
      </w:r>
      <w:r w:rsidRPr="5141BB62" w:rsidR="37CBBF08">
        <w:rPr>
          <w:rFonts w:ascii="Arial" w:hAnsi="Arial" w:eastAsia="Arial" w:cs="Arial"/>
          <w:sz w:val="22"/>
          <w:szCs w:val="22"/>
          <w:lang w:val="en-US"/>
        </w:rPr>
        <w:t>demonstrated</w:t>
      </w:r>
      <w:r w:rsidRPr="5141BB62" w:rsidR="37CBBF08">
        <w:rPr>
          <w:rFonts w:ascii="Arial" w:hAnsi="Arial" w:eastAsia="Arial" w:cs="Arial"/>
          <w:sz w:val="22"/>
          <w:szCs w:val="22"/>
          <w:lang w:val="en-US"/>
        </w:rPr>
        <w:t xml:space="preserve"> in the case of Lewis Blackman, can cause patient harm that can be avoided (Acquaviva, Haskell &amp; Johnson, 2013). At the age of 15, he showed some obvious signs of sepsis, such as hypotension, tachycardia, and even fever, but this situation was not </w:t>
      </w:r>
      <w:r w:rsidRPr="5141BB62" w:rsidR="37CBBF08">
        <w:rPr>
          <w:rFonts w:ascii="Arial" w:hAnsi="Arial" w:eastAsia="Arial" w:cs="Arial"/>
          <w:sz w:val="22"/>
          <w:szCs w:val="22"/>
          <w:lang w:val="en-US"/>
        </w:rPr>
        <w:t>recognised</w:t>
      </w:r>
      <w:r w:rsidRPr="5141BB62" w:rsidR="37CBBF08">
        <w:rPr>
          <w:rFonts w:ascii="Arial" w:hAnsi="Arial" w:eastAsia="Arial" w:cs="Arial"/>
          <w:sz w:val="22"/>
          <w:szCs w:val="22"/>
          <w:lang w:val="en-US"/>
        </w:rPr>
        <w:t xml:space="preserve"> and treated promptly. He did not die due to personal clinical malpractice but broader issues of leadership, communication, and safety culture (Ahmed et al., 2024). Employees </w:t>
      </w:r>
      <w:r w:rsidRPr="5141BB62" w:rsidR="37CBBF08">
        <w:rPr>
          <w:rFonts w:ascii="Arial" w:hAnsi="Arial" w:eastAsia="Arial" w:cs="Arial"/>
          <w:sz w:val="22"/>
          <w:szCs w:val="22"/>
          <w:lang w:val="en-US"/>
        </w:rPr>
        <w:t>were not able to</w:t>
      </w:r>
      <w:r w:rsidRPr="5141BB62" w:rsidR="37CBBF08">
        <w:rPr>
          <w:rFonts w:ascii="Arial" w:hAnsi="Arial" w:eastAsia="Arial" w:cs="Arial"/>
          <w:sz w:val="22"/>
          <w:szCs w:val="22"/>
          <w:lang w:val="en-US"/>
        </w:rPr>
        <w:t xml:space="preserve"> raise issues because of hierarchies and poor reporting lines (Cummings et al., 2010). Lastly, the lack of accountability, weak leadership, and inadequate staff empowerment slowed the intervention and </w:t>
      </w:r>
      <w:r w:rsidRPr="5141BB62" w:rsidR="37CBBF08">
        <w:rPr>
          <w:rFonts w:ascii="Arial" w:hAnsi="Arial" w:eastAsia="Arial" w:cs="Arial"/>
          <w:sz w:val="22"/>
          <w:szCs w:val="22"/>
          <w:lang w:val="en-US"/>
        </w:rPr>
        <w:t>demonstrated</w:t>
      </w:r>
      <w:r w:rsidRPr="5141BB62" w:rsidR="37CBBF08">
        <w:rPr>
          <w:rFonts w:ascii="Arial" w:hAnsi="Arial" w:eastAsia="Arial" w:cs="Arial"/>
          <w:sz w:val="22"/>
          <w:szCs w:val="22"/>
          <w:lang w:val="en-US"/>
        </w:rPr>
        <w:t xml:space="preserve"> the need to ensure that the approach to patient safety is systems-based (</w:t>
      </w:r>
      <w:r w:rsidRPr="5141BB62" w:rsidR="37CBBF08">
        <w:rPr>
          <w:rFonts w:ascii="Arial" w:hAnsi="Arial" w:eastAsia="Arial" w:cs="Arial"/>
          <w:sz w:val="22"/>
          <w:szCs w:val="22"/>
          <w:lang w:val="en-US"/>
        </w:rPr>
        <w:t>Althobaiti</w:t>
      </w:r>
      <w:r w:rsidRPr="5141BB62" w:rsidR="37CBBF08">
        <w:rPr>
          <w:rFonts w:ascii="Arial" w:hAnsi="Arial" w:eastAsia="Arial" w:cs="Arial"/>
          <w:sz w:val="22"/>
          <w:szCs w:val="22"/>
          <w:lang w:val="en-US"/>
        </w:rPr>
        <w:t xml:space="preserve">, </w:t>
      </w:r>
      <w:r w:rsidRPr="5141BB62" w:rsidR="37CBBF08">
        <w:rPr>
          <w:rFonts w:ascii="Arial" w:hAnsi="Arial" w:eastAsia="Arial" w:cs="Arial"/>
          <w:sz w:val="22"/>
          <w:szCs w:val="22"/>
          <w:lang w:val="en-US"/>
        </w:rPr>
        <w:t>2026</w:t>
      </w:r>
      <w:r w:rsidRPr="5141BB62" w:rsidR="37CBBF08">
        <w:rPr>
          <w:rFonts w:ascii="Arial" w:hAnsi="Arial" w:eastAsia="Arial" w:cs="Arial"/>
          <w:sz w:val="22"/>
          <w:szCs w:val="22"/>
          <w:lang w:val="en-US"/>
        </w:rPr>
        <w:t>).</w:t>
      </w:r>
    </w:p>
    <w:p w:rsidR="001F2B21" w:rsidRDefault="57CB619A" w14:paraId="0E27B00A" w14:textId="77777777">
      <w:pPr>
        <w:spacing w:after="0" w:line="360" w:lineRule="auto"/>
        <w:jc w:val="both"/>
        <w:rPr>
          <w:rFonts w:ascii="Arial" w:hAnsi="Arial" w:eastAsia="Arial" w:cs="Arial"/>
          <w:sz w:val="22"/>
          <w:szCs w:val="22"/>
        </w:rPr>
      </w:pPr>
      <w:r>
        <w:rPr>
          <w:noProof/>
        </w:rPr>
        <w:lastRenderedPageBreak/>
        <w:drawing>
          <wp:inline distT="0" distB="0" distL="0" distR="0" wp14:anchorId="1D0727D7" wp14:editId="3DCA936A">
            <wp:extent cx="5467406" cy="5215467"/>
            <wp:effectExtent l="0" t="0" r="0" b="4445"/>
            <wp:docPr id="17551573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467406" cy="5215467"/>
                    </a:xfrm>
                    <a:prstGeom prst="rect">
                      <a:avLst/>
                    </a:prstGeom>
                    <a:ln/>
                  </pic:spPr>
                </pic:pic>
              </a:graphicData>
            </a:graphic>
          </wp:inline>
        </w:drawing>
      </w:r>
    </w:p>
    <w:p w:rsidR="001F2B21" w:rsidP="3EE7F6CF" w:rsidRDefault="0FA687BF" w14:paraId="0F0BA30D" w14:textId="77777777">
      <w:pPr>
        <w:pBdr>
          <w:top w:val="nil"/>
          <w:left w:val="nil"/>
          <w:bottom w:val="nil"/>
          <w:right w:val="nil"/>
          <w:between w:val="nil"/>
        </w:pBdr>
        <w:spacing w:after="200" w:line="240" w:lineRule="auto"/>
        <w:jc w:val="center"/>
        <w:rPr>
          <w:rFonts w:ascii="Arial" w:hAnsi="Arial" w:eastAsia="Arial" w:cs="Arial"/>
          <w:b/>
          <w:bCs/>
          <w:color w:val="000000"/>
          <w:sz w:val="28"/>
          <w:szCs w:val="28"/>
          <w:lang w:val="en-US"/>
        </w:rPr>
      </w:pPr>
      <w:r w:rsidRPr="3EE7F6CF">
        <w:rPr>
          <w:rFonts w:ascii="Arial" w:hAnsi="Arial" w:eastAsia="Arial" w:cs="Arial"/>
          <w:b/>
          <w:bCs/>
          <w:color w:val="000000" w:themeColor="text1"/>
          <w:sz w:val="22"/>
          <w:szCs w:val="22"/>
          <w:lang w:val="en-US"/>
        </w:rPr>
        <w:t>Figure 2  A background image of the problem</w:t>
      </w:r>
    </w:p>
    <w:p w:rsidR="001F2B21" w:rsidRDefault="00096081" w14:paraId="04D6FE25" w14:textId="77777777">
      <w:pPr>
        <w:pStyle w:val="Heading3"/>
        <w:spacing w:before="0" w:after="0" w:line="360" w:lineRule="auto"/>
        <w:jc w:val="both"/>
        <w:rPr>
          <w:rFonts w:ascii="Arial" w:hAnsi="Arial" w:eastAsia="Arial" w:cs="Arial"/>
          <w:b w:val="1"/>
          <w:bCs w:val="1"/>
          <w:color w:val="000000"/>
          <w:sz w:val="22"/>
          <w:szCs w:val="22"/>
        </w:rPr>
      </w:pPr>
      <w:bookmarkStart w:name="_heading=h.iq1uldo87ik3" w:id="10"/>
      <w:bookmarkEnd w:id="10"/>
      <w:r w:rsidRPr="5141BB62" w:rsidR="4700305B">
        <w:rPr>
          <w:rFonts w:ascii="Arial" w:hAnsi="Arial" w:eastAsia="Arial" w:cs="Arial"/>
          <w:b w:val="1"/>
          <w:bCs w:val="1"/>
          <w:color w:val="000000" w:themeColor="text1" w:themeTint="FF" w:themeShade="FF"/>
          <w:sz w:val="22"/>
          <w:szCs w:val="22"/>
        </w:rPr>
        <w:t>Global and National Statistical Context</w:t>
      </w:r>
    </w:p>
    <w:p w:rsidR="001F2B21" w:rsidP="5141BB62" w:rsidRDefault="001F2B21" w14:paraId="60061E4C" w14:textId="25156E3D">
      <w:pPr>
        <w:spacing w:after="0" w:line="360" w:lineRule="auto"/>
        <w:jc w:val="both"/>
        <w:rPr>
          <w:rFonts w:ascii="Arial" w:hAnsi="Arial" w:eastAsia="Arial" w:cs="Arial"/>
          <w:color w:val="C00000"/>
          <w:sz w:val="22"/>
          <w:szCs w:val="22"/>
          <w:lang w:val="en-US"/>
        </w:rPr>
      </w:pPr>
      <w:r w:rsidRPr="5141BB62" w:rsidR="37EA544E">
        <w:rPr>
          <w:rFonts w:ascii="Arial" w:hAnsi="Arial" w:eastAsia="Arial" w:cs="Arial"/>
          <w:sz w:val="22"/>
          <w:szCs w:val="22"/>
          <w:lang w:val="en-US"/>
        </w:rPr>
        <w:t xml:space="preserve">The World Health Organization (WHO) has pointed out worldwide that medical errors are some of the leading causes of death, resulting in morbidity and mortality of </w:t>
      </w:r>
      <w:r w:rsidRPr="5141BB62" w:rsidR="37EA544E">
        <w:rPr>
          <w:rFonts w:ascii="Arial" w:hAnsi="Arial" w:eastAsia="Arial" w:cs="Arial"/>
          <w:sz w:val="22"/>
          <w:szCs w:val="22"/>
          <w:lang w:val="en-US"/>
        </w:rPr>
        <w:t>a large proportion</w:t>
      </w:r>
      <w:r w:rsidRPr="5141BB62" w:rsidR="37EA544E">
        <w:rPr>
          <w:rFonts w:ascii="Arial" w:hAnsi="Arial" w:eastAsia="Arial" w:cs="Arial"/>
          <w:sz w:val="22"/>
          <w:szCs w:val="22"/>
          <w:lang w:val="en-US"/>
        </w:rPr>
        <w:t xml:space="preserve"> of individuals across the world (Ahmed et al., 2024). WHO estimates that </w:t>
      </w:r>
      <w:r w:rsidRPr="5141BB62" w:rsidR="37EA544E">
        <w:rPr>
          <w:rFonts w:ascii="Arial" w:hAnsi="Arial" w:eastAsia="Arial" w:cs="Arial"/>
          <w:sz w:val="22"/>
          <w:szCs w:val="22"/>
          <w:lang w:val="en-US"/>
        </w:rPr>
        <w:t>approximately 1</w:t>
      </w:r>
      <w:r w:rsidRPr="5141BB62" w:rsidR="37EA544E">
        <w:rPr>
          <w:rFonts w:ascii="Arial" w:hAnsi="Arial" w:eastAsia="Arial" w:cs="Arial"/>
          <w:sz w:val="22"/>
          <w:szCs w:val="22"/>
          <w:lang w:val="en-US"/>
        </w:rPr>
        <w:t xml:space="preserve"> in 10 patients worldwide during their hospital stay have caused harm, and </w:t>
      </w:r>
      <w:r w:rsidRPr="5141BB62" w:rsidR="37EA544E">
        <w:rPr>
          <w:rFonts w:ascii="Arial" w:hAnsi="Arial" w:eastAsia="Arial" w:cs="Arial"/>
          <w:sz w:val="22"/>
          <w:szCs w:val="22"/>
          <w:lang w:val="en-US"/>
        </w:rPr>
        <w:t>a large proportion</w:t>
      </w:r>
      <w:r w:rsidRPr="5141BB62" w:rsidR="37EA544E">
        <w:rPr>
          <w:rFonts w:ascii="Arial" w:hAnsi="Arial" w:eastAsia="Arial" w:cs="Arial"/>
          <w:sz w:val="22"/>
          <w:szCs w:val="22"/>
          <w:lang w:val="en-US"/>
        </w:rPr>
        <w:t xml:space="preserve"> of this figure is preventable (Anders, 2025). The underlying factors of such errors are typically ineffective communication systems, a lack of responsibility on the part of leaders, and a failure to consider safety measures (Asif et al., 2019). The Institute for Healthcare Improvement (IHI) in the United States reports that 1 in 10 patients is injured during a hospital stay (Ahmed et al., 2024; Anders, 2025). The given statistic underlines the fact that negative occurrences are common in healthcare systems and can be prevented (Asif et al., 2019). The same note is given by published national statistics by the NHS (National Health Service in the UK), which </w:t>
      </w:r>
      <w:r w:rsidRPr="5141BB62" w:rsidR="37EA544E">
        <w:rPr>
          <w:rFonts w:ascii="Arial" w:hAnsi="Arial" w:eastAsia="Arial" w:cs="Arial"/>
          <w:sz w:val="22"/>
          <w:szCs w:val="22"/>
          <w:lang w:val="en-US"/>
        </w:rPr>
        <w:t>indicate</w:t>
      </w:r>
      <w:r w:rsidRPr="5141BB62" w:rsidR="37EA544E">
        <w:rPr>
          <w:rFonts w:ascii="Arial" w:hAnsi="Arial" w:eastAsia="Arial" w:cs="Arial"/>
          <w:sz w:val="22"/>
          <w:szCs w:val="22"/>
          <w:lang w:val="en-US"/>
        </w:rPr>
        <w:t xml:space="preserve"> an increasing concern of medical errors (especially medication errors), surgical </w:t>
      </w:r>
      <w:r w:rsidRPr="5141BB62" w:rsidR="37EA544E">
        <w:rPr>
          <w:rFonts w:ascii="Arial" w:hAnsi="Arial" w:eastAsia="Arial" w:cs="Arial"/>
          <w:sz w:val="22"/>
          <w:szCs w:val="22"/>
          <w:lang w:val="en-US"/>
        </w:rPr>
        <w:t xml:space="preserve">complications, and hospital-acquired infection (Cummings et al., 2010). Such errors have been caused by poor leadership structures and a lack of communication among </w:t>
      </w:r>
      <w:r w:rsidRPr="5141BB62" w:rsidR="37EA544E">
        <w:rPr>
          <w:rFonts w:ascii="Arial" w:hAnsi="Arial" w:eastAsia="Arial" w:cs="Arial"/>
          <w:sz w:val="22"/>
          <w:szCs w:val="22"/>
          <w:lang w:val="en-US"/>
        </w:rPr>
        <w:t>the health</w:t>
      </w:r>
      <w:r w:rsidRPr="5141BB62" w:rsidR="37EA544E">
        <w:rPr>
          <w:rFonts w:ascii="Arial" w:hAnsi="Arial" w:eastAsia="Arial" w:cs="Arial"/>
          <w:sz w:val="22"/>
          <w:szCs w:val="22"/>
          <w:lang w:val="en-US"/>
        </w:rPr>
        <w:t xml:space="preserve"> care providers (Cummings et al., 2010). In a study of malpractice, communication errors were found to be the cause of malpractice in </w:t>
      </w:r>
      <w:r w:rsidRPr="5141BB62" w:rsidR="37EA544E">
        <w:rPr>
          <w:rFonts w:ascii="Arial" w:hAnsi="Arial" w:eastAsia="Arial" w:cs="Arial"/>
          <w:sz w:val="22"/>
          <w:szCs w:val="22"/>
          <w:lang w:val="en-US"/>
        </w:rPr>
        <w:t>24 %</w:t>
      </w:r>
      <w:r w:rsidRPr="5141BB62" w:rsidR="37EA544E">
        <w:rPr>
          <w:rFonts w:ascii="Arial" w:hAnsi="Arial" w:eastAsia="Arial" w:cs="Arial"/>
          <w:sz w:val="22"/>
          <w:szCs w:val="22"/>
          <w:lang w:val="en-US"/>
        </w:rPr>
        <w:t xml:space="preserve"> of the cases. Other researchers have </w:t>
      </w:r>
      <w:r w:rsidRPr="5141BB62" w:rsidR="37EA544E">
        <w:rPr>
          <w:rFonts w:ascii="Arial" w:hAnsi="Arial" w:eastAsia="Arial" w:cs="Arial"/>
          <w:sz w:val="22"/>
          <w:szCs w:val="22"/>
          <w:lang w:val="en-US"/>
        </w:rPr>
        <w:t>determined</w:t>
      </w:r>
      <w:r w:rsidRPr="5141BB62" w:rsidR="37EA544E">
        <w:rPr>
          <w:rFonts w:ascii="Arial" w:hAnsi="Arial" w:eastAsia="Arial" w:cs="Arial"/>
          <w:sz w:val="22"/>
          <w:szCs w:val="22"/>
          <w:lang w:val="en-US"/>
        </w:rPr>
        <w:t xml:space="preserve"> that malpractice is linked to communication errors, leading to bad clinical outcomes (such as delayed diagnosis, surgical complications, and inappropriate patient safety) (Cummings et al., 2010). As the statistics above </w:t>
      </w:r>
      <w:r w:rsidRPr="5141BB62" w:rsidR="37EA544E">
        <w:rPr>
          <w:rFonts w:ascii="Arial" w:hAnsi="Arial" w:eastAsia="Arial" w:cs="Arial"/>
          <w:sz w:val="22"/>
          <w:szCs w:val="22"/>
          <w:lang w:val="en-US"/>
        </w:rPr>
        <w:t>indicate</w:t>
      </w:r>
      <w:r w:rsidRPr="5141BB62" w:rsidR="37EA544E">
        <w:rPr>
          <w:rFonts w:ascii="Arial" w:hAnsi="Arial" w:eastAsia="Arial" w:cs="Arial"/>
          <w:sz w:val="22"/>
          <w:szCs w:val="22"/>
          <w:lang w:val="en-US"/>
        </w:rPr>
        <w:t>, the issues that occurred in the case involving Lewis Blackman are not isolated but, instead, they are the effects of a bigger problem that involves patient safety in medical establishments (Ahmed et al., 2024).</w:t>
      </w:r>
    </w:p>
    <w:tbl>
      <w:tblPr>
        <w:tblStyle w:val="a"/>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964"/>
        <w:gridCol w:w="2863"/>
        <w:gridCol w:w="4189"/>
      </w:tblGrid>
      <w:tr w:rsidR="001F2B21" w:rsidTr="3EE7F6CF" w14:paraId="5CAB0D14" w14:textId="77777777">
        <w:tc>
          <w:tcPr>
            <w:tcW w:w="1964" w:type="dxa"/>
            <w:shd w:val="clear" w:color="auto" w:fill="4472C4" w:themeFill="accent1"/>
          </w:tcPr>
          <w:p w:rsidR="001F2B21" w:rsidRDefault="00096081" w14:paraId="67D63D4F" w14:textId="77777777">
            <w:pPr>
              <w:spacing w:line="360" w:lineRule="auto"/>
              <w:jc w:val="both"/>
              <w:rPr>
                <w:rFonts w:ascii="Arial" w:hAnsi="Arial" w:eastAsia="Arial" w:cs="Arial"/>
                <w:b/>
                <w:bCs/>
                <w:sz w:val="22"/>
                <w:szCs w:val="22"/>
              </w:rPr>
            </w:pPr>
            <w:r w:rsidRPr="3EE7F6CF">
              <w:rPr>
                <w:rFonts w:ascii="Arial" w:hAnsi="Arial" w:eastAsia="Arial" w:cs="Arial"/>
                <w:b/>
                <w:bCs/>
                <w:sz w:val="22"/>
                <w:szCs w:val="22"/>
              </w:rPr>
              <w:t>Source</w:t>
            </w:r>
          </w:p>
        </w:tc>
        <w:tc>
          <w:tcPr>
            <w:tcW w:w="2863" w:type="dxa"/>
            <w:shd w:val="clear" w:color="auto" w:fill="4472C4" w:themeFill="accent1"/>
          </w:tcPr>
          <w:p w:rsidR="001F2B21" w:rsidRDefault="00096081" w14:paraId="7F88271E" w14:textId="77777777">
            <w:pPr>
              <w:spacing w:line="360" w:lineRule="auto"/>
              <w:jc w:val="both"/>
              <w:rPr>
                <w:rFonts w:ascii="Arial" w:hAnsi="Arial" w:eastAsia="Arial" w:cs="Arial"/>
                <w:b/>
                <w:bCs/>
                <w:sz w:val="22"/>
                <w:szCs w:val="22"/>
              </w:rPr>
            </w:pPr>
            <w:r w:rsidRPr="3EE7F6CF">
              <w:rPr>
                <w:rFonts w:ascii="Arial" w:hAnsi="Arial" w:eastAsia="Arial" w:cs="Arial"/>
                <w:b/>
                <w:bCs/>
                <w:sz w:val="22"/>
                <w:szCs w:val="22"/>
              </w:rPr>
              <w:t>Statistic</w:t>
            </w:r>
          </w:p>
        </w:tc>
        <w:tc>
          <w:tcPr>
            <w:tcW w:w="4189" w:type="dxa"/>
            <w:shd w:val="clear" w:color="auto" w:fill="4472C4" w:themeFill="accent1"/>
          </w:tcPr>
          <w:p w:rsidR="001F2B21" w:rsidRDefault="00096081" w14:paraId="3B18B80A" w14:textId="77777777">
            <w:pPr>
              <w:spacing w:line="360" w:lineRule="auto"/>
              <w:jc w:val="both"/>
              <w:rPr>
                <w:rFonts w:ascii="Arial" w:hAnsi="Arial" w:eastAsia="Arial" w:cs="Arial"/>
                <w:b/>
                <w:bCs/>
                <w:sz w:val="22"/>
                <w:szCs w:val="22"/>
              </w:rPr>
            </w:pPr>
            <w:r w:rsidRPr="3EE7F6CF">
              <w:rPr>
                <w:rFonts w:ascii="Arial" w:hAnsi="Arial" w:eastAsia="Arial" w:cs="Arial"/>
                <w:b/>
                <w:bCs/>
                <w:sz w:val="22"/>
                <w:szCs w:val="22"/>
              </w:rPr>
              <w:t>Relevance</w:t>
            </w:r>
          </w:p>
        </w:tc>
      </w:tr>
      <w:tr w:rsidR="001F2B21" w:rsidTr="3EE7F6CF" w14:paraId="4D2A695A" w14:textId="77777777">
        <w:tc>
          <w:tcPr>
            <w:tcW w:w="1964" w:type="dxa"/>
          </w:tcPr>
          <w:p w:rsidR="001F2B21" w:rsidRDefault="00096081" w14:paraId="098BD567" w14:textId="77777777">
            <w:pPr>
              <w:spacing w:line="360" w:lineRule="auto"/>
              <w:jc w:val="both"/>
              <w:rPr>
                <w:rFonts w:ascii="Arial" w:hAnsi="Arial" w:eastAsia="Arial" w:cs="Arial"/>
                <w:sz w:val="22"/>
                <w:szCs w:val="22"/>
              </w:rPr>
            </w:pPr>
            <w:r w:rsidRPr="3EE7F6CF">
              <w:rPr>
                <w:rFonts w:ascii="Arial" w:hAnsi="Arial" w:eastAsia="Arial" w:cs="Arial"/>
                <w:b/>
                <w:bCs/>
                <w:sz w:val="22"/>
                <w:szCs w:val="22"/>
              </w:rPr>
              <w:t>WHO (2019)</w:t>
            </w:r>
          </w:p>
        </w:tc>
        <w:tc>
          <w:tcPr>
            <w:tcW w:w="2863" w:type="dxa"/>
          </w:tcPr>
          <w:p w:rsidR="001F2B21" w:rsidRDefault="00096081" w14:paraId="39DA6C02" w14:textId="77777777">
            <w:pPr>
              <w:spacing w:line="360" w:lineRule="auto"/>
              <w:jc w:val="both"/>
              <w:rPr>
                <w:rFonts w:ascii="Arial" w:hAnsi="Arial" w:eastAsia="Arial" w:cs="Arial"/>
                <w:sz w:val="22"/>
                <w:szCs w:val="22"/>
              </w:rPr>
            </w:pPr>
            <w:r w:rsidRPr="3EE7F6CF">
              <w:rPr>
                <w:rFonts w:ascii="Arial" w:hAnsi="Arial" w:eastAsia="Arial" w:cs="Arial"/>
                <w:sz w:val="22"/>
                <w:szCs w:val="22"/>
              </w:rPr>
              <w:t>1 in 10 patients harmed in hospital</w:t>
            </w:r>
          </w:p>
        </w:tc>
        <w:tc>
          <w:tcPr>
            <w:tcW w:w="4189" w:type="dxa"/>
          </w:tcPr>
          <w:p w:rsidR="001F2B21" w:rsidRDefault="00096081" w14:paraId="539378D3" w14:textId="77777777">
            <w:pPr>
              <w:spacing w:line="360" w:lineRule="auto"/>
              <w:jc w:val="both"/>
              <w:rPr>
                <w:rFonts w:ascii="Arial" w:hAnsi="Arial" w:eastAsia="Arial" w:cs="Arial"/>
                <w:sz w:val="22"/>
                <w:szCs w:val="22"/>
              </w:rPr>
            </w:pPr>
            <w:r w:rsidRPr="3EE7F6CF">
              <w:rPr>
                <w:rFonts w:ascii="Arial" w:hAnsi="Arial" w:eastAsia="Arial" w:cs="Arial"/>
                <w:sz w:val="22"/>
                <w:szCs w:val="22"/>
              </w:rPr>
              <w:t>Demonstrates the global impact of patient safety issues, including sepsis recognition failures</w:t>
            </w:r>
          </w:p>
        </w:tc>
      </w:tr>
      <w:tr w:rsidR="001F2B21" w:rsidTr="3EE7F6CF" w14:paraId="6E4A36F5" w14:textId="77777777">
        <w:tc>
          <w:tcPr>
            <w:tcW w:w="1964" w:type="dxa"/>
          </w:tcPr>
          <w:p w:rsidR="001F2B21" w:rsidRDefault="00096081" w14:paraId="32D7D4DD" w14:textId="77777777">
            <w:pPr>
              <w:spacing w:line="360" w:lineRule="auto"/>
              <w:jc w:val="both"/>
              <w:rPr>
                <w:rFonts w:ascii="Arial" w:hAnsi="Arial" w:eastAsia="Arial" w:cs="Arial"/>
                <w:sz w:val="22"/>
                <w:szCs w:val="22"/>
              </w:rPr>
            </w:pPr>
            <w:r w:rsidRPr="3EE7F6CF">
              <w:rPr>
                <w:rFonts w:ascii="Arial" w:hAnsi="Arial" w:eastAsia="Arial" w:cs="Arial"/>
                <w:b/>
                <w:bCs/>
                <w:sz w:val="22"/>
                <w:szCs w:val="22"/>
              </w:rPr>
              <w:t>NHS (2022)</w:t>
            </w:r>
          </w:p>
        </w:tc>
        <w:tc>
          <w:tcPr>
            <w:tcW w:w="2863" w:type="dxa"/>
          </w:tcPr>
          <w:p w:rsidR="001F2B21" w:rsidRDefault="00096081" w14:paraId="1EAB22B1" w14:textId="77777777">
            <w:pPr>
              <w:spacing w:line="360" w:lineRule="auto"/>
              <w:jc w:val="both"/>
              <w:rPr>
                <w:rFonts w:ascii="Arial" w:hAnsi="Arial" w:eastAsia="Arial" w:cs="Arial"/>
                <w:sz w:val="22"/>
                <w:szCs w:val="22"/>
              </w:rPr>
            </w:pPr>
            <w:r w:rsidRPr="3EE7F6CF">
              <w:rPr>
                <w:rFonts w:ascii="Arial" w:hAnsi="Arial" w:eastAsia="Arial" w:cs="Arial"/>
                <w:sz w:val="22"/>
                <w:szCs w:val="22"/>
              </w:rPr>
              <w:t>689,745 patient safety incidents in NHS hospitals (2020-2021)</w:t>
            </w:r>
          </w:p>
        </w:tc>
        <w:tc>
          <w:tcPr>
            <w:tcW w:w="4189" w:type="dxa"/>
          </w:tcPr>
          <w:p w:rsidR="001F2B21" w:rsidRDefault="00096081" w14:paraId="153A5118" w14:textId="77777777">
            <w:pPr>
              <w:spacing w:line="360" w:lineRule="auto"/>
              <w:jc w:val="both"/>
              <w:rPr>
                <w:rFonts w:ascii="Arial" w:hAnsi="Arial" w:eastAsia="Arial" w:cs="Arial"/>
                <w:sz w:val="22"/>
                <w:szCs w:val="22"/>
              </w:rPr>
            </w:pPr>
            <w:r w:rsidRPr="3EE7F6CF">
              <w:rPr>
                <w:rFonts w:ascii="Arial" w:hAnsi="Arial" w:eastAsia="Arial" w:cs="Arial"/>
                <w:sz w:val="22"/>
                <w:szCs w:val="22"/>
              </w:rPr>
              <w:t>Highlights the prevalence of preventable incidents and emphasizes the need for leadership and communication improvements</w:t>
            </w:r>
          </w:p>
        </w:tc>
      </w:tr>
      <w:tr w:rsidR="001F2B21" w:rsidTr="3EE7F6CF" w14:paraId="01F7EB32" w14:textId="77777777">
        <w:tc>
          <w:tcPr>
            <w:tcW w:w="1964" w:type="dxa"/>
          </w:tcPr>
          <w:p w:rsidR="001F2B21" w:rsidRDefault="00096081" w14:paraId="4C448631" w14:textId="77777777">
            <w:pPr>
              <w:spacing w:line="360" w:lineRule="auto"/>
              <w:jc w:val="both"/>
              <w:rPr>
                <w:rFonts w:ascii="Arial" w:hAnsi="Arial" w:eastAsia="Arial" w:cs="Arial"/>
                <w:sz w:val="22"/>
                <w:szCs w:val="22"/>
              </w:rPr>
            </w:pPr>
            <w:r w:rsidRPr="3EE7F6CF">
              <w:rPr>
                <w:rFonts w:ascii="Arial" w:hAnsi="Arial" w:eastAsia="Arial" w:cs="Arial"/>
                <w:b/>
                <w:bCs/>
                <w:sz w:val="22"/>
                <w:szCs w:val="22"/>
              </w:rPr>
              <w:t>IHI (2020)</w:t>
            </w:r>
          </w:p>
        </w:tc>
        <w:tc>
          <w:tcPr>
            <w:tcW w:w="2863" w:type="dxa"/>
          </w:tcPr>
          <w:p w:rsidR="001F2B21" w:rsidRDefault="00096081" w14:paraId="615E3C32" w14:textId="77777777">
            <w:pPr>
              <w:spacing w:line="360" w:lineRule="auto"/>
              <w:jc w:val="both"/>
              <w:rPr>
                <w:rFonts w:ascii="Arial" w:hAnsi="Arial" w:eastAsia="Arial" w:cs="Arial"/>
                <w:sz w:val="22"/>
                <w:szCs w:val="22"/>
              </w:rPr>
            </w:pPr>
            <w:r w:rsidRPr="3EE7F6CF">
              <w:rPr>
                <w:rFonts w:ascii="Arial" w:hAnsi="Arial" w:eastAsia="Arial" w:cs="Arial"/>
                <w:sz w:val="22"/>
                <w:szCs w:val="22"/>
              </w:rPr>
              <w:t>Medical error - 3rd leading cause of death</w:t>
            </w:r>
          </w:p>
        </w:tc>
        <w:tc>
          <w:tcPr>
            <w:tcW w:w="4189" w:type="dxa"/>
          </w:tcPr>
          <w:p w:rsidR="001F2B21" w:rsidRDefault="00096081" w14:paraId="6BD1AE45" w14:textId="77777777">
            <w:pPr>
              <w:spacing w:line="360" w:lineRule="auto"/>
              <w:jc w:val="both"/>
              <w:rPr>
                <w:rFonts w:ascii="Arial" w:hAnsi="Arial" w:eastAsia="Arial" w:cs="Arial"/>
                <w:sz w:val="22"/>
                <w:szCs w:val="22"/>
              </w:rPr>
            </w:pPr>
            <w:r w:rsidRPr="3EE7F6CF">
              <w:rPr>
                <w:rFonts w:ascii="Arial" w:hAnsi="Arial" w:eastAsia="Arial" w:cs="Arial"/>
                <w:sz w:val="22"/>
                <w:szCs w:val="22"/>
              </w:rPr>
              <w:t>Emphasizes the urgent need for effective leadership and proactive decision-making in healthcare</w:t>
            </w:r>
          </w:p>
        </w:tc>
      </w:tr>
      <w:tr w:rsidR="001F2B21" w:rsidTr="3EE7F6CF" w14:paraId="59AE1D95" w14:textId="77777777">
        <w:tc>
          <w:tcPr>
            <w:tcW w:w="1964" w:type="dxa"/>
          </w:tcPr>
          <w:p w:rsidR="001F2B21" w:rsidRDefault="00096081" w14:paraId="4C6B7141" w14:textId="77777777">
            <w:pPr>
              <w:spacing w:line="360" w:lineRule="auto"/>
              <w:jc w:val="both"/>
              <w:rPr>
                <w:rFonts w:ascii="Arial" w:hAnsi="Arial" w:eastAsia="Arial" w:cs="Arial"/>
                <w:sz w:val="22"/>
                <w:szCs w:val="22"/>
              </w:rPr>
            </w:pPr>
            <w:r w:rsidRPr="3EE7F6CF">
              <w:rPr>
                <w:rFonts w:ascii="Arial" w:hAnsi="Arial" w:eastAsia="Arial" w:cs="Arial"/>
                <w:b/>
                <w:bCs/>
                <w:sz w:val="22"/>
                <w:szCs w:val="22"/>
              </w:rPr>
              <w:t>Ahmed et al. (2024)</w:t>
            </w:r>
          </w:p>
        </w:tc>
        <w:tc>
          <w:tcPr>
            <w:tcW w:w="2863" w:type="dxa"/>
          </w:tcPr>
          <w:p w:rsidR="001F2B21" w:rsidRDefault="00096081" w14:paraId="66C239D1" w14:textId="77777777">
            <w:pPr>
              <w:spacing w:line="360" w:lineRule="auto"/>
              <w:jc w:val="both"/>
              <w:rPr>
                <w:rFonts w:ascii="Arial" w:hAnsi="Arial" w:eastAsia="Arial" w:cs="Arial"/>
                <w:sz w:val="22"/>
                <w:szCs w:val="22"/>
              </w:rPr>
            </w:pPr>
            <w:r w:rsidRPr="3EE7F6CF">
              <w:rPr>
                <w:rFonts w:ascii="Arial" w:hAnsi="Arial" w:eastAsia="Arial" w:cs="Arial"/>
                <w:sz w:val="22"/>
                <w:szCs w:val="22"/>
              </w:rPr>
              <w:t>32% of patient safety incidents involve communication breakdowns</w:t>
            </w:r>
          </w:p>
        </w:tc>
        <w:tc>
          <w:tcPr>
            <w:tcW w:w="4189" w:type="dxa"/>
          </w:tcPr>
          <w:p w:rsidR="001F2B21" w:rsidRDefault="00096081" w14:paraId="6E0B9410" w14:textId="77777777">
            <w:pPr>
              <w:spacing w:line="360" w:lineRule="auto"/>
              <w:jc w:val="both"/>
              <w:rPr>
                <w:rFonts w:ascii="Arial" w:hAnsi="Arial" w:eastAsia="Arial" w:cs="Arial"/>
                <w:sz w:val="22"/>
                <w:szCs w:val="22"/>
              </w:rPr>
            </w:pPr>
            <w:r w:rsidRPr="3EE7F6CF">
              <w:rPr>
                <w:rFonts w:ascii="Arial" w:hAnsi="Arial" w:eastAsia="Arial" w:cs="Arial"/>
                <w:sz w:val="22"/>
                <w:szCs w:val="22"/>
              </w:rPr>
              <w:t>Points to the role of poor communication in incidents like Blackman’s, where early signs of sepsis were not addressed</w:t>
            </w:r>
          </w:p>
        </w:tc>
      </w:tr>
      <w:tr w:rsidR="001F2B21" w:rsidTr="3EE7F6CF" w14:paraId="229680BD" w14:textId="77777777">
        <w:tc>
          <w:tcPr>
            <w:tcW w:w="1964" w:type="dxa"/>
          </w:tcPr>
          <w:p w:rsidR="001F2B21" w:rsidRDefault="00096081" w14:paraId="14FC9858" w14:textId="77777777">
            <w:pPr>
              <w:spacing w:line="360" w:lineRule="auto"/>
              <w:jc w:val="both"/>
              <w:rPr>
                <w:rFonts w:ascii="Arial" w:hAnsi="Arial" w:eastAsia="Arial" w:cs="Arial"/>
                <w:sz w:val="22"/>
                <w:szCs w:val="22"/>
              </w:rPr>
            </w:pPr>
            <w:r w:rsidRPr="3EE7F6CF">
              <w:rPr>
                <w:rFonts w:ascii="Arial" w:hAnsi="Arial" w:eastAsia="Arial" w:cs="Arial"/>
                <w:b/>
                <w:bCs/>
                <w:sz w:val="22"/>
                <w:szCs w:val="22"/>
              </w:rPr>
              <w:t>Cummings et al. (2010)</w:t>
            </w:r>
          </w:p>
        </w:tc>
        <w:tc>
          <w:tcPr>
            <w:tcW w:w="2863" w:type="dxa"/>
          </w:tcPr>
          <w:p w:rsidR="001F2B21" w:rsidRDefault="00096081" w14:paraId="074E2A38" w14:textId="77777777">
            <w:pPr>
              <w:spacing w:line="360" w:lineRule="auto"/>
              <w:jc w:val="both"/>
              <w:rPr>
                <w:rFonts w:ascii="Arial" w:hAnsi="Arial" w:eastAsia="Arial" w:cs="Arial"/>
                <w:sz w:val="22"/>
                <w:szCs w:val="22"/>
              </w:rPr>
            </w:pPr>
            <w:r w:rsidRPr="3EE7F6CF">
              <w:rPr>
                <w:rFonts w:ascii="Arial" w:hAnsi="Arial" w:eastAsia="Arial" w:cs="Arial"/>
                <w:sz w:val="22"/>
                <w:szCs w:val="22"/>
              </w:rPr>
              <w:t>24% of malpractice cases due to communication failures</w:t>
            </w:r>
          </w:p>
        </w:tc>
        <w:tc>
          <w:tcPr>
            <w:tcW w:w="4189" w:type="dxa"/>
          </w:tcPr>
          <w:p w:rsidR="001F2B21" w:rsidRDefault="00096081" w14:paraId="17E6A5B8" w14:textId="77777777">
            <w:pPr>
              <w:spacing w:line="360" w:lineRule="auto"/>
              <w:jc w:val="both"/>
              <w:rPr>
                <w:rFonts w:ascii="Arial" w:hAnsi="Arial" w:eastAsia="Arial" w:cs="Arial"/>
                <w:sz w:val="22"/>
                <w:szCs w:val="22"/>
              </w:rPr>
            </w:pPr>
            <w:r w:rsidRPr="3EE7F6CF">
              <w:rPr>
                <w:rFonts w:ascii="Arial" w:hAnsi="Arial" w:eastAsia="Arial" w:cs="Arial"/>
                <w:sz w:val="22"/>
                <w:szCs w:val="22"/>
              </w:rPr>
              <w:t>Reinforces how communication breakdowns in the Lewis Blackman case contributed to his preventable death</w:t>
            </w:r>
          </w:p>
        </w:tc>
      </w:tr>
      <w:tr w:rsidR="001F2B21" w:rsidTr="3EE7F6CF" w14:paraId="0DCDD0E8" w14:textId="77777777">
        <w:tc>
          <w:tcPr>
            <w:tcW w:w="1964" w:type="dxa"/>
          </w:tcPr>
          <w:p w:rsidR="001F2B21" w:rsidP="779A5D22" w:rsidRDefault="0FA687BF" w14:paraId="46B3E63E" w14:textId="77777777">
            <w:pPr>
              <w:spacing w:line="360" w:lineRule="auto"/>
              <w:jc w:val="both"/>
              <w:rPr>
                <w:rFonts w:ascii="Arial" w:hAnsi="Arial" w:eastAsia="Arial" w:cs="Arial"/>
                <w:sz w:val="22"/>
                <w:szCs w:val="22"/>
              </w:rPr>
            </w:pPr>
            <w:r w:rsidRPr="3EE7F6CF">
              <w:rPr>
                <w:rFonts w:ascii="Arial" w:hAnsi="Arial" w:eastAsia="Arial" w:cs="Arial"/>
                <w:b/>
                <w:bCs/>
                <w:sz w:val="22"/>
                <w:szCs w:val="22"/>
              </w:rPr>
              <w:t>Alanazi, Alshamlani &amp; Baker (2022)</w:t>
            </w:r>
          </w:p>
        </w:tc>
        <w:tc>
          <w:tcPr>
            <w:tcW w:w="2863" w:type="dxa"/>
          </w:tcPr>
          <w:p w:rsidR="001F2B21" w:rsidRDefault="00096081" w14:paraId="354CBA41" w14:textId="77777777">
            <w:pPr>
              <w:spacing w:line="360" w:lineRule="auto"/>
              <w:jc w:val="both"/>
              <w:rPr>
                <w:rFonts w:ascii="Arial" w:hAnsi="Arial" w:eastAsia="Arial" w:cs="Arial"/>
                <w:sz w:val="22"/>
                <w:szCs w:val="22"/>
              </w:rPr>
            </w:pPr>
            <w:r w:rsidRPr="3EE7F6CF">
              <w:rPr>
                <w:rFonts w:ascii="Arial" w:hAnsi="Arial" w:eastAsia="Arial" w:cs="Arial"/>
                <w:sz w:val="22"/>
                <w:szCs w:val="22"/>
              </w:rPr>
              <w:t>22% of incidents linked to leadership failures</w:t>
            </w:r>
          </w:p>
        </w:tc>
        <w:tc>
          <w:tcPr>
            <w:tcW w:w="4189" w:type="dxa"/>
          </w:tcPr>
          <w:p w:rsidR="001F2B21" w:rsidP="779A5D22" w:rsidRDefault="0FA687BF" w14:paraId="31469418" w14:textId="77777777">
            <w:pPr>
              <w:spacing w:line="360" w:lineRule="auto"/>
              <w:jc w:val="both"/>
              <w:rPr>
                <w:rFonts w:ascii="Arial" w:hAnsi="Arial" w:eastAsia="Arial" w:cs="Arial"/>
                <w:sz w:val="22"/>
                <w:szCs w:val="22"/>
                <w:lang w:val="en-US"/>
              </w:rPr>
            </w:pPr>
            <w:r w:rsidRPr="3EE7F6CF">
              <w:rPr>
                <w:rFonts w:ascii="Arial" w:hAnsi="Arial" w:eastAsia="Arial" w:cs="Arial"/>
                <w:sz w:val="22"/>
                <w:szCs w:val="22"/>
                <w:lang w:val="en-US"/>
              </w:rPr>
              <w:t>Demonstrates that leadership shortcomings, similar to those in the Blackman case, can hinder prompt medical intervention</w:t>
            </w:r>
          </w:p>
        </w:tc>
      </w:tr>
    </w:tbl>
    <w:p w:rsidR="001F2B21" w:rsidP="3EE7F6CF" w:rsidRDefault="437ABDFB" w14:paraId="5A2FE0D8" w14:textId="09941F96">
      <w:pPr>
        <w:pBdr>
          <w:top w:val="nil"/>
          <w:left w:val="nil"/>
          <w:bottom w:val="nil"/>
          <w:right w:val="nil"/>
          <w:between w:val="nil"/>
        </w:pBdr>
        <w:spacing w:after="0" w:line="360" w:lineRule="auto"/>
        <w:jc w:val="center"/>
        <w:rPr>
          <w:rFonts w:ascii="Arial" w:hAnsi="Arial" w:eastAsia="Arial" w:cs="Arial"/>
          <w:b/>
          <w:bCs/>
          <w:color w:val="000000"/>
          <w:sz w:val="22"/>
          <w:szCs w:val="22"/>
        </w:rPr>
      </w:pPr>
      <w:r w:rsidRPr="3EE7F6CF">
        <w:rPr>
          <w:rFonts w:ascii="Arial" w:hAnsi="Arial" w:eastAsia="Arial" w:cs="Arial"/>
          <w:b/>
          <w:bCs/>
          <w:color w:val="000000" w:themeColor="text1"/>
          <w:sz w:val="22"/>
          <w:szCs w:val="22"/>
        </w:rPr>
        <w:t>Figure 3 Patient Safety and Leadership Failures: Statistics Relevant to the Lewis Blackman Case</w:t>
      </w:r>
    </w:p>
    <w:p w:rsidR="545E003D" w:rsidP="3EE7F6CF" w:rsidRDefault="545E003D" w14:paraId="59BE200F" w14:textId="4F659F0D">
      <w:pPr>
        <w:pBdr>
          <w:top w:val="nil"/>
          <w:left w:val="nil"/>
          <w:bottom w:val="nil"/>
          <w:right w:val="nil"/>
          <w:between w:val="nil"/>
        </w:pBdr>
        <w:spacing w:after="0" w:line="360" w:lineRule="auto"/>
        <w:jc w:val="center"/>
        <w:rPr>
          <w:rFonts w:ascii="Arial" w:hAnsi="Arial" w:eastAsia="Arial" w:cs="Arial"/>
          <w:b/>
          <w:bCs/>
          <w:color w:val="000000" w:themeColor="text1"/>
          <w:sz w:val="22"/>
          <w:szCs w:val="22"/>
        </w:rPr>
      </w:pPr>
    </w:p>
    <w:p w:rsidR="001F2B21" w:rsidP="779A5D22" w:rsidRDefault="0FA687BF" w14:paraId="207C3A70" w14:textId="21F4AF09">
      <w:pPr>
        <w:spacing w:after="0" w:line="360" w:lineRule="auto"/>
        <w:jc w:val="center"/>
        <w:rPr>
          <w:rFonts w:ascii="Arial" w:hAnsi="Arial" w:eastAsia="Arial" w:cs="Arial"/>
          <w:b/>
          <w:bCs/>
          <w:color w:val="000000"/>
          <w:sz w:val="22"/>
          <w:szCs w:val="22"/>
        </w:rPr>
      </w:pPr>
      <w:r>
        <w:rPr>
          <w:noProof/>
        </w:rPr>
        <w:lastRenderedPageBreak/>
        <w:drawing>
          <wp:inline distT="0" distB="0" distL="0" distR="0" wp14:anchorId="6F5AC1F2" wp14:editId="4034C6C3">
            <wp:extent cx="6055087" cy="3755687"/>
            <wp:effectExtent l="0" t="0" r="0" b="0"/>
            <wp:docPr id="17551573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6055087" cy="3755687"/>
                    </a:xfrm>
                    <a:prstGeom prst="rect">
                      <a:avLst/>
                    </a:prstGeom>
                    <a:ln/>
                  </pic:spPr>
                </pic:pic>
              </a:graphicData>
            </a:graphic>
          </wp:inline>
        </w:drawing>
      </w:r>
      <w:r w:rsidRPr="3EE7F6CF">
        <w:rPr>
          <w:rFonts w:ascii="Arial" w:hAnsi="Arial" w:eastAsia="Arial" w:cs="Arial"/>
          <w:b/>
          <w:bCs/>
          <w:color w:val="000000" w:themeColor="text1"/>
          <w:sz w:val="22"/>
          <w:szCs w:val="22"/>
        </w:rPr>
        <w:t>Figure 4 NHS Patient Safety Incidents</w:t>
      </w:r>
    </w:p>
    <w:p w:rsidR="779A5D22" w:rsidP="779A5D22" w:rsidRDefault="779A5D22" w14:paraId="24E4A4FB" w14:textId="06C87817">
      <w:pPr>
        <w:spacing w:after="0" w:line="360" w:lineRule="auto"/>
        <w:jc w:val="center"/>
        <w:rPr>
          <w:rFonts w:ascii="Arial" w:hAnsi="Arial" w:eastAsia="Arial" w:cs="Arial"/>
          <w:b/>
          <w:bCs/>
          <w:color w:val="000000" w:themeColor="text1"/>
          <w:sz w:val="22"/>
          <w:szCs w:val="22"/>
        </w:rPr>
      </w:pPr>
    </w:p>
    <w:p w:rsidR="001F2B21" w:rsidRDefault="00096081" w14:paraId="2AA6544D" w14:textId="77777777">
      <w:pPr>
        <w:pStyle w:val="Heading3"/>
        <w:spacing w:before="0" w:after="0" w:line="360" w:lineRule="auto"/>
        <w:jc w:val="both"/>
        <w:rPr>
          <w:rFonts w:ascii="Arial" w:hAnsi="Arial" w:eastAsia="Arial" w:cs="Arial"/>
          <w:b w:val="1"/>
          <w:bCs w:val="1"/>
          <w:color w:val="000000"/>
          <w:sz w:val="22"/>
          <w:szCs w:val="22"/>
        </w:rPr>
      </w:pPr>
      <w:bookmarkStart w:name="_heading=h.3ixux1jmajce" w:id="12"/>
      <w:bookmarkEnd w:id="12"/>
      <w:r w:rsidRPr="5141BB62" w:rsidR="4700305B">
        <w:rPr>
          <w:rFonts w:ascii="Arial" w:hAnsi="Arial" w:eastAsia="Arial" w:cs="Arial"/>
          <w:b w:val="1"/>
          <w:bCs w:val="1"/>
          <w:color w:val="000000" w:themeColor="text1" w:themeTint="FF" w:themeShade="FF"/>
          <w:sz w:val="22"/>
          <w:szCs w:val="22"/>
        </w:rPr>
        <w:t>System and Governance Levels Weaknesses</w:t>
      </w:r>
    </w:p>
    <w:p w:rsidR="001F2B21" w:rsidP="779A5D22" w:rsidRDefault="0FA687BF" w14:paraId="383AFE95"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The weaknesses in the systems that resulted in the failure of the Lewis Blackman case might be traced to the system functioning at the different levels of governance in the healthcare structure (Acquaviva, Haskell &amp; Johnson, 2013). A challenge with effective communication was centralised decision-making at the local hospital level, which resulted in a delay in getting the deteriorating condition of Blackman escalated. Response to urgent clinical demands and frontline autonomy may be constrained by the hierarchical systems that have vested power in senior clinicians (Cummings et al., 2010). This case does not allow nurses and junior doctors to voice their concerns, and hence, the inability to find an efficient way to save the situation even when sepsis management guidelines are available (Ahmed et al., 2024). The absence of the standardised structures of escalation and a single system of control aggravated these risks at both regional and national levels (Alanazi, Alshamlani &amp; Baker, 2022). Medicare and Medicaid Services and the Joint Commission documentation testify to the fact that the lack of compliance with patient safety measures remains an ongoing problem, which is one of the expressions of the overall regulatory weaknesses of governance that facilitate preventable injuries (Anders, 2025).</w:t>
      </w:r>
    </w:p>
    <w:p w:rsidR="779A5D22" w:rsidP="779A5D22" w:rsidRDefault="779A5D22" w14:paraId="7FD43DFA" w14:textId="1E1DEDDB">
      <w:pPr>
        <w:spacing w:after="0" w:line="360" w:lineRule="auto"/>
        <w:jc w:val="both"/>
        <w:rPr>
          <w:rFonts w:ascii="Arial" w:hAnsi="Arial" w:eastAsia="Arial" w:cs="Arial"/>
          <w:sz w:val="22"/>
          <w:szCs w:val="22"/>
          <w:lang w:val="en-US"/>
        </w:rPr>
      </w:pPr>
    </w:p>
    <w:p w:rsidR="3EE7F6CF" w:rsidP="3EE7F6CF" w:rsidRDefault="3EE7F6CF" w14:paraId="3C4F3B37" w14:textId="25EBBF41">
      <w:pPr>
        <w:spacing w:after="0" w:line="360" w:lineRule="auto"/>
        <w:jc w:val="both"/>
        <w:rPr>
          <w:rFonts w:ascii="Arial" w:hAnsi="Arial" w:eastAsia="Arial" w:cs="Arial"/>
          <w:sz w:val="22"/>
          <w:szCs w:val="22"/>
          <w:lang w:val="en-US"/>
        </w:rPr>
      </w:pPr>
    </w:p>
    <w:p w:rsidR="001F2B21" w:rsidP="779A5D22" w:rsidRDefault="437ABDFB" w14:paraId="55CE4BC0" w14:textId="60542231">
      <w:pPr>
        <w:spacing w:after="0" w:line="360" w:lineRule="auto"/>
        <w:jc w:val="center"/>
        <w:rPr>
          <w:rFonts w:ascii="Arial" w:hAnsi="Arial" w:eastAsia="Arial" w:cs="Arial"/>
          <w:b/>
          <w:bCs/>
          <w:color w:val="44546A"/>
          <w:sz w:val="22"/>
          <w:szCs w:val="22"/>
          <w:lang w:val="en-US"/>
        </w:rPr>
      </w:pPr>
      <w:r>
        <w:rPr>
          <w:noProof/>
        </w:rPr>
        <w:lastRenderedPageBreak/>
        <w:drawing>
          <wp:inline distT="0" distB="0" distL="0" distR="0" wp14:anchorId="44FC0301" wp14:editId="2124F98A">
            <wp:extent cx="6134100" cy="3520440"/>
            <wp:effectExtent l="0" t="0" r="0" b="0"/>
            <wp:docPr id="17551573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6134100" cy="3520440"/>
                    </a:xfrm>
                    <a:prstGeom prst="rect">
                      <a:avLst/>
                    </a:prstGeom>
                    <a:ln/>
                  </pic:spPr>
                </pic:pic>
              </a:graphicData>
            </a:graphic>
          </wp:inline>
        </w:drawing>
      </w:r>
      <w:r w:rsidRPr="3EE7F6CF">
        <w:rPr>
          <w:rFonts w:ascii="Arial" w:hAnsi="Arial" w:eastAsia="Arial" w:cs="Arial"/>
          <w:b/>
          <w:bCs/>
          <w:color w:val="000000" w:themeColor="text1"/>
          <w:sz w:val="22"/>
          <w:szCs w:val="22"/>
          <w:lang w:val="en-US"/>
        </w:rPr>
        <w:t>Figure 5 A rich picture representing the Healthcare system</w:t>
      </w:r>
    </w:p>
    <w:p w:rsidR="001F2B21" w:rsidRDefault="00096081" w14:paraId="74546B45" w14:textId="77777777">
      <w:pPr>
        <w:spacing w:after="0" w:line="360" w:lineRule="auto"/>
        <w:jc w:val="both"/>
        <w:rPr>
          <w:rFonts w:ascii="Arial" w:hAnsi="Arial" w:eastAsia="Arial" w:cs="Arial"/>
          <w:b/>
          <w:bCs/>
          <w:sz w:val="22"/>
          <w:szCs w:val="22"/>
        </w:rPr>
      </w:pPr>
      <w:r w:rsidRPr="3EE7F6CF">
        <w:rPr>
          <w:rFonts w:ascii="Arial" w:hAnsi="Arial" w:eastAsia="Arial" w:cs="Arial"/>
          <w:b/>
          <w:bCs/>
          <w:sz w:val="22"/>
          <w:szCs w:val="22"/>
        </w:rPr>
        <w:t>Rich Picture</w:t>
      </w:r>
    </w:p>
    <w:p w:rsidR="001F2B21" w:rsidP="779A5D22" w:rsidRDefault="0FA687BF" w14:paraId="11000B2B"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An effort to illustrate the case of Lewis Blackman in a Rich Picture helps in explaining how human, organisational and structural factors were entangled enough to lead to the tragic occurrence (Acquaviva, Haskell &amp;Johnson, 2013). Poor communication between lower-level employees and top management created a feedback loop, which further led to the delay in relaying the significant information on the deteriorating condition of Blackman, in such a manner that actions could not be taken in time (Cummings et al., 2010). There was also more leadership restricting the decision-making as frontline clinicians were not authorised to make decisions, which reinforced the dependency on senior leaders (Alanazi, Alshamlani and Baker, 2022). The dependence on a few decision-makers who operated in contradicting positions simultaneously contributed to the slow nature of the clinical response (Hamdan et al., 2024). The time delays in the intervention reflected a broader absence of active leadership intervention and situation awareness (Huang et al., 2024). Combined, these interdependencies, like communication failures, leadership issues and structural hindrances, allow the identification of the potential risk improvement by the organisational design by chance. The need to decentralise the decision-making process, strengthen communication pathways, and enhance leadership development to enhance patient safety is therefore underlined by Rich Picture (Khusheim, 2025).</w:t>
      </w:r>
    </w:p>
    <w:p w:rsidR="001F2B21" w:rsidRDefault="00096081" w14:paraId="763F4CA5" w14:textId="77777777">
      <w:pPr>
        <w:pStyle w:val="Heading2"/>
        <w:spacing w:before="0" w:after="0" w:line="360" w:lineRule="auto"/>
        <w:jc w:val="both"/>
        <w:rPr>
          <w:rFonts w:ascii="Arial" w:hAnsi="Arial" w:eastAsia="Arial" w:cs="Arial"/>
          <w:b w:val="1"/>
          <w:bCs w:val="1"/>
          <w:color w:val="000000"/>
          <w:sz w:val="22"/>
          <w:szCs w:val="22"/>
        </w:rPr>
      </w:pPr>
      <w:bookmarkStart w:name="_heading=h.wit7ozm1arx2" w:id="14"/>
      <w:bookmarkEnd w:id="14"/>
      <w:r w:rsidRPr="5141BB62" w:rsidR="4700305B">
        <w:rPr>
          <w:rFonts w:ascii="Arial" w:hAnsi="Arial" w:eastAsia="Arial" w:cs="Arial"/>
          <w:b w:val="1"/>
          <w:bCs w:val="1"/>
          <w:color w:val="000000" w:themeColor="text1" w:themeTint="FF" w:themeShade="FF"/>
          <w:sz w:val="22"/>
          <w:szCs w:val="22"/>
        </w:rPr>
        <w:t>b. Centralization or Decentralization within the Case Study</w:t>
      </w:r>
      <w:r w:rsidRPr="5141BB62" w:rsidR="4700305B">
        <w:rPr>
          <w:rFonts w:ascii="Arial" w:hAnsi="Arial" w:eastAsia="Arial" w:cs="Arial"/>
          <w:b w:val="1"/>
          <w:bCs w:val="1"/>
          <w:color w:val="000000" w:themeColor="text1" w:themeTint="FF" w:themeShade="FF"/>
          <w:sz w:val="22"/>
          <w:szCs w:val="22"/>
        </w:rPr>
        <w:t xml:space="preserve"> </w:t>
      </w:r>
    </w:p>
    <w:p w:rsidR="001F2B21" w:rsidP="779A5D22" w:rsidRDefault="0FA687BF" w14:paraId="2A8E433B" w14:textId="77777777">
      <w:pPr>
        <w:pStyle w:val="Heading3"/>
        <w:spacing w:before="0" w:after="0" w:line="360" w:lineRule="auto"/>
        <w:jc w:val="both"/>
        <w:rPr>
          <w:rFonts w:ascii="Arial" w:hAnsi="Arial" w:eastAsia="Arial" w:cs="Arial"/>
          <w:b w:val="1"/>
          <w:bCs w:val="1"/>
          <w:color w:val="000000"/>
          <w:sz w:val="22"/>
          <w:szCs w:val="22"/>
          <w:lang w:val="en-US"/>
        </w:rPr>
      </w:pPr>
      <w:bookmarkStart w:name="_heading=h.njyob18jdau" w:id="16"/>
      <w:bookmarkEnd w:id="16"/>
      <w:r w:rsidRPr="5141BB62" w:rsidR="37EA544E">
        <w:rPr>
          <w:rFonts w:ascii="Arial" w:hAnsi="Arial" w:eastAsia="Arial" w:cs="Arial"/>
          <w:b w:val="1"/>
          <w:bCs w:val="1"/>
          <w:color w:val="000000" w:themeColor="text1" w:themeTint="FF" w:themeShade="FF"/>
          <w:sz w:val="22"/>
          <w:szCs w:val="22"/>
          <w:lang w:val="en-US"/>
        </w:rPr>
        <w:t xml:space="preserve">Healthcare </w:t>
      </w:r>
      <w:r w:rsidRPr="5141BB62" w:rsidR="37EA544E">
        <w:rPr>
          <w:rFonts w:ascii="Arial" w:hAnsi="Arial" w:eastAsia="Arial" w:cs="Arial"/>
          <w:b w:val="1"/>
          <w:bCs w:val="1"/>
          <w:color w:val="000000" w:themeColor="text1" w:themeTint="FF" w:themeShade="FF"/>
          <w:sz w:val="22"/>
          <w:szCs w:val="22"/>
          <w:lang w:val="en-US"/>
        </w:rPr>
        <w:t>Centralisation</w:t>
      </w:r>
      <w:r w:rsidRPr="5141BB62" w:rsidR="37EA544E">
        <w:rPr>
          <w:rFonts w:ascii="Arial" w:hAnsi="Arial" w:eastAsia="Arial" w:cs="Arial"/>
          <w:b w:val="1"/>
          <w:bCs w:val="1"/>
          <w:color w:val="000000" w:themeColor="text1" w:themeTint="FF" w:themeShade="FF"/>
          <w:sz w:val="22"/>
          <w:szCs w:val="22"/>
          <w:lang w:val="en-US"/>
        </w:rPr>
        <w:t xml:space="preserve"> of Systems</w:t>
      </w:r>
    </w:p>
    <w:p w:rsidR="001F2B21" w:rsidP="779A5D22" w:rsidRDefault="0FA687BF" w14:paraId="1175C300" w14:textId="49CC3FEB">
      <w:pPr>
        <w:spacing w:after="0" w:line="360" w:lineRule="auto"/>
        <w:jc w:val="both"/>
        <w:rPr>
          <w:rFonts w:ascii="Arial" w:hAnsi="Arial" w:eastAsia="Arial" w:cs="Arial"/>
          <w:sz w:val="22"/>
          <w:szCs w:val="22"/>
          <w:lang w:val="en-US"/>
        </w:rPr>
      </w:pPr>
      <w:r w:rsidRPr="63BD924E" w:rsidR="0FA687BF">
        <w:rPr>
          <w:rFonts w:ascii="Arial" w:hAnsi="Arial" w:eastAsia="Arial" w:cs="Arial"/>
          <w:sz w:val="22"/>
          <w:szCs w:val="22"/>
          <w:lang w:val="en-US"/>
        </w:rPr>
        <w:t xml:space="preserve">In </w:t>
      </w:r>
      <w:r w:rsidRPr="63BD924E" w:rsidR="0FA687BF">
        <w:rPr>
          <w:rFonts w:ascii="Arial" w:hAnsi="Arial" w:eastAsia="Arial" w:cs="Arial"/>
          <w:sz w:val="22"/>
          <w:szCs w:val="22"/>
          <w:lang w:val="en-US"/>
        </w:rPr>
        <w:t>centralised</w:t>
      </w:r>
      <w:r w:rsidRPr="63BD924E" w:rsidR="0FA687BF">
        <w:rPr>
          <w:rFonts w:ascii="Arial" w:hAnsi="Arial" w:eastAsia="Arial" w:cs="Arial"/>
          <w:sz w:val="22"/>
          <w:szCs w:val="22"/>
          <w:lang w:val="en-US"/>
        </w:rPr>
        <w:t xml:space="preserve"> healthcare systems, decision-making power is </w:t>
      </w:r>
      <w:r w:rsidRPr="63BD924E" w:rsidR="0FA687BF">
        <w:rPr>
          <w:rFonts w:ascii="Arial" w:hAnsi="Arial" w:eastAsia="Arial" w:cs="Arial"/>
          <w:sz w:val="22"/>
          <w:szCs w:val="22"/>
          <w:lang w:val="en-US"/>
        </w:rPr>
        <w:t>centralised</w:t>
      </w:r>
      <w:r w:rsidRPr="63BD924E" w:rsidR="0FA687BF">
        <w:rPr>
          <w:rFonts w:ascii="Arial" w:hAnsi="Arial" w:eastAsia="Arial" w:cs="Arial"/>
          <w:sz w:val="22"/>
          <w:szCs w:val="22"/>
          <w:lang w:val="en-US"/>
        </w:rPr>
        <w:t xml:space="preserve">, where authority is concentrated at the highest levels of the </w:t>
      </w:r>
      <w:r w:rsidRPr="63BD924E" w:rsidR="0FA687BF">
        <w:rPr>
          <w:rFonts w:ascii="Arial" w:hAnsi="Arial" w:eastAsia="Arial" w:cs="Arial"/>
          <w:sz w:val="22"/>
          <w:szCs w:val="22"/>
          <w:lang w:val="en-US"/>
        </w:rPr>
        <w:t>organisational</w:t>
      </w:r>
      <w:r w:rsidRPr="63BD924E" w:rsidR="0FA687BF">
        <w:rPr>
          <w:rFonts w:ascii="Arial" w:hAnsi="Arial" w:eastAsia="Arial" w:cs="Arial"/>
          <w:sz w:val="22"/>
          <w:szCs w:val="22"/>
          <w:lang w:val="en-US"/>
        </w:rPr>
        <w:t xml:space="preserve"> structure and, in most cases, it is in the senior clinical or managerial executives (Cummings et al., 2010). Such an order was a significant hindrance to prompt clinical intervention into the deteriorating state of the patient in the Lewis Blackman case (Acquaviva, Haskell &amp; Johnson, 2013). The senior staff still made critical decisions, but </w:t>
      </w:r>
      <w:r w:rsidRPr="63BD924E" w:rsidR="0FA687BF">
        <w:rPr>
          <w:rFonts w:ascii="Arial" w:hAnsi="Arial" w:eastAsia="Arial" w:cs="Arial"/>
          <w:sz w:val="22"/>
          <w:szCs w:val="22"/>
          <w:lang w:val="en-US"/>
        </w:rPr>
        <w:t>very little</w:t>
      </w:r>
      <w:r w:rsidRPr="63BD924E" w:rsidR="0FA687BF">
        <w:rPr>
          <w:rFonts w:ascii="Arial" w:hAnsi="Arial" w:eastAsia="Arial" w:cs="Arial"/>
          <w:sz w:val="22"/>
          <w:szCs w:val="22"/>
          <w:lang w:val="en-US"/>
        </w:rPr>
        <w:t xml:space="preserve"> was delegated, and the communication channels were not open enough, so it took a long time to escalate. The operation of the </w:t>
      </w:r>
      <w:r w:rsidRPr="63BD924E" w:rsidR="0FA687BF">
        <w:rPr>
          <w:rFonts w:ascii="Arial" w:hAnsi="Arial" w:eastAsia="Arial" w:cs="Arial"/>
          <w:sz w:val="22"/>
          <w:szCs w:val="22"/>
          <w:lang w:val="en-US"/>
        </w:rPr>
        <w:t>centralised</w:t>
      </w:r>
      <w:r w:rsidRPr="63BD924E" w:rsidR="0FA687BF">
        <w:rPr>
          <w:rFonts w:ascii="Arial" w:hAnsi="Arial" w:eastAsia="Arial" w:cs="Arial"/>
          <w:sz w:val="22"/>
          <w:szCs w:val="22"/>
          <w:lang w:val="en-US"/>
        </w:rPr>
        <w:t xml:space="preserve"> models is typically justified by the top-down authority structures, which restrict the autonomy of the frontline and reduce autonomous possibilities of nurses or junior physicians to take any urgent measures (Alanazi, </w:t>
      </w:r>
      <w:r w:rsidRPr="63BD924E" w:rsidR="0FA687BF">
        <w:rPr>
          <w:rFonts w:ascii="Arial" w:hAnsi="Arial" w:eastAsia="Arial" w:cs="Arial"/>
          <w:sz w:val="22"/>
          <w:szCs w:val="22"/>
          <w:lang w:val="en-US"/>
        </w:rPr>
        <w:t>Alshamlani</w:t>
      </w:r>
      <w:r w:rsidRPr="63BD924E" w:rsidR="0FA687BF">
        <w:rPr>
          <w:rFonts w:ascii="Arial" w:hAnsi="Arial" w:eastAsia="Arial" w:cs="Arial"/>
          <w:sz w:val="22"/>
          <w:szCs w:val="22"/>
          <w:lang w:val="en-US"/>
        </w:rPr>
        <w:t xml:space="preserve"> &amp; Baker, 2022). This leads to a communication bottleneck since crucial clinical information may not reach a decision-maker in time to prevent adverse effects (Hamdan et al., 2024). The insufficient knowledge of the symptoms of sepsis and the insufficient immediate response were indicators of the inappropriate decision-making based on the hierarchy in the case of Blackman. Despite the physiological damage being evident, it could not develop due to structural rigidity and later resulted in fatal consequences (Huang et al., 2024).The</w:t>
      </w:r>
      <w:r w:rsidRPr="63BD924E" w:rsidR="43AC9FE1">
        <w:rPr>
          <w:rFonts w:ascii="Arial" w:hAnsi="Arial" w:eastAsia="Arial" w:cs="Arial"/>
          <w:sz w:val="22"/>
          <w:szCs w:val="22"/>
          <w:lang w:val="en-US"/>
        </w:rPr>
        <w:t xml:space="preserve"> </w:t>
      </w:r>
      <w:r w:rsidRPr="63BD924E" w:rsidR="0FA687BF">
        <w:rPr>
          <w:rFonts w:ascii="Arial" w:hAnsi="Arial" w:eastAsia="Arial" w:cs="Arial"/>
          <w:sz w:val="22"/>
          <w:szCs w:val="22"/>
          <w:lang w:val="en-US"/>
        </w:rPr>
        <w:t>case, therefore, reveals the inability to respond swiftly in cases of urgent clinical action to be taken due to a lack of flexibility in hierarchical governance structures (</w:t>
      </w:r>
      <w:r w:rsidRPr="63BD924E" w:rsidR="0FA687BF">
        <w:rPr>
          <w:rFonts w:ascii="Arial" w:hAnsi="Arial" w:eastAsia="Arial" w:cs="Arial"/>
          <w:sz w:val="22"/>
          <w:szCs w:val="22"/>
          <w:lang w:val="en-US"/>
        </w:rPr>
        <w:t>Khusheim</w:t>
      </w:r>
      <w:r w:rsidRPr="63BD924E" w:rsidR="0FA687BF">
        <w:rPr>
          <w:rFonts w:ascii="Arial" w:hAnsi="Arial" w:eastAsia="Arial" w:cs="Arial"/>
          <w:sz w:val="22"/>
          <w:szCs w:val="22"/>
          <w:lang w:val="en-US"/>
        </w:rPr>
        <w:t>, 2025).</w:t>
      </w:r>
    </w:p>
    <w:p w:rsidR="001F2B21" w:rsidP="779A5D22" w:rsidRDefault="0FA687BF" w14:paraId="656D8916" w14:textId="3EF44791">
      <w:pPr>
        <w:spacing w:after="0" w:line="360" w:lineRule="auto"/>
        <w:jc w:val="center"/>
        <w:rPr>
          <w:rFonts w:ascii="Arial" w:hAnsi="Arial" w:eastAsia="Arial" w:cs="Arial"/>
          <w:b/>
          <w:bCs/>
          <w:color w:val="000000"/>
          <w:sz w:val="22"/>
          <w:szCs w:val="22"/>
          <w:lang w:val="en-US"/>
        </w:rPr>
      </w:pPr>
      <w:r>
        <w:rPr>
          <w:noProof/>
        </w:rPr>
        <w:drawing>
          <wp:inline distT="0" distB="0" distL="0" distR="0" wp14:anchorId="2F458923" wp14:editId="6177C303">
            <wp:extent cx="5730875" cy="3261360"/>
            <wp:effectExtent l="0" t="0" r="0" b="0"/>
            <wp:docPr id="17551573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0875" cy="3261360"/>
                    </a:xfrm>
                    <a:prstGeom prst="rect">
                      <a:avLst/>
                    </a:prstGeom>
                    <a:ln/>
                  </pic:spPr>
                </pic:pic>
              </a:graphicData>
            </a:graphic>
          </wp:inline>
        </w:drawing>
      </w:r>
      <w:r w:rsidRPr="3EE7F6CF">
        <w:rPr>
          <w:rFonts w:ascii="Arial" w:hAnsi="Arial" w:eastAsia="Arial" w:cs="Arial"/>
          <w:b/>
          <w:bCs/>
          <w:color w:val="000000" w:themeColor="text1"/>
          <w:sz w:val="22"/>
          <w:szCs w:val="22"/>
          <w:lang w:val="en-US"/>
        </w:rPr>
        <w:t>Figure 6 Centralisation vs Decentralisation in Healthcare</w:t>
      </w:r>
    </w:p>
    <w:p w:rsidR="001F2B21" w:rsidRDefault="00096081" w14:paraId="4050A835" w14:textId="77777777">
      <w:pPr>
        <w:pStyle w:val="Heading1"/>
        <w:rPr>
          <w:rFonts w:ascii="Arial" w:hAnsi="Arial" w:eastAsia="Arial" w:cs="Arial"/>
          <w:b w:val="1"/>
          <w:bCs w:val="1"/>
          <w:color w:val="000000"/>
          <w:sz w:val="22"/>
          <w:szCs w:val="22"/>
        </w:rPr>
      </w:pPr>
      <w:bookmarkStart w:name="_heading=h.8ssnu88673nd" w:id="18"/>
      <w:bookmarkEnd w:id="18"/>
      <w:r w:rsidRPr="5141BB62" w:rsidR="4700305B">
        <w:rPr>
          <w:rFonts w:ascii="Arial" w:hAnsi="Arial" w:eastAsia="Arial" w:cs="Arial"/>
          <w:b w:val="1"/>
          <w:bCs w:val="1"/>
          <w:color w:val="000000" w:themeColor="text1" w:themeTint="FF" w:themeShade="FF"/>
          <w:sz w:val="22"/>
          <w:szCs w:val="22"/>
        </w:rPr>
        <w:t>Centralization vs Decentralization</w:t>
      </w:r>
    </w:p>
    <w:p w:rsidR="001F2B21" w:rsidP="779A5D22" w:rsidRDefault="0FA687BF" w14:paraId="398A3DE4" w14:textId="77777777">
      <w:pPr>
        <w:pStyle w:val="Heading2"/>
        <w:rPr>
          <w:rFonts w:ascii="Arial" w:hAnsi="Arial" w:eastAsia="Arial" w:cs="Arial"/>
          <w:b w:val="1"/>
          <w:bCs w:val="1"/>
          <w:color w:val="000000"/>
          <w:sz w:val="22"/>
          <w:szCs w:val="22"/>
          <w:lang w:val="en-US"/>
        </w:rPr>
      </w:pPr>
      <w:bookmarkStart w:name="_heading=h.7ilc8n5memi1" w:id="20"/>
      <w:bookmarkEnd w:id="20"/>
      <w:r w:rsidRPr="5141BB62" w:rsidR="37EA544E">
        <w:rPr>
          <w:rFonts w:ascii="Arial" w:hAnsi="Arial" w:eastAsia="Arial" w:cs="Arial"/>
          <w:b w:val="1"/>
          <w:bCs w:val="1"/>
          <w:color w:val="000000" w:themeColor="text1" w:themeTint="FF" w:themeShade="FF"/>
          <w:sz w:val="22"/>
          <w:szCs w:val="22"/>
          <w:lang w:val="en-US"/>
        </w:rPr>
        <w:t>Centralisation</w:t>
      </w:r>
    </w:p>
    <w:p w:rsidR="001F2B21" w:rsidP="779A5D22" w:rsidRDefault="0FA687BF" w14:paraId="3B9CE49C" w14:textId="32934A1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The healthcare systems are centralised; thus, the decision-making powers are centralised to the senior leadership and the specialised departments to achieve uniformity in the clinical governance and the control of organisations (Krenyacz &amp; Revesz, 2025). In the case of Lewis Blackman, the centralised leadership strategy was more organised and could have ensured uniform supervision of senior physicians and adherence to the protocol of escalation when the state of the patient deteriorated. Centralised governance is generally associated with an increased level of strategic alignment and structured safety programmes that contribute to monitoring the conditions of patients more thoroughly and making the appropriate clinical choices in due time (Lee, Hyunjie, and Sang, 2022). Therefore, in the Lewis Blackman case, centralised oversight could have been productive in communication, appropriate control of junior doctors, and timely detection of sepsis, which would result in the reduction of the likelihood of medical negligence.</w:t>
      </w:r>
    </w:p>
    <w:p w:rsidR="001F2B21" w:rsidP="779A5D22" w:rsidRDefault="0FA687BF" w14:paraId="1AF62B40" w14:textId="77777777">
      <w:pPr>
        <w:pStyle w:val="Heading2"/>
        <w:rPr>
          <w:rFonts w:ascii="Arial" w:hAnsi="Arial" w:eastAsia="Arial" w:cs="Arial"/>
          <w:b w:val="1"/>
          <w:bCs w:val="1"/>
          <w:color w:val="000000"/>
          <w:sz w:val="22"/>
          <w:szCs w:val="22"/>
          <w:lang w:val="en-US"/>
        </w:rPr>
      </w:pPr>
      <w:bookmarkStart w:name="_heading=h.zbrehlr3o3yb" w:id="22"/>
      <w:bookmarkEnd w:id="22"/>
      <w:r w:rsidRPr="5141BB62" w:rsidR="37EA544E">
        <w:rPr>
          <w:rFonts w:ascii="Arial" w:hAnsi="Arial" w:eastAsia="Arial" w:cs="Arial"/>
          <w:b w:val="1"/>
          <w:bCs w:val="1"/>
          <w:color w:val="000000" w:themeColor="text1" w:themeTint="FF" w:themeShade="FF"/>
          <w:sz w:val="22"/>
          <w:szCs w:val="22"/>
          <w:lang w:val="en-US"/>
        </w:rPr>
        <w:t>Centralisation</w:t>
      </w:r>
      <w:r w:rsidRPr="5141BB62" w:rsidR="37EA544E">
        <w:rPr>
          <w:rFonts w:ascii="Arial" w:hAnsi="Arial" w:eastAsia="Arial" w:cs="Arial"/>
          <w:b w:val="1"/>
          <w:bCs w:val="1"/>
          <w:color w:val="000000" w:themeColor="text1" w:themeTint="FF" w:themeShade="FF"/>
          <w:sz w:val="22"/>
          <w:szCs w:val="22"/>
          <w:lang w:val="en-US"/>
        </w:rPr>
        <w:t>: Advantages and Disadvantages</w:t>
      </w:r>
    </w:p>
    <w:p w:rsidR="001F2B21" w:rsidP="779A5D22" w:rsidRDefault="0FA687BF" w14:paraId="27A4CB75"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The responsibility and accountability are also defined very well, which can be regarded as one of the considerable advantages of centralisation because the clinical decisions and safety measures are made by the top management (Krenyacz &amp; Revesz, 2025). This boosts patient safety monitoring, increases consistency in the policy, and the execution of safety programmes sponsored by the leaders, which can reduce adverse events by 28% (Lee, Hyunjie, and Sang, 2022). The leadership that is centrally located would have been able to offer early intervention by senior physicians of the Lewis Blackman case and reduce the delay in treatment by exposing physicians to strict supervision and well-structured escalation procedures. However, centralisation has its fair share of cons in the complex and time-consuming healthcare environments as well. The hierarchical attribute of authority, as depicted in the case, may lead to time-consuming decision-making and slow behavior of clinical reactions, as junior employees are required to depend extensively on senior physicians to consent to the decisions. Risks of strict hierarchies whereby decision making occurs at the frontline are also revealed by communication breakdowns, which are one of the causes of sentinel events in hospitals (Palweni, Malesela &amp; Randa, 2023). Additionally, systemic problems such as staffing issues, overcrowding of nurses per patient, and the absence of effective communication channels also pose a mortality risk, and researchers have established that as the number of patients per nurse increased, mortality risks increased by 7% (Moisoglou et al., 2026). Therefore, centralisation increases accountability and standardisation, yet excessive application of the hierarchical control can lead to the formation </w:t>
      </w:r>
      <w:r w:rsidRPr="3EE7F6CF">
        <w:rPr>
          <w:rFonts w:ascii="Arial" w:hAnsi="Arial" w:eastAsia="Arial" w:cs="Arial"/>
          <w:sz w:val="22"/>
          <w:szCs w:val="22"/>
          <w:lang w:val="en-US"/>
        </w:rPr>
        <w:lastRenderedPageBreak/>
        <w:t>of bottlenecks in the decision-making process, the inability to be flexible, and the lack of safety in the event of an emergency (Ratcharak, 2025).</w:t>
      </w:r>
    </w:p>
    <w:p w:rsidR="001F2B21" w:rsidP="779A5D22" w:rsidRDefault="0FA687BF" w14:paraId="6BE176E5" w14:textId="77777777">
      <w:pPr>
        <w:pStyle w:val="Heading2"/>
        <w:rPr>
          <w:rFonts w:ascii="Arial" w:hAnsi="Arial" w:eastAsia="Arial" w:cs="Arial"/>
          <w:b w:val="1"/>
          <w:bCs w:val="1"/>
          <w:color w:val="000000"/>
          <w:sz w:val="22"/>
          <w:szCs w:val="22"/>
          <w:lang w:val="en-US"/>
        </w:rPr>
      </w:pPr>
      <w:bookmarkStart w:name="_heading=h.it4zpikioutv" w:id="24"/>
      <w:bookmarkEnd w:id="24"/>
      <w:r w:rsidRPr="5141BB62" w:rsidR="37EA544E">
        <w:rPr>
          <w:rFonts w:ascii="Arial" w:hAnsi="Arial" w:eastAsia="Arial" w:cs="Arial"/>
          <w:b w:val="1"/>
          <w:bCs w:val="1"/>
          <w:color w:val="000000" w:themeColor="text1" w:themeTint="FF" w:themeShade="FF"/>
          <w:sz w:val="22"/>
          <w:szCs w:val="22"/>
          <w:lang w:val="en-US"/>
        </w:rPr>
        <w:t>Decentralised</w:t>
      </w:r>
      <w:r w:rsidRPr="5141BB62" w:rsidR="37EA544E">
        <w:rPr>
          <w:rFonts w:ascii="Arial" w:hAnsi="Arial" w:eastAsia="Arial" w:cs="Arial"/>
          <w:b w:val="1"/>
          <w:bCs w:val="1"/>
          <w:color w:val="000000" w:themeColor="text1" w:themeTint="FF" w:themeShade="FF"/>
          <w:sz w:val="22"/>
          <w:szCs w:val="22"/>
          <w:lang w:val="en-US"/>
        </w:rPr>
        <w:t xml:space="preserve"> Systems</w:t>
      </w:r>
    </w:p>
    <w:p w:rsidR="001F2B21" w:rsidP="779A5D22" w:rsidRDefault="437ABDFB" w14:paraId="1AE3F458" w14:textId="58B20584">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Decentralised systems, on the other hand, decentralize the decision-making process at different organisational levels, which allows the frontline workers to perform more efficiently according to the clinical requirements (Lee, Hyunjie &amp; Sang, 2022).The case of Lewis Blackman suggests that the decentralised system should have been properly designed to enable nurses and less experienced doctors to intensify care earlier or emergency treatment when the patient was displaying internal bleeding and sepsis. Decentralisation improves clinical judgement and makes situations in critical conditions more responsive by decentralising decisions (Palweni, Malesela &amp; Randa, 2023). The decentralised leadership has also facilitated agility in crisis management, wherein teamwork, communication, and shared responsibility of healthcare professionals are embraced (Ratcharak,2025).The decentralised governance was also identified to improve responsiveness in critical care environments and patient outcomes as a result of timely response and decision-making (Moisoglou et al., 2026). In the Lewis Blackman case, Decentralisation would have improved communication among nurses, junior physicians, and senior physicians since it would have assisted in the elimination of delays and unnecessary clinics being left unattended (Krenyacz &amp; Revesz, 2025).</w:t>
      </w:r>
    </w:p>
    <w:p w:rsidR="001F2B21" w:rsidP="779A5D22" w:rsidRDefault="0FA687BF" w14:paraId="70716A54" w14:textId="77777777">
      <w:pPr>
        <w:pStyle w:val="Heading2"/>
        <w:rPr>
          <w:rFonts w:ascii="Arial" w:hAnsi="Arial" w:eastAsia="Arial" w:cs="Arial"/>
          <w:b w:val="1"/>
          <w:bCs w:val="1"/>
          <w:color w:val="000000"/>
          <w:sz w:val="22"/>
          <w:szCs w:val="22"/>
          <w:lang w:val="en-US"/>
        </w:rPr>
      </w:pPr>
      <w:bookmarkStart w:name="_heading=h.ke7htx8b2me9" w:id="26"/>
      <w:bookmarkEnd w:id="26"/>
      <w:r w:rsidRPr="5141BB62" w:rsidR="37EA544E">
        <w:rPr>
          <w:rFonts w:ascii="Arial" w:hAnsi="Arial" w:eastAsia="Arial" w:cs="Arial"/>
          <w:b w:val="1"/>
          <w:bCs w:val="1"/>
          <w:color w:val="000000" w:themeColor="text1" w:themeTint="FF" w:themeShade="FF"/>
          <w:sz w:val="22"/>
          <w:szCs w:val="22"/>
          <w:lang w:val="en-US"/>
        </w:rPr>
        <w:t xml:space="preserve">Advantages and disadvantages of </w:t>
      </w:r>
      <w:r w:rsidRPr="5141BB62" w:rsidR="37EA544E">
        <w:rPr>
          <w:rFonts w:ascii="Arial" w:hAnsi="Arial" w:eastAsia="Arial" w:cs="Arial"/>
          <w:b w:val="1"/>
          <w:bCs w:val="1"/>
          <w:color w:val="000000" w:themeColor="text1" w:themeTint="FF" w:themeShade="FF"/>
          <w:sz w:val="22"/>
          <w:szCs w:val="22"/>
          <w:lang w:val="en-US"/>
        </w:rPr>
        <w:t>Decentralisation</w:t>
      </w:r>
    </w:p>
    <w:p w:rsidR="001F2B21" w:rsidP="779A5D22" w:rsidRDefault="437ABDFB" w14:paraId="7E0B5B3F" w14:textId="1E9F9ACC">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The example of Lewis Blackman provides a clear understanding of the advantages and disadvantages of the decentralised healthcare system. One of the main advantages of Decentralisation is that the ground-level medical workers acquire the permission to make localised and timely decisions, which are more responsive to the needs of patients and effective in clinical practice (Asif et al., 2019). The provided solution encourages an active follow-up of patients and the detection of complications at an early stage, which is highly demanded in preventing failure-to-rescue cases (Acquaviva, Haskell &amp; Johnson, 2013). However, unless there are good leadership and governance systems, a lack of coordination and unclear authority can also be instituted by Decentralisation. One of the reasons why the case of Lewis Blackman did not receive timely clinical intervention, and there was no communication between the workers of the care team, is the absence of effective senior supervision and coordination. In effect, it was proven that poor leadership and coordination can negatively affect the safety of patients, and efficient supervision and well-organized leadership can lead to higher outcomes by 30% (Ahmed et al., 2024; Althobaiti, 2026). This indicates that a lack of proper supervision of Decentralisation would lead to a lack of accountability as well as decision-making, which can be the cause of medical errors and </w:t>
      </w:r>
      <w:r w:rsidRPr="3EE7F6CF">
        <w:rPr>
          <w:rFonts w:ascii="Arial" w:hAnsi="Arial" w:eastAsia="Arial" w:cs="Arial"/>
          <w:sz w:val="22"/>
          <w:szCs w:val="22"/>
          <w:lang w:val="en-US"/>
        </w:rPr>
        <w:lastRenderedPageBreak/>
        <w:t>delayed treatment.</w:t>
      </w:r>
      <w:r w:rsidRPr="3EE7F6CF" w:rsidR="47AD77D8">
        <w:rPr>
          <w:rFonts w:ascii="Arial" w:hAnsi="Arial" w:eastAsia="Arial" w:cs="Arial"/>
          <w:sz w:val="22"/>
          <w:szCs w:val="22"/>
          <w:lang w:val="en-US"/>
        </w:rPr>
        <w:t xml:space="preserve"> </w:t>
      </w:r>
      <w:r w:rsidRPr="3EE7F6CF">
        <w:rPr>
          <w:rFonts w:ascii="Arial" w:hAnsi="Arial" w:eastAsia="Arial" w:cs="Arial"/>
          <w:sz w:val="22"/>
          <w:szCs w:val="22"/>
          <w:lang w:val="en-US"/>
        </w:rPr>
        <w:t>A lack of organised supervision and governance of the case with the care pathway of Lewis Blackman can be an example of how the decentralised systems may pose risks to safety due to the lack of clearly defined roles or responsibilities (Anders, 2025). As a result, a middle-ground of decentralised decision-making and control can be proposed that would improve the safety of the patients and prevent such a scenario in the medical facilities.</w:t>
      </w:r>
    </w:p>
    <w:p w:rsidR="001F2B21" w:rsidRDefault="00096081" w14:paraId="6649AFD3" w14:textId="77777777">
      <w:pPr>
        <w:pStyle w:val="Heading1"/>
        <w:rPr>
          <w:rFonts w:ascii="Arial" w:hAnsi="Arial" w:eastAsia="Arial" w:cs="Arial"/>
          <w:b w:val="1"/>
          <w:bCs w:val="1"/>
          <w:color w:val="000000"/>
          <w:sz w:val="22"/>
          <w:szCs w:val="22"/>
        </w:rPr>
      </w:pPr>
      <w:bookmarkStart w:name="_heading=h.zfpz4ihzo044" w:id="28"/>
      <w:bookmarkEnd w:id="28"/>
      <w:r w:rsidRPr="5141BB62" w:rsidR="4700305B">
        <w:rPr>
          <w:rFonts w:ascii="Arial" w:hAnsi="Arial" w:eastAsia="Arial" w:cs="Arial"/>
          <w:b w:val="1"/>
          <w:bCs w:val="1"/>
          <w:color w:val="000000" w:themeColor="text1" w:themeTint="FF" w:themeShade="FF"/>
          <w:sz w:val="22"/>
          <w:szCs w:val="22"/>
        </w:rPr>
        <w:t>Theory of leadership and its applicability</w:t>
      </w:r>
    </w:p>
    <w:p w:rsidR="001F2B21" w:rsidP="545E003D" w:rsidRDefault="437ABDFB" w14:paraId="306DFD44" w14:textId="04C0DDD2">
      <w:pPr>
        <w:pStyle w:val="Heading2"/>
        <w:rPr>
          <w:rFonts w:ascii="Arial" w:hAnsi="Arial" w:eastAsia="Arial" w:cs="Arial"/>
          <w:b w:val="1"/>
          <w:bCs w:val="1"/>
          <w:color w:val="000000"/>
          <w:sz w:val="22"/>
          <w:szCs w:val="22"/>
          <w:lang w:val="en-US"/>
        </w:rPr>
      </w:pPr>
      <w:bookmarkStart w:name="_heading=h.5lsirqox0pll" w:id="30"/>
      <w:bookmarkEnd w:id="30"/>
      <w:r w:rsidRPr="5141BB62" w:rsidR="37CBBF08">
        <w:rPr>
          <w:rFonts w:ascii="Arial" w:hAnsi="Arial" w:eastAsia="Arial" w:cs="Arial"/>
          <w:b w:val="1"/>
          <w:bCs w:val="1"/>
          <w:color w:val="000000" w:themeColor="text1" w:themeTint="FF" w:themeShade="FF"/>
          <w:sz w:val="22"/>
          <w:szCs w:val="22"/>
          <w:lang w:val="en-US"/>
        </w:rPr>
        <w:t xml:space="preserve">Theory of </w:t>
      </w:r>
      <w:r w:rsidRPr="5141BB62" w:rsidR="37CBBF08">
        <w:rPr>
          <w:rFonts w:ascii="Arial" w:hAnsi="Arial" w:eastAsia="Arial" w:cs="Arial"/>
          <w:b w:val="1"/>
          <w:bCs w:val="1"/>
          <w:color w:val="000000" w:themeColor="text1" w:themeTint="FF" w:themeShade="FF"/>
          <w:sz w:val="22"/>
          <w:szCs w:val="22"/>
          <w:lang w:val="en-US"/>
        </w:rPr>
        <w:t>Behaviour</w:t>
      </w:r>
      <w:r w:rsidRPr="5141BB62" w:rsidR="37CBBF08">
        <w:rPr>
          <w:rFonts w:ascii="Arial" w:hAnsi="Arial" w:eastAsia="Arial" w:cs="Arial"/>
          <w:b w:val="1"/>
          <w:bCs w:val="1"/>
          <w:color w:val="000000" w:themeColor="text1" w:themeTint="FF" w:themeShade="FF"/>
          <w:sz w:val="22"/>
          <w:szCs w:val="22"/>
          <w:lang w:val="en-US"/>
        </w:rPr>
        <w:t xml:space="preserve"> of Leadership</w:t>
      </w:r>
      <w:r w:rsidRPr="5141BB62" w:rsidR="50AD9EC0">
        <w:rPr>
          <w:rFonts w:ascii="Arial" w:hAnsi="Arial" w:eastAsia="Arial" w:cs="Arial"/>
          <w:b w:val="1"/>
          <w:bCs w:val="1"/>
          <w:color w:val="000000" w:themeColor="text1" w:themeTint="FF" w:themeShade="FF"/>
          <w:sz w:val="22"/>
          <w:szCs w:val="22"/>
          <w:lang w:val="en-US"/>
        </w:rPr>
        <w:t xml:space="preserve"> </w:t>
      </w:r>
    </w:p>
    <w:p w:rsidR="001F2B21" w:rsidP="3EE7F6CF" w:rsidRDefault="437ABDFB" w14:paraId="52F45E98" w14:textId="098BB128">
      <w:pPr>
        <w:spacing w:after="0" w:line="360" w:lineRule="auto"/>
        <w:jc w:val="both"/>
        <w:rPr>
          <w:rFonts w:ascii="Arial" w:hAnsi="Arial" w:eastAsia="Arial" w:cs="Arial"/>
          <w:color w:val="000000" w:themeColor="text1"/>
          <w:sz w:val="22"/>
          <w:szCs w:val="22"/>
          <w:lang w:val="en-US"/>
        </w:rPr>
      </w:pPr>
      <w:r w:rsidRPr="3EE7F6CF">
        <w:rPr>
          <w:rFonts w:ascii="Arial" w:hAnsi="Arial" w:eastAsia="Arial" w:cs="Arial"/>
          <w:sz w:val="22"/>
          <w:szCs w:val="22"/>
          <w:lang w:val="en-US"/>
        </w:rPr>
        <w:t>The leadership behaviour theory deals with observable behaviours of leaders, particularly those based on tasks and relationships that influence the communication and collaboration dimensions and decision-making within a healthcare setting (Sfantou et al., 2017; Silva et al., 2022). Task-oriented leadership is aimed at paying attention to protocols, supervision, and efficiency, and the relationship-oriented leadership is concerned with communication, support, and collaboration between healthcare workers (Sfantou et al., 2017; Silva et al., 2022). In many senses, leadership behaviour within the Lewis Blackman scenario was task-oriented as the health care specialists followed standard procedures and vertical organisational figures rather than encouraging communication and patient-centred care (Acquaviva, Haskell &amp; Johnson, 2013). Nurses and junior doctors observed the worsening of the patient but were not able to escalate it to the right level of concern because supportive leadership behaviour was not displayed in that context (Acquaviva, Haskell &amp; Johnson, 2013). Therefore, it is possible to refer to the behavioural theory to explain how leadership behaviour also facilitated communication and lagging intervention in the case (Ahmed et al., 2024; Alanazi, Alshamlani, and Baker, 2022).</w:t>
      </w:r>
      <w:r w:rsidRPr="3EE7F6CF" w:rsidR="44821ED6">
        <w:rPr>
          <w:rFonts w:ascii="Arial" w:hAnsi="Arial" w:eastAsia="Arial" w:cs="Arial"/>
          <w:color w:val="000000" w:themeColor="text1"/>
          <w:sz w:val="22"/>
          <w:szCs w:val="22"/>
          <w:lang w:val="en-US"/>
        </w:rPr>
        <w:t xml:space="preserve"> </w:t>
      </w:r>
    </w:p>
    <w:p w:rsidR="001F2B21" w:rsidP="779A5D22" w:rsidRDefault="437ABDFB" w14:paraId="365CEB53" w14:textId="29EA6CC5">
      <w:pPr>
        <w:spacing w:after="0" w:line="360" w:lineRule="auto"/>
        <w:jc w:val="both"/>
        <w:rPr>
          <w:rFonts w:ascii="Arial" w:hAnsi="Arial" w:eastAsia="Arial" w:cs="Arial"/>
          <w:sz w:val="22"/>
          <w:szCs w:val="22"/>
          <w:lang w:val="en-US"/>
        </w:rPr>
      </w:pPr>
      <w:r w:rsidRPr="1D0F9141" w:rsidR="437ABDFB">
        <w:rPr>
          <w:rFonts w:ascii="Arial" w:hAnsi="Arial" w:eastAsia="Arial" w:cs="Arial"/>
          <w:sz w:val="22"/>
          <w:szCs w:val="22"/>
          <w:lang w:val="en-US"/>
        </w:rPr>
        <w:t>However, the situational factors also play a vital role in leadership, and the rigid behavioural approaches cannot provide the outcomes in the complex healthcare environment (Sfantou et al., 2017; Althobaiti, 2026). Therefore, the case of Lewis Blackman cannot be described with the help of the leadership behaviour because the lack of organisational hierarchy also influenced the failure, the lack of clinical pressure, and the lack of supervision, which affected the decision-making (Anders, 2025; Cummings et al., 2010). Thus, the deficiency of leadership in the case of Lewis Blackman involved the deficit of supportive and directive leadership that would have made the situation escalate in the early stages and the coordination of the healthcare professionals to work more efficiently (Cerela-Boltunova &amp; Millere, 2025; Althobaiti, 2026).</w:t>
      </w:r>
    </w:p>
    <w:p w:rsidR="201AB908" w:rsidP="1D0F9141" w:rsidRDefault="201AB908" w14:paraId="346D40E2" w14:textId="7E034EB6">
      <w:pPr>
        <w:pStyle w:val="Normal"/>
        <w:keepNext w:val="1"/>
        <w:keepLines w:val="1"/>
        <w:spacing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1D0F9141" w:rsidR="201AB908">
        <w:rPr>
          <w:rFonts w:ascii="Arial" w:hAnsi="Arial" w:eastAsia="Arial" w:cs="Arial"/>
          <w:b w:val="1"/>
          <w:bCs w:val="1"/>
          <w:i w:val="0"/>
          <w:iCs w:val="0"/>
          <w:caps w:val="0"/>
          <w:smallCaps w:val="0"/>
          <w:noProof w:val="0"/>
          <w:color w:val="000000" w:themeColor="text1" w:themeTint="FF" w:themeShade="FF"/>
          <w:sz w:val="22"/>
          <w:szCs w:val="22"/>
          <w:lang w:val="en-US"/>
        </w:rPr>
        <w:t>Emergency Leadership vs. Proactive Leadership</w:t>
      </w:r>
    </w:p>
    <w:p w:rsidR="201AB908" w:rsidP="1D0F9141" w:rsidRDefault="201AB908" w14:paraId="2414930C" w14:textId="48BD1984">
      <w:pPr>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Lewis Blackman's case shows the example of reactive leadership when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the management</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as is typical of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centralised</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hierarchies that require multi-level approvals, responded to issues only at the last stages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Palweni</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Malesela</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&amp; Randa, 2023;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Ratcharak</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2025). Proactive leadership, on the other hand, is proactive and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anticipates</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the risk. This would have involved the early detection of sepsis and treatment in the case of Blackman (Silva et al., 2022). Demanding leaders are vigilant,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empower</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their staff, and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develop</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controlled reports and response protocols, reducing negative events and improving patient care (Restivo et al., 2022;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Sfantou</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2017; Rosen et al., 2018). Such a reactive approach delayed care, thereby creating a need for anticipatory, empowered, and well-coordinated leadership in healthcare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Palweni</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Malesela</w:t>
      </w:r>
      <w:r w:rsidRPr="1D0F9141" w:rsidR="201AB908">
        <w:rPr>
          <w:rFonts w:ascii="Arial" w:hAnsi="Arial" w:eastAsia="Arial" w:cs="Arial"/>
          <w:b w:val="0"/>
          <w:bCs w:val="0"/>
          <w:i w:val="0"/>
          <w:iCs w:val="0"/>
          <w:caps w:val="0"/>
          <w:smallCaps w:val="0"/>
          <w:noProof w:val="0"/>
          <w:color w:val="000000" w:themeColor="text1" w:themeTint="FF" w:themeShade="FF"/>
          <w:sz w:val="22"/>
          <w:szCs w:val="22"/>
          <w:lang w:val="en-US"/>
        </w:rPr>
        <w:t xml:space="preserve"> &amp; Randa, 2023).</w:t>
      </w:r>
    </w:p>
    <w:p w:rsidR="05B37097" w:rsidP="3EE7F6CF" w:rsidRDefault="05B37097" w14:paraId="5D2361B4" w14:textId="3AE8806A">
      <w:pPr>
        <w:keepNext/>
        <w:keepLines/>
        <w:spacing w:after="0" w:line="360" w:lineRule="auto"/>
        <w:jc w:val="both"/>
        <w:rPr>
          <w:rFonts w:ascii="Arial" w:hAnsi="Arial" w:eastAsia="Arial" w:cs="Arial"/>
          <w:color w:val="000000" w:themeColor="text1"/>
          <w:sz w:val="22"/>
          <w:szCs w:val="22"/>
          <w:lang w:val="en-US"/>
        </w:rPr>
      </w:pPr>
      <w:r w:rsidRPr="3EE7F6CF">
        <w:rPr>
          <w:rFonts w:ascii="Arial" w:hAnsi="Arial" w:eastAsia="Arial" w:cs="Arial"/>
          <w:b/>
          <w:bCs/>
          <w:color w:val="000000" w:themeColor="text1"/>
          <w:sz w:val="22"/>
          <w:szCs w:val="22"/>
          <w:lang w:val="en-US"/>
        </w:rPr>
        <w:t>Transformational Leadership in Practice</w:t>
      </w:r>
    </w:p>
    <w:p w:rsidR="05B37097" w:rsidP="3EE7F6CF" w:rsidRDefault="05B37097" w14:paraId="3B24D5FB" w14:textId="60CD2B40">
      <w:pPr>
        <w:spacing w:after="0" w:line="360" w:lineRule="auto"/>
        <w:jc w:val="both"/>
        <w:rPr>
          <w:rFonts w:ascii="Arial" w:hAnsi="Arial" w:eastAsia="Arial" w:cs="Arial"/>
          <w:color w:val="000000" w:themeColor="text1"/>
          <w:sz w:val="22"/>
          <w:szCs w:val="22"/>
          <w:lang w:val="en-US"/>
        </w:rPr>
      </w:pPr>
      <w:r w:rsidRPr="3EE7F6CF">
        <w:rPr>
          <w:rFonts w:ascii="Arial" w:hAnsi="Arial" w:eastAsia="Arial" w:cs="Arial"/>
          <w:color w:val="000000" w:themeColor="text1"/>
          <w:sz w:val="22"/>
          <w:szCs w:val="22"/>
          <w:lang w:val="en-US"/>
        </w:rPr>
        <w:t xml:space="preserve">The case of Lewis Blackman shows how the transformational leadership was clearly lacking, and this fact compromised patient safety. The culture of collective responsibility and </w:t>
      </w:r>
      <w:r w:rsidRPr="3EE7F6CF">
        <w:rPr>
          <w:rFonts w:ascii="Arial" w:hAnsi="Arial" w:eastAsia="Arial" w:cs="Arial"/>
          <w:color w:val="000000" w:themeColor="text1"/>
          <w:sz w:val="22"/>
          <w:szCs w:val="22"/>
          <w:lang w:val="en-US"/>
        </w:rPr>
        <w:lastRenderedPageBreak/>
        <w:t xml:space="preserve">transparency could not be established by the leadership, which limited the potential of the frontline clinicians to express their issues (Silva et al., 2022). Transformational leaders are also proactive in encouraging risk awareness and acting in a timely fashion, which results in the timely detection of such crucial symptoms as sepsis and timely escalation without bureaucracy (Restivo et al., 2022; Rosen et al., 2018). </w:t>
      </w:r>
    </w:p>
    <w:p w:rsidR="05B37097" w:rsidP="1D0F9141" w:rsidRDefault="05B37097" w14:paraId="1F877D2A" w14:textId="2B3680ED">
      <w:pPr>
        <w:spacing w:after="0" w:line="360" w:lineRule="auto"/>
        <w:jc w:val="center"/>
        <w:rPr>
          <w:rFonts w:ascii="Arial" w:hAnsi="Arial" w:eastAsia="Arial" w:cs="Arial"/>
          <w:b w:val="1"/>
          <w:bCs w:val="1"/>
          <w:color w:val="000000" w:themeColor="text1"/>
          <w:sz w:val="22"/>
          <w:szCs w:val="22"/>
        </w:rPr>
      </w:pPr>
      <w:r w:rsidR="05B37097">
        <w:drawing>
          <wp:inline wp14:editId="51993D43" wp14:anchorId="7CE8A94F">
            <wp:extent cx="5534025" cy="3209925"/>
            <wp:effectExtent l="0" t="0" r="0" b="0"/>
            <wp:docPr id="16808255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0825522" name="Picture 1680825522"/>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a:off x="0" y="0"/>
                      <a:ext cx="5534025" cy="3209925"/>
                    </a:xfrm>
                    <a:prstGeom prst="rect">
                      <a:avLst/>
                    </a:prstGeom>
                  </pic:spPr>
                </pic:pic>
              </a:graphicData>
            </a:graphic>
          </wp:inline>
        </w:drawing>
      </w:r>
      <w:r w:rsidRPr="1D0F9141" w:rsidR="00F8E7E5">
        <w:rPr>
          <w:rFonts w:ascii="Arial" w:hAnsi="Arial" w:eastAsia="Arial" w:cs="Arial"/>
          <w:b w:val="1"/>
          <w:bCs w:val="1"/>
          <w:color w:val="000000" w:themeColor="text1" w:themeTint="FF" w:themeShade="FF"/>
          <w:sz w:val="22"/>
          <w:szCs w:val="22"/>
        </w:rPr>
        <w:t>Figure 6 Transformational Leadership Impact on Patient Safety</w:t>
      </w:r>
    </w:p>
    <w:p w:rsidR="001F2B21" w:rsidRDefault="00096081" w14:paraId="300826AA" w14:textId="77777777">
      <w:pPr>
        <w:pStyle w:val="Heading2"/>
        <w:rPr>
          <w:rFonts w:ascii="Arial" w:hAnsi="Arial" w:eastAsia="Arial" w:cs="Arial"/>
          <w:b w:val="1"/>
          <w:bCs w:val="1"/>
          <w:color w:val="000000"/>
          <w:sz w:val="22"/>
          <w:szCs w:val="22"/>
        </w:rPr>
      </w:pPr>
      <w:bookmarkStart w:name="_heading=h.h64gadwnj6pu" w:id="33"/>
      <w:bookmarkEnd w:id="33"/>
      <w:r w:rsidRPr="5141BB62" w:rsidR="4700305B">
        <w:rPr>
          <w:rFonts w:ascii="Arial" w:hAnsi="Arial" w:eastAsia="Arial" w:cs="Arial"/>
          <w:b w:val="1"/>
          <w:bCs w:val="1"/>
          <w:color w:val="000000" w:themeColor="text1" w:themeTint="FF" w:themeShade="FF"/>
          <w:sz w:val="22"/>
          <w:szCs w:val="22"/>
        </w:rPr>
        <w:t>Tannenbaum Leadership Continuum and Schmidt Leadership Continuum</w:t>
      </w:r>
    </w:p>
    <w:p w:rsidR="001F2B21" w:rsidP="779A5D22" w:rsidRDefault="0FA687BF" w14:paraId="051F73AE"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The Tannenbaum and Schmidt Leadership Continuum is an authoritarian and democratic leadership model that is founded on the level of power and the participation of employees in the decision-making process (Sfantou et al., 2017; Silva et al., 2022). The model says that as an organisation needs to be more effective and communicate, the leadership should be capable of balancing the correct ratio between control and participation (Althobaiti, 2026; Anders, 2025). The style of leadership within the Lewis Blackman case was predominantly authoritarian, with decision-making centralised and dominated by the senior physicians, so that the nurses and junior doctors could not contribute significantly to clinical decision-making (Acquaviva, Haskell &amp; Johnson, 2013). Therefore, the leadership model decreased the flexibility and was characterized by a slow response rate to the worsening condition of the patient (Ahmed et al., 2024; Alanazi, Alshamlani, and Baker, 2022).</w:t>
      </w:r>
    </w:p>
    <w:p w:rsidR="001F2B21" w:rsidP="545E003D" w:rsidRDefault="437ABDFB" w14:paraId="62486C05" w14:textId="5D372C8B">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However, leadership success also depends on situational factors, and it depends on such factors as the structure of communication, supervision, and preparedness of the team (Sfantou et al., 2017; Cummings et al., 2010). Therefore, just the shift from authoritarian to participative leadership may not be likely to have more positive outcomes without enabling organisational </w:t>
      </w:r>
      <w:r w:rsidRPr="3EE7F6CF">
        <w:rPr>
          <w:rFonts w:ascii="Arial" w:hAnsi="Arial" w:eastAsia="Arial" w:cs="Arial"/>
          <w:sz w:val="22"/>
          <w:szCs w:val="22"/>
          <w:lang w:val="en-US"/>
        </w:rPr>
        <w:lastRenderedPageBreak/>
        <w:t>aspects (Althobaiti, 2026; Anders, 2025). Similarly, leaders must have the capacity to mentor, explain, and eradicate performance and team-building obstacles (Ahmed et al., 2024; Hamdan et al., 2024). Thus, in the case of Lewis Blackman, the leadership provided no explicit guidance and instruction, which limited coordination and delayed the escalation of the clinical situation, even though there were warning signs (Cerela-Boltunova &amp; Millere, 2025; Sfantou et al., 2017).</w:t>
      </w:r>
    </w:p>
    <w:p w:rsidR="001F2B21" w:rsidP="779A5D22" w:rsidRDefault="15DE8C30" w14:paraId="18595583" w14:textId="407A8D5A">
      <w:pPr>
        <w:spacing w:after="0" w:line="360" w:lineRule="auto"/>
        <w:jc w:val="both"/>
        <w:rPr>
          <w:rFonts w:ascii="Arial" w:hAnsi="Arial" w:eastAsia="Arial" w:cs="Arial"/>
          <w:sz w:val="22"/>
          <w:szCs w:val="22"/>
        </w:rPr>
      </w:pPr>
      <w:r>
        <w:rPr>
          <w:noProof/>
        </w:rPr>
        <w:drawing>
          <wp:inline distT="0" distB="0" distL="0" distR="0" wp14:anchorId="3D423F2B" wp14:editId="476B2AA8">
            <wp:extent cx="5866505" cy="4069590"/>
            <wp:effectExtent l="0" t="0" r="1270" b="7620"/>
            <wp:docPr id="175515732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866505" cy="4069590"/>
                    </a:xfrm>
                    <a:prstGeom prst="rect">
                      <a:avLst/>
                    </a:prstGeom>
                    <a:ln/>
                  </pic:spPr>
                </pic:pic>
              </a:graphicData>
            </a:graphic>
          </wp:inline>
        </w:drawing>
      </w:r>
      <w:r w:rsidRPr="3EE7F6CF" w:rsidR="437ABDFB">
        <w:rPr>
          <w:rFonts w:ascii="Arial" w:hAnsi="Arial" w:eastAsia="Arial" w:cs="Arial"/>
          <w:b/>
          <w:bCs/>
          <w:sz w:val="22"/>
          <w:szCs w:val="22"/>
        </w:rPr>
        <w:t>Source:(</w:t>
      </w:r>
      <w:r w:rsidRPr="3EE7F6CF" w:rsidR="437ABDFB">
        <w:rPr>
          <w:rFonts w:ascii="Arial" w:hAnsi="Arial" w:eastAsia="Arial" w:cs="Arial"/>
          <w:i/>
          <w:iCs/>
          <w:sz w:val="22"/>
          <w:szCs w:val="22"/>
        </w:rPr>
        <w:t xml:space="preserve">Tannenbaum-SchmidtLeadership Continuum </w:t>
      </w:r>
      <w:r w:rsidRPr="3EE7F6CF" w:rsidR="56A94E6C">
        <w:rPr>
          <w:rFonts w:ascii="Arial" w:hAnsi="Arial" w:eastAsia="Arial" w:cs="Arial"/>
          <w:i/>
          <w:iCs/>
          <w:sz w:val="22"/>
          <w:szCs w:val="22"/>
        </w:rPr>
        <w:t>-</w:t>
      </w:r>
      <w:r w:rsidRPr="3EE7F6CF" w:rsidR="437ABDFB">
        <w:rPr>
          <w:rFonts w:ascii="Arial" w:hAnsi="Arial" w:eastAsia="Arial" w:cs="Arial"/>
          <w:i/>
          <w:iCs/>
          <w:sz w:val="22"/>
          <w:szCs w:val="22"/>
        </w:rPr>
        <w:t>Expert Program Management</w:t>
      </w:r>
      <w:r w:rsidRPr="3EE7F6CF" w:rsidR="437ABDFB">
        <w:rPr>
          <w:rFonts w:ascii="Arial" w:hAnsi="Arial" w:eastAsia="Arial" w:cs="Arial"/>
          <w:sz w:val="22"/>
          <w:szCs w:val="22"/>
        </w:rPr>
        <w:t> 2018)</w:t>
      </w:r>
    </w:p>
    <w:p w:rsidR="001F2B21" w:rsidRDefault="00096081" w14:paraId="0C414369" w14:textId="77777777">
      <w:pPr>
        <w:pStyle w:val="Heading2"/>
        <w:rPr>
          <w:rFonts w:ascii="Arial" w:hAnsi="Arial" w:eastAsia="Arial" w:cs="Arial"/>
          <w:b w:val="1"/>
          <w:bCs w:val="1"/>
          <w:color w:val="000000"/>
          <w:sz w:val="22"/>
          <w:szCs w:val="22"/>
        </w:rPr>
      </w:pPr>
      <w:bookmarkStart w:name="_heading=h.9zjmfaa1ib6w" w:id="35"/>
      <w:bookmarkEnd w:id="35"/>
      <w:r w:rsidRPr="5141BB62" w:rsidR="4700305B">
        <w:rPr>
          <w:rFonts w:ascii="Arial" w:hAnsi="Arial" w:eastAsia="Arial" w:cs="Arial"/>
          <w:b w:val="1"/>
          <w:bCs w:val="1"/>
          <w:color w:val="000000" w:themeColor="text1" w:themeTint="FF" w:themeShade="FF"/>
          <w:sz w:val="22"/>
          <w:szCs w:val="22"/>
        </w:rPr>
        <w:t>Theory X and Theory Y</w:t>
      </w:r>
    </w:p>
    <w:p w:rsidR="001F2B21" w:rsidP="779A5D22" w:rsidRDefault="0FA687BF" w14:paraId="032DF5A9"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Both Theory X and Theory Y explain the influence of leadership beliefs about employees on organisational behaviour, communication, and performance (Sfantou et al., 2017; Silva et al., 2022). Theory X assumes employees should be tightly controlled and monitored, which leads to hierarchical and centralised leadership, unlike Theory Y, which assumes employees are self-motivated and can make responsible decisions in the enabling conditions (Acquaviva, Haskell, and Johnson, 2013; Ahmed et al., 2024). In the Lewis Blackman case, theory X played out in the rigid hierarchy of command and the inability of nurses and junior doctors to make decisions on their own to follow the command issued by senior doctors (Acquaviva, Haskell, and Johnson, 2013). Therefore, the exchange of information was minimal, and the symptoms of sepsis were not reported promptly, causing the delay in responding and poor patient outcomes (Alanazi, Alshamlani, and Baker, 2022; Anders, 2025).</w:t>
      </w:r>
    </w:p>
    <w:p w:rsidR="001F2B21" w:rsidP="545E003D" w:rsidRDefault="437ABDFB" w14:paraId="4DDBEF00" w14:textId="51F9943A">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lastRenderedPageBreak/>
        <w:t>However, the efficiency of leadership also depends on the needs of the situation, and in some cases, supervision is very crucial in hazardous medical environments (Sfantou et al., 2017; Althobaiti, 2026). Therefore, Theory X practices might be adequate in cases when high pressure or high risk must be achieved, but must be accompanied by flexibility and participation (Ahmed et al., 2024; Cummings et al., 2010). Similarly, successful leaders are also supposed to support and empower employees who fit the style to the requirements of employees and remove barriers to performance (Hamdan et al., 2024; Cerela-Boltunova &amp; Millere, 2025). Consequently, the decision-making process within the case involving Lewis Blackman would have been facilitated by a more lenient and participative approach to leadership, which would lead to efficient communication and appropriate decision-making on time and improved patient monitoring, thus improving patient safety (Althobaiti, 2026; Anders, 2025).</w:t>
      </w:r>
    </w:p>
    <w:p w:rsidR="001F2B21" w:rsidRDefault="658D90F2" w14:paraId="3461D779" w14:textId="77777777">
      <w:pPr>
        <w:spacing w:after="0" w:line="360" w:lineRule="auto"/>
        <w:jc w:val="both"/>
        <w:rPr>
          <w:rFonts w:ascii="Arial" w:hAnsi="Arial" w:eastAsia="Arial" w:cs="Arial"/>
          <w:sz w:val="22"/>
          <w:szCs w:val="22"/>
        </w:rPr>
      </w:pPr>
      <w:r>
        <w:rPr>
          <w:noProof/>
        </w:rPr>
        <w:drawing>
          <wp:inline distT="0" distB="0" distL="0" distR="0" wp14:anchorId="05B55EB4" wp14:editId="5337B225">
            <wp:extent cx="5678598" cy="3837434"/>
            <wp:effectExtent l="0" t="0" r="0" b="0"/>
            <wp:docPr id="17551573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678598" cy="3837434"/>
                    </a:xfrm>
                    <a:prstGeom prst="rect">
                      <a:avLst/>
                    </a:prstGeom>
                    <a:ln/>
                  </pic:spPr>
                </pic:pic>
              </a:graphicData>
            </a:graphic>
          </wp:inline>
        </w:drawing>
      </w:r>
    </w:p>
    <w:p w:rsidR="001F2B21" w:rsidP="3EE7F6CF" w:rsidRDefault="437ABDFB" w14:paraId="41B3A922" w14:textId="65ED7AB2">
      <w:pPr>
        <w:pBdr>
          <w:top w:val="nil"/>
          <w:left w:val="nil"/>
          <w:bottom w:val="nil"/>
          <w:right w:val="nil"/>
          <w:between w:val="nil"/>
        </w:pBdr>
        <w:spacing w:after="200" w:line="240" w:lineRule="auto"/>
        <w:jc w:val="center"/>
        <w:rPr>
          <w:rFonts w:ascii="Arial" w:hAnsi="Arial" w:eastAsia="Arial" w:cs="Arial"/>
          <w:b/>
          <w:bCs/>
          <w:sz w:val="22"/>
          <w:szCs w:val="22"/>
        </w:rPr>
      </w:pPr>
      <w:r w:rsidRPr="3EE7F6CF">
        <w:rPr>
          <w:rFonts w:ascii="Arial" w:hAnsi="Arial" w:eastAsia="Arial" w:cs="Arial"/>
          <w:b/>
          <w:bCs/>
          <w:color w:val="000000" w:themeColor="text1"/>
          <w:sz w:val="22"/>
          <w:szCs w:val="22"/>
        </w:rPr>
        <w:t>Figure 7 Understanding McGregor's Theory X and Theory Y: A Comprehensive Exploration</w:t>
      </w:r>
      <w:r w:rsidRPr="3EE7F6CF" w:rsidR="3C543D57">
        <w:rPr>
          <w:rFonts w:ascii="Arial" w:hAnsi="Arial" w:eastAsia="Arial" w:cs="Arial"/>
          <w:b/>
          <w:bCs/>
          <w:color w:val="000000" w:themeColor="text1"/>
          <w:sz w:val="22"/>
          <w:szCs w:val="22"/>
        </w:rPr>
        <w:t xml:space="preserve">         </w:t>
      </w:r>
      <w:r w:rsidRPr="3EE7F6CF" w:rsidR="3C543D57">
        <w:rPr>
          <w:rFonts w:ascii="Arial" w:hAnsi="Arial" w:eastAsia="Arial" w:cs="Arial"/>
          <w:b/>
          <w:bCs/>
          <w:sz w:val="22"/>
          <w:szCs w:val="22"/>
        </w:rPr>
        <w:t>Source:</w:t>
      </w:r>
      <w:r w:rsidRPr="3EE7F6CF" w:rsidR="3C543D57">
        <w:rPr>
          <w:rFonts w:ascii="Arial" w:hAnsi="Arial" w:eastAsia="Arial" w:cs="Arial"/>
          <w:b/>
          <w:bCs/>
          <w:color w:val="000000" w:themeColor="text1"/>
          <w:sz w:val="22"/>
          <w:szCs w:val="22"/>
        </w:rPr>
        <w:t xml:space="preserve"> </w:t>
      </w:r>
      <w:r w:rsidRPr="3EE7F6CF" w:rsidR="3C543D57">
        <w:rPr>
          <w:rFonts w:ascii="Arial" w:hAnsi="Arial" w:eastAsia="Arial" w:cs="Arial"/>
          <w:b/>
          <w:bCs/>
          <w:sz w:val="22"/>
          <w:szCs w:val="22"/>
        </w:rPr>
        <w:t>(</w:t>
      </w:r>
      <w:r w:rsidRPr="3EE7F6CF" w:rsidR="3C543D57">
        <w:rPr>
          <w:rFonts w:ascii="Arial" w:hAnsi="Arial" w:eastAsia="Arial" w:cs="Arial"/>
          <w:b/>
          <w:bCs/>
          <w:i/>
          <w:iCs/>
          <w:sz w:val="22"/>
          <w:szCs w:val="22"/>
        </w:rPr>
        <w:t>McGregor’s Theory X and Y: A Comprehensive Exploration</w:t>
      </w:r>
      <w:r w:rsidRPr="3EE7F6CF" w:rsidR="3C543D57">
        <w:rPr>
          <w:rFonts w:ascii="Arial" w:hAnsi="Arial" w:eastAsia="Arial" w:cs="Arial"/>
          <w:b/>
          <w:bCs/>
          <w:sz w:val="22"/>
          <w:szCs w:val="22"/>
        </w:rPr>
        <w:t> 2026)</w:t>
      </w:r>
    </w:p>
    <w:p w:rsidR="001F2B21" w:rsidRDefault="00096081" w14:paraId="331BE383" w14:textId="77777777">
      <w:pPr>
        <w:pStyle w:val="Heading2"/>
        <w:rPr>
          <w:rFonts w:ascii="Arial" w:hAnsi="Arial" w:eastAsia="Arial" w:cs="Arial"/>
          <w:b w:val="1"/>
          <w:bCs w:val="1"/>
          <w:color w:val="000000"/>
          <w:sz w:val="22"/>
          <w:szCs w:val="22"/>
        </w:rPr>
      </w:pPr>
      <w:bookmarkStart w:name="_heading=h.bqlau48k0rmd" w:id="37"/>
      <w:bookmarkEnd w:id="37"/>
      <w:r w:rsidRPr="5141BB62" w:rsidR="4700305B">
        <w:rPr>
          <w:rFonts w:ascii="Arial" w:hAnsi="Arial" w:eastAsia="Arial" w:cs="Arial"/>
          <w:b w:val="1"/>
          <w:bCs w:val="1"/>
          <w:color w:val="000000" w:themeColor="text1" w:themeTint="FF" w:themeShade="FF"/>
          <w:sz w:val="22"/>
          <w:szCs w:val="22"/>
        </w:rPr>
        <w:t>Critical Analysis</w:t>
      </w:r>
    </w:p>
    <w:p w:rsidR="001F2B21" w:rsidP="779A5D22" w:rsidRDefault="0FA687BF" w14:paraId="59DB1B77"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In the case of Lewis Blackman, the Behavioural Theory, Tannenbaum and Schmidt Leadership Continuum, and Theory X and Theory Y can be used to explain the leadership behaviour and decision-making as they offer a clear understanding of the significance of communication, participation, and leadership assumptions in healthcare (Sfantou et al., 2017; Silva et al., 2022; Acquaviva, Haskell and Johnson, 2013). Nevertheless, these theories pay </w:t>
      </w:r>
      <w:r w:rsidRPr="3EE7F6CF">
        <w:rPr>
          <w:rFonts w:ascii="Arial" w:hAnsi="Arial" w:eastAsia="Arial" w:cs="Arial"/>
          <w:sz w:val="22"/>
          <w:szCs w:val="22"/>
          <w:lang w:val="en-US"/>
        </w:rPr>
        <w:lastRenderedPageBreak/>
        <w:t>scarce attention to situational factors that produce an impact on clinical decisions and pay significant attention to leadership behaviour and authority (Althobaiti, 2026; Anders, 2025). The Contingency Theory proposed by Frieder suggests that the effectiveness of leadership is determined by the fit between the situation and the leadership style, the inflexibility of the behavioural patterns, and the authoritative decision-making in the Lewis Blackman case were not suitable in a complex clinical setting that demanded flexibility and coordination (Ahmed et al., 2024; Cummings et al., 2010). Similarly, Path-Goal Theory highlights that leaders are recommended to eliminate obstacles, give guidance, and assist the employees in attaining objectives (Hamdan et al., 2024; Cerela-Boltunova &amp; Millere, 2025). As a result, there was no supportive and participative leadership that curtailed communication and delayed clinical escalation (Alanazi, Alshamlani, and Baker, 2022; Anders, 2025). Thus, the combination of situational awareness and supportive leadership techniques would have enhanced the teamwork and patient safety outcomes in the Lewis Blackman case (Acquaviva, Haskell &amp; Johnson, 2013; Ahmed et al., 2024).</w:t>
      </w:r>
    </w:p>
    <w:p w:rsidR="779A5D22" w:rsidP="779A5D22" w:rsidRDefault="779A5D22" w14:paraId="5221808C" w14:textId="0F88FF0B">
      <w:pPr>
        <w:spacing w:after="0" w:line="360" w:lineRule="auto"/>
        <w:jc w:val="both"/>
        <w:rPr>
          <w:rFonts w:ascii="Arial" w:hAnsi="Arial" w:eastAsia="Arial" w:cs="Arial"/>
          <w:sz w:val="22"/>
          <w:szCs w:val="22"/>
          <w:lang w:val="en-US"/>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1885"/>
        <w:gridCol w:w="4503"/>
        <w:gridCol w:w="2628"/>
      </w:tblGrid>
      <w:tr w:rsidR="001F2B21" w:rsidTr="3EE7F6CF" w14:paraId="617CC390" w14:textId="77777777">
        <w:tc>
          <w:tcPr>
            <w:tcW w:w="1885" w:type="dxa"/>
          </w:tcPr>
          <w:p w:rsidR="001F2B21" w:rsidRDefault="00096081" w14:paraId="0455E04D" w14:textId="77777777">
            <w:pPr>
              <w:jc w:val="both"/>
              <w:rPr>
                <w:rFonts w:ascii="Arial" w:hAnsi="Arial" w:eastAsia="Arial" w:cs="Arial"/>
                <w:sz w:val="22"/>
                <w:szCs w:val="22"/>
              </w:rPr>
            </w:pPr>
            <w:r w:rsidRPr="3EE7F6CF">
              <w:rPr>
                <w:rFonts w:ascii="Arial" w:hAnsi="Arial" w:eastAsia="Arial" w:cs="Arial"/>
                <w:sz w:val="22"/>
                <w:szCs w:val="22"/>
              </w:rPr>
              <w:t>Theory</w:t>
            </w:r>
          </w:p>
        </w:tc>
        <w:tc>
          <w:tcPr>
            <w:tcW w:w="4503" w:type="dxa"/>
          </w:tcPr>
          <w:p w:rsidR="001F2B21" w:rsidRDefault="00096081" w14:paraId="5ED5794B" w14:textId="77777777">
            <w:pPr>
              <w:jc w:val="both"/>
              <w:rPr>
                <w:rFonts w:ascii="Arial" w:hAnsi="Arial" w:eastAsia="Arial" w:cs="Arial"/>
                <w:sz w:val="22"/>
                <w:szCs w:val="22"/>
              </w:rPr>
            </w:pPr>
            <w:r w:rsidRPr="3EE7F6CF">
              <w:rPr>
                <w:rFonts w:ascii="Arial" w:hAnsi="Arial" w:eastAsia="Arial" w:cs="Arial"/>
                <w:sz w:val="22"/>
                <w:szCs w:val="22"/>
              </w:rPr>
              <w:t>Application to the Lewis Blackman Case</w:t>
            </w:r>
          </w:p>
        </w:tc>
        <w:tc>
          <w:tcPr>
            <w:tcW w:w="2628" w:type="dxa"/>
          </w:tcPr>
          <w:p w:rsidR="001F2B21" w:rsidRDefault="00096081" w14:paraId="616D65B0" w14:textId="77777777">
            <w:pPr>
              <w:jc w:val="both"/>
              <w:rPr>
                <w:rFonts w:ascii="Arial" w:hAnsi="Arial" w:eastAsia="Arial" w:cs="Arial"/>
                <w:sz w:val="22"/>
                <w:szCs w:val="22"/>
              </w:rPr>
            </w:pPr>
            <w:r w:rsidRPr="3EE7F6CF">
              <w:rPr>
                <w:rFonts w:ascii="Arial" w:hAnsi="Arial" w:eastAsia="Arial" w:cs="Arial"/>
                <w:sz w:val="22"/>
                <w:szCs w:val="22"/>
              </w:rPr>
              <w:t>Supporting Evidence</w:t>
            </w:r>
          </w:p>
        </w:tc>
      </w:tr>
      <w:tr w:rsidR="001F2B21" w:rsidTr="3EE7F6CF" w14:paraId="3E4A51D2" w14:textId="77777777">
        <w:tc>
          <w:tcPr>
            <w:tcW w:w="1885" w:type="dxa"/>
          </w:tcPr>
          <w:p w:rsidR="001F2B21" w:rsidP="779A5D22" w:rsidRDefault="0FA687BF" w14:paraId="015E4C09" w14:textId="77777777">
            <w:pPr>
              <w:jc w:val="both"/>
              <w:rPr>
                <w:rFonts w:ascii="Arial" w:hAnsi="Arial" w:eastAsia="Arial" w:cs="Arial"/>
                <w:sz w:val="22"/>
                <w:szCs w:val="22"/>
                <w:lang w:val="en-US"/>
              </w:rPr>
            </w:pPr>
            <w:r w:rsidRPr="3EE7F6CF">
              <w:rPr>
                <w:rFonts w:ascii="Arial" w:hAnsi="Arial" w:eastAsia="Arial" w:cs="Arial"/>
                <w:sz w:val="22"/>
                <w:szCs w:val="22"/>
                <w:lang w:val="en-US"/>
              </w:rPr>
              <w:t>Behavioural Leadership Theory</w:t>
            </w:r>
          </w:p>
        </w:tc>
        <w:tc>
          <w:tcPr>
            <w:tcW w:w="4503" w:type="dxa"/>
          </w:tcPr>
          <w:p w:rsidR="001F2B21" w:rsidRDefault="00096081" w14:paraId="3B4A1D8C" w14:textId="77777777">
            <w:pPr>
              <w:jc w:val="both"/>
              <w:rPr>
                <w:rFonts w:ascii="Arial" w:hAnsi="Arial" w:eastAsia="Arial" w:cs="Arial"/>
                <w:sz w:val="22"/>
                <w:szCs w:val="22"/>
              </w:rPr>
            </w:pPr>
            <w:r w:rsidRPr="3EE7F6CF">
              <w:rPr>
                <w:rFonts w:ascii="Arial" w:hAnsi="Arial" w:eastAsia="Arial" w:cs="Arial"/>
                <w:sz w:val="22"/>
                <w:szCs w:val="22"/>
              </w:rPr>
              <w:t>Task-oriented leadership and hierarchical communication limited teamwork and delayed escalation of Lewis Blackman’s deteriorating condition, while relationship-oriented leadership could have improved communication and coordination among healthcare professionals.</w:t>
            </w:r>
          </w:p>
        </w:tc>
        <w:tc>
          <w:tcPr>
            <w:tcW w:w="2628" w:type="dxa"/>
          </w:tcPr>
          <w:p w:rsidR="001F2B21" w:rsidP="779A5D22" w:rsidRDefault="0FA687BF" w14:paraId="551CF108" w14:textId="77777777">
            <w:pPr>
              <w:jc w:val="both"/>
              <w:rPr>
                <w:rFonts w:ascii="Arial" w:hAnsi="Arial" w:eastAsia="Arial" w:cs="Arial"/>
                <w:sz w:val="22"/>
                <w:szCs w:val="22"/>
                <w:lang w:val="en-US"/>
              </w:rPr>
            </w:pPr>
            <w:r w:rsidRPr="3EE7F6CF">
              <w:rPr>
                <w:rFonts w:ascii="Arial" w:hAnsi="Arial" w:eastAsia="Arial" w:cs="Arial"/>
                <w:sz w:val="22"/>
                <w:szCs w:val="22"/>
                <w:lang w:val="en-US"/>
              </w:rPr>
              <w:t>Sfantou et al. (2017); Silva et al. (2022); Acquaviva, Haskell and Johnson (2013)</w:t>
            </w:r>
          </w:p>
        </w:tc>
      </w:tr>
      <w:tr w:rsidR="001F2B21" w:rsidTr="3EE7F6CF" w14:paraId="14E0B238" w14:textId="77777777">
        <w:tc>
          <w:tcPr>
            <w:tcW w:w="1885" w:type="dxa"/>
          </w:tcPr>
          <w:p w:rsidR="001F2B21" w:rsidRDefault="00096081" w14:paraId="52F43B95" w14:textId="77777777">
            <w:pPr>
              <w:jc w:val="both"/>
              <w:rPr>
                <w:rFonts w:ascii="Arial" w:hAnsi="Arial" w:eastAsia="Arial" w:cs="Arial"/>
                <w:sz w:val="22"/>
                <w:szCs w:val="22"/>
              </w:rPr>
            </w:pPr>
            <w:r w:rsidRPr="3EE7F6CF">
              <w:rPr>
                <w:rFonts w:ascii="Arial" w:hAnsi="Arial" w:eastAsia="Arial" w:cs="Arial"/>
                <w:sz w:val="22"/>
                <w:szCs w:val="22"/>
              </w:rPr>
              <w:t>Tannenbaum and Schmidt Leadership Continuum</w:t>
            </w:r>
          </w:p>
        </w:tc>
        <w:tc>
          <w:tcPr>
            <w:tcW w:w="4503" w:type="dxa"/>
          </w:tcPr>
          <w:p w:rsidR="001F2B21" w:rsidP="779A5D22" w:rsidRDefault="0FA687BF" w14:paraId="4ED9ED2F" w14:textId="77777777">
            <w:pPr>
              <w:jc w:val="both"/>
              <w:rPr>
                <w:rFonts w:ascii="Arial" w:hAnsi="Arial" w:eastAsia="Arial" w:cs="Arial"/>
                <w:sz w:val="22"/>
                <w:szCs w:val="22"/>
                <w:lang w:val="en-US"/>
              </w:rPr>
            </w:pPr>
            <w:r w:rsidRPr="3EE7F6CF">
              <w:rPr>
                <w:rFonts w:ascii="Arial" w:hAnsi="Arial" w:eastAsia="Arial" w:cs="Arial"/>
                <w:sz w:val="22"/>
                <w:szCs w:val="22"/>
                <w:lang w:val="en-US"/>
              </w:rPr>
              <w:t>Authoritarian and centralised leadership reduced participation of nurses and junior doctors in decision-making, which delayed timely intervention and clinical escalation in Lewis Blackman’s case.</w:t>
            </w:r>
          </w:p>
        </w:tc>
        <w:tc>
          <w:tcPr>
            <w:tcW w:w="2628" w:type="dxa"/>
          </w:tcPr>
          <w:p w:rsidR="001F2B21" w:rsidP="779A5D22" w:rsidRDefault="0FA687BF" w14:paraId="17EC7111" w14:textId="77777777">
            <w:pPr>
              <w:jc w:val="both"/>
              <w:rPr>
                <w:rFonts w:ascii="Arial" w:hAnsi="Arial" w:eastAsia="Arial" w:cs="Arial"/>
                <w:sz w:val="22"/>
                <w:szCs w:val="22"/>
                <w:lang w:val="en-US"/>
              </w:rPr>
            </w:pPr>
            <w:r w:rsidRPr="3EE7F6CF">
              <w:rPr>
                <w:rFonts w:ascii="Arial" w:hAnsi="Arial" w:eastAsia="Arial" w:cs="Arial"/>
                <w:sz w:val="22"/>
                <w:szCs w:val="22"/>
                <w:lang w:val="en-US"/>
              </w:rPr>
              <w:t>Tannenbaum and Schmidt (1958); Acquaviva, Haskell and Johnson (2013); Althobaiti (2026)</w:t>
            </w:r>
          </w:p>
        </w:tc>
      </w:tr>
      <w:tr w:rsidR="001F2B21" w:rsidTr="3EE7F6CF" w14:paraId="641ADCA4" w14:textId="77777777">
        <w:tc>
          <w:tcPr>
            <w:tcW w:w="1885" w:type="dxa"/>
          </w:tcPr>
          <w:p w:rsidR="001F2B21" w:rsidRDefault="00096081" w14:paraId="068BDB6B" w14:textId="77777777">
            <w:pPr>
              <w:jc w:val="both"/>
              <w:rPr>
                <w:rFonts w:ascii="Arial" w:hAnsi="Arial" w:eastAsia="Arial" w:cs="Arial"/>
                <w:sz w:val="22"/>
                <w:szCs w:val="22"/>
              </w:rPr>
            </w:pPr>
            <w:r w:rsidRPr="3EE7F6CF">
              <w:rPr>
                <w:rFonts w:ascii="Arial" w:hAnsi="Arial" w:eastAsia="Arial" w:cs="Arial"/>
                <w:sz w:val="22"/>
                <w:szCs w:val="22"/>
              </w:rPr>
              <w:t>Theory X and Theory Y</w:t>
            </w:r>
          </w:p>
        </w:tc>
        <w:tc>
          <w:tcPr>
            <w:tcW w:w="4503" w:type="dxa"/>
          </w:tcPr>
          <w:p w:rsidR="001F2B21" w:rsidRDefault="00096081" w14:paraId="0B77B040" w14:textId="77777777">
            <w:pPr>
              <w:jc w:val="both"/>
              <w:rPr>
                <w:rFonts w:ascii="Arial" w:hAnsi="Arial" w:eastAsia="Arial" w:cs="Arial"/>
                <w:sz w:val="22"/>
                <w:szCs w:val="22"/>
              </w:rPr>
            </w:pPr>
            <w:r w:rsidRPr="3EE7F6CF">
              <w:rPr>
                <w:rFonts w:ascii="Arial" w:hAnsi="Arial" w:eastAsia="Arial" w:cs="Arial"/>
                <w:sz w:val="22"/>
                <w:szCs w:val="22"/>
              </w:rPr>
              <w:t>Theory X assumptions led to strict supervision and rigid hierarchy, limiting communication and autonomy, while Theory Y could have encouraged teamwork, open communication, and early clinical decision-making to improve patient safety.</w:t>
            </w:r>
          </w:p>
        </w:tc>
        <w:tc>
          <w:tcPr>
            <w:tcW w:w="2628" w:type="dxa"/>
          </w:tcPr>
          <w:p w:rsidR="001F2B21" w:rsidP="779A5D22" w:rsidRDefault="0FA687BF" w14:paraId="666B8407" w14:textId="77777777">
            <w:pPr>
              <w:jc w:val="both"/>
              <w:rPr>
                <w:rFonts w:ascii="Arial" w:hAnsi="Arial" w:eastAsia="Arial" w:cs="Arial"/>
                <w:sz w:val="22"/>
                <w:szCs w:val="22"/>
                <w:lang w:val="en-US"/>
              </w:rPr>
            </w:pPr>
            <w:r w:rsidRPr="3EE7F6CF">
              <w:rPr>
                <w:rFonts w:ascii="Arial" w:hAnsi="Arial" w:eastAsia="Arial" w:cs="Arial"/>
                <w:sz w:val="22"/>
                <w:szCs w:val="22"/>
                <w:lang w:val="en-US"/>
              </w:rPr>
              <w:t>McGregor (1960); Ahmed et al. (2024); Alanazi, Alshamlani and Baker (2022); Acquaviva, Haskell and Johnson (2013)</w:t>
            </w:r>
          </w:p>
        </w:tc>
      </w:tr>
    </w:tbl>
    <w:p w:rsidR="001F2B21" w:rsidP="3EE7F6CF" w:rsidRDefault="381B12EA" w14:paraId="79EFA661" w14:textId="77777777">
      <w:pPr>
        <w:jc w:val="center"/>
        <w:rPr>
          <w:rFonts w:ascii="Arial" w:hAnsi="Arial" w:eastAsia="Arial" w:cs="Arial"/>
          <w:b/>
          <w:bCs/>
        </w:rPr>
      </w:pPr>
      <w:r w:rsidRPr="3EE7F6CF">
        <w:rPr>
          <w:rFonts w:ascii="Arial" w:hAnsi="Arial" w:eastAsia="Arial" w:cs="Arial"/>
          <w:b/>
          <w:bCs/>
        </w:rPr>
        <w:t>Table: Leadership Theories, Application in Lewis Blackman Case, and Evidence</w:t>
      </w:r>
    </w:p>
    <w:p w:rsidR="001F2B21" w:rsidP="3EE7F6CF" w:rsidRDefault="001F2B21" w14:paraId="3CF2D8B6" w14:textId="32370ED6">
      <w:pPr>
        <w:jc w:val="center"/>
        <w:rPr>
          <w:rFonts w:ascii="Arial" w:hAnsi="Arial" w:eastAsia="Arial" w:cs="Arial"/>
        </w:rPr>
      </w:pPr>
    </w:p>
    <w:p w:rsidR="001F2B21" w:rsidRDefault="00096081" w14:paraId="6DBF7524" w14:textId="77777777">
      <w:pPr>
        <w:pStyle w:val="Heading1"/>
        <w:spacing w:before="0" w:after="0" w:line="360" w:lineRule="auto"/>
        <w:jc w:val="both"/>
        <w:rPr>
          <w:rFonts w:ascii="Arial" w:hAnsi="Arial" w:eastAsia="Arial" w:cs="Arial"/>
          <w:b w:val="1"/>
          <w:bCs w:val="1"/>
          <w:color w:val="000000"/>
          <w:sz w:val="22"/>
          <w:szCs w:val="22"/>
        </w:rPr>
      </w:pPr>
      <w:bookmarkStart w:name="_heading=h.4hoq0e9e5gl" w:id="39"/>
      <w:bookmarkEnd w:id="39"/>
      <w:r w:rsidRPr="5141BB62" w:rsidR="4700305B">
        <w:rPr>
          <w:rFonts w:ascii="Arial" w:hAnsi="Arial" w:eastAsia="Arial" w:cs="Arial"/>
          <w:b w:val="1"/>
          <w:bCs w:val="1"/>
          <w:color w:val="000000" w:themeColor="text1" w:themeTint="FF" w:themeShade="FF"/>
          <w:sz w:val="22"/>
          <w:szCs w:val="22"/>
        </w:rPr>
        <w:t>d. Improvement, and Lessons Learned</w:t>
      </w:r>
    </w:p>
    <w:p w:rsidR="001F2B21" w:rsidRDefault="00096081" w14:paraId="23132CFE" w14:textId="77777777">
      <w:pPr>
        <w:pStyle w:val="Heading2"/>
        <w:spacing w:before="0" w:after="0" w:line="360" w:lineRule="auto"/>
        <w:jc w:val="both"/>
        <w:rPr>
          <w:rFonts w:ascii="Arial" w:hAnsi="Arial" w:eastAsia="Arial" w:cs="Arial"/>
          <w:b w:val="1"/>
          <w:bCs w:val="1"/>
          <w:color w:val="000000"/>
          <w:sz w:val="22"/>
          <w:szCs w:val="22"/>
        </w:rPr>
      </w:pPr>
      <w:bookmarkStart w:name="_heading=h.sc87av7wezs" w:id="41"/>
      <w:bookmarkEnd w:id="41"/>
      <w:r w:rsidRPr="5141BB62" w:rsidR="4700305B">
        <w:rPr>
          <w:rFonts w:ascii="Arial" w:hAnsi="Arial" w:eastAsia="Arial" w:cs="Arial"/>
          <w:b w:val="1"/>
          <w:bCs w:val="1"/>
          <w:color w:val="000000" w:themeColor="text1" w:themeTint="FF" w:themeShade="FF"/>
          <w:sz w:val="22"/>
          <w:szCs w:val="22"/>
        </w:rPr>
        <w:t>Leadership and Governance Interaction</w:t>
      </w:r>
    </w:p>
    <w:p w:rsidR="001F2B21" w:rsidP="779A5D22" w:rsidRDefault="437ABDFB" w14:paraId="76929178" w14:textId="06188B8A">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The Lewis Blackman case illustrates that the relationship between leadership and governance to influence the outcomes of patient safety is complicated (Singer et al., 2009). This failure by the leadership to act decisively and promptly also resulted in the same fatality that would have </w:t>
      </w:r>
      <w:r w:rsidRPr="3EE7F6CF">
        <w:rPr>
          <w:rFonts w:ascii="Arial" w:hAnsi="Arial" w:eastAsia="Arial" w:cs="Arial"/>
          <w:sz w:val="22"/>
          <w:szCs w:val="22"/>
          <w:lang w:val="en-US"/>
        </w:rPr>
        <w:lastRenderedPageBreak/>
        <w:t>been avoided. One of the most valuable lessons is the responsibility and decision-making in healthcare organisations with a structure (Välimäki et al.,2024). The regime that was adopted was centralised, which created a concentration of power in the upper hierarchy, creating a bottleneck that slowed down the speed of solving the worsening condition of Blackman (Weaver, Lubomksi et al., 2013). Frontline clinicians were unable to make decisions in time so that they could build the flexibility and responsiveness. This did not allow local autonomy either, which stifled communication since employees felt inhibited by the hierarchy processes and were unable to bring their concerns up in a practical way (West et al., 2014). This type of delay is particularly hazardous in situations where time is of the essence. The decision-making process should have been decentralised to improve crisis management because frontline providers would be able to make concrete decisions without senior authorisation and become more responsive and agile (Weaver, Dy &amp; Rosen, 2014).  Leadership training that would equip the senior and junior staff with the skills to handle a crisis effectively should have been offered to them; in this instance, leadership training with a focus on emotional intelligence, situational awareness, and distributed leadership would have been suitable (Stevenson, Spittal &amp; Studdert, 2013; TA, 2024).</w:t>
      </w:r>
    </w:p>
    <w:p w:rsidR="001F2B21" w:rsidRDefault="00096081" w14:paraId="2429D34F" w14:textId="77777777">
      <w:pPr>
        <w:pStyle w:val="Heading2"/>
        <w:spacing w:before="0" w:after="0" w:line="360" w:lineRule="auto"/>
        <w:jc w:val="both"/>
        <w:rPr>
          <w:rFonts w:ascii="Arial" w:hAnsi="Arial" w:eastAsia="Arial" w:cs="Arial"/>
          <w:b w:val="1"/>
          <w:bCs w:val="1"/>
          <w:color w:val="000000"/>
          <w:sz w:val="22"/>
          <w:szCs w:val="22"/>
        </w:rPr>
      </w:pPr>
      <w:bookmarkStart w:name="_heading=h.vtioqpqdf4ov" w:id="43"/>
      <w:bookmarkEnd w:id="43"/>
      <w:r w:rsidRPr="5141BB62" w:rsidR="4700305B">
        <w:rPr>
          <w:rFonts w:ascii="Arial" w:hAnsi="Arial" w:eastAsia="Arial" w:cs="Arial"/>
          <w:b w:val="1"/>
          <w:bCs w:val="1"/>
          <w:color w:val="000000" w:themeColor="text1" w:themeTint="FF" w:themeShade="FF"/>
          <w:sz w:val="22"/>
          <w:szCs w:val="22"/>
        </w:rPr>
        <w:t>Missed Opportunities and Solutions</w:t>
      </w:r>
    </w:p>
    <w:p w:rsidR="001F2B21" w:rsidP="779A5D22" w:rsidRDefault="0FA687BF" w14:paraId="10C68A26"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The missed opportunities were critical and included late reporting and rigid accountability structures (Weaver, Lubomski et al., 2013). The cumbersome reporting process delays escalation, and it has been established that 40% of clinical incidents are not reported even after 48 hours. Examples of digital tools that can reduce response times by up to 35% through early identification of deterioration include electronic health records (EHRs) and real-time warning systems (Välimäki et al., 2024). The rate of interventions was also lowered due to over-centralisation, whereas decentralised escalation increases response rates to arrests by 25% (West et al., 2014). Both crisis communication and preparedness can be enhanced by 30% through transformational and situational leadership development, which will help patients receive timely, patient-centred care and potentially avoid adverse outcomes (Singer et al., 2009).</w:t>
      </w:r>
    </w:p>
    <w:p w:rsidR="001F2B21" w:rsidP="545E003D" w:rsidRDefault="437ABDFB" w14:paraId="10A4EC60" w14:textId="5B49D6B1">
      <w:pPr>
        <w:spacing w:after="0" w:line="360" w:lineRule="auto"/>
        <w:jc w:val="center"/>
        <w:rPr>
          <w:rFonts w:ascii="Arial" w:hAnsi="Arial" w:eastAsia="Arial" w:cs="Arial"/>
          <w:b/>
          <w:bCs/>
          <w:color w:val="000000"/>
          <w:sz w:val="22"/>
          <w:szCs w:val="22"/>
        </w:rPr>
      </w:pPr>
      <w:r>
        <w:rPr>
          <w:noProof/>
        </w:rPr>
        <w:lastRenderedPageBreak/>
        <w:drawing>
          <wp:inline distT="0" distB="0" distL="0" distR="0" wp14:anchorId="56E58C36" wp14:editId="2A06AAF6">
            <wp:extent cx="6156370" cy="3801641"/>
            <wp:effectExtent l="0" t="0" r="0" b="0"/>
            <wp:docPr id="175515732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6156370" cy="3801641"/>
                    </a:xfrm>
                    <a:prstGeom prst="rect">
                      <a:avLst/>
                    </a:prstGeom>
                    <a:ln/>
                  </pic:spPr>
                </pic:pic>
              </a:graphicData>
            </a:graphic>
          </wp:inline>
        </w:drawing>
      </w:r>
      <w:r w:rsidRPr="3EE7F6CF">
        <w:rPr>
          <w:rFonts w:ascii="Arial" w:hAnsi="Arial" w:eastAsia="Arial" w:cs="Arial"/>
          <w:b/>
          <w:bCs/>
          <w:color w:val="000000" w:themeColor="text1"/>
          <w:sz w:val="22"/>
          <w:szCs w:val="22"/>
        </w:rPr>
        <w:t>Figure 8 Missed Opportunities and Solutions in Healthcare Crisis Management</w:t>
      </w:r>
    </w:p>
    <w:p w:rsidR="001F2B21" w:rsidRDefault="00096081" w14:paraId="578659D9" w14:textId="77777777">
      <w:pPr>
        <w:pStyle w:val="Heading2"/>
        <w:spacing w:before="0" w:after="0" w:line="360" w:lineRule="auto"/>
        <w:jc w:val="both"/>
        <w:rPr>
          <w:rFonts w:ascii="Arial" w:hAnsi="Arial" w:eastAsia="Arial" w:cs="Arial"/>
          <w:b w:val="1"/>
          <w:bCs w:val="1"/>
          <w:color w:val="000000"/>
          <w:sz w:val="22"/>
          <w:szCs w:val="22"/>
        </w:rPr>
      </w:pPr>
      <w:bookmarkStart w:name="_heading=h.y4ub3sbgy9sw" w:id="45"/>
      <w:bookmarkEnd w:id="45"/>
      <w:r w:rsidRPr="5141BB62" w:rsidR="4700305B">
        <w:rPr>
          <w:rFonts w:ascii="Arial" w:hAnsi="Arial" w:eastAsia="Arial" w:cs="Arial"/>
          <w:b w:val="1"/>
          <w:bCs w:val="1"/>
          <w:color w:val="000000" w:themeColor="text1" w:themeTint="FF" w:themeShade="FF"/>
          <w:sz w:val="22"/>
          <w:szCs w:val="22"/>
        </w:rPr>
        <w:t>Linking Findings</w:t>
      </w:r>
    </w:p>
    <w:p w:rsidR="001F2B21" w:rsidP="779A5D22" w:rsidRDefault="437ABDFB" w14:paraId="7CDF32F2" w14:textId="1CF38A9F">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The Lewis Blackman case is one example that shows how organisational structure, organisational leadership, and organisational feedback interact and affect patient safety (Singer et al., 2009; Weaver, Dy, and Rosen, 2014). Centralised control obstructed the rate of decision-making, communication, and accountability, along with the possibility to escalate the deteriorating state of Blackman and avoid his preventable death (TA, 2024). Quite the contrary, decentralised, proactive, and distributed leadership is an approach that empowers frontline employees, enhances collaboration, and improves patient outcomes (West et al., 2014; Ystaas et al., 2023). </w:t>
      </w:r>
    </w:p>
    <w:p w:rsidR="001F2B21" w:rsidRDefault="00096081" w14:paraId="3A82A20B" w14:textId="77777777">
      <w:pPr>
        <w:pStyle w:val="Heading1"/>
        <w:spacing w:before="0" w:after="0" w:line="360" w:lineRule="auto"/>
        <w:jc w:val="both"/>
        <w:rPr>
          <w:rFonts w:ascii="Arial" w:hAnsi="Arial" w:eastAsia="Arial" w:cs="Arial"/>
          <w:b w:val="1"/>
          <w:bCs w:val="1"/>
          <w:color w:val="000000"/>
          <w:sz w:val="22"/>
          <w:szCs w:val="22"/>
        </w:rPr>
      </w:pPr>
      <w:bookmarkStart w:name="_heading=h.lk1nqvmhwtsm" w:id="47"/>
      <w:bookmarkEnd w:id="47"/>
      <w:r w:rsidRPr="5141BB62" w:rsidR="4700305B">
        <w:rPr>
          <w:rFonts w:ascii="Arial" w:hAnsi="Arial" w:eastAsia="Arial" w:cs="Arial"/>
          <w:b w:val="1"/>
          <w:bCs w:val="1"/>
          <w:color w:val="000000" w:themeColor="text1" w:themeTint="FF" w:themeShade="FF"/>
          <w:sz w:val="22"/>
          <w:szCs w:val="22"/>
        </w:rPr>
        <w:t>3. Recommendations</w:t>
      </w:r>
    </w:p>
    <w:p w:rsidR="001F2B21" w:rsidP="779A5D22" w:rsidRDefault="0FA687BF" w14:paraId="15D557C8"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The Lewis Blackman's case shows that essential leadership and communication gaps, as well as gaps in crisis response, exist (Välimäki et al., 2024; Singer et al., 2009). Healthcare organisations should adopt transformational leadership, which is collaboration-focused, empowering, patient-centred, and fosters trust and improves safety outcomes (Palweni, Malesela, and Randa, 2023; Ystaas et al., 2023). It can be introduced through leadership development programmes grounded in emotional intelligence, teamwork, initiative, and accountability (Ratcharak, 2025; Weaver, Lubomski et al., 2013). The leaders will participate in a crisis simulation (sepsis recognition) training to equip them to handle emergencies. Frontline staffing should be able to respond to the system with structured feedback, digital </w:t>
      </w:r>
      <w:r w:rsidRPr="3EE7F6CF">
        <w:rPr>
          <w:rFonts w:ascii="Arial" w:hAnsi="Arial" w:eastAsia="Arial" w:cs="Arial"/>
          <w:sz w:val="22"/>
          <w:szCs w:val="22"/>
          <w:lang w:val="en-US"/>
        </w:rPr>
        <w:lastRenderedPageBreak/>
        <w:t xml:space="preserve">reporting, and early-warning systems that minimize hierarchical delays (Välimäki et al., 2024; TA, 2024). The culture of the early intervention, which is founded on the anticipatory leadership culture, will also enhance the quality of care and patient safety (Singer et al., 2009; Weaver, Dy, and Rosen, 2014). </w:t>
      </w:r>
    </w:p>
    <w:p w:rsidR="001F2B21" w:rsidRDefault="00096081" w14:paraId="36A72121" w14:textId="77777777">
      <w:pPr>
        <w:pStyle w:val="Heading2"/>
        <w:spacing w:before="0" w:after="0" w:line="360" w:lineRule="auto"/>
        <w:jc w:val="both"/>
        <w:rPr>
          <w:rFonts w:ascii="Arial" w:hAnsi="Arial" w:eastAsia="Arial" w:cs="Arial"/>
          <w:b w:val="1"/>
          <w:bCs w:val="1"/>
          <w:color w:val="000000"/>
          <w:sz w:val="22"/>
          <w:szCs w:val="22"/>
        </w:rPr>
      </w:pPr>
      <w:bookmarkStart w:name="_heading=h.mdhzb8esi7su" w:id="49"/>
      <w:bookmarkEnd w:id="49"/>
      <w:r w:rsidRPr="5141BB62" w:rsidR="4700305B">
        <w:rPr>
          <w:rFonts w:ascii="Arial" w:hAnsi="Arial" w:eastAsia="Arial" w:cs="Arial"/>
          <w:b w:val="1"/>
          <w:bCs w:val="1"/>
          <w:color w:val="000000" w:themeColor="text1" w:themeTint="FF" w:themeShade="FF"/>
          <w:sz w:val="22"/>
          <w:szCs w:val="22"/>
        </w:rPr>
        <w:t>Improvement of Governance and Communication</w:t>
      </w:r>
    </w:p>
    <w:p w:rsidR="001F2B21" w:rsidP="779A5D22" w:rsidRDefault="0FA687BF" w14:paraId="3AC80056"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The improvement of the governance structures is essential to the realisation of patient safety outcomes (Acquaviva, Haskell &amp; Johnson, 2013; Ahmed et al., 2024). As the case of Lewis Blackman demonstrates, the top-down hierarchy influenced decision-making speed, potentially preventing unnecessary damage. Decentralised governance should be embraced, and frontline healthcare service providers should be empowered to make real-time clinical decisions. That would enhance responsiveness, accountability, and ownership, enabling staff to respond promptly when a patient's condition deteriorates, as was central to the case of Blackman. Improvements to communication channels should also be made. The rapid dissemination of key patient information across all levels of care can be achieved through state-of-the-art electronic health records (EHR) systems and real-time communication tools (Althobaiti, 2026; Anders, 2025). These systems may provide instant communication and escalation mechanisms, allowing nurses, junior physicians, and top management to act quickly and plan care. Organisations can reduce time and enhance situational awareness by establishing a concise, efficient communication procedure.</w:t>
      </w:r>
    </w:p>
    <w:p w:rsidR="001F2B21" w:rsidRDefault="00096081" w14:paraId="2C45BEE2" w14:textId="77777777">
      <w:pPr>
        <w:pStyle w:val="Heading2"/>
        <w:spacing w:before="0" w:after="0" w:line="360" w:lineRule="auto"/>
        <w:jc w:val="both"/>
        <w:rPr>
          <w:rFonts w:ascii="Arial" w:hAnsi="Arial" w:eastAsia="Arial" w:cs="Arial"/>
          <w:b w:val="1"/>
          <w:bCs w:val="1"/>
          <w:color w:val="000000"/>
          <w:sz w:val="22"/>
          <w:szCs w:val="22"/>
        </w:rPr>
      </w:pPr>
      <w:bookmarkStart w:name="_heading=h.bi0w2jnjqlos" w:id="51"/>
      <w:bookmarkEnd w:id="51"/>
      <w:r w:rsidRPr="5141BB62" w:rsidR="4700305B">
        <w:rPr>
          <w:rFonts w:ascii="Arial" w:hAnsi="Arial" w:eastAsia="Arial" w:cs="Arial"/>
          <w:b w:val="1"/>
          <w:bCs w:val="1"/>
          <w:color w:val="000000" w:themeColor="text1" w:themeTint="FF" w:themeShade="FF"/>
          <w:sz w:val="22"/>
          <w:szCs w:val="22"/>
        </w:rPr>
        <w:t>Productivity Improving Measures</w:t>
      </w:r>
    </w:p>
    <w:p w:rsidR="001F2B21" w:rsidP="779A5D22" w:rsidRDefault="437ABDFB" w14:paraId="5DE72846" w14:textId="0E3AE990">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To increase allocative efficiency, healthcare organisations are recommended to invest in digital reporting tools that document patient safety incidents in real time (Hamdan et al., 2024; Alanazi, Alshamlani, and Baker, 2022).Moreover, the regular staff feedback systems are central to lifelong learning and provide the frontline staff with an avenue to identify viable challenges and propose changes (Asif et al., 2019; Cummings et al., 2010).</w:t>
      </w:r>
    </w:p>
    <w:p w:rsidR="5225963F" w:rsidP="3EE7F6CF" w:rsidRDefault="5225963F" w14:paraId="7D451275" w14:textId="5F039CEA">
      <w:pPr>
        <w:keepNext/>
        <w:keepLines/>
        <w:spacing w:after="0" w:line="360" w:lineRule="auto"/>
        <w:jc w:val="both"/>
        <w:rPr>
          <w:rFonts w:ascii="Arial" w:hAnsi="Arial" w:eastAsia="Arial" w:cs="Arial"/>
          <w:color w:val="000000" w:themeColor="text1"/>
          <w:sz w:val="22"/>
          <w:szCs w:val="22"/>
          <w:lang w:val="en-US"/>
        </w:rPr>
      </w:pPr>
      <w:r w:rsidRPr="3EE7F6CF">
        <w:rPr>
          <w:rFonts w:ascii="Arial" w:hAnsi="Arial" w:eastAsia="Arial" w:cs="Arial"/>
          <w:b/>
          <w:bCs/>
          <w:color w:val="000000" w:themeColor="text1"/>
          <w:sz w:val="22"/>
          <w:szCs w:val="22"/>
          <w:lang w:val="en-US"/>
        </w:rPr>
        <w:t>Stakeholder Engagement and Life-long Learning</w:t>
      </w:r>
    </w:p>
    <w:p w:rsidR="5225963F" w:rsidP="3EE7F6CF" w:rsidRDefault="5225963F" w14:paraId="480D1D6E" w14:textId="59911422">
      <w:pPr>
        <w:spacing w:after="0" w:line="360" w:lineRule="auto"/>
        <w:jc w:val="both"/>
        <w:rPr>
          <w:rFonts w:ascii="Arial" w:hAnsi="Arial" w:eastAsia="Arial" w:cs="Arial"/>
          <w:color w:val="000000" w:themeColor="text1"/>
          <w:sz w:val="22"/>
          <w:szCs w:val="22"/>
          <w:lang w:val="en-US"/>
        </w:rPr>
      </w:pPr>
      <w:r w:rsidRPr="3EE7F6CF">
        <w:rPr>
          <w:rFonts w:ascii="Arial" w:hAnsi="Arial" w:eastAsia="Arial" w:cs="Arial"/>
          <w:color w:val="000000" w:themeColor="text1"/>
          <w:sz w:val="22"/>
          <w:szCs w:val="22"/>
          <w:lang w:val="en-US"/>
        </w:rPr>
        <w:t>Finally, an imperative culture towards patient safety is continuous learning. The regular training programs will focus on clinical guidelines, patient safety and communication skills. The broad dissemination of best practices can foster a proactive safety culture by enabling cross-departmental knowledge sharing (Althobaiti, 2026). A patient-centred approach, improved satisfaction, and reduced risks are guaranteed through the co-production of care with patients and families. Patient feedback in safety programs allows medical personnel to anticipate potential risks and adjust care plans accordingly (Ahmed et al., 2024; Hamdan et al., 2024).</w:t>
      </w:r>
    </w:p>
    <w:p w:rsidR="001F2B21" w:rsidP="3EE7F6CF" w:rsidRDefault="5225963F" w14:paraId="40EB8F31" w14:textId="0462BACD">
      <w:pPr>
        <w:pStyle w:val="Heading2"/>
        <w:spacing w:before="0" w:after="0" w:line="360" w:lineRule="auto"/>
        <w:jc w:val="center"/>
        <w:rPr>
          <w:rFonts w:ascii="Arial" w:hAnsi="Arial" w:eastAsia="Arial" w:cs="Arial"/>
          <w:b w:val="1"/>
          <w:bCs w:val="1"/>
          <w:color w:val="000000"/>
          <w:sz w:val="28"/>
          <w:szCs w:val="28"/>
          <w:lang w:val="en-US"/>
        </w:rPr>
      </w:pPr>
      <w:r w:rsidR="6AC5B6E8">
        <w:drawing>
          <wp:inline wp14:editId="18F1B916" wp14:anchorId="00CE4991">
            <wp:extent cx="6203002" cy="6978034"/>
            <wp:effectExtent l="0" t="0" r="7620" b="0"/>
            <wp:docPr id="1755157321" name="image8.png"/>
            <wp:cNvGraphicFramePr/>
            <a:graphic>
              <a:graphicData xmlns:a="http://schemas.openxmlformats.org/drawingml/2006/main" uri="http://schemas.openxmlformats.org/drawingml/2006/picture">
                <pic:pic xmlns:pic="http://schemas.openxmlformats.org/drawingml/2006/picture">
                  <pic:nvPicPr>
                    <pic:cNvPr id="0" name="image8.png"/>
                    <pic:cNvPicPr preferRelativeResize="0"/>
                  </pic:nvPicPr>
                  <pic:blipFill>
                    <a:blip xmlns:r="http://schemas.openxmlformats.org/officeDocument/2006/relationships" r:embed="rId8"/>
                    <a:srcRect/>
                    <a:stretch>
                      <a:fillRect/>
                    </a:stretch>
                  </pic:blipFill>
                  <pic:spPr>
                    <a:xfrm>
                      <a:off x="0" y="0"/>
                      <a:ext cx="6203002" cy="6978034"/>
                    </a:xfrm>
                    <a:prstGeom prst="rect">
                      <a:avLst/>
                    </a:prstGeom>
                    <a:ln/>
                  </pic:spPr>
                </pic:pic>
              </a:graphicData>
            </a:graphic>
          </wp:inline>
        </w:drawing>
      </w:r>
      <w:r w:rsidRPr="5141BB62" w:rsidR="3A5A0DBD">
        <w:rPr>
          <w:rFonts w:ascii="Arial" w:hAnsi="Arial" w:eastAsia="Arial" w:cs="Arial"/>
          <w:b w:val="1"/>
          <w:bCs w:val="1"/>
          <w:color w:val="000000" w:themeColor="text1" w:themeTint="FF" w:themeShade="FF"/>
          <w:sz w:val="22"/>
          <w:szCs w:val="22"/>
          <w:lang w:val="en-US"/>
        </w:rPr>
        <w:t>Figure 9 recommendations to improve on leadership</w:t>
      </w:r>
    </w:p>
    <w:p w:rsidR="545E003D" w:rsidP="545E003D" w:rsidRDefault="545E003D" w14:paraId="6F6F99CA" w14:textId="3CB9DC24">
      <w:pPr>
        <w:spacing w:after="0" w:line="360" w:lineRule="auto"/>
        <w:jc w:val="center"/>
        <w:rPr>
          <w:rFonts w:ascii="Arial" w:hAnsi="Arial" w:eastAsia="Arial" w:cs="Arial"/>
          <w:b/>
          <w:bCs/>
          <w:color w:val="000000" w:themeColor="text1"/>
          <w:sz w:val="22"/>
          <w:szCs w:val="22"/>
          <w:lang w:val="en-US"/>
        </w:rPr>
      </w:pPr>
    </w:p>
    <w:p w:rsidR="001F2B21" w:rsidRDefault="00096081" w14:paraId="22133D52" w14:textId="77777777">
      <w:pPr>
        <w:pStyle w:val="Heading1"/>
        <w:spacing w:before="0" w:after="0" w:line="360" w:lineRule="auto"/>
        <w:jc w:val="both"/>
        <w:rPr>
          <w:rFonts w:ascii="Arial" w:hAnsi="Arial" w:eastAsia="Arial" w:cs="Arial"/>
          <w:b w:val="1"/>
          <w:bCs w:val="1"/>
          <w:color w:val="000000"/>
          <w:sz w:val="22"/>
          <w:szCs w:val="22"/>
        </w:rPr>
      </w:pPr>
      <w:bookmarkStart w:name="_heading=h.b5cu72hmfavp" w:id="54"/>
      <w:bookmarkEnd w:id="54"/>
      <w:r w:rsidRPr="5141BB62" w:rsidR="4700305B">
        <w:rPr>
          <w:rFonts w:ascii="Arial" w:hAnsi="Arial" w:eastAsia="Arial" w:cs="Arial"/>
          <w:b w:val="1"/>
          <w:bCs w:val="1"/>
          <w:color w:val="000000" w:themeColor="text1" w:themeTint="FF" w:themeShade="FF"/>
          <w:sz w:val="22"/>
          <w:szCs w:val="22"/>
        </w:rPr>
        <w:t>4.Conclusion</w:t>
      </w:r>
    </w:p>
    <w:p w:rsidR="001F2B21" w:rsidP="779A5D22" w:rsidRDefault="0FA687BF" w14:paraId="35AA6C75" w14:textId="77777777">
      <w:pPr>
        <w:spacing w:after="0" w:line="360" w:lineRule="auto"/>
        <w:jc w:val="both"/>
        <w:rPr>
          <w:rFonts w:ascii="Arial" w:hAnsi="Arial" w:eastAsia="Arial" w:cs="Arial"/>
          <w:sz w:val="22"/>
          <w:szCs w:val="22"/>
          <w:lang w:val="en-US"/>
        </w:rPr>
      </w:pPr>
      <w:r w:rsidRPr="3EE7F6CF">
        <w:rPr>
          <w:rFonts w:ascii="Arial" w:hAnsi="Arial" w:eastAsia="Arial" w:cs="Arial"/>
          <w:sz w:val="22"/>
          <w:szCs w:val="22"/>
          <w:lang w:val="en-US"/>
        </w:rPr>
        <w:t xml:space="preserve">In conclusion, the Lewis Blackman case serves as a tragic and stark example of how the absence of leadership, good governance, and system thinking can catastrophically impact the healthcare industry (Acquaviva, Haskell &amp; Johnson, 2013). The leadership framework that was implemented was centralised and could not provide the flexibility and responsiveness to </w:t>
      </w:r>
      <w:r w:rsidRPr="3EE7F6CF">
        <w:rPr>
          <w:rFonts w:ascii="Arial" w:hAnsi="Arial" w:eastAsia="Arial" w:cs="Arial"/>
          <w:sz w:val="22"/>
          <w:szCs w:val="22"/>
          <w:lang w:val="en-US"/>
        </w:rPr>
        <w:lastRenderedPageBreak/>
        <w:t>respond to the crisis, and this failure to intervene and hold Blackman responsible in time directly led to his death, which could have been prevented (Ahmed et al., 2024; Alanazi, Alshamlani &amp; Baker, 2022). With a more decentralised decision-making framework and a designed transformational leadership model, frontline employees would likely have been empowered to act swiftly in response to this person's worsening state (Hamdan et al., 2024; Althobaiti, 2026). To prevent a similar incident, healthcare organisations can build an environment that supports proactive decision-making and prevents such occurrences by promoting a culture of patient safety, evidence-based leadership practices, and improved governance mechanisms (Anders, 2025; Ystaas et al., 2023). This case demonstrates the need to equip healthcare teams with the skills, resources, and authority to make timely decisions and to achieve accountability, communication, and collaboration gains across all tiers of the organisation to enhance patient safety outcomes (Välimäki et al., 2024; Acquaviva, Haskell &amp; Johnson, 2013). The lessons learned are critical to creating a healthcare system that is leadership-based, patient-centred, and with safety practices continuously improved (Ahmed et al., 2024).</w:t>
      </w:r>
    </w:p>
    <w:p w:rsidR="001F2B21" w:rsidRDefault="001F2B21" w14:paraId="1FC39945" w14:textId="77777777">
      <w:pPr>
        <w:spacing w:after="0" w:line="360" w:lineRule="auto"/>
        <w:jc w:val="both"/>
        <w:rPr>
          <w:rFonts w:ascii="Arial" w:hAnsi="Arial" w:eastAsia="Arial" w:cs="Arial"/>
          <w:b/>
          <w:bCs/>
          <w:sz w:val="22"/>
          <w:szCs w:val="22"/>
        </w:rPr>
      </w:pPr>
    </w:p>
    <w:p w:rsidR="001F2B21" w:rsidP="3EE7F6CF" w:rsidRDefault="001F2B21" w14:paraId="0562CB0E" w14:textId="77777777">
      <w:pPr>
        <w:rPr>
          <w:rFonts w:ascii="Arial" w:hAnsi="Arial" w:eastAsia="Arial" w:cs="Arial"/>
          <w:b/>
          <w:bCs/>
        </w:rPr>
      </w:pPr>
    </w:p>
    <w:p w:rsidR="001F2B21" w:rsidP="3EE7F6CF" w:rsidRDefault="001F2B21" w14:paraId="34CE0A41" w14:textId="77777777">
      <w:pPr>
        <w:rPr>
          <w:rFonts w:ascii="Arial" w:hAnsi="Arial" w:eastAsia="Arial" w:cs="Arial"/>
          <w:b/>
          <w:bCs/>
        </w:rPr>
      </w:pPr>
    </w:p>
    <w:p w:rsidR="001F2B21" w:rsidP="3EE7F6CF" w:rsidRDefault="001F2B21" w14:paraId="62EBF3C5" w14:textId="77777777">
      <w:pPr>
        <w:rPr>
          <w:rFonts w:ascii="Arial" w:hAnsi="Arial" w:eastAsia="Arial" w:cs="Arial"/>
          <w:b/>
          <w:bCs/>
        </w:rPr>
      </w:pPr>
    </w:p>
    <w:p w:rsidR="001F2B21" w:rsidP="3EE7F6CF" w:rsidRDefault="001F2B21" w14:paraId="6D98A12B" w14:textId="77777777">
      <w:pPr>
        <w:rPr>
          <w:rFonts w:ascii="Arial" w:hAnsi="Arial" w:eastAsia="Arial" w:cs="Arial"/>
          <w:b/>
          <w:bCs/>
        </w:rPr>
      </w:pPr>
    </w:p>
    <w:p w:rsidR="001F2B21" w:rsidP="3EE7F6CF" w:rsidRDefault="001F2B21" w14:paraId="2946DB82" w14:textId="77777777">
      <w:pPr>
        <w:rPr>
          <w:rFonts w:ascii="Arial" w:hAnsi="Arial" w:eastAsia="Arial" w:cs="Arial"/>
          <w:b/>
          <w:bCs/>
        </w:rPr>
      </w:pPr>
    </w:p>
    <w:p w:rsidR="001F2B21" w:rsidP="3EE7F6CF" w:rsidRDefault="001F2B21" w14:paraId="5997CC1D" w14:textId="77777777">
      <w:pPr>
        <w:rPr>
          <w:rFonts w:ascii="Arial" w:hAnsi="Arial" w:eastAsia="Arial" w:cs="Arial"/>
          <w:b/>
          <w:bCs/>
        </w:rPr>
      </w:pPr>
    </w:p>
    <w:p w:rsidR="001F2B21" w:rsidP="3EE7F6CF" w:rsidRDefault="001F2B21" w14:paraId="110FFD37" w14:textId="77777777">
      <w:pPr>
        <w:rPr>
          <w:rFonts w:ascii="Arial" w:hAnsi="Arial" w:eastAsia="Arial" w:cs="Arial"/>
          <w:b/>
          <w:bCs/>
        </w:rPr>
      </w:pPr>
    </w:p>
    <w:p w:rsidR="001F2B21" w:rsidP="3EE7F6CF" w:rsidRDefault="001F2B21" w14:paraId="6B699379" w14:textId="77777777">
      <w:pPr>
        <w:rPr>
          <w:rFonts w:ascii="Arial" w:hAnsi="Arial" w:eastAsia="Arial" w:cs="Arial"/>
          <w:b/>
          <w:bCs/>
        </w:rPr>
      </w:pPr>
    </w:p>
    <w:p w:rsidR="001F2B21" w:rsidP="3EE7F6CF" w:rsidRDefault="001F2B21" w14:paraId="3FE9F23F" w14:textId="77777777">
      <w:pPr>
        <w:rPr>
          <w:rFonts w:ascii="Arial" w:hAnsi="Arial" w:eastAsia="Arial" w:cs="Arial"/>
          <w:b/>
          <w:bCs/>
        </w:rPr>
      </w:pPr>
    </w:p>
    <w:p w:rsidR="3EE7F6CF" w:rsidP="3EE7F6CF" w:rsidRDefault="3EE7F6CF" w14:paraId="53293D90" w14:textId="33222237">
      <w:pPr>
        <w:rPr>
          <w:rFonts w:ascii="Arial" w:hAnsi="Arial" w:eastAsia="Arial" w:cs="Arial"/>
          <w:b/>
          <w:bCs/>
        </w:rPr>
      </w:pPr>
    </w:p>
    <w:p w:rsidR="3EE7F6CF" w:rsidP="3EE7F6CF" w:rsidRDefault="3EE7F6CF" w14:paraId="280F62F1" w14:textId="7DF357AA">
      <w:pPr>
        <w:rPr>
          <w:rFonts w:ascii="Times New Roman" w:hAnsi="Times New Roman" w:eastAsia="Times New Roman" w:cs="Times New Roman"/>
          <w:b/>
          <w:bCs/>
        </w:rPr>
      </w:pPr>
    </w:p>
    <w:p w:rsidR="3EE7F6CF" w:rsidP="3EE7F6CF" w:rsidRDefault="3EE7F6CF" w14:paraId="3BB8FE1D" w14:textId="32F2D391">
      <w:pPr>
        <w:rPr>
          <w:rFonts w:ascii="Times New Roman" w:hAnsi="Times New Roman" w:eastAsia="Times New Roman" w:cs="Times New Roman"/>
          <w:b/>
          <w:bCs/>
        </w:rPr>
      </w:pPr>
    </w:p>
    <w:p w:rsidR="3EE7F6CF" w:rsidP="3EE7F6CF" w:rsidRDefault="3EE7F6CF" w14:paraId="2C40F5FC" w14:textId="3A5F1FC9">
      <w:pPr>
        <w:rPr>
          <w:rFonts w:ascii="Times New Roman" w:hAnsi="Times New Roman" w:eastAsia="Times New Roman" w:cs="Times New Roman"/>
          <w:b/>
          <w:bCs/>
        </w:rPr>
      </w:pPr>
    </w:p>
    <w:p w:rsidR="3EE7F6CF" w:rsidP="3EE7F6CF" w:rsidRDefault="3EE7F6CF" w14:paraId="547CD6E8" w14:textId="5018B5AB">
      <w:pPr>
        <w:rPr>
          <w:rFonts w:ascii="Times New Roman" w:hAnsi="Times New Roman" w:eastAsia="Times New Roman" w:cs="Times New Roman"/>
          <w:b/>
          <w:bCs/>
        </w:rPr>
      </w:pPr>
    </w:p>
    <w:p w:rsidR="3EE7F6CF" w:rsidP="3EE7F6CF" w:rsidRDefault="3EE7F6CF" w14:paraId="6ED87899" w14:textId="71A29D5A">
      <w:pPr>
        <w:rPr>
          <w:rFonts w:ascii="Times New Roman" w:hAnsi="Times New Roman" w:eastAsia="Times New Roman" w:cs="Times New Roman"/>
          <w:b/>
          <w:bCs/>
        </w:rPr>
      </w:pPr>
    </w:p>
    <w:p w:rsidR="3EE7F6CF" w:rsidP="3EE7F6CF" w:rsidRDefault="3EE7F6CF" w14:paraId="0953F3D8" w14:textId="25FA9D98">
      <w:pPr>
        <w:rPr>
          <w:rFonts w:ascii="Times New Roman" w:hAnsi="Times New Roman" w:eastAsia="Times New Roman" w:cs="Times New Roman"/>
          <w:b/>
          <w:bCs/>
        </w:rPr>
      </w:pPr>
    </w:p>
    <w:p w:rsidR="12227FB9" w:rsidP="3EE7F6CF" w:rsidRDefault="12227FB9" w14:paraId="4AF746EF" w14:textId="77777777">
      <w:pPr>
        <w:rPr>
          <w:rFonts w:ascii="Times New Roman" w:hAnsi="Times New Roman" w:eastAsia="Times New Roman" w:cs="Times New Roman"/>
          <w:b/>
          <w:bCs/>
          <w:color w:val="000000" w:themeColor="text1"/>
        </w:rPr>
      </w:pPr>
      <w:r w:rsidRPr="3EE7F6CF">
        <w:rPr>
          <w:rFonts w:ascii="Times New Roman" w:hAnsi="Times New Roman" w:eastAsia="Times New Roman" w:cs="Times New Roman"/>
          <w:b/>
          <w:bCs/>
          <w:color w:val="000000" w:themeColor="text1"/>
        </w:rPr>
        <w:lastRenderedPageBreak/>
        <w:t>Reference list</w:t>
      </w:r>
    </w:p>
    <w:p w:rsidR="12227FB9" w:rsidP="369E29CB" w:rsidRDefault="12227FB9" w14:paraId="18821271" w14:textId="77777777">
      <w:pPr>
        <w:rPr>
          <w:rFonts w:ascii="Arial" w:hAnsi="Arial" w:eastAsia="Arial" w:cs="Arial"/>
          <w:sz w:val="22"/>
          <w:szCs w:val="22"/>
        </w:rPr>
      </w:pPr>
      <w:r w:rsidRPr="369E29CB" w:rsidR="12227FB9">
        <w:rPr>
          <w:rFonts w:ascii="Arial" w:hAnsi="Arial" w:eastAsia="Arial" w:cs="Arial"/>
          <w:sz w:val="22"/>
          <w:szCs w:val="22"/>
        </w:rPr>
        <w:t>Acquaviva, K, Haskell, H &amp; Johnson, J 2013, ‘Human Cognition and the Dynamics of Failure to Rescue: The Lewis Blackman Case’, </w:t>
      </w:r>
      <w:r w:rsidRPr="369E29CB" w:rsidR="12227FB9">
        <w:rPr>
          <w:rFonts w:ascii="Arial" w:hAnsi="Arial" w:eastAsia="Arial" w:cs="Arial"/>
          <w:i w:val="1"/>
          <w:iCs w:val="1"/>
          <w:sz w:val="22"/>
          <w:szCs w:val="22"/>
        </w:rPr>
        <w:t>Journal of Professional Nursing</w:t>
      </w:r>
      <w:r w:rsidRPr="369E29CB" w:rsidR="12227FB9">
        <w:rPr>
          <w:rFonts w:ascii="Arial" w:hAnsi="Arial" w:eastAsia="Arial" w:cs="Arial"/>
          <w:sz w:val="22"/>
          <w:szCs w:val="22"/>
        </w:rPr>
        <w:t xml:space="preserve">, vol. 29, Elsevier BV, no. 2, pp. 95–101, viewed 24 February 2026, </w:t>
      </w:r>
      <w:hyperlink r:id="R2d4acfa90e764451">
        <w:r w:rsidRPr="369E29CB" w:rsidR="12227FB9">
          <w:rPr>
            <w:rFonts w:ascii="Arial" w:hAnsi="Arial" w:eastAsia="Arial" w:cs="Arial"/>
            <w:color w:val="000000" w:themeColor="text1" w:themeTint="FF" w:themeShade="FF"/>
            <w:sz w:val="22"/>
            <w:szCs w:val="22"/>
            <w:u w:val="single"/>
          </w:rPr>
          <w:t>https://pubmed.ncbi.nlm.nih.gov/23566455/</w:t>
        </w:r>
      </w:hyperlink>
      <w:r w:rsidRPr="369E29CB" w:rsidR="12227FB9">
        <w:rPr>
          <w:rFonts w:ascii="Arial" w:hAnsi="Arial" w:eastAsia="Arial" w:cs="Arial"/>
          <w:sz w:val="22"/>
          <w:szCs w:val="22"/>
        </w:rPr>
        <w:t>.</w:t>
      </w:r>
    </w:p>
    <w:p w:rsidR="12227FB9" w:rsidP="369E29CB" w:rsidRDefault="12227FB9" w14:paraId="3FAF1C7D"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Ahmed, Z, </w:t>
      </w:r>
      <w:r w:rsidRPr="369E29CB" w:rsidR="12227FB9">
        <w:rPr>
          <w:rFonts w:ascii="Arial" w:hAnsi="Arial" w:eastAsia="Arial" w:cs="Arial"/>
          <w:sz w:val="22"/>
          <w:szCs w:val="22"/>
          <w:lang w:val="en-US"/>
        </w:rPr>
        <w:t>Ellahham</w:t>
      </w:r>
      <w:r w:rsidRPr="369E29CB" w:rsidR="12227FB9">
        <w:rPr>
          <w:rFonts w:ascii="Arial" w:hAnsi="Arial" w:eastAsia="Arial" w:cs="Arial"/>
          <w:sz w:val="22"/>
          <w:szCs w:val="22"/>
          <w:lang w:val="en-US"/>
        </w:rPr>
        <w:t>, S, Soomro, M, Shams, S &amp; Latif, K 2024, ‘Exploring the impact of compassion and leadership on patient safety and quality in healthcare systems: a narrative review’, </w:t>
      </w:r>
      <w:r w:rsidRPr="369E29CB" w:rsidR="12227FB9">
        <w:rPr>
          <w:rFonts w:ascii="Arial" w:hAnsi="Arial" w:eastAsia="Arial" w:cs="Arial"/>
          <w:i w:val="1"/>
          <w:iCs w:val="1"/>
          <w:sz w:val="22"/>
          <w:szCs w:val="22"/>
          <w:lang w:val="en-US"/>
        </w:rPr>
        <w:t>BMJ Open Quality</w:t>
      </w:r>
      <w:r w:rsidRPr="369E29CB" w:rsidR="12227FB9">
        <w:rPr>
          <w:rFonts w:ascii="Arial" w:hAnsi="Arial" w:eastAsia="Arial" w:cs="Arial"/>
          <w:sz w:val="22"/>
          <w:szCs w:val="22"/>
          <w:lang w:val="en-US"/>
        </w:rPr>
        <w:t xml:space="preserve">, vol. 13, BMJ, no. Suppl 2, p. e002651, viewed 24 February 2026, </w:t>
      </w:r>
      <w:hyperlink r:id="R4c41d1904d0e4795">
        <w:r w:rsidRPr="369E29CB" w:rsidR="12227FB9">
          <w:rPr>
            <w:rFonts w:ascii="Arial" w:hAnsi="Arial" w:eastAsia="Arial" w:cs="Arial"/>
            <w:color w:val="000000" w:themeColor="text1" w:themeTint="FF" w:themeShade="FF"/>
            <w:sz w:val="22"/>
            <w:szCs w:val="22"/>
            <w:u w:val="single"/>
            <w:lang w:val="en-US"/>
          </w:rPr>
          <w:t>https://pubmed.ncbi.nlm.nih.gov/38719520/</w:t>
        </w:r>
      </w:hyperlink>
      <w:r w:rsidRPr="369E29CB" w:rsidR="12227FB9">
        <w:rPr>
          <w:rFonts w:ascii="Arial" w:hAnsi="Arial" w:eastAsia="Arial" w:cs="Arial"/>
          <w:sz w:val="22"/>
          <w:szCs w:val="22"/>
          <w:lang w:val="en-US"/>
        </w:rPr>
        <w:t>.</w:t>
      </w:r>
    </w:p>
    <w:p w:rsidR="12227FB9" w:rsidP="369E29CB" w:rsidRDefault="12227FB9" w14:paraId="7296D115"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Alanazi, NH, </w:t>
      </w:r>
      <w:r w:rsidRPr="369E29CB" w:rsidR="12227FB9">
        <w:rPr>
          <w:rFonts w:ascii="Arial" w:hAnsi="Arial" w:eastAsia="Arial" w:cs="Arial"/>
          <w:sz w:val="22"/>
          <w:szCs w:val="22"/>
          <w:lang w:val="en-US"/>
        </w:rPr>
        <w:t>Alshamlani</w:t>
      </w:r>
      <w:r w:rsidRPr="369E29CB" w:rsidR="12227FB9">
        <w:rPr>
          <w:rFonts w:ascii="Arial" w:hAnsi="Arial" w:eastAsia="Arial" w:cs="Arial"/>
          <w:sz w:val="22"/>
          <w:szCs w:val="22"/>
          <w:lang w:val="en-US"/>
        </w:rPr>
        <w:t>, Y &amp; Baker, OG 2022, ‘The association between nurse managers’ transformational leadership and quality of patient care: A systematic review’, </w:t>
      </w:r>
      <w:r w:rsidRPr="369E29CB" w:rsidR="12227FB9">
        <w:rPr>
          <w:rFonts w:ascii="Arial" w:hAnsi="Arial" w:eastAsia="Arial" w:cs="Arial"/>
          <w:i w:val="1"/>
          <w:iCs w:val="1"/>
          <w:sz w:val="22"/>
          <w:szCs w:val="22"/>
          <w:lang w:val="en-US"/>
        </w:rPr>
        <w:t>International Nursing Review</w:t>
      </w:r>
      <w:r w:rsidRPr="369E29CB" w:rsidR="12227FB9">
        <w:rPr>
          <w:rFonts w:ascii="Arial" w:hAnsi="Arial" w:eastAsia="Arial" w:cs="Arial"/>
          <w:sz w:val="22"/>
          <w:szCs w:val="22"/>
          <w:lang w:val="en-US"/>
        </w:rPr>
        <w:t xml:space="preserve">, vol. 70, Wiley, no. 2, pp. 175–184, viewed 24 February 2026, </w:t>
      </w:r>
      <w:hyperlink r:id="R2bf1c4f24d7d4ced">
        <w:r w:rsidRPr="369E29CB" w:rsidR="12227FB9">
          <w:rPr>
            <w:rFonts w:ascii="Arial" w:hAnsi="Arial" w:eastAsia="Arial" w:cs="Arial"/>
            <w:sz w:val="22"/>
            <w:szCs w:val="22"/>
            <w:u w:val="single"/>
            <w:lang w:val="en-US"/>
          </w:rPr>
          <w:t>https://pubmed.ncbi.nlm.nih.gov/36583960/</w:t>
        </w:r>
      </w:hyperlink>
      <w:r w:rsidRPr="369E29CB" w:rsidR="12227FB9">
        <w:rPr>
          <w:rFonts w:ascii="Arial" w:hAnsi="Arial" w:eastAsia="Arial" w:cs="Arial"/>
          <w:sz w:val="22"/>
          <w:szCs w:val="22"/>
          <w:lang w:val="en-US"/>
        </w:rPr>
        <w:t>.</w:t>
      </w:r>
    </w:p>
    <w:p w:rsidR="12227FB9" w:rsidP="369E29CB" w:rsidRDefault="12227FB9" w14:paraId="054D51FF" w14:textId="77777777">
      <w:pPr>
        <w:rPr>
          <w:rFonts w:ascii="Arial" w:hAnsi="Arial" w:eastAsia="Arial" w:cs="Arial"/>
          <w:sz w:val="22"/>
          <w:szCs w:val="22"/>
          <w:lang w:val="en-US"/>
        </w:rPr>
      </w:pPr>
      <w:r w:rsidRPr="369E29CB" w:rsidR="12227FB9">
        <w:rPr>
          <w:rFonts w:ascii="Arial" w:hAnsi="Arial" w:eastAsia="Arial" w:cs="Arial"/>
          <w:sz w:val="22"/>
          <w:szCs w:val="22"/>
          <w:lang w:val="en-US"/>
        </w:rPr>
        <w:t>Althobaiti</w:t>
      </w:r>
      <w:r w:rsidRPr="369E29CB" w:rsidR="12227FB9">
        <w:rPr>
          <w:rFonts w:ascii="Arial" w:hAnsi="Arial" w:eastAsia="Arial" w:cs="Arial"/>
          <w:sz w:val="22"/>
          <w:szCs w:val="22"/>
          <w:lang w:val="en-US"/>
        </w:rPr>
        <w:t>, FM 2026, ‘The effects of leadership on patient safety culture in health care: a systematic review’, </w:t>
      </w:r>
      <w:r w:rsidRPr="369E29CB" w:rsidR="12227FB9">
        <w:rPr>
          <w:rFonts w:ascii="Arial" w:hAnsi="Arial" w:eastAsia="Arial" w:cs="Arial"/>
          <w:i w:val="1"/>
          <w:iCs w:val="1"/>
          <w:sz w:val="22"/>
          <w:szCs w:val="22"/>
          <w:lang w:val="en-US"/>
        </w:rPr>
        <w:t>BMC Nursing</w:t>
      </w:r>
      <w:r w:rsidRPr="369E29CB" w:rsidR="12227FB9">
        <w:rPr>
          <w:rFonts w:ascii="Arial" w:hAnsi="Arial" w:eastAsia="Arial" w:cs="Arial"/>
          <w:sz w:val="22"/>
          <w:szCs w:val="22"/>
          <w:lang w:val="en-US"/>
        </w:rPr>
        <w:t xml:space="preserve">, vol. 25, Springer Science and Business Media LLC, no. 1, viewed 24 February 2026, </w:t>
      </w:r>
      <w:hyperlink r:id="Rebbe828f0d084f1b">
        <w:r w:rsidRPr="369E29CB" w:rsidR="12227FB9">
          <w:rPr>
            <w:rFonts w:ascii="Arial" w:hAnsi="Arial" w:eastAsia="Arial" w:cs="Arial"/>
            <w:color w:val="000000" w:themeColor="text1" w:themeTint="FF" w:themeShade="FF"/>
            <w:sz w:val="22"/>
            <w:szCs w:val="22"/>
            <w:u w:val="single"/>
            <w:lang w:val="en-US"/>
          </w:rPr>
          <w:t>https://pubmed.ncbi.nlm.nih.gov/41507881/</w:t>
        </w:r>
      </w:hyperlink>
      <w:r w:rsidRPr="369E29CB" w:rsidR="12227FB9">
        <w:rPr>
          <w:rFonts w:ascii="Arial" w:hAnsi="Arial" w:eastAsia="Arial" w:cs="Arial"/>
          <w:sz w:val="22"/>
          <w:szCs w:val="22"/>
          <w:lang w:val="en-US"/>
        </w:rPr>
        <w:t>.</w:t>
      </w:r>
    </w:p>
    <w:p w:rsidR="12227FB9" w:rsidP="369E29CB" w:rsidRDefault="12227FB9" w14:paraId="619B85BF" w14:textId="77777777">
      <w:pPr>
        <w:rPr>
          <w:rFonts w:ascii="Arial" w:hAnsi="Arial" w:eastAsia="Arial" w:cs="Arial"/>
          <w:sz w:val="22"/>
          <w:szCs w:val="22"/>
        </w:rPr>
      </w:pPr>
      <w:r w:rsidRPr="369E29CB" w:rsidR="12227FB9">
        <w:rPr>
          <w:rFonts w:ascii="Arial" w:hAnsi="Arial" w:eastAsia="Arial" w:cs="Arial"/>
          <w:sz w:val="22"/>
          <w:szCs w:val="22"/>
        </w:rPr>
        <w:t>Anders, RL 2025, ‘Global Perspectives on Patient Safety: The Central Role of Nursing Management’, </w:t>
      </w:r>
      <w:r w:rsidRPr="369E29CB" w:rsidR="12227FB9">
        <w:rPr>
          <w:rFonts w:ascii="Arial" w:hAnsi="Arial" w:eastAsia="Arial" w:cs="Arial"/>
          <w:i w:val="1"/>
          <w:iCs w:val="1"/>
          <w:sz w:val="22"/>
          <w:szCs w:val="22"/>
        </w:rPr>
        <w:t>Healthcare</w:t>
      </w:r>
      <w:r w:rsidRPr="369E29CB" w:rsidR="12227FB9">
        <w:rPr>
          <w:rFonts w:ascii="Arial" w:hAnsi="Arial" w:eastAsia="Arial" w:cs="Arial"/>
          <w:sz w:val="22"/>
          <w:szCs w:val="22"/>
        </w:rPr>
        <w:t xml:space="preserve">, vol. 13, MDPI AG, no. 24, p. 3240, viewed 24 February 2026, </w:t>
      </w:r>
      <w:hyperlink r:id="R15892483d37b4000">
        <w:r w:rsidRPr="369E29CB" w:rsidR="12227FB9">
          <w:rPr>
            <w:rFonts w:ascii="Arial" w:hAnsi="Arial" w:eastAsia="Arial" w:cs="Arial"/>
            <w:color w:val="000000" w:themeColor="text1" w:themeTint="FF" w:themeShade="FF"/>
            <w:sz w:val="22"/>
            <w:szCs w:val="22"/>
            <w:u w:val="single"/>
          </w:rPr>
          <w:t>https://www.mdpi.com/2227-9032/13/24/3240</w:t>
        </w:r>
      </w:hyperlink>
      <w:r w:rsidRPr="369E29CB" w:rsidR="12227FB9">
        <w:rPr>
          <w:rFonts w:ascii="Arial" w:hAnsi="Arial" w:eastAsia="Arial" w:cs="Arial"/>
          <w:sz w:val="22"/>
          <w:szCs w:val="22"/>
        </w:rPr>
        <w:t>.</w:t>
      </w:r>
    </w:p>
    <w:p w:rsidR="12227FB9" w:rsidP="369E29CB" w:rsidRDefault="12227FB9" w14:paraId="31B856E4"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Asif, M, Jameel, A, </w:t>
      </w:r>
      <w:r w:rsidRPr="369E29CB" w:rsidR="12227FB9">
        <w:rPr>
          <w:rFonts w:ascii="Arial" w:hAnsi="Arial" w:eastAsia="Arial" w:cs="Arial"/>
          <w:sz w:val="22"/>
          <w:szCs w:val="22"/>
          <w:lang w:val="en-US"/>
        </w:rPr>
        <w:t>Sahito</w:t>
      </w:r>
      <w:r w:rsidRPr="369E29CB" w:rsidR="12227FB9">
        <w:rPr>
          <w:rFonts w:ascii="Arial" w:hAnsi="Arial" w:eastAsia="Arial" w:cs="Arial"/>
          <w:sz w:val="22"/>
          <w:szCs w:val="22"/>
          <w:lang w:val="en-US"/>
        </w:rPr>
        <w:t xml:space="preserve">, N, Hwang, J, Hussain, A &amp; Manzoor, F 2019, ‘Can Leadership Enhance Patient Satisfaction? Assessing the Role of Administrative and Medical </w:t>
      </w:r>
      <w:r w:rsidRPr="369E29CB" w:rsidR="12227FB9">
        <w:rPr>
          <w:rFonts w:ascii="Arial" w:hAnsi="Arial" w:eastAsia="Arial" w:cs="Arial"/>
          <w:sz w:val="22"/>
          <w:szCs w:val="22"/>
          <w:lang w:val="en-US"/>
        </w:rPr>
        <w:t>Quality’,</w:t>
      </w:r>
      <w:r w:rsidRPr="369E29CB" w:rsidR="12227FB9">
        <w:rPr>
          <w:rFonts w:ascii="Arial" w:hAnsi="Arial" w:eastAsia="Arial" w:cs="Arial"/>
          <w:sz w:val="22"/>
          <w:szCs w:val="22"/>
          <w:lang w:val="en-US"/>
        </w:rPr>
        <w:t> </w:t>
      </w:r>
      <w:r w:rsidRPr="369E29CB" w:rsidR="12227FB9">
        <w:rPr>
          <w:rFonts w:ascii="Arial" w:hAnsi="Arial" w:eastAsia="Arial" w:cs="Arial"/>
          <w:i w:val="1"/>
          <w:iCs w:val="1"/>
          <w:sz w:val="22"/>
          <w:szCs w:val="22"/>
          <w:lang w:val="en-US"/>
        </w:rPr>
        <w:t>International Journal of Environmental Research and Public Health</w:t>
      </w:r>
      <w:r w:rsidRPr="369E29CB" w:rsidR="12227FB9">
        <w:rPr>
          <w:rFonts w:ascii="Arial" w:hAnsi="Arial" w:eastAsia="Arial" w:cs="Arial"/>
          <w:sz w:val="22"/>
          <w:szCs w:val="22"/>
          <w:lang w:val="en-US"/>
        </w:rPr>
        <w:t xml:space="preserve">, vol. 16, MDPI AG, no. 17, p. 3212, viewed 24 February 2026, </w:t>
      </w:r>
      <w:hyperlink r:id="R93d1bb4d09414150">
        <w:r w:rsidRPr="369E29CB" w:rsidR="12227FB9">
          <w:rPr>
            <w:rFonts w:ascii="Arial" w:hAnsi="Arial" w:eastAsia="Arial" w:cs="Arial"/>
            <w:color w:val="000000" w:themeColor="text1" w:themeTint="FF" w:themeShade="FF"/>
            <w:sz w:val="22"/>
            <w:szCs w:val="22"/>
            <w:u w:val="single"/>
            <w:lang w:val="en-US"/>
          </w:rPr>
          <w:t>https://www.mdpi.com/1660-4601/16/17/3212</w:t>
        </w:r>
      </w:hyperlink>
      <w:r w:rsidRPr="369E29CB" w:rsidR="12227FB9">
        <w:rPr>
          <w:rFonts w:ascii="Arial" w:hAnsi="Arial" w:eastAsia="Arial" w:cs="Arial"/>
          <w:sz w:val="22"/>
          <w:szCs w:val="22"/>
          <w:lang w:val="en-US"/>
        </w:rPr>
        <w:t>.</w:t>
      </w:r>
    </w:p>
    <w:p w:rsidR="12227FB9" w:rsidP="369E29CB" w:rsidRDefault="12227FB9" w14:paraId="5975BD92" w14:textId="77777777">
      <w:pPr>
        <w:rPr>
          <w:rFonts w:ascii="Arial" w:hAnsi="Arial" w:eastAsia="Arial" w:cs="Arial"/>
          <w:sz w:val="22"/>
          <w:szCs w:val="22"/>
          <w:lang w:val="en-US"/>
        </w:rPr>
      </w:pPr>
      <w:r w:rsidRPr="369E29CB" w:rsidR="12227FB9">
        <w:rPr>
          <w:rFonts w:ascii="Arial" w:hAnsi="Arial" w:eastAsia="Arial" w:cs="Arial"/>
          <w:sz w:val="22"/>
          <w:szCs w:val="22"/>
          <w:lang w:val="en-US"/>
        </w:rPr>
        <w:t>Cerela-</w:t>
      </w:r>
      <w:r w:rsidRPr="369E29CB" w:rsidR="12227FB9">
        <w:rPr>
          <w:rFonts w:ascii="Arial" w:hAnsi="Arial" w:eastAsia="Arial" w:cs="Arial"/>
          <w:sz w:val="22"/>
          <w:szCs w:val="22"/>
          <w:lang w:val="en-US"/>
        </w:rPr>
        <w:t>Boltunova</w:t>
      </w:r>
      <w:r w:rsidRPr="369E29CB" w:rsidR="12227FB9">
        <w:rPr>
          <w:rFonts w:ascii="Arial" w:hAnsi="Arial" w:eastAsia="Arial" w:cs="Arial"/>
          <w:sz w:val="22"/>
          <w:szCs w:val="22"/>
          <w:lang w:val="en-US"/>
        </w:rPr>
        <w:t xml:space="preserve">, O &amp; </w:t>
      </w:r>
      <w:r w:rsidRPr="369E29CB" w:rsidR="12227FB9">
        <w:rPr>
          <w:rFonts w:ascii="Arial" w:hAnsi="Arial" w:eastAsia="Arial" w:cs="Arial"/>
          <w:sz w:val="22"/>
          <w:szCs w:val="22"/>
          <w:lang w:val="en-US"/>
        </w:rPr>
        <w:t>Millere</w:t>
      </w:r>
      <w:r w:rsidRPr="369E29CB" w:rsidR="12227FB9">
        <w:rPr>
          <w:rFonts w:ascii="Arial" w:hAnsi="Arial" w:eastAsia="Arial" w:cs="Arial"/>
          <w:sz w:val="22"/>
          <w:szCs w:val="22"/>
          <w:lang w:val="en-US"/>
        </w:rPr>
        <w:t>, I 2025, ‘Exploring the Relation Between Nursing Workload and Moral Distress, Burnout, and Turnover in Latvian Intensive Care Units: An Ecological Analysis of Parallel Data’, </w:t>
      </w:r>
      <w:r w:rsidRPr="369E29CB" w:rsidR="12227FB9">
        <w:rPr>
          <w:rFonts w:ascii="Arial" w:hAnsi="Arial" w:eastAsia="Arial" w:cs="Arial"/>
          <w:i w:val="1"/>
          <w:iCs w:val="1"/>
          <w:sz w:val="22"/>
          <w:szCs w:val="22"/>
          <w:lang w:val="en-US"/>
        </w:rPr>
        <w:t>International Journal of Environmental Research and Public Health</w:t>
      </w:r>
      <w:r w:rsidRPr="369E29CB" w:rsidR="12227FB9">
        <w:rPr>
          <w:rFonts w:ascii="Arial" w:hAnsi="Arial" w:eastAsia="Arial" w:cs="Arial"/>
          <w:sz w:val="22"/>
          <w:szCs w:val="22"/>
          <w:lang w:val="en-US"/>
        </w:rPr>
        <w:t xml:space="preserve">, vol. 22, MDPI AG, no. 9, p. 1442, viewed 23 March 2026, </w:t>
      </w:r>
      <w:hyperlink r:id="Rd677ec6610ed4360">
        <w:r w:rsidRPr="369E29CB" w:rsidR="12227FB9">
          <w:rPr>
            <w:rFonts w:ascii="Arial" w:hAnsi="Arial" w:eastAsia="Arial" w:cs="Arial"/>
            <w:sz w:val="22"/>
            <w:szCs w:val="22"/>
            <w:u w:val="single"/>
            <w:lang w:val="en-US"/>
          </w:rPr>
          <w:t>https://www.mdpi.com/1660-4601/22/9/1442</w:t>
        </w:r>
      </w:hyperlink>
      <w:r w:rsidRPr="369E29CB" w:rsidR="12227FB9">
        <w:rPr>
          <w:rFonts w:ascii="Arial" w:hAnsi="Arial" w:eastAsia="Arial" w:cs="Arial"/>
          <w:sz w:val="22"/>
          <w:szCs w:val="22"/>
          <w:lang w:val="en-US"/>
        </w:rPr>
        <w:t>.</w:t>
      </w:r>
    </w:p>
    <w:p w:rsidR="12227FB9" w:rsidP="369E29CB" w:rsidRDefault="12227FB9" w14:paraId="3881AC56" w14:textId="77777777">
      <w:pPr>
        <w:rPr>
          <w:rFonts w:ascii="Arial" w:hAnsi="Arial" w:eastAsia="Arial" w:cs="Arial"/>
          <w:sz w:val="22"/>
          <w:szCs w:val="22"/>
        </w:rPr>
      </w:pPr>
      <w:r w:rsidRPr="369E29CB" w:rsidR="12227FB9">
        <w:rPr>
          <w:rFonts w:ascii="Arial" w:hAnsi="Arial" w:eastAsia="Arial" w:cs="Arial"/>
          <w:sz w:val="22"/>
          <w:szCs w:val="22"/>
        </w:rPr>
        <w:t>Cummings, GG, MacGregor, T, Davey, M, Lee, H, Wong, CA, Lo, E, Muise, M &amp; Stafford, E 2010, ‘Leadership styles and outcome patterns for the nursing workforce and work environment: A systematic review’, </w:t>
      </w:r>
      <w:r w:rsidRPr="369E29CB" w:rsidR="12227FB9">
        <w:rPr>
          <w:rFonts w:ascii="Arial" w:hAnsi="Arial" w:eastAsia="Arial" w:cs="Arial"/>
          <w:i w:val="1"/>
          <w:iCs w:val="1"/>
          <w:sz w:val="22"/>
          <w:szCs w:val="22"/>
        </w:rPr>
        <w:t>International Journal of Nursing Studies</w:t>
      </w:r>
      <w:r w:rsidRPr="369E29CB" w:rsidR="12227FB9">
        <w:rPr>
          <w:rFonts w:ascii="Arial" w:hAnsi="Arial" w:eastAsia="Arial" w:cs="Arial"/>
          <w:sz w:val="22"/>
          <w:szCs w:val="22"/>
        </w:rPr>
        <w:t xml:space="preserve">, vol. 47, Elsevier BV, no. 3, pp. 363–385, viewed 24 February 2026, </w:t>
      </w:r>
      <w:hyperlink r:id="Rbadccb853e8d4471">
        <w:r w:rsidRPr="369E29CB" w:rsidR="12227FB9">
          <w:rPr>
            <w:rFonts w:ascii="Arial" w:hAnsi="Arial" w:eastAsia="Arial" w:cs="Arial"/>
            <w:color w:val="000000" w:themeColor="text1" w:themeTint="FF" w:themeShade="FF"/>
            <w:sz w:val="22"/>
            <w:szCs w:val="22"/>
            <w:u w:val="single"/>
          </w:rPr>
          <w:t>https://pubmed.ncbi.nlm.nih.gov/19781702/</w:t>
        </w:r>
      </w:hyperlink>
      <w:r w:rsidRPr="369E29CB" w:rsidR="12227FB9">
        <w:rPr>
          <w:rFonts w:ascii="Arial" w:hAnsi="Arial" w:eastAsia="Arial" w:cs="Arial"/>
          <w:sz w:val="22"/>
          <w:szCs w:val="22"/>
        </w:rPr>
        <w:t>.</w:t>
      </w:r>
    </w:p>
    <w:p w:rsidR="12227FB9" w:rsidP="369E29CB" w:rsidRDefault="12227FB9" w14:paraId="0F720E41"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Hamdan, M, Jaaffar, A, </w:t>
      </w:r>
      <w:r w:rsidRPr="369E29CB" w:rsidR="12227FB9">
        <w:rPr>
          <w:rFonts w:ascii="Arial" w:hAnsi="Arial" w:eastAsia="Arial" w:cs="Arial"/>
          <w:sz w:val="22"/>
          <w:szCs w:val="22"/>
          <w:lang w:val="en-US"/>
        </w:rPr>
        <w:t>Khraisat</w:t>
      </w:r>
      <w:r w:rsidRPr="369E29CB" w:rsidR="12227FB9">
        <w:rPr>
          <w:rFonts w:ascii="Arial" w:hAnsi="Arial" w:eastAsia="Arial" w:cs="Arial"/>
          <w:sz w:val="22"/>
          <w:szCs w:val="22"/>
          <w:lang w:val="en-US"/>
        </w:rPr>
        <w:t>, O, Issa, M &amp; Jarrar, M 2024, ‘The Association of Transformational Leadership on Safety Practices Among Nurses: The Mediating Role of Patient Safety Culture’, </w:t>
      </w:r>
      <w:r w:rsidRPr="369E29CB" w:rsidR="12227FB9">
        <w:rPr>
          <w:rFonts w:ascii="Arial" w:hAnsi="Arial" w:eastAsia="Arial" w:cs="Arial"/>
          <w:i w:val="1"/>
          <w:iCs w:val="1"/>
          <w:sz w:val="22"/>
          <w:szCs w:val="22"/>
          <w:lang w:val="en-US"/>
        </w:rPr>
        <w:t>Risk Management and Healthcare Policy</w:t>
      </w:r>
      <w:r w:rsidRPr="369E29CB" w:rsidR="12227FB9">
        <w:rPr>
          <w:rFonts w:ascii="Arial" w:hAnsi="Arial" w:eastAsia="Arial" w:cs="Arial"/>
          <w:sz w:val="22"/>
          <w:szCs w:val="22"/>
          <w:lang w:val="en-US"/>
        </w:rPr>
        <w:t xml:space="preserve">, vol. </w:t>
      </w:r>
      <w:r w:rsidRPr="369E29CB" w:rsidR="12227FB9">
        <w:rPr>
          <w:rFonts w:ascii="Arial" w:hAnsi="Arial" w:eastAsia="Arial" w:cs="Arial"/>
          <w:sz w:val="22"/>
          <w:szCs w:val="22"/>
          <w:lang w:val="en-US"/>
        </w:rPr>
        <w:t xml:space="preserve">Volume 17, Informa UK Limited, pp. 1687–1700, viewed 24 February 2026, </w:t>
      </w:r>
      <w:hyperlink r:id="R5eebd463e34c4465">
        <w:r w:rsidRPr="369E29CB" w:rsidR="12227FB9">
          <w:rPr>
            <w:rFonts w:ascii="Arial" w:hAnsi="Arial" w:eastAsia="Arial" w:cs="Arial"/>
            <w:color w:val="000000" w:themeColor="text1" w:themeTint="FF" w:themeShade="FF"/>
            <w:sz w:val="22"/>
            <w:szCs w:val="22"/>
            <w:u w:val="single"/>
            <w:lang w:val="en-US"/>
          </w:rPr>
          <w:t>https://pmc.ncbi.nlm.nih.gov/articles/PMC11214760/</w:t>
        </w:r>
      </w:hyperlink>
      <w:r w:rsidRPr="369E29CB" w:rsidR="12227FB9">
        <w:rPr>
          <w:rFonts w:ascii="Arial" w:hAnsi="Arial" w:eastAsia="Arial" w:cs="Arial"/>
          <w:sz w:val="22"/>
          <w:szCs w:val="22"/>
          <w:lang w:val="en-US"/>
        </w:rPr>
        <w:t>.</w:t>
      </w:r>
    </w:p>
    <w:p w:rsidR="12227FB9" w:rsidP="369E29CB" w:rsidRDefault="12227FB9" w14:paraId="555D7F10" w14:textId="77777777">
      <w:pPr>
        <w:rPr>
          <w:rFonts w:ascii="Arial" w:hAnsi="Arial" w:eastAsia="Arial" w:cs="Arial"/>
          <w:sz w:val="22"/>
          <w:szCs w:val="22"/>
          <w:lang w:val="en-US"/>
        </w:rPr>
      </w:pPr>
      <w:r w:rsidRPr="369E29CB" w:rsidR="12227FB9">
        <w:rPr>
          <w:rFonts w:ascii="Arial" w:hAnsi="Arial" w:eastAsia="Arial" w:cs="Arial"/>
          <w:sz w:val="22"/>
          <w:szCs w:val="22"/>
          <w:lang w:val="en-US"/>
        </w:rPr>
        <w:t>Haoyan</w:t>
      </w:r>
      <w:r w:rsidRPr="369E29CB" w:rsidR="12227FB9">
        <w:rPr>
          <w:rFonts w:ascii="Arial" w:hAnsi="Arial" w:eastAsia="Arial" w:cs="Arial"/>
          <w:sz w:val="22"/>
          <w:szCs w:val="22"/>
          <w:lang w:val="en-US"/>
        </w:rPr>
        <w:t xml:space="preserve">, X, Waters, D, </w:t>
      </w:r>
      <w:r w:rsidRPr="369E29CB" w:rsidR="12227FB9">
        <w:rPr>
          <w:rFonts w:ascii="Arial" w:hAnsi="Arial" w:eastAsia="Arial" w:cs="Arial"/>
          <w:sz w:val="22"/>
          <w:szCs w:val="22"/>
          <w:lang w:val="en-US"/>
        </w:rPr>
        <w:t>Jinling</w:t>
      </w:r>
      <w:r w:rsidRPr="369E29CB" w:rsidR="12227FB9">
        <w:rPr>
          <w:rFonts w:ascii="Arial" w:hAnsi="Arial" w:eastAsia="Arial" w:cs="Arial"/>
          <w:sz w:val="22"/>
          <w:szCs w:val="22"/>
          <w:lang w:val="en-US"/>
        </w:rPr>
        <w:t xml:space="preserve">, H, </w:t>
      </w:r>
      <w:r w:rsidRPr="369E29CB" w:rsidR="12227FB9">
        <w:rPr>
          <w:rFonts w:ascii="Arial" w:hAnsi="Arial" w:eastAsia="Arial" w:cs="Arial"/>
          <w:sz w:val="22"/>
          <w:szCs w:val="22"/>
          <w:lang w:val="en-US"/>
        </w:rPr>
        <w:t>Qiongling</w:t>
      </w:r>
      <w:r w:rsidRPr="369E29CB" w:rsidR="12227FB9">
        <w:rPr>
          <w:rFonts w:ascii="Arial" w:hAnsi="Arial" w:eastAsia="Arial" w:cs="Arial"/>
          <w:sz w:val="22"/>
          <w:szCs w:val="22"/>
          <w:lang w:val="en-US"/>
        </w:rPr>
        <w:t xml:space="preserve">, L &amp; Sien, L 2023, ‘Quantitative systematic review of the transformational leadership style as a driver of nurses’ </w:t>
      </w:r>
      <w:r w:rsidRPr="369E29CB" w:rsidR="12227FB9">
        <w:rPr>
          <w:rFonts w:ascii="Arial" w:hAnsi="Arial" w:eastAsia="Arial" w:cs="Arial"/>
          <w:sz w:val="22"/>
          <w:szCs w:val="22"/>
          <w:lang w:val="en-US"/>
        </w:rPr>
        <w:t>organisational</w:t>
      </w:r>
      <w:r w:rsidRPr="369E29CB" w:rsidR="12227FB9">
        <w:rPr>
          <w:rFonts w:ascii="Arial" w:hAnsi="Arial" w:eastAsia="Arial" w:cs="Arial"/>
          <w:sz w:val="22"/>
          <w:szCs w:val="22"/>
          <w:lang w:val="en-US"/>
        </w:rPr>
        <w:t xml:space="preserve"> commitment’, </w:t>
      </w:r>
      <w:r w:rsidRPr="369E29CB" w:rsidR="12227FB9">
        <w:rPr>
          <w:rFonts w:ascii="Arial" w:hAnsi="Arial" w:eastAsia="Arial" w:cs="Arial"/>
          <w:i w:val="1"/>
          <w:iCs w:val="1"/>
          <w:sz w:val="22"/>
          <w:szCs w:val="22"/>
          <w:lang w:val="en-US"/>
        </w:rPr>
        <w:t>Nursing Open</w:t>
      </w:r>
      <w:r w:rsidRPr="369E29CB" w:rsidR="12227FB9">
        <w:rPr>
          <w:rFonts w:ascii="Arial" w:hAnsi="Arial" w:eastAsia="Arial" w:cs="Arial"/>
          <w:sz w:val="22"/>
          <w:szCs w:val="22"/>
          <w:lang w:val="en-US"/>
        </w:rPr>
        <w:t xml:space="preserve">, vol. 10, Wiley, no. 7, pp. 4160–4171, viewed 24 February 2026, </w:t>
      </w:r>
      <w:hyperlink r:id="R31d86c0e33564c05">
        <w:r w:rsidRPr="369E29CB" w:rsidR="12227FB9">
          <w:rPr>
            <w:rFonts w:ascii="Arial" w:hAnsi="Arial" w:eastAsia="Arial" w:cs="Arial"/>
            <w:color w:val="000000" w:themeColor="text1" w:themeTint="FF" w:themeShade="FF"/>
            <w:sz w:val="22"/>
            <w:szCs w:val="22"/>
            <w:u w:val="single"/>
            <w:lang w:val="en-US"/>
          </w:rPr>
          <w:t>https://pubmed.ncbi.nlm.nih.gov/36916967/</w:t>
        </w:r>
      </w:hyperlink>
      <w:r w:rsidRPr="369E29CB" w:rsidR="12227FB9">
        <w:rPr>
          <w:rFonts w:ascii="Arial" w:hAnsi="Arial" w:eastAsia="Arial" w:cs="Arial"/>
          <w:sz w:val="22"/>
          <w:szCs w:val="22"/>
          <w:lang w:val="en-US"/>
        </w:rPr>
        <w:t>.</w:t>
      </w:r>
    </w:p>
    <w:p w:rsidR="12227FB9" w:rsidP="369E29CB" w:rsidRDefault="12227FB9" w14:paraId="5CA03D47" w14:textId="77777777">
      <w:pPr>
        <w:rPr>
          <w:rFonts w:ascii="Arial" w:hAnsi="Arial" w:eastAsia="Arial" w:cs="Arial"/>
          <w:sz w:val="22"/>
          <w:szCs w:val="22"/>
        </w:rPr>
      </w:pPr>
      <w:r w:rsidRPr="369E29CB" w:rsidR="12227FB9">
        <w:rPr>
          <w:rFonts w:ascii="Arial" w:hAnsi="Arial" w:eastAsia="Arial" w:cs="Arial"/>
          <w:sz w:val="22"/>
          <w:szCs w:val="22"/>
        </w:rPr>
        <w:t>Huang, C-H, Wu, H-H, Lee, Y-C &amp; Li, X 2024, ‘The Critical Role of Leadership in Patient Safety Culture: A Mediation Analysis of Management Influence on Safety Factors’, </w:t>
      </w:r>
      <w:r w:rsidRPr="369E29CB" w:rsidR="12227FB9">
        <w:rPr>
          <w:rFonts w:ascii="Arial" w:hAnsi="Arial" w:eastAsia="Arial" w:cs="Arial"/>
          <w:i w:val="1"/>
          <w:iCs w:val="1"/>
          <w:sz w:val="22"/>
          <w:szCs w:val="22"/>
        </w:rPr>
        <w:t>Risk Management and Healthcare Policy</w:t>
      </w:r>
      <w:r w:rsidRPr="369E29CB" w:rsidR="12227FB9">
        <w:rPr>
          <w:rFonts w:ascii="Arial" w:hAnsi="Arial" w:eastAsia="Arial" w:cs="Arial"/>
          <w:sz w:val="22"/>
          <w:szCs w:val="22"/>
        </w:rPr>
        <w:t xml:space="preserve">, vol. Volume 17, Informa UK Limited, pp. 513–523, viewed 24 February 2026, </w:t>
      </w:r>
      <w:hyperlink r:id="R0b4e8169d8a84fe6">
        <w:r w:rsidRPr="369E29CB" w:rsidR="12227FB9">
          <w:rPr>
            <w:rFonts w:ascii="Arial" w:hAnsi="Arial" w:eastAsia="Arial" w:cs="Arial"/>
            <w:color w:val="000000" w:themeColor="text1" w:themeTint="FF" w:themeShade="FF"/>
            <w:sz w:val="22"/>
            <w:szCs w:val="22"/>
            <w:u w:val="single"/>
          </w:rPr>
          <w:t>https://pubmed.ncbi.nlm.nih.gov/38476201/</w:t>
        </w:r>
      </w:hyperlink>
      <w:r w:rsidRPr="369E29CB" w:rsidR="12227FB9">
        <w:rPr>
          <w:rFonts w:ascii="Arial" w:hAnsi="Arial" w:eastAsia="Arial" w:cs="Arial"/>
          <w:sz w:val="22"/>
          <w:szCs w:val="22"/>
        </w:rPr>
        <w:t>.</w:t>
      </w:r>
    </w:p>
    <w:p w:rsidR="12227FB9" w:rsidP="369E29CB" w:rsidRDefault="12227FB9" w14:paraId="50C29051" w14:textId="77777777">
      <w:pPr>
        <w:rPr>
          <w:rFonts w:ascii="Arial" w:hAnsi="Arial" w:eastAsia="Arial" w:cs="Arial"/>
          <w:sz w:val="22"/>
          <w:szCs w:val="22"/>
        </w:rPr>
      </w:pPr>
      <w:r w:rsidRPr="369E29CB" w:rsidR="12227FB9">
        <w:rPr>
          <w:rFonts w:ascii="Arial" w:hAnsi="Arial" w:eastAsia="Arial" w:cs="Arial"/>
          <w:sz w:val="22"/>
          <w:szCs w:val="22"/>
        </w:rPr>
        <w:t>Kass, JS &amp; Rose, RV 2016, ‘Medical Malpractice Reform: Historical Approaches, Alternative Models, and Communication and Resolution Programs’, </w:t>
      </w:r>
      <w:r w:rsidRPr="369E29CB" w:rsidR="12227FB9">
        <w:rPr>
          <w:rFonts w:ascii="Arial" w:hAnsi="Arial" w:eastAsia="Arial" w:cs="Arial"/>
          <w:i w:val="1"/>
          <w:iCs w:val="1"/>
          <w:sz w:val="22"/>
          <w:szCs w:val="22"/>
        </w:rPr>
        <w:t>AMA Journal of Ethics</w:t>
      </w:r>
      <w:r w:rsidRPr="369E29CB" w:rsidR="12227FB9">
        <w:rPr>
          <w:rFonts w:ascii="Arial" w:hAnsi="Arial" w:eastAsia="Arial" w:cs="Arial"/>
          <w:sz w:val="22"/>
          <w:szCs w:val="22"/>
        </w:rPr>
        <w:t xml:space="preserve">, vol. 18, American Medical Association, no. 3, pp. 299–310, viewed 24 February 2026, </w:t>
      </w:r>
      <w:hyperlink r:id="R9a6149a9e0f6431c">
        <w:r w:rsidRPr="369E29CB" w:rsidR="12227FB9">
          <w:rPr>
            <w:rFonts w:ascii="Arial" w:hAnsi="Arial" w:eastAsia="Arial" w:cs="Arial"/>
            <w:color w:val="000000" w:themeColor="text1" w:themeTint="FF" w:themeShade="FF"/>
            <w:sz w:val="22"/>
            <w:szCs w:val="22"/>
            <w:u w:val="single"/>
          </w:rPr>
          <w:t>https://journalofethics.ama-assn.org/article/medical-malpractice-reform-historical-approaches-alternative-models-and-communication-and-resolution/2016-03#:~:text=Kachalia%20A%2C%20Kaufman%20SR%2C%20Boothman%20R%2C%20et,implementation%20of%20a%20medical%20error%20disclosure%20program</w:t>
        </w:r>
      </w:hyperlink>
      <w:r w:rsidRPr="369E29CB" w:rsidR="12227FB9">
        <w:rPr>
          <w:rFonts w:ascii="Arial" w:hAnsi="Arial" w:eastAsia="Arial" w:cs="Arial"/>
          <w:sz w:val="22"/>
          <w:szCs w:val="22"/>
        </w:rPr>
        <w:t>.</w:t>
      </w:r>
    </w:p>
    <w:p w:rsidR="12227FB9" w:rsidP="369E29CB" w:rsidRDefault="12227FB9" w14:paraId="7A00E52D" w14:textId="77777777">
      <w:pPr>
        <w:rPr>
          <w:rFonts w:ascii="Arial" w:hAnsi="Arial" w:eastAsia="Arial" w:cs="Arial"/>
          <w:sz w:val="22"/>
          <w:szCs w:val="22"/>
        </w:rPr>
      </w:pPr>
      <w:r w:rsidRPr="369E29CB" w:rsidR="12227FB9">
        <w:rPr>
          <w:rFonts w:ascii="Arial" w:hAnsi="Arial" w:eastAsia="Arial" w:cs="Arial"/>
          <w:sz w:val="22"/>
          <w:szCs w:val="22"/>
        </w:rPr>
        <w:t>Kessler, DP 2011, ‘Evaluating the Medical Malpractice System and Options for Reform’, </w:t>
      </w:r>
      <w:r w:rsidRPr="369E29CB" w:rsidR="12227FB9">
        <w:rPr>
          <w:rFonts w:ascii="Arial" w:hAnsi="Arial" w:eastAsia="Arial" w:cs="Arial"/>
          <w:i w:val="1"/>
          <w:iCs w:val="1"/>
          <w:sz w:val="22"/>
          <w:szCs w:val="22"/>
        </w:rPr>
        <w:t>Journal of Economic Perspectives</w:t>
      </w:r>
      <w:r w:rsidRPr="369E29CB" w:rsidR="12227FB9">
        <w:rPr>
          <w:rFonts w:ascii="Arial" w:hAnsi="Arial" w:eastAsia="Arial" w:cs="Arial"/>
          <w:sz w:val="22"/>
          <w:szCs w:val="22"/>
        </w:rPr>
        <w:t xml:space="preserve">, vol. 25, no. 2, pp. 93–110, viewed 24 February 2026, </w:t>
      </w:r>
      <w:hyperlink r:id="Rc0e1ea15d778480c">
        <w:r w:rsidRPr="369E29CB" w:rsidR="12227FB9">
          <w:rPr>
            <w:rFonts w:ascii="Arial" w:hAnsi="Arial" w:eastAsia="Arial" w:cs="Arial"/>
            <w:color w:val="000000" w:themeColor="text1" w:themeTint="FF" w:themeShade="FF"/>
            <w:sz w:val="22"/>
            <w:szCs w:val="22"/>
            <w:u w:val="single"/>
          </w:rPr>
          <w:t>https://www.aeaweb.org/articles?id=10.1257/jep.25.2.93</w:t>
        </w:r>
      </w:hyperlink>
      <w:r w:rsidRPr="369E29CB" w:rsidR="12227FB9">
        <w:rPr>
          <w:rFonts w:ascii="Arial" w:hAnsi="Arial" w:eastAsia="Arial" w:cs="Arial"/>
          <w:sz w:val="22"/>
          <w:szCs w:val="22"/>
        </w:rPr>
        <w:t>.</w:t>
      </w:r>
    </w:p>
    <w:p w:rsidR="12227FB9" w:rsidP="369E29CB" w:rsidRDefault="12227FB9" w14:paraId="022CA163" w14:textId="77777777">
      <w:pPr>
        <w:rPr>
          <w:rFonts w:ascii="Arial" w:hAnsi="Arial" w:eastAsia="Arial" w:cs="Arial"/>
          <w:sz w:val="22"/>
          <w:szCs w:val="22"/>
          <w:lang w:val="en-US"/>
        </w:rPr>
      </w:pPr>
      <w:r w:rsidRPr="369E29CB" w:rsidR="12227FB9">
        <w:rPr>
          <w:rFonts w:ascii="Arial" w:hAnsi="Arial" w:eastAsia="Arial" w:cs="Arial"/>
          <w:sz w:val="22"/>
          <w:szCs w:val="22"/>
          <w:lang w:val="en-US"/>
        </w:rPr>
        <w:t>Khusheim</w:t>
      </w:r>
      <w:r w:rsidRPr="369E29CB" w:rsidR="12227FB9">
        <w:rPr>
          <w:rFonts w:ascii="Arial" w:hAnsi="Arial" w:eastAsia="Arial" w:cs="Arial"/>
          <w:sz w:val="22"/>
          <w:szCs w:val="22"/>
          <w:lang w:val="en-US"/>
        </w:rPr>
        <w:t>, LH 2025, ‘Leveraging Digital Platforms and Leadership Inclusivity to Enhance Leadership Effectiveness and Patient Outcomes in Healthcare Organizations’, </w:t>
      </w:r>
      <w:r w:rsidRPr="369E29CB" w:rsidR="12227FB9">
        <w:rPr>
          <w:rFonts w:ascii="Arial" w:hAnsi="Arial" w:eastAsia="Arial" w:cs="Arial"/>
          <w:i w:val="1"/>
          <w:iCs w:val="1"/>
          <w:sz w:val="22"/>
          <w:szCs w:val="22"/>
          <w:lang w:val="en-US"/>
        </w:rPr>
        <w:t>Healthcare</w:t>
      </w:r>
      <w:r w:rsidRPr="369E29CB" w:rsidR="12227FB9">
        <w:rPr>
          <w:rFonts w:ascii="Arial" w:hAnsi="Arial" w:eastAsia="Arial" w:cs="Arial"/>
          <w:sz w:val="22"/>
          <w:szCs w:val="22"/>
          <w:lang w:val="en-US"/>
        </w:rPr>
        <w:t xml:space="preserve">, vol. 13, MDPI AG, no. 15, p. 1833, viewed 24 February 2026, </w:t>
      </w:r>
      <w:hyperlink r:id="R46acb37c391b4340">
        <w:r w:rsidRPr="369E29CB" w:rsidR="12227FB9">
          <w:rPr>
            <w:rFonts w:ascii="Arial" w:hAnsi="Arial" w:eastAsia="Arial" w:cs="Arial"/>
            <w:color w:val="000000" w:themeColor="text1" w:themeTint="FF" w:themeShade="FF"/>
            <w:sz w:val="22"/>
            <w:szCs w:val="22"/>
            <w:u w:val="single"/>
            <w:lang w:val="en-US"/>
          </w:rPr>
          <w:t>https://www.mdpi.com/2227-9032/13/15/1833</w:t>
        </w:r>
      </w:hyperlink>
      <w:r w:rsidRPr="369E29CB" w:rsidR="12227FB9">
        <w:rPr>
          <w:rFonts w:ascii="Arial" w:hAnsi="Arial" w:eastAsia="Arial" w:cs="Arial"/>
          <w:sz w:val="22"/>
          <w:szCs w:val="22"/>
          <w:lang w:val="en-US"/>
        </w:rPr>
        <w:t>.</w:t>
      </w:r>
    </w:p>
    <w:p w:rsidR="12227FB9" w:rsidP="369E29CB" w:rsidRDefault="12227FB9" w14:paraId="4085A994" w14:textId="77777777">
      <w:pPr>
        <w:rPr>
          <w:rFonts w:ascii="Arial" w:hAnsi="Arial" w:eastAsia="Arial" w:cs="Arial"/>
          <w:sz w:val="22"/>
          <w:szCs w:val="22"/>
          <w:lang w:val="en-US"/>
        </w:rPr>
      </w:pPr>
      <w:r w:rsidRPr="369E29CB" w:rsidR="12227FB9">
        <w:rPr>
          <w:rFonts w:ascii="Arial" w:hAnsi="Arial" w:eastAsia="Arial" w:cs="Arial"/>
          <w:sz w:val="22"/>
          <w:szCs w:val="22"/>
          <w:lang w:val="en-US"/>
        </w:rPr>
        <w:t>Krenyacz</w:t>
      </w:r>
      <w:r w:rsidRPr="369E29CB" w:rsidR="12227FB9">
        <w:rPr>
          <w:rFonts w:ascii="Arial" w:hAnsi="Arial" w:eastAsia="Arial" w:cs="Arial"/>
          <w:sz w:val="22"/>
          <w:szCs w:val="22"/>
          <w:lang w:val="en-US"/>
        </w:rPr>
        <w:t>, E &amp; Revesz, EE 2025, ‘Consequences of centralized healthcare systems: changing role and autonomy of hospital managers – insights from a Hungarian case’, </w:t>
      </w:r>
      <w:r w:rsidRPr="369E29CB" w:rsidR="12227FB9">
        <w:rPr>
          <w:rFonts w:ascii="Arial" w:hAnsi="Arial" w:eastAsia="Arial" w:cs="Arial"/>
          <w:i w:val="1"/>
          <w:iCs w:val="1"/>
          <w:sz w:val="22"/>
          <w:szCs w:val="22"/>
          <w:lang w:val="en-US"/>
        </w:rPr>
        <w:t>Journal of Health Organization and Management</w:t>
      </w:r>
      <w:r w:rsidRPr="369E29CB" w:rsidR="12227FB9">
        <w:rPr>
          <w:rFonts w:ascii="Arial" w:hAnsi="Arial" w:eastAsia="Arial" w:cs="Arial"/>
          <w:sz w:val="22"/>
          <w:szCs w:val="22"/>
          <w:lang w:val="en-US"/>
        </w:rPr>
        <w:t xml:space="preserve">, vol. 39, Emerald, no. 9, pp. 177–191, viewed 24 February 2026, </w:t>
      </w:r>
      <w:hyperlink r:id="R8d4acdea2a4b4e8a">
        <w:r w:rsidRPr="369E29CB" w:rsidR="12227FB9">
          <w:rPr>
            <w:rFonts w:ascii="Arial" w:hAnsi="Arial" w:eastAsia="Arial" w:cs="Arial"/>
            <w:color w:val="000000" w:themeColor="text1" w:themeTint="FF" w:themeShade="FF"/>
            <w:sz w:val="22"/>
            <w:szCs w:val="22"/>
            <w:u w:val="single"/>
            <w:lang w:val="en-US"/>
          </w:rPr>
          <w:t>https://pmc.ncbi.nlm.nih.gov/articles/PMC11884511/</w:t>
        </w:r>
      </w:hyperlink>
      <w:r w:rsidRPr="369E29CB" w:rsidR="12227FB9">
        <w:rPr>
          <w:rFonts w:ascii="Arial" w:hAnsi="Arial" w:eastAsia="Arial" w:cs="Arial"/>
          <w:sz w:val="22"/>
          <w:szCs w:val="22"/>
          <w:lang w:val="en-US"/>
        </w:rPr>
        <w:t>.</w:t>
      </w:r>
    </w:p>
    <w:p w:rsidR="12227FB9" w:rsidP="369E29CB" w:rsidRDefault="12227FB9" w14:paraId="2B141B2D" w14:textId="77777777">
      <w:pPr>
        <w:rPr>
          <w:rFonts w:ascii="Arial" w:hAnsi="Arial" w:eastAsia="Arial" w:cs="Arial"/>
          <w:sz w:val="22"/>
          <w:szCs w:val="22"/>
        </w:rPr>
      </w:pPr>
      <w:r w:rsidRPr="369E29CB" w:rsidR="12227FB9">
        <w:rPr>
          <w:rFonts w:ascii="Arial" w:hAnsi="Arial" w:eastAsia="Arial" w:cs="Arial"/>
          <w:sz w:val="22"/>
          <w:szCs w:val="22"/>
        </w:rPr>
        <w:t>Lee, SE, Hyunjie, L &amp; Sang, S 2022, ‘Nurse Managers’ Leadership, Patient Safety, and Quality of Care: A Systematic Review’, </w:t>
      </w:r>
      <w:r w:rsidRPr="369E29CB" w:rsidR="12227FB9">
        <w:rPr>
          <w:rFonts w:ascii="Arial" w:hAnsi="Arial" w:eastAsia="Arial" w:cs="Arial"/>
          <w:i w:val="1"/>
          <w:iCs w:val="1"/>
          <w:sz w:val="22"/>
          <w:szCs w:val="22"/>
        </w:rPr>
        <w:t>Western Journal of Nursing Research</w:t>
      </w:r>
      <w:r w:rsidRPr="369E29CB" w:rsidR="12227FB9">
        <w:rPr>
          <w:rFonts w:ascii="Arial" w:hAnsi="Arial" w:eastAsia="Arial" w:cs="Arial"/>
          <w:sz w:val="22"/>
          <w:szCs w:val="22"/>
        </w:rPr>
        <w:t xml:space="preserve">, vol. 45, SAGE Publications, no. 2, pp. 176–185, viewed 24 February 2026, </w:t>
      </w:r>
      <w:hyperlink r:id="R0d7940298e594998">
        <w:r w:rsidRPr="369E29CB" w:rsidR="12227FB9">
          <w:rPr>
            <w:rFonts w:ascii="Arial" w:hAnsi="Arial" w:eastAsia="Arial" w:cs="Arial"/>
            <w:color w:val="000000" w:themeColor="text1" w:themeTint="FF" w:themeShade="FF"/>
            <w:sz w:val="22"/>
            <w:szCs w:val="22"/>
            <w:u w:val="single"/>
          </w:rPr>
          <w:t>https://pubmed.ncbi.nlm.nih.gov/35876005/</w:t>
        </w:r>
      </w:hyperlink>
      <w:r w:rsidRPr="369E29CB" w:rsidR="12227FB9">
        <w:rPr>
          <w:rFonts w:ascii="Arial" w:hAnsi="Arial" w:eastAsia="Arial" w:cs="Arial"/>
          <w:sz w:val="22"/>
          <w:szCs w:val="22"/>
        </w:rPr>
        <w:t>.</w:t>
      </w:r>
    </w:p>
    <w:p w:rsidR="12227FB9" w:rsidP="369E29CB" w:rsidRDefault="12227FB9" w14:paraId="23590193" w14:textId="77777777">
      <w:pPr>
        <w:rPr>
          <w:rFonts w:ascii="Arial" w:hAnsi="Arial" w:eastAsia="Arial" w:cs="Arial"/>
          <w:sz w:val="22"/>
          <w:szCs w:val="22"/>
        </w:rPr>
      </w:pPr>
      <w:r w:rsidRPr="369E29CB" w:rsidR="12227FB9">
        <w:rPr>
          <w:rFonts w:ascii="Arial" w:hAnsi="Arial" w:eastAsia="Arial" w:cs="Arial"/>
          <w:sz w:val="22"/>
          <w:szCs w:val="22"/>
        </w:rPr>
        <w:t>Liao, Y, Ameyaw, MA, Liang, C, Li, W, Ji, Y &amp; An, Z 2023, ‘Effects of Evidence-Based Intervention on Teachers’ Mental Health Literacy: Systematic Review and a Meta-Analysis’, </w:t>
      </w:r>
      <w:r w:rsidRPr="369E29CB" w:rsidR="12227FB9">
        <w:rPr>
          <w:rFonts w:ascii="Arial" w:hAnsi="Arial" w:eastAsia="Arial" w:cs="Arial"/>
          <w:i w:val="1"/>
          <w:iCs w:val="1"/>
          <w:sz w:val="22"/>
          <w:szCs w:val="22"/>
        </w:rPr>
        <w:t>Sustainability</w:t>
      </w:r>
      <w:r w:rsidRPr="369E29CB" w:rsidR="12227FB9">
        <w:rPr>
          <w:rFonts w:ascii="Arial" w:hAnsi="Arial" w:eastAsia="Arial" w:cs="Arial"/>
          <w:sz w:val="22"/>
          <w:szCs w:val="22"/>
        </w:rPr>
        <w:t xml:space="preserve">, vol. 15, MDPI AG, no. 11, p. 8981, viewed 23 March 2026, </w:t>
      </w:r>
      <w:hyperlink r:id="R68c830984e904fb7">
        <w:r w:rsidRPr="369E29CB" w:rsidR="12227FB9">
          <w:rPr>
            <w:rFonts w:ascii="Arial" w:hAnsi="Arial" w:eastAsia="Arial" w:cs="Arial"/>
            <w:sz w:val="22"/>
            <w:szCs w:val="22"/>
            <w:u w:val="single"/>
          </w:rPr>
          <w:t>https://www.mdpi.com/2071-1050/15/11/8981</w:t>
        </w:r>
      </w:hyperlink>
      <w:r w:rsidRPr="369E29CB" w:rsidR="12227FB9">
        <w:rPr>
          <w:rFonts w:ascii="Arial" w:hAnsi="Arial" w:eastAsia="Arial" w:cs="Arial"/>
          <w:sz w:val="22"/>
          <w:szCs w:val="22"/>
        </w:rPr>
        <w:t>.</w:t>
      </w:r>
    </w:p>
    <w:p w:rsidR="12227FB9" w:rsidP="369E29CB" w:rsidRDefault="12227FB9" w14:paraId="681139E7" w14:textId="77777777">
      <w:pPr>
        <w:rPr>
          <w:rFonts w:ascii="Arial" w:hAnsi="Arial" w:eastAsia="Arial" w:cs="Arial"/>
          <w:sz w:val="22"/>
          <w:szCs w:val="22"/>
          <w:lang w:val="en-US"/>
        </w:rPr>
      </w:pPr>
      <w:r w:rsidRPr="369E29CB" w:rsidR="12227FB9">
        <w:rPr>
          <w:rFonts w:ascii="Arial" w:hAnsi="Arial" w:eastAsia="Arial" w:cs="Arial"/>
          <w:sz w:val="22"/>
          <w:szCs w:val="22"/>
          <w:lang w:val="en-US"/>
        </w:rPr>
        <w:t>Moisoglou</w:t>
      </w:r>
      <w:r w:rsidRPr="369E29CB" w:rsidR="12227FB9">
        <w:rPr>
          <w:rFonts w:ascii="Arial" w:hAnsi="Arial" w:eastAsia="Arial" w:cs="Arial"/>
          <w:sz w:val="22"/>
          <w:szCs w:val="22"/>
          <w:lang w:val="en-US"/>
        </w:rPr>
        <w:t xml:space="preserve">, I, </w:t>
      </w:r>
      <w:r w:rsidRPr="369E29CB" w:rsidR="12227FB9">
        <w:rPr>
          <w:rFonts w:ascii="Arial" w:hAnsi="Arial" w:eastAsia="Arial" w:cs="Arial"/>
          <w:sz w:val="22"/>
          <w:szCs w:val="22"/>
          <w:lang w:val="en-US"/>
        </w:rPr>
        <w:t>Katsiroumpa</w:t>
      </w:r>
      <w:r w:rsidRPr="369E29CB" w:rsidR="12227FB9">
        <w:rPr>
          <w:rFonts w:ascii="Arial" w:hAnsi="Arial" w:eastAsia="Arial" w:cs="Arial"/>
          <w:sz w:val="22"/>
          <w:szCs w:val="22"/>
          <w:lang w:val="en-US"/>
        </w:rPr>
        <w:t xml:space="preserve">, A, Papathanasiou, IV, </w:t>
      </w:r>
      <w:r w:rsidRPr="369E29CB" w:rsidR="12227FB9">
        <w:rPr>
          <w:rFonts w:ascii="Arial" w:hAnsi="Arial" w:eastAsia="Arial" w:cs="Arial"/>
          <w:sz w:val="22"/>
          <w:szCs w:val="22"/>
          <w:lang w:val="en-US"/>
        </w:rPr>
        <w:t>Konstantakopoulou</w:t>
      </w:r>
      <w:r w:rsidRPr="369E29CB" w:rsidR="12227FB9">
        <w:rPr>
          <w:rFonts w:ascii="Arial" w:hAnsi="Arial" w:eastAsia="Arial" w:cs="Arial"/>
          <w:sz w:val="22"/>
          <w:szCs w:val="22"/>
          <w:lang w:val="en-US"/>
        </w:rPr>
        <w:t xml:space="preserve">, O, Yfantis, A, </w:t>
      </w:r>
      <w:r w:rsidRPr="369E29CB" w:rsidR="12227FB9">
        <w:rPr>
          <w:rFonts w:ascii="Arial" w:hAnsi="Arial" w:eastAsia="Arial" w:cs="Arial"/>
          <w:sz w:val="22"/>
          <w:szCs w:val="22"/>
          <w:lang w:val="en-US"/>
        </w:rPr>
        <w:t>Katsapi</w:t>
      </w:r>
      <w:r w:rsidRPr="369E29CB" w:rsidR="12227FB9">
        <w:rPr>
          <w:rFonts w:ascii="Arial" w:hAnsi="Arial" w:eastAsia="Arial" w:cs="Arial"/>
          <w:sz w:val="22"/>
          <w:szCs w:val="22"/>
          <w:lang w:val="en-US"/>
        </w:rPr>
        <w:t>, A &amp; Galanis, P 2026, ‘Association Between Workplace Gaslighting and Perceived Quality of Care, Patient Safety and Quiet Quitting: A Cross-Sectional Study Among Nurses in Greece’, </w:t>
      </w:r>
      <w:r w:rsidRPr="369E29CB" w:rsidR="12227FB9">
        <w:rPr>
          <w:rFonts w:ascii="Arial" w:hAnsi="Arial" w:eastAsia="Arial" w:cs="Arial"/>
          <w:i w:val="1"/>
          <w:iCs w:val="1"/>
          <w:sz w:val="22"/>
          <w:szCs w:val="22"/>
          <w:lang w:val="en-US"/>
        </w:rPr>
        <w:t>Healthcare</w:t>
      </w:r>
      <w:r w:rsidRPr="369E29CB" w:rsidR="12227FB9">
        <w:rPr>
          <w:rFonts w:ascii="Arial" w:hAnsi="Arial" w:eastAsia="Arial" w:cs="Arial"/>
          <w:sz w:val="22"/>
          <w:szCs w:val="22"/>
          <w:lang w:val="en-US"/>
        </w:rPr>
        <w:t xml:space="preserve">, vol. 14, MDPI AG, no. 4, p. 450, viewed 24 February 2026, </w:t>
      </w:r>
      <w:hyperlink r:id="Re941f75e77dc40ca">
        <w:r w:rsidRPr="369E29CB" w:rsidR="12227FB9">
          <w:rPr>
            <w:rFonts w:ascii="Arial" w:hAnsi="Arial" w:eastAsia="Arial" w:cs="Arial"/>
            <w:color w:val="000000" w:themeColor="text1" w:themeTint="FF" w:themeShade="FF"/>
            <w:sz w:val="22"/>
            <w:szCs w:val="22"/>
            <w:u w:val="single"/>
            <w:lang w:val="en-US"/>
          </w:rPr>
          <w:t>https://www.mdpi.com/2227-9032/14/4/450</w:t>
        </w:r>
      </w:hyperlink>
      <w:r w:rsidRPr="369E29CB" w:rsidR="12227FB9">
        <w:rPr>
          <w:rFonts w:ascii="Arial" w:hAnsi="Arial" w:eastAsia="Arial" w:cs="Arial"/>
          <w:sz w:val="22"/>
          <w:szCs w:val="22"/>
          <w:lang w:val="en-US"/>
        </w:rPr>
        <w:t>.</w:t>
      </w:r>
    </w:p>
    <w:p w:rsidR="12227FB9" w:rsidP="369E29CB" w:rsidRDefault="12227FB9" w14:paraId="5469D4F6" w14:textId="77777777">
      <w:pPr>
        <w:rPr>
          <w:rFonts w:ascii="Arial" w:hAnsi="Arial" w:eastAsia="Arial" w:cs="Arial"/>
          <w:sz w:val="22"/>
          <w:szCs w:val="22"/>
          <w:lang w:val="en-US"/>
        </w:rPr>
      </w:pPr>
      <w:r w:rsidRPr="369E29CB" w:rsidR="12227FB9">
        <w:rPr>
          <w:rFonts w:ascii="Arial" w:hAnsi="Arial" w:eastAsia="Arial" w:cs="Arial"/>
          <w:sz w:val="22"/>
          <w:szCs w:val="22"/>
          <w:lang w:val="en-US"/>
        </w:rPr>
        <w:t>Palweni</w:t>
      </w:r>
      <w:r w:rsidRPr="369E29CB" w:rsidR="12227FB9">
        <w:rPr>
          <w:rFonts w:ascii="Arial" w:hAnsi="Arial" w:eastAsia="Arial" w:cs="Arial"/>
          <w:sz w:val="22"/>
          <w:szCs w:val="22"/>
          <w:lang w:val="en-US"/>
        </w:rPr>
        <w:t xml:space="preserve">, VS, </w:t>
      </w:r>
      <w:r w:rsidRPr="369E29CB" w:rsidR="12227FB9">
        <w:rPr>
          <w:rFonts w:ascii="Arial" w:hAnsi="Arial" w:eastAsia="Arial" w:cs="Arial"/>
          <w:sz w:val="22"/>
          <w:szCs w:val="22"/>
          <w:lang w:val="en-US"/>
        </w:rPr>
        <w:t>Malesela</w:t>
      </w:r>
      <w:r w:rsidRPr="369E29CB" w:rsidR="12227FB9">
        <w:rPr>
          <w:rFonts w:ascii="Arial" w:hAnsi="Arial" w:eastAsia="Arial" w:cs="Arial"/>
          <w:sz w:val="22"/>
          <w:szCs w:val="22"/>
          <w:lang w:val="en-US"/>
        </w:rPr>
        <w:t>, JM &amp; Randa, MB 2023, ‘Nurse managers’ leadership styles as an impetus to patient safety in an academic hospital’, </w:t>
      </w:r>
      <w:r w:rsidRPr="369E29CB" w:rsidR="12227FB9">
        <w:rPr>
          <w:rFonts w:ascii="Arial" w:hAnsi="Arial" w:eastAsia="Arial" w:cs="Arial"/>
          <w:i w:val="1"/>
          <w:iCs w:val="1"/>
          <w:sz w:val="22"/>
          <w:szCs w:val="22"/>
          <w:lang w:val="en-US"/>
        </w:rPr>
        <w:t xml:space="preserve">Health SA </w:t>
      </w:r>
      <w:r w:rsidRPr="369E29CB" w:rsidR="12227FB9">
        <w:rPr>
          <w:rFonts w:ascii="Arial" w:hAnsi="Arial" w:eastAsia="Arial" w:cs="Arial"/>
          <w:i w:val="1"/>
          <w:iCs w:val="1"/>
          <w:sz w:val="22"/>
          <w:szCs w:val="22"/>
          <w:lang w:val="en-US"/>
        </w:rPr>
        <w:t>Gesondheid</w:t>
      </w:r>
      <w:r w:rsidRPr="369E29CB" w:rsidR="12227FB9">
        <w:rPr>
          <w:rFonts w:ascii="Arial" w:hAnsi="Arial" w:eastAsia="Arial" w:cs="Arial"/>
          <w:sz w:val="22"/>
          <w:szCs w:val="22"/>
          <w:lang w:val="en-US"/>
        </w:rPr>
        <w:t>, vol. 28, AOSIS, viewed 24 February 2026, https://pubmed.ncbi.nlm.nih.gov/37927940/.</w:t>
      </w:r>
    </w:p>
    <w:p w:rsidR="12227FB9" w:rsidP="369E29CB" w:rsidRDefault="12227FB9" w14:paraId="6C541E5E" w14:textId="77777777">
      <w:pPr>
        <w:rPr>
          <w:rFonts w:ascii="Arial" w:hAnsi="Arial" w:eastAsia="Arial" w:cs="Arial"/>
          <w:sz w:val="22"/>
          <w:szCs w:val="22"/>
          <w:lang w:val="en-US"/>
        </w:rPr>
      </w:pPr>
      <w:r w:rsidRPr="369E29CB" w:rsidR="12227FB9">
        <w:rPr>
          <w:rFonts w:ascii="Arial" w:hAnsi="Arial" w:eastAsia="Arial" w:cs="Arial"/>
          <w:sz w:val="22"/>
          <w:szCs w:val="22"/>
          <w:lang w:val="en-US"/>
        </w:rPr>
        <w:t>Ratcharak</w:t>
      </w:r>
      <w:r w:rsidRPr="369E29CB" w:rsidR="12227FB9">
        <w:rPr>
          <w:rFonts w:ascii="Arial" w:hAnsi="Arial" w:eastAsia="Arial" w:cs="Arial"/>
          <w:sz w:val="22"/>
          <w:szCs w:val="22"/>
          <w:lang w:val="en-US"/>
        </w:rPr>
        <w:t>, P 2025, ‘Leadership dynamics in health care crises: The impact of initiating structure and consideration behaviors on safety climate in public hospitals’, </w:t>
      </w:r>
      <w:r w:rsidRPr="369E29CB" w:rsidR="12227FB9">
        <w:rPr>
          <w:rFonts w:ascii="Arial" w:hAnsi="Arial" w:eastAsia="Arial" w:cs="Arial"/>
          <w:i w:val="1"/>
          <w:iCs w:val="1"/>
          <w:sz w:val="22"/>
          <w:szCs w:val="22"/>
          <w:lang w:val="en-US"/>
        </w:rPr>
        <w:t>Health Care Management Review</w:t>
      </w:r>
      <w:r w:rsidRPr="369E29CB" w:rsidR="12227FB9">
        <w:rPr>
          <w:rFonts w:ascii="Arial" w:hAnsi="Arial" w:eastAsia="Arial" w:cs="Arial"/>
          <w:sz w:val="22"/>
          <w:szCs w:val="22"/>
          <w:lang w:val="en-US"/>
        </w:rPr>
        <w:t xml:space="preserve">, vol. 50, Ovid Technologies (Wolters Kluwer Health), no. 3, pp. 221–231, viewed 24 February 2026, </w:t>
      </w:r>
      <w:hyperlink r:id="R7901b582a39b403d">
        <w:r w:rsidRPr="369E29CB" w:rsidR="12227FB9">
          <w:rPr>
            <w:rFonts w:ascii="Arial" w:hAnsi="Arial" w:eastAsia="Arial" w:cs="Arial"/>
            <w:color w:val="000000" w:themeColor="text1" w:themeTint="FF" w:themeShade="FF"/>
            <w:sz w:val="22"/>
            <w:szCs w:val="22"/>
            <w:u w:val="single"/>
            <w:lang w:val="en-US"/>
          </w:rPr>
          <w:t>https://journals.lww.com/hcmrjournal/fulltext/2025/07000/leadership_dynamics_in_health_care_crises__the.7.aspx</w:t>
        </w:r>
      </w:hyperlink>
      <w:r w:rsidRPr="369E29CB" w:rsidR="12227FB9">
        <w:rPr>
          <w:rFonts w:ascii="Arial" w:hAnsi="Arial" w:eastAsia="Arial" w:cs="Arial"/>
          <w:sz w:val="22"/>
          <w:szCs w:val="22"/>
          <w:lang w:val="en-US"/>
        </w:rPr>
        <w:t>.</w:t>
      </w:r>
    </w:p>
    <w:p w:rsidR="12227FB9" w:rsidP="369E29CB" w:rsidRDefault="12227FB9" w14:paraId="20F3019A"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Restivo, V, Minutolo, G, Battaglini, A, Carli, A, Capraro, M, Gaeta, M, Odone, A, Trucchi, C, </w:t>
      </w:r>
      <w:r w:rsidRPr="369E29CB" w:rsidR="12227FB9">
        <w:rPr>
          <w:rFonts w:ascii="Arial" w:hAnsi="Arial" w:eastAsia="Arial" w:cs="Arial"/>
          <w:sz w:val="22"/>
          <w:szCs w:val="22"/>
          <w:lang w:val="en-US"/>
        </w:rPr>
        <w:t>Favaretti</w:t>
      </w:r>
      <w:r w:rsidRPr="369E29CB" w:rsidR="12227FB9">
        <w:rPr>
          <w:rFonts w:ascii="Arial" w:hAnsi="Arial" w:eastAsia="Arial" w:cs="Arial"/>
          <w:sz w:val="22"/>
          <w:szCs w:val="22"/>
          <w:lang w:val="en-US"/>
        </w:rPr>
        <w:t>, C, Vitale, F &amp; Casuccio, A 2022, ‘Leadership Effectiveness in Healthcare Settings: A Systematic Review and Meta-Analysis of Cross-Sectional and Before–After Studies’, </w:t>
      </w:r>
      <w:r w:rsidRPr="369E29CB" w:rsidR="12227FB9">
        <w:rPr>
          <w:rFonts w:ascii="Arial" w:hAnsi="Arial" w:eastAsia="Arial" w:cs="Arial"/>
          <w:i w:val="1"/>
          <w:iCs w:val="1"/>
          <w:sz w:val="22"/>
          <w:szCs w:val="22"/>
          <w:lang w:val="en-US"/>
        </w:rPr>
        <w:t>International Journal of Environmental Research and Public Health</w:t>
      </w:r>
      <w:r w:rsidRPr="369E29CB" w:rsidR="12227FB9">
        <w:rPr>
          <w:rFonts w:ascii="Arial" w:hAnsi="Arial" w:eastAsia="Arial" w:cs="Arial"/>
          <w:sz w:val="22"/>
          <w:szCs w:val="22"/>
          <w:lang w:val="en-US"/>
        </w:rPr>
        <w:t xml:space="preserve">, vol. 19, MDPI AG, no. 17, p. 10995, viewed 24 February 2026, </w:t>
      </w:r>
      <w:hyperlink r:id="R7af4bf8b8c784517">
        <w:r w:rsidRPr="369E29CB" w:rsidR="12227FB9">
          <w:rPr>
            <w:rFonts w:ascii="Arial" w:hAnsi="Arial" w:eastAsia="Arial" w:cs="Arial"/>
            <w:color w:val="000000" w:themeColor="text1" w:themeTint="FF" w:themeShade="FF"/>
            <w:sz w:val="22"/>
            <w:szCs w:val="22"/>
            <w:u w:val="single"/>
            <w:lang w:val="en-US"/>
          </w:rPr>
          <w:t>https://www.mdpi.com/1660-4601/19/17/10995</w:t>
        </w:r>
      </w:hyperlink>
      <w:r w:rsidRPr="369E29CB" w:rsidR="12227FB9">
        <w:rPr>
          <w:rFonts w:ascii="Arial" w:hAnsi="Arial" w:eastAsia="Arial" w:cs="Arial"/>
          <w:sz w:val="22"/>
          <w:szCs w:val="22"/>
          <w:lang w:val="en-US"/>
        </w:rPr>
        <w:t>.</w:t>
      </w:r>
    </w:p>
    <w:p w:rsidR="12227FB9" w:rsidP="369E29CB" w:rsidRDefault="12227FB9" w14:paraId="7A827364" w14:textId="77777777">
      <w:pPr>
        <w:rPr>
          <w:rFonts w:ascii="Arial" w:hAnsi="Arial" w:eastAsia="Arial" w:cs="Arial"/>
          <w:sz w:val="22"/>
          <w:szCs w:val="22"/>
        </w:rPr>
      </w:pPr>
      <w:r w:rsidRPr="369E29CB" w:rsidR="12227FB9">
        <w:rPr>
          <w:rFonts w:ascii="Arial" w:hAnsi="Arial" w:eastAsia="Arial" w:cs="Arial"/>
          <w:sz w:val="22"/>
          <w:szCs w:val="22"/>
        </w:rPr>
        <w:t>Rosen, MA, DiazGranados, D, Dietz, AS, Benishek, LE, Thompson, D, Pronovost, PJ &amp; Weaver, SJ 2018, ‘Teamwork in Healthcare: Key Discoveries Enabling Safer, High-Quality Care’, </w:t>
      </w:r>
      <w:r w:rsidRPr="369E29CB" w:rsidR="12227FB9">
        <w:rPr>
          <w:rFonts w:ascii="Arial" w:hAnsi="Arial" w:eastAsia="Arial" w:cs="Arial"/>
          <w:i w:val="1"/>
          <w:iCs w:val="1"/>
          <w:sz w:val="22"/>
          <w:szCs w:val="22"/>
        </w:rPr>
        <w:t>The American psychologist</w:t>
      </w:r>
      <w:r w:rsidRPr="369E29CB" w:rsidR="12227FB9">
        <w:rPr>
          <w:rFonts w:ascii="Arial" w:hAnsi="Arial" w:eastAsia="Arial" w:cs="Arial"/>
          <w:sz w:val="22"/>
          <w:szCs w:val="22"/>
        </w:rPr>
        <w:t xml:space="preserve">, vol. 73, no. 4, p. 433, viewed 24 February 2026, </w:t>
      </w:r>
      <w:hyperlink r:id="R8334dd88645c48ac">
        <w:r w:rsidRPr="369E29CB" w:rsidR="12227FB9">
          <w:rPr>
            <w:rFonts w:ascii="Arial" w:hAnsi="Arial" w:eastAsia="Arial" w:cs="Arial"/>
            <w:color w:val="000000" w:themeColor="text1" w:themeTint="FF" w:themeShade="FF"/>
            <w:sz w:val="22"/>
            <w:szCs w:val="22"/>
            <w:u w:val="single"/>
          </w:rPr>
          <w:t>https://pmc.ncbi.nlm.nih.gov/articles/PMC6361117/</w:t>
        </w:r>
      </w:hyperlink>
      <w:r w:rsidRPr="369E29CB" w:rsidR="12227FB9">
        <w:rPr>
          <w:rFonts w:ascii="Arial" w:hAnsi="Arial" w:eastAsia="Arial" w:cs="Arial"/>
          <w:sz w:val="22"/>
          <w:szCs w:val="22"/>
        </w:rPr>
        <w:t>.</w:t>
      </w:r>
    </w:p>
    <w:p w:rsidR="12227FB9" w:rsidP="369E29CB" w:rsidRDefault="12227FB9" w14:paraId="3EE75ACE" w14:textId="77777777">
      <w:pPr>
        <w:rPr>
          <w:rFonts w:ascii="Arial" w:hAnsi="Arial" w:eastAsia="Arial" w:cs="Arial"/>
          <w:sz w:val="22"/>
          <w:szCs w:val="22"/>
          <w:lang w:val="en-US"/>
        </w:rPr>
      </w:pPr>
      <w:r w:rsidRPr="369E29CB" w:rsidR="12227FB9">
        <w:rPr>
          <w:rFonts w:ascii="Arial" w:hAnsi="Arial" w:eastAsia="Arial" w:cs="Arial"/>
          <w:sz w:val="22"/>
          <w:szCs w:val="22"/>
          <w:lang w:val="en-US"/>
        </w:rPr>
        <w:t>Sfantou</w:t>
      </w:r>
      <w:r w:rsidRPr="369E29CB" w:rsidR="12227FB9">
        <w:rPr>
          <w:rFonts w:ascii="Arial" w:hAnsi="Arial" w:eastAsia="Arial" w:cs="Arial"/>
          <w:sz w:val="22"/>
          <w:szCs w:val="22"/>
          <w:lang w:val="en-US"/>
        </w:rPr>
        <w:t xml:space="preserve">, D, Laliotis, A, </w:t>
      </w:r>
      <w:r w:rsidRPr="369E29CB" w:rsidR="12227FB9">
        <w:rPr>
          <w:rFonts w:ascii="Arial" w:hAnsi="Arial" w:eastAsia="Arial" w:cs="Arial"/>
          <w:sz w:val="22"/>
          <w:szCs w:val="22"/>
          <w:lang w:val="en-US"/>
        </w:rPr>
        <w:t>Patelarou</w:t>
      </w:r>
      <w:r w:rsidRPr="369E29CB" w:rsidR="12227FB9">
        <w:rPr>
          <w:rFonts w:ascii="Arial" w:hAnsi="Arial" w:eastAsia="Arial" w:cs="Arial"/>
          <w:sz w:val="22"/>
          <w:szCs w:val="22"/>
          <w:lang w:val="en-US"/>
        </w:rPr>
        <w:t xml:space="preserve">, A, </w:t>
      </w:r>
      <w:r w:rsidRPr="369E29CB" w:rsidR="12227FB9">
        <w:rPr>
          <w:rFonts w:ascii="Arial" w:hAnsi="Arial" w:eastAsia="Arial" w:cs="Arial"/>
          <w:sz w:val="22"/>
          <w:szCs w:val="22"/>
          <w:lang w:val="en-US"/>
        </w:rPr>
        <w:t>Sifaki</w:t>
      </w:r>
      <w:r w:rsidRPr="369E29CB" w:rsidR="12227FB9">
        <w:rPr>
          <w:rFonts w:ascii="Arial" w:hAnsi="Arial" w:eastAsia="Arial" w:cs="Arial"/>
          <w:sz w:val="22"/>
          <w:szCs w:val="22"/>
          <w:lang w:val="en-US"/>
        </w:rPr>
        <w:t xml:space="preserve">- </w:t>
      </w:r>
      <w:r w:rsidRPr="369E29CB" w:rsidR="12227FB9">
        <w:rPr>
          <w:rFonts w:ascii="Arial" w:hAnsi="Arial" w:eastAsia="Arial" w:cs="Arial"/>
          <w:sz w:val="22"/>
          <w:szCs w:val="22"/>
          <w:lang w:val="en-US"/>
        </w:rPr>
        <w:t>Pistolla</w:t>
      </w:r>
      <w:r w:rsidRPr="369E29CB" w:rsidR="12227FB9">
        <w:rPr>
          <w:rFonts w:ascii="Arial" w:hAnsi="Arial" w:eastAsia="Arial" w:cs="Arial"/>
          <w:sz w:val="22"/>
          <w:szCs w:val="22"/>
          <w:lang w:val="en-US"/>
        </w:rPr>
        <w:t xml:space="preserve">, D, </w:t>
      </w:r>
      <w:r w:rsidRPr="369E29CB" w:rsidR="12227FB9">
        <w:rPr>
          <w:rFonts w:ascii="Arial" w:hAnsi="Arial" w:eastAsia="Arial" w:cs="Arial"/>
          <w:sz w:val="22"/>
          <w:szCs w:val="22"/>
          <w:lang w:val="en-US"/>
        </w:rPr>
        <w:t>Matalliotakis</w:t>
      </w:r>
      <w:r w:rsidRPr="369E29CB" w:rsidR="12227FB9">
        <w:rPr>
          <w:rFonts w:ascii="Arial" w:hAnsi="Arial" w:eastAsia="Arial" w:cs="Arial"/>
          <w:sz w:val="22"/>
          <w:szCs w:val="22"/>
          <w:lang w:val="en-US"/>
        </w:rPr>
        <w:t xml:space="preserve">, M &amp; </w:t>
      </w:r>
      <w:r w:rsidRPr="369E29CB" w:rsidR="12227FB9">
        <w:rPr>
          <w:rFonts w:ascii="Arial" w:hAnsi="Arial" w:eastAsia="Arial" w:cs="Arial"/>
          <w:sz w:val="22"/>
          <w:szCs w:val="22"/>
          <w:lang w:val="en-US"/>
        </w:rPr>
        <w:t>Patelarou</w:t>
      </w:r>
      <w:r w:rsidRPr="369E29CB" w:rsidR="12227FB9">
        <w:rPr>
          <w:rFonts w:ascii="Arial" w:hAnsi="Arial" w:eastAsia="Arial" w:cs="Arial"/>
          <w:sz w:val="22"/>
          <w:szCs w:val="22"/>
          <w:lang w:val="en-US"/>
        </w:rPr>
        <w:t>, E 2017, ‘Importance of Leadership Style towards Quality of Care Measures in Healthcare Settings: A Systematic Review’, </w:t>
      </w:r>
      <w:r w:rsidRPr="369E29CB" w:rsidR="12227FB9">
        <w:rPr>
          <w:rFonts w:ascii="Arial" w:hAnsi="Arial" w:eastAsia="Arial" w:cs="Arial"/>
          <w:i w:val="1"/>
          <w:iCs w:val="1"/>
          <w:sz w:val="22"/>
          <w:szCs w:val="22"/>
          <w:lang w:val="en-US"/>
        </w:rPr>
        <w:t>Healthcare</w:t>
      </w:r>
      <w:r w:rsidRPr="369E29CB" w:rsidR="12227FB9">
        <w:rPr>
          <w:rFonts w:ascii="Arial" w:hAnsi="Arial" w:eastAsia="Arial" w:cs="Arial"/>
          <w:sz w:val="22"/>
          <w:szCs w:val="22"/>
          <w:lang w:val="en-US"/>
        </w:rPr>
        <w:t xml:space="preserve">, vol. 5, MDPI AG, no. 4, p. 73, viewed 24 February 2026, </w:t>
      </w:r>
      <w:hyperlink r:id="Rbd5493e95e364f23">
        <w:r w:rsidRPr="369E29CB" w:rsidR="12227FB9">
          <w:rPr>
            <w:rFonts w:ascii="Arial" w:hAnsi="Arial" w:eastAsia="Arial" w:cs="Arial"/>
            <w:color w:val="000000" w:themeColor="text1" w:themeTint="FF" w:themeShade="FF"/>
            <w:sz w:val="22"/>
            <w:szCs w:val="22"/>
            <w:u w:val="single"/>
            <w:lang w:val="en-US"/>
          </w:rPr>
          <w:t>https://pmc.ncbi.nlm.nih.gov/articles/PMC5746707/</w:t>
        </w:r>
      </w:hyperlink>
      <w:r w:rsidRPr="369E29CB" w:rsidR="12227FB9">
        <w:rPr>
          <w:rFonts w:ascii="Arial" w:hAnsi="Arial" w:eastAsia="Arial" w:cs="Arial"/>
          <w:sz w:val="22"/>
          <w:szCs w:val="22"/>
          <w:lang w:val="en-US"/>
        </w:rPr>
        <w:t>.</w:t>
      </w:r>
    </w:p>
    <w:p w:rsidR="12227FB9" w:rsidP="369E29CB" w:rsidRDefault="12227FB9" w14:paraId="49614729"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Silva, JAM, </w:t>
      </w:r>
      <w:r w:rsidRPr="369E29CB" w:rsidR="12227FB9">
        <w:rPr>
          <w:rFonts w:ascii="Arial" w:hAnsi="Arial" w:eastAsia="Arial" w:cs="Arial"/>
          <w:sz w:val="22"/>
          <w:szCs w:val="22"/>
          <w:lang w:val="en-US"/>
        </w:rPr>
        <w:t>Mininel</w:t>
      </w:r>
      <w:r w:rsidRPr="369E29CB" w:rsidR="12227FB9">
        <w:rPr>
          <w:rFonts w:ascii="Arial" w:hAnsi="Arial" w:eastAsia="Arial" w:cs="Arial"/>
          <w:sz w:val="22"/>
          <w:szCs w:val="22"/>
          <w:lang w:val="en-US"/>
        </w:rPr>
        <w:t xml:space="preserve">, VA, Fernandes </w:t>
      </w:r>
      <w:r w:rsidRPr="369E29CB" w:rsidR="12227FB9">
        <w:rPr>
          <w:rFonts w:ascii="Arial" w:hAnsi="Arial" w:eastAsia="Arial" w:cs="Arial"/>
          <w:sz w:val="22"/>
          <w:szCs w:val="22"/>
          <w:lang w:val="en-US"/>
        </w:rPr>
        <w:t>Agreli</w:t>
      </w:r>
      <w:r w:rsidRPr="369E29CB" w:rsidR="12227FB9">
        <w:rPr>
          <w:rFonts w:ascii="Arial" w:hAnsi="Arial" w:eastAsia="Arial" w:cs="Arial"/>
          <w:sz w:val="22"/>
          <w:szCs w:val="22"/>
          <w:lang w:val="en-US"/>
        </w:rPr>
        <w:t xml:space="preserve">, H, Peduzzi, M, Harrison, R &amp; </w:t>
      </w:r>
      <w:r w:rsidRPr="369E29CB" w:rsidR="12227FB9">
        <w:rPr>
          <w:rFonts w:ascii="Arial" w:hAnsi="Arial" w:eastAsia="Arial" w:cs="Arial"/>
          <w:sz w:val="22"/>
          <w:szCs w:val="22"/>
          <w:lang w:val="en-US"/>
        </w:rPr>
        <w:t>Xyrichis</w:t>
      </w:r>
      <w:r w:rsidRPr="369E29CB" w:rsidR="12227FB9">
        <w:rPr>
          <w:rFonts w:ascii="Arial" w:hAnsi="Arial" w:eastAsia="Arial" w:cs="Arial"/>
          <w:sz w:val="22"/>
          <w:szCs w:val="22"/>
          <w:lang w:val="en-US"/>
        </w:rPr>
        <w:t>, A 2022, ‘Collective leadership to improve professional practice, healthcare outcomes and staff well-being’, </w:t>
      </w:r>
      <w:r w:rsidRPr="369E29CB" w:rsidR="12227FB9">
        <w:rPr>
          <w:rFonts w:ascii="Arial" w:hAnsi="Arial" w:eastAsia="Arial" w:cs="Arial"/>
          <w:i w:val="1"/>
          <w:iCs w:val="1"/>
          <w:sz w:val="22"/>
          <w:szCs w:val="22"/>
          <w:lang w:val="en-US"/>
        </w:rPr>
        <w:t>Cochrane Database of Systematic Reviews</w:t>
      </w:r>
      <w:r w:rsidRPr="369E29CB" w:rsidR="12227FB9">
        <w:rPr>
          <w:rFonts w:ascii="Arial" w:hAnsi="Arial" w:eastAsia="Arial" w:cs="Arial"/>
          <w:sz w:val="22"/>
          <w:szCs w:val="22"/>
          <w:lang w:val="en-US"/>
        </w:rPr>
        <w:t xml:space="preserve">, vol. 2022, Wiley, no. 10, viewed 24 February 2026, </w:t>
      </w:r>
      <w:hyperlink r:id="R4be3ee6601c14ade">
        <w:r w:rsidRPr="369E29CB" w:rsidR="12227FB9">
          <w:rPr>
            <w:rFonts w:ascii="Arial" w:hAnsi="Arial" w:eastAsia="Arial" w:cs="Arial"/>
            <w:color w:val="000000" w:themeColor="text1" w:themeTint="FF" w:themeShade="FF"/>
            <w:sz w:val="22"/>
            <w:szCs w:val="22"/>
            <w:u w:val="single"/>
            <w:lang w:val="en-US"/>
          </w:rPr>
          <w:t>https://pmc.ncbi.nlm.nih.gov/articles/PMC9549469/</w:t>
        </w:r>
      </w:hyperlink>
      <w:r w:rsidRPr="369E29CB" w:rsidR="12227FB9">
        <w:rPr>
          <w:rFonts w:ascii="Arial" w:hAnsi="Arial" w:eastAsia="Arial" w:cs="Arial"/>
          <w:sz w:val="22"/>
          <w:szCs w:val="22"/>
          <w:lang w:val="en-US"/>
        </w:rPr>
        <w:t>.</w:t>
      </w:r>
    </w:p>
    <w:p w:rsidR="12227FB9" w:rsidP="369E29CB" w:rsidRDefault="12227FB9" w14:paraId="3671E431" w14:textId="77777777">
      <w:pPr>
        <w:rPr>
          <w:rFonts w:ascii="Arial" w:hAnsi="Arial" w:eastAsia="Arial" w:cs="Arial"/>
          <w:sz w:val="22"/>
          <w:szCs w:val="22"/>
        </w:rPr>
      </w:pPr>
      <w:r w:rsidRPr="369E29CB" w:rsidR="12227FB9">
        <w:rPr>
          <w:rFonts w:ascii="Arial" w:hAnsi="Arial" w:eastAsia="Arial" w:cs="Arial"/>
          <w:sz w:val="22"/>
          <w:szCs w:val="22"/>
        </w:rPr>
        <w:t>Singer, S, Lin, S, Falwell, A, Gaba, D &amp; Baker, L 2009, ‘Relationship of Safety Climate and Safety Performance in Hospitals’, </w:t>
      </w:r>
      <w:r w:rsidRPr="369E29CB" w:rsidR="12227FB9">
        <w:rPr>
          <w:rFonts w:ascii="Arial" w:hAnsi="Arial" w:eastAsia="Arial" w:cs="Arial"/>
          <w:i w:val="1"/>
          <w:iCs w:val="1"/>
          <w:sz w:val="22"/>
          <w:szCs w:val="22"/>
        </w:rPr>
        <w:t>Health Services Research</w:t>
      </w:r>
      <w:r w:rsidRPr="369E29CB" w:rsidR="12227FB9">
        <w:rPr>
          <w:rFonts w:ascii="Arial" w:hAnsi="Arial" w:eastAsia="Arial" w:cs="Arial"/>
          <w:sz w:val="22"/>
          <w:szCs w:val="22"/>
        </w:rPr>
        <w:t xml:space="preserve">, vol. 44, no. 2 Pt 1, p. 399, viewed 24 February 2026, </w:t>
      </w:r>
      <w:hyperlink r:id="Ra058842ef7484a0c">
        <w:r w:rsidRPr="369E29CB" w:rsidR="12227FB9">
          <w:rPr>
            <w:rFonts w:ascii="Arial" w:hAnsi="Arial" w:eastAsia="Arial" w:cs="Arial"/>
            <w:color w:val="000000" w:themeColor="text1" w:themeTint="FF" w:themeShade="FF"/>
            <w:sz w:val="22"/>
            <w:szCs w:val="22"/>
            <w:u w:val="single"/>
          </w:rPr>
          <w:t>https://pmc.ncbi.nlm.nih.gov/articles/PMC2677046/</w:t>
        </w:r>
      </w:hyperlink>
      <w:r w:rsidRPr="369E29CB" w:rsidR="12227FB9">
        <w:rPr>
          <w:rFonts w:ascii="Arial" w:hAnsi="Arial" w:eastAsia="Arial" w:cs="Arial"/>
          <w:sz w:val="22"/>
          <w:szCs w:val="22"/>
        </w:rPr>
        <w:t>.</w:t>
      </w:r>
    </w:p>
    <w:p w:rsidR="12227FB9" w:rsidP="369E29CB" w:rsidRDefault="12227FB9" w14:paraId="2B565517" w14:textId="77777777">
      <w:pPr>
        <w:rPr>
          <w:rFonts w:ascii="Arial" w:hAnsi="Arial" w:eastAsia="Arial" w:cs="Arial"/>
          <w:sz w:val="22"/>
          <w:szCs w:val="22"/>
        </w:rPr>
      </w:pPr>
      <w:r w:rsidRPr="369E29CB" w:rsidR="12227FB9">
        <w:rPr>
          <w:rFonts w:ascii="Arial" w:hAnsi="Arial" w:eastAsia="Arial" w:cs="Arial"/>
          <w:sz w:val="22"/>
          <w:szCs w:val="22"/>
        </w:rPr>
        <w:t>Stevenson, DG, Spittal, MJ &amp; Studdert, DM 2013, ‘Does Litigation Increase or Decrease Health Care Quality?’, </w:t>
      </w:r>
      <w:r w:rsidRPr="369E29CB" w:rsidR="12227FB9">
        <w:rPr>
          <w:rFonts w:ascii="Arial" w:hAnsi="Arial" w:eastAsia="Arial" w:cs="Arial"/>
          <w:i w:val="1"/>
          <w:iCs w:val="1"/>
          <w:sz w:val="22"/>
          <w:szCs w:val="22"/>
        </w:rPr>
        <w:t>Medical Care</w:t>
      </w:r>
      <w:r w:rsidRPr="369E29CB" w:rsidR="12227FB9">
        <w:rPr>
          <w:rFonts w:ascii="Arial" w:hAnsi="Arial" w:eastAsia="Arial" w:cs="Arial"/>
          <w:sz w:val="22"/>
          <w:szCs w:val="22"/>
        </w:rPr>
        <w:t xml:space="preserve">, vol. 51, Ovid Technologies (Wolters </w:t>
      </w:r>
      <w:r w:rsidRPr="369E29CB" w:rsidR="12227FB9">
        <w:rPr>
          <w:rFonts w:ascii="Arial" w:hAnsi="Arial" w:eastAsia="Arial" w:cs="Arial"/>
          <w:sz w:val="22"/>
          <w:szCs w:val="22"/>
        </w:rPr>
        <w:t xml:space="preserve">Kluwer Health), no. 5, pp. 430–436, viewed 24 February 2026, </w:t>
      </w:r>
      <w:hyperlink r:id="Rbda857a44f99419a">
        <w:r w:rsidRPr="369E29CB" w:rsidR="12227FB9">
          <w:rPr>
            <w:rFonts w:ascii="Arial" w:hAnsi="Arial" w:eastAsia="Arial" w:cs="Arial"/>
            <w:color w:val="000000" w:themeColor="text1" w:themeTint="FF" w:themeShade="FF"/>
            <w:sz w:val="22"/>
            <w:szCs w:val="22"/>
            <w:u w:val="single"/>
          </w:rPr>
          <w:t>https://pmc.ncbi.nlm.nih.gov/articles/PMC4825676/</w:t>
        </w:r>
      </w:hyperlink>
      <w:r w:rsidRPr="369E29CB" w:rsidR="12227FB9">
        <w:rPr>
          <w:rFonts w:ascii="Arial" w:hAnsi="Arial" w:eastAsia="Arial" w:cs="Arial"/>
          <w:sz w:val="22"/>
          <w:szCs w:val="22"/>
        </w:rPr>
        <w:t>.</w:t>
      </w:r>
    </w:p>
    <w:p w:rsidR="12227FB9" w:rsidP="369E29CB" w:rsidRDefault="12227FB9" w14:paraId="72CDFFFF" w14:textId="77777777">
      <w:pPr>
        <w:rPr>
          <w:rFonts w:ascii="Arial" w:hAnsi="Arial" w:eastAsia="Arial" w:cs="Arial"/>
          <w:sz w:val="22"/>
          <w:szCs w:val="22"/>
          <w:lang w:val="en-US"/>
        </w:rPr>
      </w:pPr>
      <w:r w:rsidRPr="369E29CB" w:rsidR="12227FB9">
        <w:rPr>
          <w:rFonts w:ascii="Arial" w:hAnsi="Arial" w:eastAsia="Arial" w:cs="Arial"/>
          <w:sz w:val="22"/>
          <w:szCs w:val="22"/>
          <w:lang w:val="en-US"/>
        </w:rPr>
        <w:t>TA; 2024, ‘Claims, errors, and compensation payments in medical malpractice litigation’, </w:t>
      </w:r>
      <w:r w:rsidRPr="369E29CB" w:rsidR="12227FB9">
        <w:rPr>
          <w:rFonts w:ascii="Arial" w:hAnsi="Arial" w:eastAsia="Arial" w:cs="Arial"/>
          <w:i w:val="1"/>
          <w:iCs w:val="1"/>
          <w:sz w:val="22"/>
          <w:szCs w:val="22"/>
          <w:lang w:val="en-US"/>
        </w:rPr>
        <w:t xml:space="preserve">The New England </w:t>
      </w:r>
      <w:r w:rsidRPr="369E29CB" w:rsidR="12227FB9">
        <w:rPr>
          <w:rFonts w:ascii="Arial" w:hAnsi="Arial" w:eastAsia="Arial" w:cs="Arial"/>
          <w:i w:val="1"/>
          <w:iCs w:val="1"/>
          <w:sz w:val="22"/>
          <w:szCs w:val="22"/>
          <w:lang w:val="en-US"/>
        </w:rPr>
        <w:t>journal</w:t>
      </w:r>
      <w:r w:rsidRPr="369E29CB" w:rsidR="12227FB9">
        <w:rPr>
          <w:rFonts w:ascii="Arial" w:hAnsi="Arial" w:eastAsia="Arial" w:cs="Arial"/>
          <w:i w:val="1"/>
          <w:iCs w:val="1"/>
          <w:sz w:val="22"/>
          <w:szCs w:val="22"/>
          <w:lang w:val="en-US"/>
        </w:rPr>
        <w:t xml:space="preserve"> of </w:t>
      </w:r>
      <w:r w:rsidRPr="369E29CB" w:rsidR="12227FB9">
        <w:rPr>
          <w:rFonts w:ascii="Arial" w:hAnsi="Arial" w:eastAsia="Arial" w:cs="Arial"/>
          <w:i w:val="1"/>
          <w:iCs w:val="1"/>
          <w:sz w:val="22"/>
          <w:szCs w:val="22"/>
          <w:lang w:val="en-US"/>
        </w:rPr>
        <w:t>medicine</w:t>
      </w:r>
      <w:r w:rsidRPr="369E29CB" w:rsidR="12227FB9">
        <w:rPr>
          <w:rFonts w:ascii="Arial" w:hAnsi="Arial" w:eastAsia="Arial" w:cs="Arial"/>
          <w:sz w:val="22"/>
          <w:szCs w:val="22"/>
          <w:lang w:val="en-US"/>
        </w:rPr>
        <w:t>, vol. 354, N</w:t>
      </w:r>
      <w:r w:rsidRPr="369E29CB" w:rsidR="12227FB9">
        <w:rPr>
          <w:rFonts w:ascii="Arial" w:hAnsi="Arial" w:eastAsia="Arial" w:cs="Arial"/>
          <w:sz w:val="22"/>
          <w:szCs w:val="22"/>
          <w:lang w:val="en-US"/>
        </w:rPr>
        <w:t xml:space="preserve"> Engl</w:t>
      </w:r>
      <w:r w:rsidRPr="369E29CB" w:rsidR="12227FB9">
        <w:rPr>
          <w:rFonts w:ascii="Arial" w:hAnsi="Arial" w:eastAsia="Arial" w:cs="Arial"/>
          <w:sz w:val="22"/>
          <w:szCs w:val="22"/>
          <w:lang w:val="en-US"/>
        </w:rPr>
        <w:t xml:space="preserve"> J Med, no. 19, viewed 24 February 2026, </w:t>
      </w:r>
      <w:hyperlink r:id="R9f1f1a9277644de6">
        <w:r w:rsidRPr="369E29CB" w:rsidR="12227FB9">
          <w:rPr>
            <w:rFonts w:ascii="Arial" w:hAnsi="Arial" w:eastAsia="Arial" w:cs="Arial"/>
            <w:color w:val="000000" w:themeColor="text1" w:themeTint="FF" w:themeShade="FF"/>
            <w:sz w:val="22"/>
            <w:szCs w:val="22"/>
            <w:u w:val="single"/>
            <w:lang w:val="en-US"/>
          </w:rPr>
          <w:t>https://pubmed.ncbi.nlm.nih.gov/16687715/</w:t>
        </w:r>
      </w:hyperlink>
      <w:r w:rsidRPr="369E29CB" w:rsidR="12227FB9">
        <w:rPr>
          <w:rFonts w:ascii="Arial" w:hAnsi="Arial" w:eastAsia="Arial" w:cs="Arial"/>
          <w:sz w:val="22"/>
          <w:szCs w:val="22"/>
          <w:lang w:val="en-US"/>
        </w:rPr>
        <w:t>.</w:t>
      </w:r>
    </w:p>
    <w:p w:rsidR="12227FB9" w:rsidP="369E29CB" w:rsidRDefault="12227FB9" w14:paraId="0805A39F"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Välimäki, M, Hu, S, </w:t>
      </w:r>
      <w:r w:rsidRPr="369E29CB" w:rsidR="12227FB9">
        <w:rPr>
          <w:rFonts w:ascii="Arial" w:hAnsi="Arial" w:eastAsia="Arial" w:cs="Arial"/>
          <w:sz w:val="22"/>
          <w:szCs w:val="22"/>
          <w:lang w:val="en-US"/>
        </w:rPr>
        <w:t>Lantta</w:t>
      </w:r>
      <w:r w:rsidRPr="369E29CB" w:rsidR="12227FB9">
        <w:rPr>
          <w:rFonts w:ascii="Arial" w:hAnsi="Arial" w:eastAsia="Arial" w:cs="Arial"/>
          <w:sz w:val="22"/>
          <w:szCs w:val="22"/>
          <w:lang w:val="en-US"/>
        </w:rPr>
        <w:t xml:space="preserve">, T, Hipp, K, </w:t>
      </w:r>
      <w:r w:rsidRPr="369E29CB" w:rsidR="12227FB9">
        <w:rPr>
          <w:rFonts w:ascii="Arial" w:hAnsi="Arial" w:eastAsia="Arial" w:cs="Arial"/>
          <w:sz w:val="22"/>
          <w:szCs w:val="22"/>
          <w:lang w:val="en-US"/>
        </w:rPr>
        <w:t>Varpula</w:t>
      </w:r>
      <w:r w:rsidRPr="369E29CB" w:rsidR="12227FB9">
        <w:rPr>
          <w:rFonts w:ascii="Arial" w:hAnsi="Arial" w:eastAsia="Arial" w:cs="Arial"/>
          <w:sz w:val="22"/>
          <w:szCs w:val="22"/>
          <w:lang w:val="en-US"/>
        </w:rPr>
        <w:t>, J, Chen, J, Liu, G, Tang, Y, Chen, W &amp; Li, X 2024, ‘The impact of evidence-based nursing leadership in healthcare settings: a mixed methods systematic review’, </w:t>
      </w:r>
      <w:r w:rsidRPr="369E29CB" w:rsidR="12227FB9">
        <w:rPr>
          <w:rFonts w:ascii="Arial" w:hAnsi="Arial" w:eastAsia="Arial" w:cs="Arial"/>
          <w:i w:val="1"/>
          <w:iCs w:val="1"/>
          <w:sz w:val="22"/>
          <w:szCs w:val="22"/>
          <w:lang w:val="en-US"/>
        </w:rPr>
        <w:t>BMC Nursing</w:t>
      </w:r>
      <w:r w:rsidRPr="369E29CB" w:rsidR="12227FB9">
        <w:rPr>
          <w:rFonts w:ascii="Arial" w:hAnsi="Arial" w:eastAsia="Arial" w:cs="Arial"/>
          <w:sz w:val="22"/>
          <w:szCs w:val="22"/>
          <w:lang w:val="en-US"/>
        </w:rPr>
        <w:t xml:space="preserve">, vol. 23, Springer Science and Business Media LLC, no. 1, viewed 24 February 2026, </w:t>
      </w:r>
      <w:hyperlink r:id="R5f6a1b907b4a4eed">
        <w:r w:rsidRPr="369E29CB" w:rsidR="12227FB9">
          <w:rPr>
            <w:rFonts w:ascii="Arial" w:hAnsi="Arial" w:eastAsia="Arial" w:cs="Arial"/>
            <w:color w:val="000000" w:themeColor="text1" w:themeTint="FF" w:themeShade="FF"/>
            <w:sz w:val="22"/>
            <w:szCs w:val="22"/>
            <w:u w:val="single"/>
            <w:lang w:val="en-US"/>
          </w:rPr>
          <w:t>https://link.springer.com/article/10.1186/s12912-024-02096-4</w:t>
        </w:r>
      </w:hyperlink>
      <w:r w:rsidRPr="369E29CB" w:rsidR="12227FB9">
        <w:rPr>
          <w:rFonts w:ascii="Arial" w:hAnsi="Arial" w:eastAsia="Arial" w:cs="Arial"/>
          <w:sz w:val="22"/>
          <w:szCs w:val="22"/>
          <w:lang w:val="en-US"/>
        </w:rPr>
        <w:t>.</w:t>
      </w:r>
    </w:p>
    <w:p w:rsidR="12227FB9" w:rsidP="369E29CB" w:rsidRDefault="12227FB9" w14:paraId="5808F3BF" w14:textId="77777777">
      <w:pPr>
        <w:rPr>
          <w:rFonts w:ascii="Arial" w:hAnsi="Arial" w:eastAsia="Arial" w:cs="Arial"/>
          <w:sz w:val="22"/>
          <w:szCs w:val="22"/>
        </w:rPr>
      </w:pPr>
      <w:r w:rsidRPr="369E29CB" w:rsidR="12227FB9">
        <w:rPr>
          <w:rFonts w:ascii="Arial" w:hAnsi="Arial" w:eastAsia="Arial" w:cs="Arial"/>
          <w:sz w:val="22"/>
          <w:szCs w:val="22"/>
        </w:rPr>
        <w:t>Weaver, SJ, Dy, SM &amp; Rosen, MA 2014, ‘Team-training in healthcare: a narrative synthesis of the literature’, </w:t>
      </w:r>
      <w:r w:rsidRPr="369E29CB" w:rsidR="12227FB9">
        <w:rPr>
          <w:rFonts w:ascii="Arial" w:hAnsi="Arial" w:eastAsia="Arial" w:cs="Arial"/>
          <w:i w:val="1"/>
          <w:iCs w:val="1"/>
          <w:sz w:val="22"/>
          <w:szCs w:val="22"/>
        </w:rPr>
        <w:t>BMJ Quality &amp; Safety</w:t>
      </w:r>
      <w:r w:rsidRPr="369E29CB" w:rsidR="12227FB9">
        <w:rPr>
          <w:rFonts w:ascii="Arial" w:hAnsi="Arial" w:eastAsia="Arial" w:cs="Arial"/>
          <w:sz w:val="22"/>
          <w:szCs w:val="22"/>
        </w:rPr>
        <w:t xml:space="preserve">, vol. 23, BMJ, no. 5, pp. 359–372, viewed 24 February 2026, </w:t>
      </w:r>
      <w:hyperlink r:id="R73569e0b80b7459f">
        <w:r w:rsidRPr="369E29CB" w:rsidR="12227FB9">
          <w:rPr>
            <w:rFonts w:ascii="Arial" w:hAnsi="Arial" w:eastAsia="Arial" w:cs="Arial"/>
            <w:color w:val="000000" w:themeColor="text1" w:themeTint="FF" w:themeShade="FF"/>
            <w:sz w:val="22"/>
            <w:szCs w:val="22"/>
            <w:u w:val="single"/>
          </w:rPr>
          <w:t>https://pmc.ncbi.nlm.nih.gov/articles/PMC3995248/</w:t>
        </w:r>
      </w:hyperlink>
      <w:r w:rsidRPr="369E29CB" w:rsidR="12227FB9">
        <w:rPr>
          <w:rFonts w:ascii="Arial" w:hAnsi="Arial" w:eastAsia="Arial" w:cs="Arial"/>
          <w:sz w:val="22"/>
          <w:szCs w:val="22"/>
        </w:rPr>
        <w:t>.</w:t>
      </w:r>
    </w:p>
    <w:p w:rsidR="12227FB9" w:rsidP="369E29CB" w:rsidRDefault="12227FB9" w14:paraId="15145731"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Weaver, SJ, </w:t>
      </w:r>
      <w:r w:rsidRPr="369E29CB" w:rsidR="12227FB9">
        <w:rPr>
          <w:rFonts w:ascii="Arial" w:hAnsi="Arial" w:eastAsia="Arial" w:cs="Arial"/>
          <w:sz w:val="22"/>
          <w:szCs w:val="22"/>
          <w:lang w:val="en-US"/>
        </w:rPr>
        <w:t>Lubomksi</w:t>
      </w:r>
      <w:r w:rsidRPr="369E29CB" w:rsidR="12227FB9">
        <w:rPr>
          <w:rFonts w:ascii="Arial" w:hAnsi="Arial" w:eastAsia="Arial" w:cs="Arial"/>
          <w:sz w:val="22"/>
          <w:szCs w:val="22"/>
          <w:lang w:val="en-US"/>
        </w:rPr>
        <w:t xml:space="preserve">, LH, Wilson, RF, </w:t>
      </w:r>
      <w:r w:rsidRPr="369E29CB" w:rsidR="12227FB9">
        <w:rPr>
          <w:rFonts w:ascii="Arial" w:hAnsi="Arial" w:eastAsia="Arial" w:cs="Arial"/>
          <w:sz w:val="22"/>
          <w:szCs w:val="22"/>
          <w:lang w:val="en-US"/>
        </w:rPr>
        <w:t>Pfoh</w:t>
      </w:r>
      <w:r w:rsidRPr="369E29CB" w:rsidR="12227FB9">
        <w:rPr>
          <w:rFonts w:ascii="Arial" w:hAnsi="Arial" w:eastAsia="Arial" w:cs="Arial"/>
          <w:sz w:val="22"/>
          <w:szCs w:val="22"/>
          <w:lang w:val="en-US"/>
        </w:rPr>
        <w:t>, ER, Martinez, KA &amp; Dy, SM 2013, ‘Promoting a Culture of Safety as a Patient Safety Strategy’, </w:t>
      </w:r>
      <w:r w:rsidRPr="369E29CB" w:rsidR="12227FB9">
        <w:rPr>
          <w:rFonts w:ascii="Arial" w:hAnsi="Arial" w:eastAsia="Arial" w:cs="Arial"/>
          <w:i w:val="1"/>
          <w:iCs w:val="1"/>
          <w:sz w:val="22"/>
          <w:szCs w:val="22"/>
          <w:lang w:val="en-US"/>
        </w:rPr>
        <w:t>Annals of Internal Medicine</w:t>
      </w:r>
      <w:r w:rsidRPr="369E29CB" w:rsidR="12227FB9">
        <w:rPr>
          <w:rFonts w:ascii="Arial" w:hAnsi="Arial" w:eastAsia="Arial" w:cs="Arial"/>
          <w:sz w:val="22"/>
          <w:szCs w:val="22"/>
          <w:lang w:val="en-US"/>
        </w:rPr>
        <w:t xml:space="preserve">, vol. 158, American College of Physicians, no. 5_Part_2, pp. 369–374, viewed 24 February 2026, </w:t>
      </w:r>
      <w:hyperlink r:id="R47fb7bbae29345bd">
        <w:r w:rsidRPr="369E29CB" w:rsidR="12227FB9">
          <w:rPr>
            <w:rFonts w:ascii="Arial" w:hAnsi="Arial" w:eastAsia="Arial" w:cs="Arial"/>
            <w:color w:val="000000" w:themeColor="text1" w:themeTint="FF" w:themeShade="FF"/>
            <w:sz w:val="22"/>
            <w:szCs w:val="22"/>
            <w:u w:val="single"/>
            <w:lang w:val="en-US"/>
          </w:rPr>
          <w:t>https://pmc.ncbi.nlm.nih.gov/articles/PMC4710092/</w:t>
        </w:r>
      </w:hyperlink>
      <w:r w:rsidRPr="369E29CB" w:rsidR="12227FB9">
        <w:rPr>
          <w:rFonts w:ascii="Arial" w:hAnsi="Arial" w:eastAsia="Arial" w:cs="Arial"/>
          <w:sz w:val="22"/>
          <w:szCs w:val="22"/>
          <w:lang w:val="en-US"/>
        </w:rPr>
        <w:t>.</w:t>
      </w:r>
    </w:p>
    <w:p w:rsidR="12227FB9" w:rsidP="369E29CB" w:rsidRDefault="12227FB9" w14:paraId="3774D5AE" w14:textId="77777777">
      <w:pPr>
        <w:rPr>
          <w:rFonts w:ascii="Arial" w:hAnsi="Arial" w:eastAsia="Arial" w:cs="Arial"/>
          <w:sz w:val="22"/>
          <w:szCs w:val="22"/>
          <w:lang w:val="en-US"/>
        </w:rPr>
      </w:pPr>
      <w:r w:rsidRPr="369E29CB" w:rsidR="12227FB9">
        <w:rPr>
          <w:rFonts w:ascii="Arial" w:hAnsi="Arial" w:eastAsia="Arial" w:cs="Arial"/>
          <w:sz w:val="22"/>
          <w:szCs w:val="22"/>
          <w:lang w:val="en-US"/>
        </w:rPr>
        <w:t xml:space="preserve">West, M, </w:t>
      </w:r>
      <w:r w:rsidRPr="369E29CB" w:rsidR="12227FB9">
        <w:rPr>
          <w:rFonts w:ascii="Arial" w:hAnsi="Arial" w:eastAsia="Arial" w:cs="Arial"/>
          <w:sz w:val="22"/>
          <w:szCs w:val="22"/>
          <w:lang w:val="en-US"/>
        </w:rPr>
        <w:t>Lyubovnikova</w:t>
      </w:r>
      <w:r w:rsidRPr="369E29CB" w:rsidR="12227FB9">
        <w:rPr>
          <w:rFonts w:ascii="Arial" w:hAnsi="Arial" w:eastAsia="Arial" w:cs="Arial"/>
          <w:sz w:val="22"/>
          <w:szCs w:val="22"/>
          <w:lang w:val="en-US"/>
        </w:rPr>
        <w:t>, J, Eckert, R &amp; Denis, J-L 2014, ‘Collective leadership for cultures of high-quality health care’, </w:t>
      </w:r>
      <w:r w:rsidRPr="369E29CB" w:rsidR="12227FB9">
        <w:rPr>
          <w:rFonts w:ascii="Arial" w:hAnsi="Arial" w:eastAsia="Arial" w:cs="Arial"/>
          <w:i w:val="1"/>
          <w:iCs w:val="1"/>
          <w:sz w:val="22"/>
          <w:szCs w:val="22"/>
          <w:lang w:val="en-US"/>
        </w:rPr>
        <w:t>Journal of Organizational Effectiveness: People and Performance</w:t>
      </w:r>
      <w:r w:rsidRPr="369E29CB" w:rsidR="12227FB9">
        <w:rPr>
          <w:rFonts w:ascii="Arial" w:hAnsi="Arial" w:eastAsia="Arial" w:cs="Arial"/>
          <w:sz w:val="22"/>
          <w:szCs w:val="22"/>
          <w:lang w:val="en-US"/>
        </w:rPr>
        <w:t>, vol. 1, no. 3, pp. 240–260.</w:t>
      </w:r>
    </w:p>
    <w:p w:rsidR="12227FB9" w:rsidP="369E29CB" w:rsidRDefault="12227FB9" w14:paraId="0E953F5B" w14:textId="77777777">
      <w:pPr>
        <w:rPr>
          <w:rFonts w:ascii="Arial" w:hAnsi="Arial" w:eastAsia="Arial" w:cs="Arial"/>
          <w:sz w:val="22"/>
          <w:szCs w:val="22"/>
        </w:rPr>
      </w:pPr>
      <w:r w:rsidRPr="369E29CB" w:rsidR="12227FB9">
        <w:rPr>
          <w:rFonts w:ascii="Arial" w:hAnsi="Arial" w:eastAsia="Arial" w:cs="Arial"/>
          <w:sz w:val="22"/>
          <w:szCs w:val="22"/>
        </w:rPr>
        <w:t>Ystaas</w:t>
      </w:r>
      <w:r w:rsidRPr="369E29CB" w:rsidR="12227FB9">
        <w:rPr>
          <w:rFonts w:ascii="Arial" w:hAnsi="Arial" w:eastAsia="Arial" w:cs="Arial"/>
          <w:sz w:val="22"/>
          <w:szCs w:val="22"/>
        </w:rPr>
        <w:t xml:space="preserve">, LMK, </w:t>
      </w:r>
      <w:r w:rsidRPr="369E29CB" w:rsidR="12227FB9">
        <w:rPr>
          <w:rFonts w:ascii="Arial" w:hAnsi="Arial" w:eastAsia="Arial" w:cs="Arial"/>
          <w:sz w:val="22"/>
          <w:szCs w:val="22"/>
        </w:rPr>
        <w:t>Nikitara</w:t>
      </w:r>
      <w:r w:rsidRPr="369E29CB" w:rsidR="12227FB9">
        <w:rPr>
          <w:rFonts w:ascii="Arial" w:hAnsi="Arial" w:eastAsia="Arial" w:cs="Arial"/>
          <w:sz w:val="22"/>
          <w:szCs w:val="22"/>
        </w:rPr>
        <w:t xml:space="preserve">, M, Ghobrial, S, </w:t>
      </w:r>
      <w:r w:rsidRPr="369E29CB" w:rsidR="12227FB9">
        <w:rPr>
          <w:rFonts w:ascii="Arial" w:hAnsi="Arial" w:eastAsia="Arial" w:cs="Arial"/>
          <w:sz w:val="22"/>
          <w:szCs w:val="22"/>
        </w:rPr>
        <w:t>Latzourakis</w:t>
      </w:r>
      <w:r w:rsidRPr="369E29CB" w:rsidR="12227FB9">
        <w:rPr>
          <w:rFonts w:ascii="Arial" w:hAnsi="Arial" w:eastAsia="Arial" w:cs="Arial"/>
          <w:sz w:val="22"/>
          <w:szCs w:val="22"/>
        </w:rPr>
        <w:t>, E, Polychronis, G &amp; Constantinou, CS 2023, ‘The Impact of Transformational Leadership in the Nursing Work Environment and Patients’ Outcomes: A Systematic Review’, </w:t>
      </w:r>
      <w:r w:rsidRPr="369E29CB" w:rsidR="12227FB9">
        <w:rPr>
          <w:rFonts w:ascii="Arial" w:hAnsi="Arial" w:eastAsia="Arial" w:cs="Arial"/>
          <w:i w:val="1"/>
          <w:iCs w:val="1"/>
          <w:sz w:val="22"/>
          <w:szCs w:val="22"/>
        </w:rPr>
        <w:t>Nursing Reports</w:t>
      </w:r>
      <w:r w:rsidRPr="369E29CB" w:rsidR="12227FB9">
        <w:rPr>
          <w:rFonts w:ascii="Arial" w:hAnsi="Arial" w:eastAsia="Arial" w:cs="Arial"/>
          <w:sz w:val="22"/>
          <w:szCs w:val="22"/>
        </w:rPr>
        <w:t xml:space="preserve">, vol. 13, MDPI AG, no. 3, pp. 1271–1290, viewed 24 February 2026, </w:t>
      </w:r>
      <w:hyperlink r:id="R57b118ca0dfe4da5">
        <w:r w:rsidRPr="369E29CB" w:rsidR="12227FB9">
          <w:rPr>
            <w:rFonts w:ascii="Arial" w:hAnsi="Arial" w:eastAsia="Arial" w:cs="Arial"/>
            <w:color w:val="000000" w:themeColor="text1" w:themeTint="FF" w:themeShade="FF"/>
            <w:sz w:val="22"/>
            <w:szCs w:val="22"/>
            <w:u w:val="single"/>
          </w:rPr>
          <w:t>https://www.mdpi.com/2039-4403/13/3/108</w:t>
        </w:r>
      </w:hyperlink>
      <w:r w:rsidRPr="369E29CB" w:rsidR="12227FB9">
        <w:rPr>
          <w:rFonts w:ascii="Arial" w:hAnsi="Arial" w:eastAsia="Arial" w:cs="Arial"/>
          <w:sz w:val="22"/>
          <w:szCs w:val="22"/>
        </w:rPr>
        <w:t>.</w:t>
      </w:r>
    </w:p>
    <w:p w:rsidR="3EE7F6CF" w:rsidP="369E29CB" w:rsidRDefault="3EE7F6CF" w14:paraId="469F69CC" w14:textId="7072BF85">
      <w:pPr>
        <w:rPr>
          <w:rFonts w:ascii="Arial" w:hAnsi="Arial" w:eastAsia="Arial" w:cs="Arial"/>
          <w:sz w:val="22"/>
          <w:szCs w:val="22"/>
        </w:rPr>
      </w:pPr>
    </w:p>
    <w:p w:rsidR="001F2B21" w:rsidP="369E29CB" w:rsidRDefault="001F2B21" w14:paraId="1F72F646" w14:textId="77777777">
      <w:pPr>
        <w:rPr>
          <w:rFonts w:ascii="Arial" w:hAnsi="Arial" w:eastAsia="Arial" w:cs="Arial"/>
          <w:sz w:val="22"/>
          <w:szCs w:val="22"/>
        </w:rPr>
      </w:pPr>
    </w:p>
    <w:p w:rsidR="001F2B21" w:rsidP="369E29CB" w:rsidRDefault="001F2B21" w14:paraId="08CE6F91" w14:textId="77777777">
      <w:pPr>
        <w:rPr>
          <w:rFonts w:ascii="Arial" w:hAnsi="Arial" w:eastAsia="Arial" w:cs="Arial"/>
          <w:sz w:val="22"/>
          <w:szCs w:val="22"/>
        </w:rPr>
      </w:pPr>
    </w:p>
    <w:p w:rsidR="545E003D" w:rsidP="369E29CB" w:rsidRDefault="545E003D" w14:paraId="73EBA64B" w14:textId="790483AE">
      <w:pPr>
        <w:rPr>
          <w:rFonts w:ascii="Arial" w:hAnsi="Arial" w:eastAsia="Arial" w:cs="Arial"/>
          <w:sz w:val="22"/>
          <w:szCs w:val="22"/>
        </w:rPr>
      </w:pPr>
    </w:p>
    <w:p w:rsidR="545E003D" w:rsidP="369E29CB" w:rsidRDefault="545E003D" w14:paraId="5CF4C049" w14:textId="7E9F67D3">
      <w:pPr>
        <w:rPr>
          <w:rFonts w:ascii="Arial" w:hAnsi="Arial" w:eastAsia="Arial" w:cs="Arial"/>
          <w:sz w:val="22"/>
          <w:szCs w:val="22"/>
        </w:rPr>
      </w:pPr>
    </w:p>
    <w:p w:rsidR="545E003D" w:rsidP="369E29CB" w:rsidRDefault="545E003D" w14:paraId="43D12A8B" w14:textId="266E992C">
      <w:pPr>
        <w:rPr>
          <w:rFonts w:ascii="Arial" w:hAnsi="Arial" w:eastAsia="Arial" w:cs="Arial"/>
          <w:sz w:val="22"/>
          <w:szCs w:val="22"/>
        </w:rPr>
      </w:pPr>
    </w:p>
    <w:p w:rsidR="545E003D" w:rsidP="369E29CB" w:rsidRDefault="545E003D" w14:paraId="688AE734" w14:textId="17D7B080">
      <w:pPr>
        <w:rPr>
          <w:rFonts w:ascii="Arial" w:hAnsi="Arial" w:eastAsia="Arial" w:cs="Arial"/>
          <w:sz w:val="22"/>
          <w:szCs w:val="22"/>
        </w:rPr>
      </w:pPr>
    </w:p>
    <w:sectPr w:rsidR="545E003D">
      <w:headerReference w:type="default" r:id="rId48"/>
      <w:footerReference w:type="default" r:id="rId49"/>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9033F" w:rsidRDefault="00B9033F" w14:paraId="31E26C50" w14:textId="77777777">
      <w:pPr>
        <w:spacing w:after="0" w:line="240" w:lineRule="auto"/>
      </w:pPr>
      <w:r>
        <w:separator/>
      </w:r>
    </w:p>
  </w:endnote>
  <w:endnote w:type="continuationSeparator" w:id="0">
    <w:p w:rsidR="00B9033F" w:rsidRDefault="00B9033F" w14:paraId="0C95AC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w:fontKey="{FB21CD27-4579-4DD7-9D59-BEB6AFC463B3}" r:id="rId1"/>
    <w:embedBold w:fontKey="{C8E73CA4-8F5D-4E88-83A8-225A2D5887C0}" r:id="rId2"/>
    <w:embedItalic w:fontKey="{D7A5998B-C654-4A4C-A41C-9E826EC2C4AC}" r:id="rId3"/>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w:fontKey="{CD1C389A-A0CC-4D19-9BFD-A54001E1DB25}" r:id="rId4"/>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F2B21" w:rsidRDefault="00096081" w14:paraId="133EDD17" w14:textId="23136E9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526FD">
      <w:rPr>
        <w:noProof/>
        <w:color w:val="000000"/>
      </w:rPr>
      <w:t>1</w:t>
    </w:r>
    <w:r>
      <w:rPr>
        <w:color w:val="000000"/>
      </w:rPr>
      <w:fldChar w:fldCharType="end"/>
    </w:r>
  </w:p>
  <w:p w:rsidR="001F2B21" w:rsidRDefault="001F2B21" w14:paraId="61CDCEAD" w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9033F" w:rsidRDefault="00B9033F" w14:paraId="25BE1C4C" w14:textId="77777777">
      <w:pPr>
        <w:spacing w:after="0" w:line="240" w:lineRule="auto"/>
      </w:pPr>
      <w:r>
        <w:separator/>
      </w:r>
    </w:p>
  </w:footnote>
  <w:footnote w:type="continuationSeparator" w:id="0">
    <w:p w:rsidR="00B9033F" w:rsidRDefault="00B9033F" w14:paraId="6CBF2B6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F2B21" w:rsidRDefault="001F2B21" w14:paraId="52E56223" w14:textId="77777777">
    <w:pPr>
      <w:pBdr>
        <w:top w:val="nil"/>
        <w:left w:val="nil"/>
        <w:bottom w:val="nil"/>
        <w:right w:val="nil"/>
        <w:between w:val="nil"/>
      </w:pBdr>
      <w:tabs>
        <w:tab w:val="center" w:pos="4513"/>
        <w:tab w:val="right" w:pos="9026"/>
      </w:tabs>
      <w:spacing w:after="0" w:line="240" w:lineRule="auto"/>
      <w:jc w:val="center"/>
      <w:rPr>
        <w:color w:val="000000"/>
      </w:rPr>
    </w:pPr>
  </w:p>
  <w:p w:rsidR="001F2B21" w:rsidRDefault="001F2B21" w14:paraId="07547A01" w14:textId="77777777">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http://schemas.openxmlformats.org/wordprocessingml/2006/main">
  <w:abstractNum xmlns:w="http://schemas.openxmlformats.org/wordprocessingml/2006/main" w:abstractNumId="1">
    <w:nsid w:val="223d5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revisionView w:markup="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B21"/>
    <w:rsid w:val="00096081"/>
    <w:rsid w:val="001F2B21"/>
    <w:rsid w:val="007526FD"/>
    <w:rsid w:val="00B9033F"/>
    <w:rsid w:val="00BF5019"/>
    <w:rsid w:val="00DA28B3"/>
    <w:rsid w:val="00F60F4C"/>
    <w:rsid w:val="00F8E7E5"/>
    <w:rsid w:val="02A45AE2"/>
    <w:rsid w:val="02FFE0CA"/>
    <w:rsid w:val="04091418"/>
    <w:rsid w:val="0466FFB5"/>
    <w:rsid w:val="04838832"/>
    <w:rsid w:val="05968C38"/>
    <w:rsid w:val="059B6F7C"/>
    <w:rsid w:val="05B37097"/>
    <w:rsid w:val="06BDC862"/>
    <w:rsid w:val="06FC33AF"/>
    <w:rsid w:val="073E91D3"/>
    <w:rsid w:val="073F7209"/>
    <w:rsid w:val="07412468"/>
    <w:rsid w:val="097C8F76"/>
    <w:rsid w:val="0AF01E92"/>
    <w:rsid w:val="0B23DC21"/>
    <w:rsid w:val="0B2A1B42"/>
    <w:rsid w:val="0BED6CCC"/>
    <w:rsid w:val="0BFC8D63"/>
    <w:rsid w:val="0CC0C881"/>
    <w:rsid w:val="0E525047"/>
    <w:rsid w:val="0FA687BF"/>
    <w:rsid w:val="0FB2C069"/>
    <w:rsid w:val="108F6DE4"/>
    <w:rsid w:val="1100F6B5"/>
    <w:rsid w:val="1175A50D"/>
    <w:rsid w:val="119302DE"/>
    <w:rsid w:val="1217FDF2"/>
    <w:rsid w:val="12227FB9"/>
    <w:rsid w:val="1230051C"/>
    <w:rsid w:val="13A39145"/>
    <w:rsid w:val="140F31FD"/>
    <w:rsid w:val="148869A1"/>
    <w:rsid w:val="155D8A13"/>
    <w:rsid w:val="15DE8C30"/>
    <w:rsid w:val="15F9E6D4"/>
    <w:rsid w:val="16AC3A0D"/>
    <w:rsid w:val="16D95495"/>
    <w:rsid w:val="17CAD15B"/>
    <w:rsid w:val="1874F8D7"/>
    <w:rsid w:val="188C5AD1"/>
    <w:rsid w:val="18DF4394"/>
    <w:rsid w:val="190705EA"/>
    <w:rsid w:val="1A895F33"/>
    <w:rsid w:val="1A981E28"/>
    <w:rsid w:val="1BF8DA5A"/>
    <w:rsid w:val="1BFA68BA"/>
    <w:rsid w:val="1C761DF3"/>
    <w:rsid w:val="1D0F9141"/>
    <w:rsid w:val="1D83CC76"/>
    <w:rsid w:val="1E09CFD9"/>
    <w:rsid w:val="1EE22E7C"/>
    <w:rsid w:val="1F1AB513"/>
    <w:rsid w:val="1F6193AE"/>
    <w:rsid w:val="2001035F"/>
    <w:rsid w:val="201AB908"/>
    <w:rsid w:val="201E624E"/>
    <w:rsid w:val="20938960"/>
    <w:rsid w:val="20C3263C"/>
    <w:rsid w:val="21585645"/>
    <w:rsid w:val="2180CC95"/>
    <w:rsid w:val="22992521"/>
    <w:rsid w:val="23C3E900"/>
    <w:rsid w:val="23DA5604"/>
    <w:rsid w:val="247FD03D"/>
    <w:rsid w:val="2494CB8B"/>
    <w:rsid w:val="25302E19"/>
    <w:rsid w:val="26C1A3D0"/>
    <w:rsid w:val="271420F7"/>
    <w:rsid w:val="27A537B8"/>
    <w:rsid w:val="2B5D1BFD"/>
    <w:rsid w:val="2BBAA920"/>
    <w:rsid w:val="2C2CB2BB"/>
    <w:rsid w:val="2C43A180"/>
    <w:rsid w:val="2C6F57A1"/>
    <w:rsid w:val="2CCA83E9"/>
    <w:rsid w:val="2D13A131"/>
    <w:rsid w:val="2D45F66D"/>
    <w:rsid w:val="2DAF09E6"/>
    <w:rsid w:val="2E3B18BD"/>
    <w:rsid w:val="2EFCDC9E"/>
    <w:rsid w:val="2F0CFBBD"/>
    <w:rsid w:val="2F7FB580"/>
    <w:rsid w:val="310EA267"/>
    <w:rsid w:val="318480D2"/>
    <w:rsid w:val="31B5CCF4"/>
    <w:rsid w:val="3305B569"/>
    <w:rsid w:val="3378AD52"/>
    <w:rsid w:val="343154E0"/>
    <w:rsid w:val="350434C1"/>
    <w:rsid w:val="35136E72"/>
    <w:rsid w:val="3594A621"/>
    <w:rsid w:val="35DBD20D"/>
    <w:rsid w:val="368C09D0"/>
    <w:rsid w:val="369E29CB"/>
    <w:rsid w:val="36F9CE09"/>
    <w:rsid w:val="373D6AD8"/>
    <w:rsid w:val="37BD6D5B"/>
    <w:rsid w:val="37CBBF08"/>
    <w:rsid w:val="37EA544E"/>
    <w:rsid w:val="381B12EA"/>
    <w:rsid w:val="387B2D58"/>
    <w:rsid w:val="3A373984"/>
    <w:rsid w:val="3A5A0DBD"/>
    <w:rsid w:val="3BDA5254"/>
    <w:rsid w:val="3C122D2D"/>
    <w:rsid w:val="3C543D57"/>
    <w:rsid w:val="3C7672B1"/>
    <w:rsid w:val="3D7D81AF"/>
    <w:rsid w:val="3D8C2A00"/>
    <w:rsid w:val="3EE7F6CF"/>
    <w:rsid w:val="3F35DB94"/>
    <w:rsid w:val="3F66395B"/>
    <w:rsid w:val="3F77CA6C"/>
    <w:rsid w:val="3F8EC019"/>
    <w:rsid w:val="3F96153C"/>
    <w:rsid w:val="419F8919"/>
    <w:rsid w:val="42073427"/>
    <w:rsid w:val="42864723"/>
    <w:rsid w:val="428B7BD6"/>
    <w:rsid w:val="43347977"/>
    <w:rsid w:val="437ABDFB"/>
    <w:rsid w:val="43AC9FE1"/>
    <w:rsid w:val="43B98DBB"/>
    <w:rsid w:val="4431E308"/>
    <w:rsid w:val="44821ED6"/>
    <w:rsid w:val="46CE1EB9"/>
    <w:rsid w:val="4700305B"/>
    <w:rsid w:val="472CF784"/>
    <w:rsid w:val="476B95E8"/>
    <w:rsid w:val="478C27E3"/>
    <w:rsid w:val="47AD77D8"/>
    <w:rsid w:val="47D43746"/>
    <w:rsid w:val="4804214B"/>
    <w:rsid w:val="48D20141"/>
    <w:rsid w:val="48DC740F"/>
    <w:rsid w:val="49406F17"/>
    <w:rsid w:val="4A5ADA8D"/>
    <w:rsid w:val="4BDFEF68"/>
    <w:rsid w:val="4C58A4AA"/>
    <w:rsid w:val="4D5EBDFA"/>
    <w:rsid w:val="4E3638B4"/>
    <w:rsid w:val="4EFCAC53"/>
    <w:rsid w:val="50AD9EC0"/>
    <w:rsid w:val="513E282C"/>
    <w:rsid w:val="5141BB62"/>
    <w:rsid w:val="515733E1"/>
    <w:rsid w:val="51E3E4CF"/>
    <w:rsid w:val="5225963F"/>
    <w:rsid w:val="5265D3BC"/>
    <w:rsid w:val="532884A1"/>
    <w:rsid w:val="536B1732"/>
    <w:rsid w:val="5386F040"/>
    <w:rsid w:val="53912FEB"/>
    <w:rsid w:val="5416F1BC"/>
    <w:rsid w:val="545E003D"/>
    <w:rsid w:val="5471B49C"/>
    <w:rsid w:val="54C449A6"/>
    <w:rsid w:val="55426BFE"/>
    <w:rsid w:val="556F9337"/>
    <w:rsid w:val="55B126A6"/>
    <w:rsid w:val="55BE1610"/>
    <w:rsid w:val="5647D6DE"/>
    <w:rsid w:val="56A94E6C"/>
    <w:rsid w:val="56DA37BE"/>
    <w:rsid w:val="57CB619A"/>
    <w:rsid w:val="5808CBC5"/>
    <w:rsid w:val="58B64E6A"/>
    <w:rsid w:val="595FB413"/>
    <w:rsid w:val="59BBFADB"/>
    <w:rsid w:val="59F4E974"/>
    <w:rsid w:val="5A057084"/>
    <w:rsid w:val="5A26DE51"/>
    <w:rsid w:val="5A67E457"/>
    <w:rsid w:val="5AF5A551"/>
    <w:rsid w:val="5B5D8949"/>
    <w:rsid w:val="5C67AC4A"/>
    <w:rsid w:val="5CD23D0A"/>
    <w:rsid w:val="5CF86532"/>
    <w:rsid w:val="5E62E9DC"/>
    <w:rsid w:val="5EB7B40F"/>
    <w:rsid w:val="5F00E9BF"/>
    <w:rsid w:val="5FE106C1"/>
    <w:rsid w:val="6121DB30"/>
    <w:rsid w:val="626110FC"/>
    <w:rsid w:val="63290659"/>
    <w:rsid w:val="63977DB8"/>
    <w:rsid w:val="63BD924E"/>
    <w:rsid w:val="64146952"/>
    <w:rsid w:val="644DB6C7"/>
    <w:rsid w:val="648EDBF0"/>
    <w:rsid w:val="658D90F2"/>
    <w:rsid w:val="65B55B28"/>
    <w:rsid w:val="6654C4F8"/>
    <w:rsid w:val="66C3B552"/>
    <w:rsid w:val="66C5F2F0"/>
    <w:rsid w:val="66C74CF4"/>
    <w:rsid w:val="68090C84"/>
    <w:rsid w:val="69425E28"/>
    <w:rsid w:val="69FA3C4D"/>
    <w:rsid w:val="6AC5B6E8"/>
    <w:rsid w:val="6AD1D52C"/>
    <w:rsid w:val="6B43E1ED"/>
    <w:rsid w:val="6B4E48B9"/>
    <w:rsid w:val="6B598CE0"/>
    <w:rsid w:val="6B5D858A"/>
    <w:rsid w:val="6D87DA18"/>
    <w:rsid w:val="6DE5E95D"/>
    <w:rsid w:val="6E0F868E"/>
    <w:rsid w:val="6E7B1450"/>
    <w:rsid w:val="6F2D3078"/>
    <w:rsid w:val="70B31524"/>
    <w:rsid w:val="70EC952F"/>
    <w:rsid w:val="715BB8A6"/>
    <w:rsid w:val="72695E57"/>
    <w:rsid w:val="72A218D8"/>
    <w:rsid w:val="731D3B50"/>
    <w:rsid w:val="738F9BD0"/>
    <w:rsid w:val="73D72503"/>
    <w:rsid w:val="74C9F5D4"/>
    <w:rsid w:val="758925FA"/>
    <w:rsid w:val="760194CB"/>
    <w:rsid w:val="769D795F"/>
    <w:rsid w:val="779A5D22"/>
    <w:rsid w:val="7878433C"/>
    <w:rsid w:val="78E6ACB5"/>
    <w:rsid w:val="7AB49C39"/>
    <w:rsid w:val="7AE40835"/>
    <w:rsid w:val="7B362EA1"/>
    <w:rsid w:val="7B388336"/>
    <w:rsid w:val="7BBF0FCC"/>
    <w:rsid w:val="7C4324B7"/>
    <w:rsid w:val="7CDED85C"/>
    <w:rsid w:val="7CEEEAE8"/>
    <w:rsid w:val="7E1B3630"/>
    <w:rsid w:val="7E8D0D5F"/>
    <w:rsid w:val="7FE312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F4ADA67"/>
  <w15:docId w15:val="{BFC6331B-9EED-4964-96E0-7E359A4D6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Calibri"/>
        <w:sz w:val="24"/>
        <w:szCs w:val="24"/>
        <w:lang w:val="en-GB"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A95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5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583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styleId="Heading1Char" w:customStyle="1">
    <w:name w:val="Heading 1 Char"/>
    <w:basedOn w:val="DefaultParagraphFont"/>
    <w:link w:val="Heading1"/>
    <w:uiPriority w:val="9"/>
    <w:rsid w:val="00A9583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A9583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A9583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A9583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A9583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A9583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583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583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583A"/>
    <w:rPr>
      <w:rFonts w:eastAsiaTheme="majorEastAsia" w:cstheme="majorBidi"/>
      <w:color w:val="272727" w:themeColor="text1" w:themeTint="D8"/>
    </w:rPr>
  </w:style>
  <w:style w:type="character" w:styleId="TitleChar" w:customStyle="1">
    <w:name w:val="Title Char"/>
    <w:basedOn w:val="DefaultParagraphFont"/>
    <w:link w:val="Title"/>
    <w:uiPriority w:val="10"/>
    <w:rsid w:val="00A9583A"/>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sid w:val="00A95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583A"/>
    <w:pPr>
      <w:spacing w:before="160"/>
      <w:jc w:val="center"/>
    </w:pPr>
    <w:rPr>
      <w:i/>
      <w:iCs/>
      <w:color w:val="404040" w:themeColor="text1" w:themeTint="BF"/>
    </w:rPr>
  </w:style>
  <w:style w:type="character" w:styleId="QuoteChar" w:customStyle="1">
    <w:name w:val="Quote Char"/>
    <w:basedOn w:val="DefaultParagraphFont"/>
    <w:link w:val="Quote"/>
    <w:uiPriority w:val="29"/>
    <w:rsid w:val="00A9583A"/>
    <w:rPr>
      <w:i/>
      <w:iCs/>
      <w:color w:val="404040" w:themeColor="text1" w:themeTint="BF"/>
    </w:rPr>
  </w:style>
  <w:style w:type="paragraph" w:styleId="ListParagraph">
    <w:name w:val="List Paragraph"/>
    <w:basedOn w:val="Normal"/>
    <w:uiPriority w:val="34"/>
    <w:qFormat/>
    <w:rsid w:val="00A9583A"/>
    <w:pPr>
      <w:ind w:left="720"/>
      <w:contextualSpacing/>
    </w:pPr>
  </w:style>
  <w:style w:type="character" w:styleId="IntenseEmphasis">
    <w:name w:val="Intense Emphasis"/>
    <w:basedOn w:val="DefaultParagraphFont"/>
    <w:uiPriority w:val="21"/>
    <w:qFormat/>
    <w:rsid w:val="00A9583A"/>
    <w:rPr>
      <w:i/>
      <w:iCs/>
      <w:color w:val="2F5496" w:themeColor="accent1" w:themeShade="BF"/>
    </w:rPr>
  </w:style>
  <w:style w:type="paragraph" w:styleId="IntenseQuote">
    <w:name w:val="Intense Quote"/>
    <w:basedOn w:val="Normal"/>
    <w:next w:val="Normal"/>
    <w:link w:val="IntenseQuoteChar"/>
    <w:uiPriority w:val="30"/>
    <w:qFormat/>
    <w:rsid w:val="00A9583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A9583A"/>
    <w:rPr>
      <w:i/>
      <w:iCs/>
      <w:color w:val="2F5496" w:themeColor="accent1" w:themeShade="BF"/>
    </w:rPr>
  </w:style>
  <w:style w:type="character" w:styleId="IntenseReference">
    <w:name w:val="Intense Reference"/>
    <w:basedOn w:val="DefaultParagraphFont"/>
    <w:uiPriority w:val="32"/>
    <w:qFormat/>
    <w:rsid w:val="00A9583A"/>
    <w:rPr>
      <w:b/>
      <w:bCs/>
      <w:smallCaps/>
      <w:color w:val="2F5496" w:themeColor="accent1" w:themeShade="BF"/>
      <w:spacing w:val="5"/>
    </w:rPr>
  </w:style>
  <w:style w:type="character" w:styleId="Hyperlink">
    <w:name w:val="Hyperlink"/>
    <w:basedOn w:val="DefaultParagraphFont"/>
    <w:uiPriority w:val="99"/>
    <w:unhideWhenUsed/>
    <w:rsid w:val="00F13098"/>
    <w:rPr>
      <w:color w:val="0563C1" w:themeColor="hyperlink"/>
      <w:u w:val="single"/>
    </w:rPr>
  </w:style>
  <w:style w:type="character" w:styleId="UnresolvedMention">
    <w:name w:val="Unresolved Mention"/>
    <w:basedOn w:val="DefaultParagraphFont"/>
    <w:uiPriority w:val="99"/>
    <w:semiHidden/>
    <w:unhideWhenUsed/>
    <w:rsid w:val="00F13098"/>
    <w:rPr>
      <w:color w:val="605E5C"/>
      <w:shd w:val="clear" w:color="auto" w:fill="E1DFDD"/>
    </w:rPr>
  </w:style>
  <w:style w:type="paragraph" w:styleId="NormalWeb">
    <w:name w:val="Normal (Web)"/>
    <w:basedOn w:val="Normal"/>
    <w:uiPriority w:val="99"/>
    <w:semiHidden/>
    <w:unhideWhenUsed/>
    <w:rsid w:val="00F13098"/>
    <w:rPr>
      <w:rFonts w:ascii="Times New Roman" w:hAnsi="Times New Roman" w:cs="Times New Roman"/>
    </w:rPr>
  </w:style>
  <w:style w:type="paragraph" w:styleId="Header">
    <w:name w:val="header"/>
    <w:basedOn w:val="Normal"/>
    <w:link w:val="HeaderChar"/>
    <w:uiPriority w:val="99"/>
    <w:unhideWhenUsed/>
    <w:rsid w:val="008F6E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F6E4D"/>
  </w:style>
  <w:style w:type="paragraph" w:styleId="Footer">
    <w:name w:val="footer"/>
    <w:basedOn w:val="Normal"/>
    <w:link w:val="FooterChar"/>
    <w:uiPriority w:val="99"/>
    <w:unhideWhenUsed/>
    <w:rsid w:val="008F6E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F6E4D"/>
  </w:style>
  <w:style w:type="paragraph" w:styleId="Caption">
    <w:name w:val="caption"/>
    <w:basedOn w:val="Normal"/>
    <w:next w:val="Normal"/>
    <w:uiPriority w:val="35"/>
    <w:unhideWhenUsed/>
    <w:qFormat/>
    <w:rsid w:val="00495E10"/>
    <w:pPr>
      <w:spacing w:after="200" w:line="240" w:lineRule="auto"/>
    </w:pPr>
    <w:rPr>
      <w:i/>
      <w:iCs/>
      <w:color w:val="44546A" w:themeColor="text2"/>
      <w:sz w:val="18"/>
      <w:szCs w:val="18"/>
    </w:rPr>
  </w:style>
  <w:style w:type="table" w:styleId="TableGrid">
    <w:name w:val="Table Grid"/>
    <w:basedOn w:val="TableNormal"/>
    <w:uiPriority w:val="39"/>
    <w:rsid w:val="00AE51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basedOn w:val="DefaultParagraphFont"/>
    <w:uiPriority w:val="99"/>
    <w:semiHidden/>
    <w:unhideWhenUsed/>
    <w:rsid w:val="008763B4"/>
    <w:rPr>
      <w:color w:val="954F72" w:themeColor="followedHyperlink"/>
      <w:u w:val="single"/>
    </w:rPr>
  </w:style>
  <w:style w:type="paragraph" w:styleId="TOCHeading">
    <w:name w:val="TOC Heading"/>
    <w:basedOn w:val="Heading1"/>
    <w:next w:val="Normal"/>
    <w:uiPriority w:val="39"/>
    <w:unhideWhenUsed/>
    <w:qFormat/>
    <w:rsid w:val="00DE78DD"/>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DE78DD"/>
    <w:pPr>
      <w:spacing w:after="100"/>
    </w:pPr>
  </w:style>
  <w:style w:type="paragraph" w:styleId="TOC2">
    <w:name w:val="toc 2"/>
    <w:basedOn w:val="Normal"/>
    <w:next w:val="Normal"/>
    <w:autoRedefine/>
    <w:uiPriority w:val="39"/>
    <w:unhideWhenUsed/>
    <w:rsid w:val="00DE78DD"/>
    <w:pPr>
      <w:spacing w:after="100"/>
      <w:ind w:left="240"/>
    </w:pPr>
  </w:style>
  <w:style w:type="paragraph" w:styleId="TOC3">
    <w:name w:val="toc 3"/>
    <w:basedOn w:val="Normal"/>
    <w:next w:val="Normal"/>
    <w:autoRedefine/>
    <w:uiPriority w:val="39"/>
    <w:unhideWhenUsed/>
    <w:rsid w:val="00DE78DD"/>
    <w:pPr>
      <w:spacing w:after="100"/>
      <w:ind w:left="480"/>
    </w:pPr>
  </w:style>
  <w:style w:type="paragraph" w:styleId="Subtitle">
    <w:name w:val="Subtitle"/>
    <w:basedOn w:val="Normal"/>
    <w:next w:val="Normal"/>
    <w:link w:val="SubtitleChar"/>
    <w:uiPriority w:val="11"/>
    <w:qFormat/>
    <w:rPr>
      <w:color w:val="595959"/>
      <w:sz w:val="28"/>
      <w:szCs w:val="28"/>
    </w:rPr>
  </w:style>
  <w:style w:type="table" w:styleId="a" w:customStyle="1">
    <w:basedOn w:val="TableNormal"/>
    <w:pPr>
      <w:spacing w:after="0" w:line="240" w:lineRule="auto"/>
    </w:pPr>
    <w:tblPr>
      <w:tblStyleRowBandSize w:val="1"/>
      <w:tblStyleColBandSize w:val="1"/>
    </w:tblPr>
  </w:style>
  <w:style w:type="table" w:styleId="a0" w:customStyle="1">
    <w:basedOn w:val="TableNormal"/>
    <w:pPr>
      <w:spacing w:after="0" w:line="240" w:lineRule="auto"/>
    </w:pPr>
    <w:tblPr>
      <w:tblStyleRowBandSize w:val="1"/>
      <w:tblStyleColBandSize w:val="1"/>
    </w:tblPr>
  </w:style>
  <w:style xmlns:w14="http://schemas.microsoft.com/office/word/2010/wordml" xmlns:mc="http://schemas.openxmlformats.org/markup-compatibility/2006" xmlns:w="http://schemas.openxmlformats.org/wordprocessingml/2006/main" w:type="table" w:styleId="ListTable1Light-Accent1" mc:Ignorable="w14">
    <w:name xmlns:w="http://schemas.openxmlformats.org/wordprocessingml/2006/main" w:val="List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4" w:space="0"/>
        </w:tcBorders>
      </w:tcPr>
    </w:tblStylePr>
    <w:tblStylePr xmlns:w="http://schemas.openxmlformats.org/wordprocessingml/2006/main" w:type="lastRow">
      <w:rPr>
        <w:b/>
        <w:bCs/>
      </w:rPr>
      <w:tblPr/>
      <w:tcPr>
        <w:tcBorders>
          <w:top w:val="sing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fontTable" Target="fontTable.xml" Id="rId50"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oter" Target="footer1.xml" Id="rId49"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eader" Target="header1.xml" Id="rId48" /><Relationship Type="http://schemas.openxmlformats.org/officeDocument/2006/relationships/image" Target="media/image2.png" Id="rId8" /><Relationship Type="http://schemas.openxmlformats.org/officeDocument/2006/relationships/theme" Target="theme/theme1.xml" Id="rId51"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pubmed.ncbi.nlm.nih.gov/23566455/" TargetMode="External" Id="R2d4acfa90e764451" /><Relationship Type="http://schemas.openxmlformats.org/officeDocument/2006/relationships/hyperlink" Target="https://pubmed.ncbi.nlm.nih.gov/38719520/" TargetMode="External" Id="R4c41d1904d0e4795" /><Relationship Type="http://schemas.openxmlformats.org/officeDocument/2006/relationships/hyperlink" Target="https://pubmed.ncbi.nlm.nih.gov/36583960/" TargetMode="External" Id="R2bf1c4f24d7d4ced" /><Relationship Type="http://schemas.openxmlformats.org/officeDocument/2006/relationships/hyperlink" Target="https://pubmed.ncbi.nlm.nih.gov/41507881/" TargetMode="External" Id="Rebbe828f0d084f1b" /><Relationship Type="http://schemas.openxmlformats.org/officeDocument/2006/relationships/hyperlink" Target="https://www.mdpi.com/2227-9032/13/24/3240" TargetMode="External" Id="R15892483d37b4000" /><Relationship Type="http://schemas.openxmlformats.org/officeDocument/2006/relationships/hyperlink" Target="https://www.mdpi.com/1660-4601/16/17/3212" TargetMode="External" Id="R93d1bb4d09414150" /><Relationship Type="http://schemas.openxmlformats.org/officeDocument/2006/relationships/hyperlink" Target="https://www.mdpi.com/1660-4601/22/9/1442" TargetMode="External" Id="Rd677ec6610ed4360" /><Relationship Type="http://schemas.openxmlformats.org/officeDocument/2006/relationships/hyperlink" Target="https://pubmed.ncbi.nlm.nih.gov/19781702/" TargetMode="External" Id="Rbadccb853e8d4471" /><Relationship Type="http://schemas.openxmlformats.org/officeDocument/2006/relationships/hyperlink" Target="https://pmc.ncbi.nlm.nih.gov/articles/PMC11214760/" TargetMode="External" Id="R5eebd463e34c4465" /><Relationship Type="http://schemas.openxmlformats.org/officeDocument/2006/relationships/hyperlink" Target="https://pubmed.ncbi.nlm.nih.gov/36916967/" TargetMode="External" Id="R31d86c0e33564c05" /><Relationship Type="http://schemas.openxmlformats.org/officeDocument/2006/relationships/hyperlink" Target="https://pubmed.ncbi.nlm.nih.gov/38476201/" TargetMode="External" Id="R0b4e8169d8a84fe6" /><Relationship Type="http://schemas.openxmlformats.org/officeDocument/2006/relationships/hyperlink" Target="https://journalofethics.ama-assn.org/article/medical-malpractice-reform-historical-approaches-alternative-models-and-communication-and-resolution/2016-03#:~:text=Kachalia%20A%2C%20Kaufman%20SR%2C%20Boothman%20R%2C%20et,implementation%20of%20a%20medical%20error%20disclosure%20program" TargetMode="External" Id="R9a6149a9e0f6431c" /><Relationship Type="http://schemas.openxmlformats.org/officeDocument/2006/relationships/hyperlink" Target="https://www.aeaweb.org/articles?id=10.1257/jep.25.2.93" TargetMode="External" Id="Rc0e1ea15d778480c" /><Relationship Type="http://schemas.openxmlformats.org/officeDocument/2006/relationships/hyperlink" Target="https://www.mdpi.com/2227-9032/13/15/1833" TargetMode="External" Id="R46acb37c391b4340" /><Relationship Type="http://schemas.openxmlformats.org/officeDocument/2006/relationships/hyperlink" Target="https://pmc.ncbi.nlm.nih.gov/articles/PMC11884511/" TargetMode="External" Id="R8d4acdea2a4b4e8a" /><Relationship Type="http://schemas.openxmlformats.org/officeDocument/2006/relationships/hyperlink" Target="https://pubmed.ncbi.nlm.nih.gov/35876005/" TargetMode="External" Id="R0d7940298e594998" /><Relationship Type="http://schemas.openxmlformats.org/officeDocument/2006/relationships/hyperlink" Target="https://www.mdpi.com/2071-1050/15/11/8981" TargetMode="External" Id="R68c830984e904fb7" /><Relationship Type="http://schemas.openxmlformats.org/officeDocument/2006/relationships/hyperlink" Target="https://www.mdpi.com/2227-9032/14/4/450" TargetMode="External" Id="Re941f75e77dc40ca" /><Relationship Type="http://schemas.openxmlformats.org/officeDocument/2006/relationships/hyperlink" Target="https://journals.lww.com/hcmrjournal/fulltext/2025/07000/leadership_dynamics_in_health_care_crises__the.7.aspx" TargetMode="External" Id="R7901b582a39b403d" /><Relationship Type="http://schemas.openxmlformats.org/officeDocument/2006/relationships/hyperlink" Target="https://www.mdpi.com/1660-4601/19/17/10995" TargetMode="External" Id="R7af4bf8b8c784517" /><Relationship Type="http://schemas.openxmlformats.org/officeDocument/2006/relationships/hyperlink" Target="https://pmc.ncbi.nlm.nih.gov/articles/PMC6361117/" TargetMode="External" Id="R8334dd88645c48ac" /><Relationship Type="http://schemas.openxmlformats.org/officeDocument/2006/relationships/hyperlink" Target="https://pmc.ncbi.nlm.nih.gov/articles/PMC5746707/" TargetMode="External" Id="Rbd5493e95e364f23" /><Relationship Type="http://schemas.openxmlformats.org/officeDocument/2006/relationships/hyperlink" Target="https://pmc.ncbi.nlm.nih.gov/articles/PMC9549469/" TargetMode="External" Id="R4be3ee6601c14ade" /><Relationship Type="http://schemas.openxmlformats.org/officeDocument/2006/relationships/hyperlink" Target="https://pmc.ncbi.nlm.nih.gov/articles/PMC2677046/" TargetMode="External" Id="Ra058842ef7484a0c" /><Relationship Type="http://schemas.openxmlformats.org/officeDocument/2006/relationships/hyperlink" Target="https://pmc.ncbi.nlm.nih.gov/articles/PMC4825676/" TargetMode="External" Id="Rbda857a44f99419a" /><Relationship Type="http://schemas.openxmlformats.org/officeDocument/2006/relationships/hyperlink" Target="https://pubmed.ncbi.nlm.nih.gov/16687715/" TargetMode="External" Id="R9f1f1a9277644de6" /><Relationship Type="http://schemas.openxmlformats.org/officeDocument/2006/relationships/hyperlink" Target="https://link.springer.com/article/10.1186/s12912-024-02096-4" TargetMode="External" Id="R5f6a1b907b4a4eed" /><Relationship Type="http://schemas.openxmlformats.org/officeDocument/2006/relationships/hyperlink" Target="https://pmc.ncbi.nlm.nih.gov/articles/PMC3995248/" TargetMode="External" Id="R73569e0b80b7459f" /><Relationship Type="http://schemas.openxmlformats.org/officeDocument/2006/relationships/hyperlink" Target="https://pmc.ncbi.nlm.nih.gov/articles/PMC4710092/" TargetMode="External" Id="R47fb7bbae29345bd" /><Relationship Type="http://schemas.openxmlformats.org/officeDocument/2006/relationships/hyperlink" Target="https://www.mdpi.com/2039-4403/13/3/108" TargetMode="External" Id="R57b118ca0dfe4da5" /><Relationship Type="http://schemas.openxmlformats.org/officeDocument/2006/relationships/numbering" Target="numbering.xml" Id="R15d4639d6c8d4f4b"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WaPV8C++MRLfzqTnfjBN3K+82g==">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abdullahnana39@gmail.com</lastModifiedBy>
  <revision>8</revision>
  <dcterms:created xsi:type="dcterms:W3CDTF">2026-03-25T12:41:00.0000000Z</dcterms:created>
  <dcterms:modified xsi:type="dcterms:W3CDTF">2026-03-26T20:48:39.9641657Z</dcterms:modified>
</coreProperties>
</file>