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B7523" w:rsidRDefault="006738F4">
      <w:pPr>
        <w:rPr>
          <w:sz w:val="24"/>
          <w:szCs w:val="24"/>
        </w:rPr>
      </w:pPr>
      <w:r>
        <w:rPr>
          <w:sz w:val="24"/>
          <w:szCs w:val="24"/>
        </w:rPr>
        <w:t xml:space="preserve">Question 1: </w:t>
      </w:r>
      <w:r>
        <w:rPr>
          <w:sz w:val="24"/>
          <w:szCs w:val="24"/>
          <w:u w:val="single"/>
        </w:rPr>
        <w:t>Examine</w:t>
      </w:r>
      <w:r>
        <w:rPr>
          <w:sz w:val="24"/>
          <w:szCs w:val="24"/>
        </w:rPr>
        <w:t xml:space="preserve"> how prominent cases of police misconduct or malpractice have influenced current professional policing policies. </w:t>
      </w:r>
      <w:r>
        <w:rPr>
          <w:sz w:val="24"/>
          <w:szCs w:val="24"/>
          <w:u w:val="single"/>
        </w:rPr>
        <w:t>Evaluate</w:t>
      </w:r>
      <w:r>
        <w:rPr>
          <w:sz w:val="24"/>
          <w:szCs w:val="24"/>
        </w:rPr>
        <w:t xml:space="preserve"> how these policies have increased community confidence in the police, with reference to the Code of Ethics. </w:t>
      </w:r>
    </w:p>
    <w:p w14:paraId="00000002" w14:textId="77777777" w:rsidR="00EB7523" w:rsidRDefault="00EB7523">
      <w:pPr>
        <w:widowControl w:val="0"/>
        <w:spacing w:line="240" w:lineRule="auto"/>
        <w:rPr>
          <w:color w:val="0000FF"/>
          <w:sz w:val="24"/>
          <w:szCs w:val="24"/>
        </w:rPr>
      </w:pPr>
    </w:p>
    <w:p w14:paraId="00000003" w14:textId="77777777" w:rsidR="00EB7523" w:rsidRDefault="006738F4">
      <w:pPr>
        <w:widowControl w:val="0"/>
        <w:spacing w:line="360" w:lineRule="auto"/>
        <w:jc w:val="both"/>
        <w:rPr>
          <w:sz w:val="24"/>
          <w:szCs w:val="24"/>
        </w:rPr>
      </w:pPr>
      <w:r>
        <w:rPr>
          <w:sz w:val="24"/>
          <w:szCs w:val="24"/>
        </w:rPr>
        <w:t xml:space="preserve">Police in the UK have a critical frontline role to play in the prevention and detection of crime. They work in partnership with </w:t>
      </w:r>
      <w:proofErr w:type="gramStart"/>
      <w:r>
        <w:rPr>
          <w:sz w:val="24"/>
          <w:szCs w:val="24"/>
        </w:rPr>
        <w:t>colleagues,  loca</w:t>
      </w:r>
      <w:r>
        <w:rPr>
          <w:sz w:val="24"/>
          <w:szCs w:val="24"/>
        </w:rPr>
        <w:t>l</w:t>
      </w:r>
      <w:proofErr w:type="gramEnd"/>
      <w:r>
        <w:rPr>
          <w:sz w:val="24"/>
          <w:szCs w:val="24"/>
        </w:rPr>
        <w:t xml:space="preserve"> communities, stakeholders and other key organisations to “promote law and order, reduce the fear of crime, provide reassurance and build confidence to improve the quality of life for citizens” (College of Policing, 2022). Respectively, the role involves </w:t>
      </w:r>
      <w:r>
        <w:rPr>
          <w:sz w:val="24"/>
          <w:szCs w:val="24"/>
        </w:rPr>
        <w:t>use of legal powers to enforce law and order and holds the responsibility to make decisions in accordance with the National Decision Model and Code of Ethics. Moreover, police are required to meet and maintain the highest professional standards required of</w:t>
      </w:r>
      <w:r>
        <w:rPr>
          <w:sz w:val="24"/>
          <w:szCs w:val="24"/>
        </w:rPr>
        <w:t xml:space="preserve"> their role by “conducting all actions in a legal, balanced, proportionate and justifiable manner to uphold the law and achieve the best outcomes” (College of Policing, 2020). Correspondingly, Section 10 of the Police Code of Ethics states that unethical o</w:t>
      </w:r>
      <w:r>
        <w:rPr>
          <w:sz w:val="24"/>
          <w:szCs w:val="24"/>
        </w:rPr>
        <w:t>r unprofessional behaviour on the part of a policing colleague should never be ignored (</w:t>
      </w:r>
      <w:hyperlink r:id="rId6" w:anchor="bibr10-1461355720947762">
        <w:r>
          <w:rPr>
            <w:sz w:val="24"/>
            <w:szCs w:val="24"/>
          </w:rPr>
          <w:t>College of Policing, 2014</w:t>
        </w:r>
      </w:hyperlink>
      <w:r>
        <w:rPr>
          <w:sz w:val="24"/>
          <w:szCs w:val="24"/>
        </w:rPr>
        <w:t xml:space="preserve">). Police have a duty to uphold </w:t>
      </w:r>
      <w:r>
        <w:rPr>
          <w:sz w:val="24"/>
          <w:szCs w:val="24"/>
        </w:rPr>
        <w:t>exemplary standards of behaviour as the public needs to have confidence in the force that they will act in their best interests and deliver a trustworthy service. The code of ethics refers to the principles of honesty and integrity, and whilst the majority</w:t>
      </w:r>
      <w:r>
        <w:rPr>
          <w:sz w:val="24"/>
          <w:szCs w:val="24"/>
        </w:rPr>
        <w:t xml:space="preserve"> in the policing profession do endorse these in their decisions and actions, there are some who abuse their power and behave unprofessionally. Consequently, this can be damaging to the force's reputation and diminish the public's trust. Confidence is often</w:t>
      </w:r>
      <w:r>
        <w:rPr>
          <w:sz w:val="24"/>
          <w:szCs w:val="24"/>
        </w:rPr>
        <w:t xml:space="preserve"> used to measure the relationship between the public and the police as public consent and cooperation depends on public confidence in police. </w:t>
      </w:r>
    </w:p>
    <w:p w14:paraId="00000004" w14:textId="77777777" w:rsidR="00EB7523" w:rsidRDefault="00EB7523">
      <w:pPr>
        <w:widowControl w:val="0"/>
        <w:spacing w:line="360" w:lineRule="auto"/>
        <w:jc w:val="both"/>
        <w:rPr>
          <w:sz w:val="24"/>
          <w:szCs w:val="24"/>
        </w:rPr>
      </w:pPr>
    </w:p>
    <w:p w14:paraId="00000005" w14:textId="77777777" w:rsidR="00EB7523" w:rsidRDefault="006738F4">
      <w:pPr>
        <w:widowControl w:val="0"/>
        <w:spacing w:line="360" w:lineRule="auto"/>
        <w:jc w:val="both"/>
        <w:rPr>
          <w:sz w:val="24"/>
          <w:szCs w:val="24"/>
        </w:rPr>
      </w:pPr>
      <w:r>
        <w:rPr>
          <w:sz w:val="24"/>
          <w:szCs w:val="24"/>
        </w:rPr>
        <w:t xml:space="preserve">Police misconduct is essentially an abuse of power that breaches standards of professional behaviour. It is any </w:t>
      </w:r>
      <w:r>
        <w:rPr>
          <w:sz w:val="24"/>
          <w:szCs w:val="24"/>
        </w:rPr>
        <w:t xml:space="preserve">inappropriate action carried out by an officer that may be regarded as improper or illegal leading to matters being raised internally as a conduct matter or through a complaint by a member of the public.  Examples of this include coerced false confession, </w:t>
      </w:r>
      <w:r>
        <w:rPr>
          <w:sz w:val="24"/>
          <w:szCs w:val="24"/>
        </w:rPr>
        <w:t xml:space="preserve">intimidation, false arrest, false imprisonment, police brutality, police corruption, racial </w:t>
      </w:r>
      <w:proofErr w:type="gramStart"/>
      <w:r>
        <w:rPr>
          <w:sz w:val="24"/>
          <w:szCs w:val="24"/>
        </w:rPr>
        <w:t>profiling</w:t>
      </w:r>
      <w:proofErr w:type="gramEnd"/>
      <w:r>
        <w:rPr>
          <w:sz w:val="24"/>
          <w:szCs w:val="24"/>
        </w:rPr>
        <w:t xml:space="preserve"> and unwarranted searches. These types of actions can impact the public perception of police, raising questions of whether they can trust, </w:t>
      </w:r>
      <w:proofErr w:type="gramStart"/>
      <w:r>
        <w:rPr>
          <w:sz w:val="24"/>
          <w:szCs w:val="24"/>
        </w:rPr>
        <w:t>respect</w:t>
      </w:r>
      <w:proofErr w:type="gramEnd"/>
      <w:r>
        <w:rPr>
          <w:sz w:val="24"/>
          <w:szCs w:val="24"/>
        </w:rPr>
        <w:t xml:space="preserve"> and conf</w:t>
      </w:r>
      <w:r>
        <w:rPr>
          <w:sz w:val="24"/>
          <w:szCs w:val="24"/>
        </w:rPr>
        <w:t xml:space="preserve">ide in the service. </w:t>
      </w:r>
      <w:proofErr w:type="gramStart"/>
      <w:r>
        <w:rPr>
          <w:sz w:val="24"/>
          <w:szCs w:val="24"/>
        </w:rPr>
        <w:t>In order to</w:t>
      </w:r>
      <w:proofErr w:type="gramEnd"/>
      <w:r>
        <w:rPr>
          <w:sz w:val="24"/>
          <w:szCs w:val="24"/>
        </w:rPr>
        <w:t xml:space="preserve"> maintain public confidence, misuse of police powers must be investigated. Independent statutory bodies such as The Independent Office for Police Conduct IOPC and HM Inspectorate of </w:t>
      </w:r>
      <w:r>
        <w:rPr>
          <w:sz w:val="24"/>
          <w:szCs w:val="24"/>
        </w:rPr>
        <w:lastRenderedPageBreak/>
        <w:t xml:space="preserve">Constabulary (HMICFRS) exist </w:t>
      </w:r>
      <w:proofErr w:type="gramStart"/>
      <w:r>
        <w:rPr>
          <w:sz w:val="24"/>
          <w:szCs w:val="24"/>
        </w:rPr>
        <w:t>in order to</w:t>
      </w:r>
      <w:proofErr w:type="gramEnd"/>
      <w:r>
        <w:rPr>
          <w:sz w:val="24"/>
          <w:szCs w:val="24"/>
        </w:rPr>
        <w:t xml:space="preserve"> ma</w:t>
      </w:r>
      <w:r>
        <w:rPr>
          <w:sz w:val="24"/>
          <w:szCs w:val="24"/>
        </w:rPr>
        <w:t xml:space="preserve">intain professional standards. The IOPC oversees the police complaints system whereas the </w:t>
      </w:r>
      <w:proofErr w:type="gramStart"/>
      <w:r>
        <w:rPr>
          <w:sz w:val="24"/>
          <w:szCs w:val="24"/>
        </w:rPr>
        <w:t>HMICFRS  inspects</w:t>
      </w:r>
      <w:proofErr w:type="gramEnd"/>
      <w:r>
        <w:rPr>
          <w:sz w:val="24"/>
          <w:szCs w:val="24"/>
        </w:rPr>
        <w:t xml:space="preserve"> and reports on the efficiency and effectiveness of police forces in the public interest. Collectively, they are responsible for conducting consisten</w:t>
      </w:r>
      <w:r>
        <w:rPr>
          <w:sz w:val="24"/>
          <w:szCs w:val="24"/>
        </w:rPr>
        <w:t xml:space="preserve">t and comprehensive proceedings into misconduct to promote and monitor best practice and improve policing. If public confidence in the police service is to be maintained, outcomes should be sufficient to demonstrate individual accountability for any abuse </w:t>
      </w:r>
      <w:r>
        <w:rPr>
          <w:sz w:val="24"/>
          <w:szCs w:val="24"/>
        </w:rPr>
        <w:t xml:space="preserve">or misuse of police powers (College of Policing, 2022). The way in which cases of misconduct are responded to and handled, can either regain public trust or lose it further. </w:t>
      </w:r>
    </w:p>
    <w:p w14:paraId="00000006" w14:textId="77777777" w:rsidR="00EB7523" w:rsidRDefault="00EB7523">
      <w:pPr>
        <w:widowControl w:val="0"/>
        <w:spacing w:line="360" w:lineRule="auto"/>
        <w:jc w:val="both"/>
        <w:rPr>
          <w:sz w:val="24"/>
          <w:szCs w:val="24"/>
        </w:rPr>
      </w:pPr>
    </w:p>
    <w:p w14:paraId="00000007" w14:textId="77777777" w:rsidR="00EB7523" w:rsidRDefault="006738F4">
      <w:pPr>
        <w:widowControl w:val="0"/>
        <w:spacing w:line="360" w:lineRule="auto"/>
        <w:jc w:val="both"/>
        <w:rPr>
          <w:sz w:val="24"/>
          <w:szCs w:val="24"/>
        </w:rPr>
      </w:pPr>
      <w:r>
        <w:rPr>
          <w:sz w:val="24"/>
          <w:szCs w:val="24"/>
        </w:rPr>
        <w:t xml:space="preserve">Allegations of police misconduct </w:t>
      </w:r>
      <w:proofErr w:type="gramStart"/>
      <w:r>
        <w:rPr>
          <w:sz w:val="24"/>
          <w:szCs w:val="24"/>
        </w:rPr>
        <w:t>have the ability to</w:t>
      </w:r>
      <w:proofErr w:type="gramEnd"/>
      <w:r>
        <w:rPr>
          <w:sz w:val="24"/>
          <w:szCs w:val="24"/>
        </w:rPr>
        <w:t xml:space="preserve"> influence professional poli</w:t>
      </w:r>
      <w:r>
        <w:rPr>
          <w:sz w:val="24"/>
          <w:szCs w:val="24"/>
        </w:rPr>
        <w:t>cing policies, especially where cases receive significant attention. To exemplify, the Brixton riots is a prominent case of police misconduct which influenced current police practices. It was widely recognised that rioters had “specific grievances relating</w:t>
      </w:r>
      <w:r>
        <w:rPr>
          <w:sz w:val="24"/>
          <w:szCs w:val="24"/>
        </w:rPr>
        <w:t xml:space="preserve"> to police actions” with the additional fact that “the disproportionate use of ‘sus’ law search powers on young black males had caused a significant rift between the police and black minorities'' (Lea and </w:t>
      </w:r>
      <w:proofErr w:type="spellStart"/>
      <w:r>
        <w:rPr>
          <w:sz w:val="24"/>
          <w:szCs w:val="24"/>
        </w:rPr>
        <w:t>Hallsworth</w:t>
      </w:r>
      <w:proofErr w:type="spellEnd"/>
      <w:r>
        <w:rPr>
          <w:sz w:val="24"/>
          <w:szCs w:val="24"/>
        </w:rPr>
        <w:t xml:space="preserve">, 2012, p.30). Consequently, The Brixton </w:t>
      </w:r>
      <w:r>
        <w:rPr>
          <w:sz w:val="24"/>
          <w:szCs w:val="24"/>
        </w:rPr>
        <w:t>riots emphasised the link between disproportionate use of stop search powers by police and the local black population and the resentment towards the police. The Scarman report was commissioned to investigate the riots and findings highlighted significant i</w:t>
      </w:r>
      <w:r>
        <w:rPr>
          <w:sz w:val="24"/>
          <w:szCs w:val="24"/>
        </w:rPr>
        <w:t>ssues with stop and search powers. The report recommended replacing ‘sus’ laws with national, safeguarded stop and search legislation which resulted in the introduction of the Police and Criminal Evidence Act (PACE) 1984. The introduction of PACE demonstra</w:t>
      </w:r>
      <w:r>
        <w:rPr>
          <w:sz w:val="24"/>
          <w:szCs w:val="24"/>
        </w:rPr>
        <w:t>ted a significant shift in police regulation to improve public perception. A balance between protection of rights and regulation of police powers, based on the principles of fairness and openness, was seen as a step in the right direction towards cooperati</w:t>
      </w:r>
      <w:r>
        <w:rPr>
          <w:sz w:val="24"/>
          <w:szCs w:val="24"/>
        </w:rPr>
        <w:t>on and public confidence. Despite this, PACE did not provide a permanent solution in increasing community confidence in the police. The murder of Stephen Lawrence in 1999 and the use of stop and search again attracted controversy. The Macpherson Inquiry re</w:t>
      </w:r>
      <w:r>
        <w:rPr>
          <w:sz w:val="24"/>
          <w:szCs w:val="24"/>
        </w:rPr>
        <w:t xml:space="preserve">vealed disproportionate use of stop and search among members of BAME communities, leading to accusations of police discrimination and distrust of the police within these communities. </w:t>
      </w:r>
      <w:proofErr w:type="gramStart"/>
      <w:r>
        <w:rPr>
          <w:sz w:val="24"/>
          <w:szCs w:val="24"/>
        </w:rPr>
        <w:t>Thus</w:t>
      </w:r>
      <w:proofErr w:type="gramEnd"/>
      <w:r>
        <w:rPr>
          <w:sz w:val="24"/>
          <w:szCs w:val="24"/>
        </w:rPr>
        <w:t xml:space="preserve"> raising questions over police misuse of power and accountability for</w:t>
      </w:r>
      <w:r>
        <w:rPr>
          <w:sz w:val="24"/>
          <w:szCs w:val="24"/>
        </w:rPr>
        <w:t xml:space="preserve"> these actions. </w:t>
      </w:r>
    </w:p>
    <w:p w14:paraId="00000008" w14:textId="77777777" w:rsidR="00EB7523" w:rsidRDefault="00EB7523">
      <w:pPr>
        <w:widowControl w:val="0"/>
        <w:spacing w:line="360" w:lineRule="auto"/>
        <w:jc w:val="both"/>
        <w:rPr>
          <w:sz w:val="24"/>
          <w:szCs w:val="24"/>
        </w:rPr>
      </w:pPr>
    </w:p>
    <w:p w14:paraId="00000009" w14:textId="77777777" w:rsidR="00EB7523" w:rsidRDefault="006738F4">
      <w:pPr>
        <w:widowControl w:val="0"/>
        <w:spacing w:line="360" w:lineRule="auto"/>
        <w:jc w:val="both"/>
        <w:rPr>
          <w:sz w:val="24"/>
          <w:szCs w:val="24"/>
        </w:rPr>
      </w:pPr>
      <w:r>
        <w:rPr>
          <w:sz w:val="24"/>
          <w:szCs w:val="24"/>
        </w:rPr>
        <w:lastRenderedPageBreak/>
        <w:t>The Hillsborough disaster is another example that illustrates how police misconduct has influenced current policing policies. Ninety-six football fans lost their lives in 1989 due to the Hillsborough disaster and initial inquests returned</w:t>
      </w:r>
      <w:r>
        <w:rPr>
          <w:sz w:val="24"/>
          <w:szCs w:val="24"/>
        </w:rPr>
        <w:t xml:space="preserve"> verdicts of accidental death. The Taylor Report on the incident uncovered </w:t>
      </w:r>
      <w:proofErr w:type="gramStart"/>
      <w:r>
        <w:rPr>
          <w:sz w:val="24"/>
          <w:szCs w:val="24"/>
        </w:rPr>
        <w:t>that police</w:t>
      </w:r>
      <w:proofErr w:type="gramEnd"/>
      <w:r>
        <w:rPr>
          <w:sz w:val="24"/>
          <w:szCs w:val="24"/>
        </w:rPr>
        <w:t xml:space="preserve"> had neglected their duties leading to fatalities from overcrowding. Moreover, the disaster was further encompassed by police misconduct as it was found that the police f</w:t>
      </w:r>
      <w:r>
        <w:rPr>
          <w:sz w:val="24"/>
          <w:szCs w:val="24"/>
        </w:rPr>
        <w:t>ed the press false information and stories blaming fans’ behaviour. Although a police disciplinary investigation took place, no one was held accountable for the disaster, raising public concerns over trust and confidence in the police. The disaster was sig</w:t>
      </w:r>
      <w:r>
        <w:rPr>
          <w:sz w:val="24"/>
          <w:szCs w:val="24"/>
        </w:rPr>
        <w:t xml:space="preserve">nificant in recognising the need for an overhaul in professional policing policies into police misconduct and since Hillsborough “policy and practice in respect of police complaints and disciplinary proceedings have been reformed </w:t>
      </w:r>
      <w:proofErr w:type="gramStart"/>
      <w:r>
        <w:rPr>
          <w:sz w:val="24"/>
          <w:szCs w:val="24"/>
        </w:rPr>
        <w:t>substantially,  largely</w:t>
      </w:r>
      <w:proofErr w:type="gramEnd"/>
      <w:r>
        <w:rPr>
          <w:sz w:val="24"/>
          <w:szCs w:val="24"/>
        </w:rPr>
        <w:t xml:space="preserve"> in</w:t>
      </w:r>
      <w:r>
        <w:rPr>
          <w:sz w:val="24"/>
          <w:szCs w:val="24"/>
        </w:rPr>
        <w:t xml:space="preserve"> response to public concern around Hillsborough” (GOV, 2017). The police disciplinary system has been reformed and police misconduct hearings are now held in public, chaired by independent bodies. The introduction of these policies </w:t>
      </w:r>
      <w:proofErr w:type="gramStart"/>
      <w:r>
        <w:rPr>
          <w:sz w:val="24"/>
          <w:szCs w:val="24"/>
        </w:rPr>
        <w:t>were</w:t>
      </w:r>
      <w:proofErr w:type="gramEnd"/>
      <w:r>
        <w:rPr>
          <w:sz w:val="24"/>
          <w:szCs w:val="24"/>
        </w:rPr>
        <w:t xml:space="preserve"> crucial to maintain</w:t>
      </w:r>
      <w:r>
        <w:rPr>
          <w:sz w:val="24"/>
          <w:szCs w:val="24"/>
        </w:rPr>
        <w:t>ing and enhancing public confidence in policing. The public will not tolerate police misconduct and these new policies give them hope that improper behaviour will be better challenged. Nonetheless, it should be noted that accountability for the Hillsboroug</w:t>
      </w:r>
      <w:r>
        <w:rPr>
          <w:sz w:val="24"/>
          <w:szCs w:val="24"/>
        </w:rPr>
        <w:t xml:space="preserve">h Disaster has still not been achieved to this day, despite the IOPC undertaking an independent investigation. </w:t>
      </w:r>
    </w:p>
    <w:p w14:paraId="0000000A" w14:textId="77777777" w:rsidR="00EB7523" w:rsidRDefault="00EB7523">
      <w:pPr>
        <w:widowControl w:val="0"/>
        <w:spacing w:line="360" w:lineRule="auto"/>
        <w:jc w:val="both"/>
        <w:rPr>
          <w:sz w:val="24"/>
          <w:szCs w:val="24"/>
        </w:rPr>
      </w:pPr>
    </w:p>
    <w:p w14:paraId="0000000B" w14:textId="77777777" w:rsidR="00EB7523" w:rsidRDefault="006738F4">
      <w:pPr>
        <w:widowControl w:val="0"/>
        <w:spacing w:line="360" w:lineRule="auto"/>
        <w:jc w:val="both"/>
        <w:rPr>
          <w:sz w:val="24"/>
          <w:szCs w:val="24"/>
        </w:rPr>
      </w:pPr>
      <w:r>
        <w:rPr>
          <w:sz w:val="24"/>
          <w:szCs w:val="24"/>
        </w:rPr>
        <w:t>In conclusion, in the UK, there have been several prominent cases of police misconduct that have led to questions over whether police act withi</w:t>
      </w:r>
      <w:r>
        <w:rPr>
          <w:sz w:val="24"/>
          <w:szCs w:val="24"/>
        </w:rPr>
        <w:t>n the public interest. The Brixton Riots and Hillsborough disaster have both provided solutions towards holding police accountable and gaining public trust in communities. However, despite their contribution towards current policing policies, there are sti</w:t>
      </w:r>
      <w:r>
        <w:rPr>
          <w:sz w:val="24"/>
          <w:szCs w:val="24"/>
        </w:rPr>
        <w:t xml:space="preserve">ll gaps in holding police accountable for behaviour that is below professional standards, thus there is still work to be done to improve public confidence in the service. </w:t>
      </w:r>
    </w:p>
    <w:p w14:paraId="0000000C" w14:textId="77777777" w:rsidR="00EB7523" w:rsidRDefault="00EB7523">
      <w:pPr>
        <w:widowControl w:val="0"/>
        <w:spacing w:line="240" w:lineRule="auto"/>
        <w:jc w:val="both"/>
        <w:rPr>
          <w:sz w:val="24"/>
          <w:szCs w:val="24"/>
        </w:rPr>
      </w:pPr>
    </w:p>
    <w:p w14:paraId="0000000D" w14:textId="77777777" w:rsidR="00EB7523" w:rsidRDefault="006738F4">
      <w:pPr>
        <w:widowControl w:val="0"/>
        <w:spacing w:line="240" w:lineRule="auto"/>
        <w:jc w:val="both"/>
        <w:rPr>
          <w:sz w:val="24"/>
          <w:szCs w:val="24"/>
        </w:rPr>
      </w:pPr>
      <w:r>
        <w:rPr>
          <w:sz w:val="24"/>
          <w:szCs w:val="24"/>
        </w:rPr>
        <w:t>Word Count: 1100</w:t>
      </w:r>
    </w:p>
    <w:p w14:paraId="0000000E" w14:textId="77777777" w:rsidR="00EB7523" w:rsidRDefault="00EB7523">
      <w:pPr>
        <w:widowControl w:val="0"/>
        <w:spacing w:line="240" w:lineRule="auto"/>
        <w:jc w:val="both"/>
        <w:rPr>
          <w:sz w:val="24"/>
          <w:szCs w:val="24"/>
        </w:rPr>
      </w:pPr>
    </w:p>
    <w:p w14:paraId="0000000F" w14:textId="77777777" w:rsidR="00EB7523" w:rsidRDefault="00EB7523">
      <w:pPr>
        <w:widowControl w:val="0"/>
        <w:spacing w:line="240" w:lineRule="auto"/>
        <w:jc w:val="both"/>
        <w:rPr>
          <w:sz w:val="24"/>
          <w:szCs w:val="24"/>
        </w:rPr>
      </w:pPr>
    </w:p>
    <w:p w14:paraId="00000010" w14:textId="77777777" w:rsidR="00EB7523" w:rsidRDefault="006738F4">
      <w:pPr>
        <w:widowControl w:val="0"/>
        <w:spacing w:line="240" w:lineRule="auto"/>
        <w:jc w:val="both"/>
        <w:rPr>
          <w:sz w:val="24"/>
          <w:szCs w:val="24"/>
        </w:rPr>
      </w:pPr>
      <w:r>
        <w:rPr>
          <w:sz w:val="24"/>
          <w:szCs w:val="24"/>
        </w:rPr>
        <w:t>Bibliography:</w:t>
      </w:r>
    </w:p>
    <w:p w14:paraId="00000011" w14:textId="77777777" w:rsidR="00EB7523" w:rsidRDefault="00EB7523">
      <w:pPr>
        <w:widowControl w:val="0"/>
        <w:spacing w:line="240" w:lineRule="auto"/>
        <w:jc w:val="both"/>
        <w:rPr>
          <w:sz w:val="24"/>
          <w:szCs w:val="24"/>
        </w:rPr>
      </w:pPr>
    </w:p>
    <w:p w14:paraId="00000012" w14:textId="77777777" w:rsidR="00EB7523" w:rsidRDefault="006738F4">
      <w:pPr>
        <w:widowControl w:val="0"/>
        <w:spacing w:line="240" w:lineRule="auto"/>
        <w:jc w:val="both"/>
        <w:rPr>
          <w:sz w:val="24"/>
          <w:szCs w:val="24"/>
        </w:rPr>
      </w:pPr>
      <w:r>
        <w:rPr>
          <w:sz w:val="24"/>
          <w:szCs w:val="24"/>
        </w:rPr>
        <w:t xml:space="preserve">College of Policing (2014) </w:t>
      </w:r>
      <w:r>
        <w:rPr>
          <w:i/>
          <w:sz w:val="24"/>
          <w:szCs w:val="24"/>
        </w:rPr>
        <w:t>Code of Ethics: A Code</w:t>
      </w:r>
      <w:r>
        <w:rPr>
          <w:i/>
          <w:sz w:val="24"/>
          <w:szCs w:val="24"/>
        </w:rPr>
        <w:t xml:space="preserve"> of Practice for the Principles and Standards of Professional Behaviour for the Policing Profession of England and </w:t>
      </w:r>
      <w:r>
        <w:rPr>
          <w:i/>
          <w:sz w:val="24"/>
          <w:szCs w:val="24"/>
        </w:rPr>
        <w:lastRenderedPageBreak/>
        <w:t xml:space="preserve">Wales. </w:t>
      </w:r>
      <w:r>
        <w:rPr>
          <w:sz w:val="24"/>
          <w:szCs w:val="24"/>
        </w:rPr>
        <w:t xml:space="preserve">Available at: </w:t>
      </w:r>
      <w:hyperlink r:id="rId7">
        <w:r>
          <w:rPr>
            <w:color w:val="1155CC"/>
            <w:sz w:val="24"/>
            <w:szCs w:val="24"/>
            <w:u w:val="single"/>
          </w:rPr>
          <w:t>https://assets.college.police</w:t>
        </w:r>
        <w:r>
          <w:rPr>
            <w:color w:val="1155CC"/>
            <w:sz w:val="24"/>
            <w:szCs w:val="24"/>
            <w:u w:val="single"/>
          </w:rPr>
          <w:t>.uk/s3fs-public/2021-02/code_of_ethics.pdf</w:t>
        </w:r>
      </w:hyperlink>
      <w:r>
        <w:rPr>
          <w:sz w:val="24"/>
          <w:szCs w:val="24"/>
        </w:rPr>
        <w:t xml:space="preserve"> (Accessed: 4th October 2022). </w:t>
      </w:r>
    </w:p>
    <w:p w14:paraId="00000013" w14:textId="77777777" w:rsidR="00EB7523" w:rsidRDefault="00EB7523">
      <w:pPr>
        <w:widowControl w:val="0"/>
        <w:spacing w:line="240" w:lineRule="auto"/>
        <w:jc w:val="both"/>
        <w:rPr>
          <w:sz w:val="24"/>
          <w:szCs w:val="24"/>
        </w:rPr>
      </w:pPr>
    </w:p>
    <w:p w14:paraId="00000014" w14:textId="77777777" w:rsidR="00EB7523" w:rsidRDefault="006738F4">
      <w:pPr>
        <w:widowControl w:val="0"/>
        <w:spacing w:line="240" w:lineRule="auto"/>
        <w:jc w:val="both"/>
        <w:rPr>
          <w:sz w:val="24"/>
          <w:szCs w:val="24"/>
        </w:rPr>
      </w:pPr>
      <w:r>
        <w:rPr>
          <w:sz w:val="24"/>
          <w:szCs w:val="24"/>
        </w:rPr>
        <w:t xml:space="preserve">College of Policing (2020) </w:t>
      </w:r>
      <w:r>
        <w:rPr>
          <w:i/>
          <w:sz w:val="24"/>
          <w:szCs w:val="24"/>
        </w:rPr>
        <w:t xml:space="preserve">Professional Profile of a Police Constable. </w:t>
      </w:r>
      <w:r>
        <w:rPr>
          <w:sz w:val="24"/>
          <w:szCs w:val="24"/>
        </w:rPr>
        <w:t xml:space="preserve">Available at: </w:t>
      </w:r>
      <w:hyperlink r:id="rId8">
        <w:r>
          <w:rPr>
            <w:color w:val="1155CC"/>
            <w:sz w:val="24"/>
            <w:szCs w:val="24"/>
            <w:u w:val="single"/>
          </w:rPr>
          <w:t>http</w:t>
        </w:r>
        <w:r>
          <w:rPr>
            <w:color w:val="1155CC"/>
            <w:sz w:val="24"/>
            <w:szCs w:val="24"/>
            <w:u w:val="single"/>
          </w:rPr>
          <w:t>s://profdev.college.police.uk/professional-profile/police-constable/</w:t>
        </w:r>
      </w:hyperlink>
      <w:r>
        <w:rPr>
          <w:sz w:val="24"/>
          <w:szCs w:val="24"/>
        </w:rPr>
        <w:t xml:space="preserve"> (Accessed: 4th October 2022). </w:t>
      </w:r>
    </w:p>
    <w:p w14:paraId="00000015" w14:textId="77777777" w:rsidR="00EB7523" w:rsidRDefault="00EB7523">
      <w:pPr>
        <w:widowControl w:val="0"/>
        <w:spacing w:line="240" w:lineRule="auto"/>
        <w:jc w:val="both"/>
        <w:rPr>
          <w:sz w:val="24"/>
          <w:szCs w:val="24"/>
        </w:rPr>
      </w:pPr>
    </w:p>
    <w:p w14:paraId="00000016" w14:textId="77777777" w:rsidR="00EB7523" w:rsidRDefault="006738F4">
      <w:pPr>
        <w:widowControl w:val="0"/>
        <w:spacing w:line="240" w:lineRule="auto"/>
        <w:jc w:val="both"/>
        <w:rPr>
          <w:sz w:val="24"/>
          <w:szCs w:val="24"/>
        </w:rPr>
      </w:pPr>
      <w:r>
        <w:rPr>
          <w:sz w:val="24"/>
          <w:szCs w:val="24"/>
        </w:rPr>
        <w:t xml:space="preserve">College of Policing (2022) </w:t>
      </w:r>
      <w:r>
        <w:rPr>
          <w:i/>
          <w:sz w:val="24"/>
          <w:szCs w:val="24"/>
        </w:rPr>
        <w:t xml:space="preserve">Guidance on Outcomes in Police Misconduct Proceedings. </w:t>
      </w:r>
      <w:r>
        <w:rPr>
          <w:sz w:val="24"/>
          <w:szCs w:val="24"/>
        </w:rPr>
        <w:t xml:space="preserve">Available at: </w:t>
      </w:r>
      <w:hyperlink r:id="rId9">
        <w:r>
          <w:rPr>
            <w:color w:val="1155CC"/>
            <w:sz w:val="24"/>
            <w:szCs w:val="24"/>
            <w:u w:val="single"/>
          </w:rPr>
          <w:t>https://assets.college.police.uk/s3fs-public/2022-08/Guidance-on-outcomes-in-police-misconduct-proceedings.pdf</w:t>
        </w:r>
      </w:hyperlink>
      <w:r>
        <w:rPr>
          <w:sz w:val="24"/>
          <w:szCs w:val="24"/>
        </w:rPr>
        <w:t xml:space="preserve"> (Accessed: 5th October 2022). </w:t>
      </w:r>
    </w:p>
    <w:p w14:paraId="00000017" w14:textId="77777777" w:rsidR="00EB7523" w:rsidRDefault="00EB7523">
      <w:pPr>
        <w:widowControl w:val="0"/>
        <w:spacing w:line="240" w:lineRule="auto"/>
        <w:jc w:val="both"/>
        <w:rPr>
          <w:sz w:val="24"/>
          <w:szCs w:val="24"/>
        </w:rPr>
      </w:pPr>
    </w:p>
    <w:p w14:paraId="00000018" w14:textId="77777777" w:rsidR="00EB7523" w:rsidRDefault="006738F4">
      <w:pPr>
        <w:widowControl w:val="0"/>
        <w:spacing w:line="240" w:lineRule="auto"/>
        <w:jc w:val="both"/>
        <w:rPr>
          <w:sz w:val="24"/>
          <w:szCs w:val="24"/>
        </w:rPr>
      </w:pPr>
      <w:r>
        <w:rPr>
          <w:sz w:val="24"/>
          <w:szCs w:val="24"/>
        </w:rPr>
        <w:t xml:space="preserve">GOV (2017) </w:t>
      </w:r>
      <w:r>
        <w:rPr>
          <w:i/>
          <w:sz w:val="24"/>
          <w:szCs w:val="24"/>
        </w:rPr>
        <w:t xml:space="preserve">The patronising disposition of </w:t>
      </w:r>
      <w:r>
        <w:rPr>
          <w:i/>
          <w:sz w:val="24"/>
          <w:szCs w:val="24"/>
        </w:rPr>
        <w:t xml:space="preserve">unaccountable power’ A report to ensure the pain and suffering of the Hillsborough families is not repeated. Available at: </w:t>
      </w:r>
      <w:r>
        <w:rPr>
          <w:sz w:val="24"/>
          <w:szCs w:val="24"/>
        </w:rPr>
        <w:t xml:space="preserve">  </w:t>
      </w:r>
      <w:hyperlink r:id="rId10">
        <w:r>
          <w:rPr>
            <w:color w:val="1155CC"/>
            <w:sz w:val="24"/>
            <w:szCs w:val="24"/>
            <w:u w:val="single"/>
          </w:rPr>
          <w:t>https://assets.publishing.service.gov.uk/government/uploads/system/uploads/attachment_data/file/655892/6_3860_HO_Hillsborough_Report_2017_FINAL_WEB_updated.pdf</w:t>
        </w:r>
      </w:hyperlink>
      <w:r>
        <w:rPr>
          <w:sz w:val="24"/>
          <w:szCs w:val="24"/>
        </w:rPr>
        <w:t xml:space="preserve"> (Accessed: 5th October 2022). </w:t>
      </w:r>
    </w:p>
    <w:p w14:paraId="00000019" w14:textId="77777777" w:rsidR="00EB7523" w:rsidRDefault="00EB7523">
      <w:pPr>
        <w:widowControl w:val="0"/>
        <w:spacing w:line="240" w:lineRule="auto"/>
        <w:jc w:val="both"/>
        <w:rPr>
          <w:sz w:val="24"/>
          <w:szCs w:val="24"/>
        </w:rPr>
      </w:pPr>
    </w:p>
    <w:p w14:paraId="0000001A" w14:textId="77777777" w:rsidR="00EB7523" w:rsidRDefault="006738F4">
      <w:pPr>
        <w:widowControl w:val="0"/>
        <w:spacing w:line="240" w:lineRule="auto"/>
        <w:jc w:val="both"/>
        <w:rPr>
          <w:color w:val="333333"/>
          <w:sz w:val="24"/>
          <w:szCs w:val="24"/>
          <w:highlight w:val="white"/>
        </w:rPr>
      </w:pPr>
      <w:r>
        <w:rPr>
          <w:sz w:val="24"/>
          <w:szCs w:val="24"/>
        </w:rPr>
        <w:t xml:space="preserve">Lea, J. and </w:t>
      </w:r>
      <w:proofErr w:type="spellStart"/>
      <w:r>
        <w:rPr>
          <w:sz w:val="24"/>
          <w:szCs w:val="24"/>
        </w:rPr>
        <w:t>Hall</w:t>
      </w:r>
      <w:r>
        <w:rPr>
          <w:sz w:val="24"/>
          <w:szCs w:val="24"/>
        </w:rPr>
        <w:t>sworth</w:t>
      </w:r>
      <w:proofErr w:type="spellEnd"/>
      <w:r>
        <w:rPr>
          <w:sz w:val="24"/>
          <w:szCs w:val="24"/>
        </w:rPr>
        <w:t>, S. (2012) ‘</w:t>
      </w:r>
      <w:r>
        <w:rPr>
          <w:color w:val="333333"/>
          <w:sz w:val="24"/>
          <w:szCs w:val="24"/>
          <w:highlight w:val="white"/>
        </w:rPr>
        <w:t xml:space="preserve">Understanding the riots’, </w:t>
      </w:r>
      <w:r>
        <w:rPr>
          <w:i/>
          <w:color w:val="333333"/>
          <w:sz w:val="24"/>
          <w:szCs w:val="24"/>
          <w:highlight w:val="white"/>
        </w:rPr>
        <w:t>Criminal Justice Matters</w:t>
      </w:r>
      <w:r>
        <w:rPr>
          <w:color w:val="333333"/>
          <w:sz w:val="24"/>
          <w:szCs w:val="24"/>
          <w:highlight w:val="white"/>
        </w:rPr>
        <w:t xml:space="preserve">, 87(1), pp. 30-31. DOI: </w:t>
      </w:r>
      <w:hyperlink r:id="rId11">
        <w:r>
          <w:rPr>
            <w:color w:val="333333"/>
            <w:sz w:val="24"/>
            <w:szCs w:val="24"/>
            <w:highlight w:val="white"/>
            <w:u w:val="single"/>
          </w:rPr>
          <w:t>10.1080/09627251.2012.671013</w:t>
        </w:r>
      </w:hyperlink>
      <w:r>
        <w:rPr>
          <w:color w:val="333333"/>
          <w:sz w:val="24"/>
          <w:szCs w:val="24"/>
          <w:highlight w:val="white"/>
        </w:rPr>
        <w:t xml:space="preserve"> </w:t>
      </w:r>
    </w:p>
    <w:p w14:paraId="0000001B" w14:textId="77777777" w:rsidR="00EB7523" w:rsidRDefault="00EB7523">
      <w:pPr>
        <w:rPr>
          <w:sz w:val="24"/>
          <w:szCs w:val="24"/>
        </w:rPr>
      </w:pPr>
    </w:p>
    <w:p w14:paraId="0000001C" w14:textId="77777777" w:rsidR="00EB7523" w:rsidRDefault="00EB7523">
      <w:pPr>
        <w:rPr>
          <w:sz w:val="24"/>
          <w:szCs w:val="24"/>
        </w:rPr>
      </w:pPr>
    </w:p>
    <w:p w14:paraId="0000001D" w14:textId="77777777" w:rsidR="00EB7523" w:rsidRDefault="00EB7523">
      <w:pPr>
        <w:ind w:right="531"/>
        <w:rPr>
          <w:sz w:val="24"/>
          <w:szCs w:val="24"/>
        </w:rPr>
      </w:pPr>
    </w:p>
    <w:p w14:paraId="0000001E" w14:textId="77777777" w:rsidR="00EB7523" w:rsidRDefault="006738F4">
      <w:pPr>
        <w:ind w:right="531"/>
        <w:rPr>
          <w:sz w:val="24"/>
          <w:szCs w:val="24"/>
        </w:rPr>
      </w:pPr>
      <w:r>
        <w:rPr>
          <w:sz w:val="24"/>
          <w:szCs w:val="24"/>
        </w:rPr>
        <w:t xml:space="preserve">Question 2: </w:t>
      </w:r>
      <w:r>
        <w:rPr>
          <w:sz w:val="24"/>
          <w:szCs w:val="24"/>
          <w:u w:val="single"/>
        </w:rPr>
        <w:t>Examine</w:t>
      </w:r>
      <w:r>
        <w:rPr>
          <w:sz w:val="24"/>
          <w:szCs w:val="24"/>
        </w:rPr>
        <w:t xml:space="preserve"> why certain groups might be vulnerable to being targeted by Serious and Organised Crime </w:t>
      </w:r>
      <w:proofErr w:type="gramStart"/>
      <w:r>
        <w:rPr>
          <w:sz w:val="24"/>
          <w:szCs w:val="24"/>
        </w:rPr>
        <w:t>Groups, and</w:t>
      </w:r>
      <w:proofErr w:type="gramEnd"/>
      <w:r>
        <w:rPr>
          <w:sz w:val="24"/>
          <w:szCs w:val="24"/>
        </w:rPr>
        <w:t xml:space="preserve"> </w:t>
      </w:r>
      <w:r>
        <w:rPr>
          <w:sz w:val="24"/>
          <w:szCs w:val="24"/>
          <w:u w:val="single"/>
        </w:rPr>
        <w:t>analyse</w:t>
      </w:r>
      <w:r>
        <w:rPr>
          <w:sz w:val="24"/>
          <w:szCs w:val="24"/>
        </w:rPr>
        <w:t xml:space="preserve"> the effectiveness of police practices to investigate such issues.</w:t>
      </w:r>
    </w:p>
    <w:p w14:paraId="0000001F" w14:textId="77777777" w:rsidR="00EB7523" w:rsidRDefault="00EB7523">
      <w:pPr>
        <w:ind w:right="531"/>
        <w:rPr>
          <w:color w:val="0000FF"/>
          <w:sz w:val="24"/>
          <w:szCs w:val="24"/>
        </w:rPr>
      </w:pPr>
    </w:p>
    <w:p w14:paraId="00000020" w14:textId="77777777" w:rsidR="00EB7523" w:rsidRDefault="006738F4">
      <w:pPr>
        <w:spacing w:line="360" w:lineRule="auto"/>
        <w:ind w:right="531"/>
        <w:jc w:val="both"/>
        <w:rPr>
          <w:sz w:val="24"/>
          <w:szCs w:val="24"/>
        </w:rPr>
      </w:pPr>
      <w:r>
        <w:rPr>
          <w:sz w:val="24"/>
          <w:szCs w:val="24"/>
        </w:rPr>
        <w:t>Serious and Organised Crime (SOC) is widely recognised as “individuals planning,</w:t>
      </w:r>
      <w:r>
        <w:rPr>
          <w:sz w:val="24"/>
          <w:szCs w:val="24"/>
        </w:rPr>
        <w:t xml:space="preserve"> co-ordinating and committing serious offences, whether individually, in groups and/or as part of transnational networks” (Home Office, 2013). More specifically, the types of criminal activities regarded as SOC include distributing illegal drugs, </w:t>
      </w:r>
      <w:proofErr w:type="gramStart"/>
      <w:r>
        <w:rPr>
          <w:sz w:val="24"/>
          <w:szCs w:val="24"/>
        </w:rPr>
        <w:t>firearms</w:t>
      </w:r>
      <w:proofErr w:type="gramEnd"/>
      <w:r>
        <w:rPr>
          <w:sz w:val="24"/>
          <w:szCs w:val="24"/>
        </w:rPr>
        <w:t xml:space="preserve"> </w:t>
      </w:r>
      <w:r>
        <w:rPr>
          <w:sz w:val="24"/>
          <w:szCs w:val="24"/>
        </w:rPr>
        <w:t xml:space="preserve">and counterfeit goods; </w:t>
      </w:r>
      <w:proofErr w:type="spellStart"/>
      <w:r>
        <w:rPr>
          <w:sz w:val="24"/>
          <w:szCs w:val="24"/>
        </w:rPr>
        <w:t>commiting</w:t>
      </w:r>
      <w:proofErr w:type="spellEnd"/>
      <w:r>
        <w:rPr>
          <w:sz w:val="24"/>
          <w:szCs w:val="24"/>
        </w:rPr>
        <w:t xml:space="preserve"> fraud and facilitating human trafficking and child sexual exploitation. </w:t>
      </w:r>
      <w:proofErr w:type="gramStart"/>
      <w:r>
        <w:rPr>
          <w:sz w:val="24"/>
          <w:szCs w:val="24"/>
        </w:rPr>
        <w:t>In order to</w:t>
      </w:r>
      <w:proofErr w:type="gramEnd"/>
      <w:r>
        <w:rPr>
          <w:sz w:val="24"/>
          <w:szCs w:val="24"/>
        </w:rPr>
        <w:t xml:space="preserve"> tackle SOC, the government established a strategy known as the 4P’s: Pursue, Prepare, Protect and Prevent. In combination, Prepare and Prot</w:t>
      </w:r>
      <w:r>
        <w:rPr>
          <w:sz w:val="24"/>
          <w:szCs w:val="24"/>
        </w:rPr>
        <w:t>ect are intended to reduce vulnerability by using intelligence led policing and traditional crime control techniques to reduce the risk of people becoming victims (</w:t>
      </w:r>
      <w:proofErr w:type="spellStart"/>
      <w:r>
        <w:rPr>
          <w:sz w:val="24"/>
          <w:szCs w:val="24"/>
        </w:rPr>
        <w:t>Sergi</w:t>
      </w:r>
      <w:proofErr w:type="spellEnd"/>
      <w:r>
        <w:rPr>
          <w:sz w:val="24"/>
          <w:szCs w:val="24"/>
        </w:rPr>
        <w:t xml:space="preserve">, 2017, p.194). Additionally, the National Crime Agency (NCA) was established to bring </w:t>
      </w:r>
      <w:r>
        <w:rPr>
          <w:sz w:val="24"/>
          <w:szCs w:val="24"/>
        </w:rPr>
        <w:t xml:space="preserve">information from all local and national agencies together to target criminals involved in SOC causing the most harm. The agency leads, </w:t>
      </w:r>
      <w:proofErr w:type="gramStart"/>
      <w:r>
        <w:rPr>
          <w:sz w:val="24"/>
          <w:szCs w:val="24"/>
        </w:rPr>
        <w:t>supports</w:t>
      </w:r>
      <w:proofErr w:type="gramEnd"/>
      <w:r>
        <w:rPr>
          <w:sz w:val="24"/>
          <w:szCs w:val="24"/>
        </w:rPr>
        <w:t xml:space="preserve"> and coordinates activity across law enforcement, locally, regionally, nationally and internationally. Conjointly</w:t>
      </w:r>
      <w:r>
        <w:rPr>
          <w:sz w:val="24"/>
          <w:szCs w:val="24"/>
        </w:rPr>
        <w:t xml:space="preserve">, the 4P’s strategy and the NCA will bring together tools and powers to disrupt SOC and prosecute criminals whilst protecting victims. </w:t>
      </w:r>
    </w:p>
    <w:p w14:paraId="00000021" w14:textId="77777777" w:rsidR="00EB7523" w:rsidRDefault="00EB7523">
      <w:pPr>
        <w:spacing w:line="360" w:lineRule="auto"/>
        <w:ind w:right="531"/>
        <w:jc w:val="both"/>
        <w:rPr>
          <w:sz w:val="24"/>
          <w:szCs w:val="24"/>
        </w:rPr>
      </w:pPr>
    </w:p>
    <w:p w14:paraId="00000022" w14:textId="77777777" w:rsidR="00EB7523" w:rsidRDefault="006738F4">
      <w:pPr>
        <w:spacing w:line="360" w:lineRule="auto"/>
        <w:ind w:right="531"/>
        <w:jc w:val="both"/>
        <w:rPr>
          <w:sz w:val="24"/>
          <w:szCs w:val="24"/>
        </w:rPr>
      </w:pPr>
      <w:r>
        <w:rPr>
          <w:sz w:val="24"/>
          <w:szCs w:val="24"/>
        </w:rPr>
        <w:t>The Home Office (2015) indicates that the “victims of SOC are local people, communities and businesses” with the additi</w:t>
      </w:r>
      <w:r>
        <w:rPr>
          <w:sz w:val="24"/>
          <w:szCs w:val="24"/>
        </w:rPr>
        <w:t xml:space="preserve">onal fact that “OCGs take advantage of vulnerable people for their own personal gain”. This reveals that criminals involved in SOC exploit the most vulnerable in society, targeting communities and individual needs to profit economically or otherwise. With </w:t>
      </w:r>
      <w:r>
        <w:rPr>
          <w:sz w:val="24"/>
          <w:szCs w:val="24"/>
        </w:rPr>
        <w:t>regards to what is classified as vulnerable, the College of Policing (2022) proposes that a person is vulnerable if “as a result of their situation or circumstances, they are unable to take care of or protect themselves or others from harm or exploitation”</w:t>
      </w:r>
      <w:r>
        <w:rPr>
          <w:sz w:val="24"/>
          <w:szCs w:val="24"/>
        </w:rPr>
        <w:t>. Moreover, The Police Foundation (2017) suggest that “the young, the elderly, the poor and recently-arrived foreign nationals are particularly at risk of exploitation”. It may be argued that these statements suggest that anyone who may be unable to protec</w:t>
      </w:r>
      <w:r>
        <w:rPr>
          <w:sz w:val="24"/>
          <w:szCs w:val="24"/>
        </w:rPr>
        <w:t xml:space="preserve">t themselves from exploitation, due to social status, disability, addiction as well as any young person under the age of 18 or elderly (over 65), may be considered as vulnerable. </w:t>
      </w:r>
    </w:p>
    <w:p w14:paraId="00000023" w14:textId="77777777" w:rsidR="00EB7523" w:rsidRDefault="00EB7523">
      <w:pPr>
        <w:spacing w:line="360" w:lineRule="auto"/>
        <w:ind w:right="531"/>
        <w:jc w:val="both"/>
        <w:rPr>
          <w:sz w:val="24"/>
          <w:szCs w:val="24"/>
        </w:rPr>
      </w:pPr>
    </w:p>
    <w:p w14:paraId="00000024" w14:textId="77777777" w:rsidR="00EB7523" w:rsidRDefault="006738F4">
      <w:pPr>
        <w:spacing w:line="360" w:lineRule="auto"/>
        <w:ind w:right="531"/>
        <w:jc w:val="both"/>
        <w:rPr>
          <w:sz w:val="24"/>
          <w:szCs w:val="24"/>
        </w:rPr>
      </w:pPr>
      <w:r>
        <w:rPr>
          <w:sz w:val="24"/>
          <w:szCs w:val="24"/>
        </w:rPr>
        <w:t>To exemplify the link between vulnerability and SOC, we should consider the</w:t>
      </w:r>
      <w:r>
        <w:rPr>
          <w:sz w:val="24"/>
          <w:szCs w:val="24"/>
        </w:rPr>
        <w:t xml:space="preserve"> practice of cuckooing where the “vulnerable are targeted and their homes accessed under false pretences to facilitate exploitation” (Spicer et al, 2019, p.304). When cuckooing occurs, a relationship with the vulnerable person is often established to gain </w:t>
      </w:r>
      <w:r>
        <w:rPr>
          <w:sz w:val="24"/>
          <w:szCs w:val="24"/>
        </w:rPr>
        <w:t>access to their home. Control is gained through factors such as drug dependency, debt or feeling socially isolated. Cuckooing is most often associated with drug trafficking and the county lines operation in the UK. A cuckooed individual will usually presen</w:t>
      </w:r>
      <w:r>
        <w:rPr>
          <w:sz w:val="24"/>
          <w:szCs w:val="24"/>
        </w:rPr>
        <w:t xml:space="preserve">t with </w:t>
      </w:r>
      <w:proofErr w:type="gramStart"/>
      <w:r>
        <w:rPr>
          <w:sz w:val="24"/>
          <w:szCs w:val="24"/>
        </w:rPr>
        <w:t>a number of</w:t>
      </w:r>
      <w:proofErr w:type="gramEnd"/>
      <w:r>
        <w:rPr>
          <w:sz w:val="24"/>
          <w:szCs w:val="24"/>
        </w:rPr>
        <w:t xml:space="preserve"> vulnerabilities for the coercive and manipulative tactics used by drug gangs (</w:t>
      </w:r>
      <w:proofErr w:type="spellStart"/>
      <w:r>
        <w:rPr>
          <w:sz w:val="24"/>
          <w:szCs w:val="24"/>
        </w:rPr>
        <w:t>Chakraborti</w:t>
      </w:r>
      <w:proofErr w:type="spellEnd"/>
      <w:r>
        <w:rPr>
          <w:sz w:val="24"/>
          <w:szCs w:val="24"/>
        </w:rPr>
        <w:t xml:space="preserve"> and Garland, 2012, p.500). Although cuckooing is not a crime, intervention is needed. A key theme in the 4P’s strategy is relentless disruption of </w:t>
      </w:r>
      <w:r>
        <w:rPr>
          <w:sz w:val="24"/>
          <w:szCs w:val="24"/>
        </w:rPr>
        <w:t>SOC which demands a local police response. An example of this includes conducting ‘days of action’ in certain towns and executing warrants on homes suspected of harbouring drugs and ‘out-of-town’ dealers which has led to various positive experiences (Spice</w:t>
      </w:r>
      <w:r>
        <w:rPr>
          <w:sz w:val="24"/>
          <w:szCs w:val="24"/>
        </w:rPr>
        <w:t xml:space="preserve">r, 2021, p.1396). Undertaking these days demonstrates local police ​​response to issues of national importance whilst upholding the priority of protecting vulnerable people. Thus, it can be argued that undertaking these days is effective in disrupting the </w:t>
      </w:r>
      <w:r>
        <w:rPr>
          <w:sz w:val="24"/>
          <w:szCs w:val="24"/>
        </w:rPr>
        <w:t xml:space="preserve">link between County lines, </w:t>
      </w:r>
      <w:proofErr w:type="gramStart"/>
      <w:r>
        <w:rPr>
          <w:sz w:val="24"/>
          <w:szCs w:val="24"/>
        </w:rPr>
        <w:t>SOC</w:t>
      </w:r>
      <w:proofErr w:type="gramEnd"/>
      <w:r>
        <w:rPr>
          <w:sz w:val="24"/>
          <w:szCs w:val="24"/>
        </w:rPr>
        <w:t xml:space="preserve"> and vulnerability. However, there is still work to </w:t>
      </w:r>
      <w:r>
        <w:rPr>
          <w:sz w:val="24"/>
          <w:szCs w:val="24"/>
        </w:rPr>
        <w:lastRenderedPageBreak/>
        <w:t xml:space="preserve">be done to improve the effectiveness of such policies. With regards to intelligence sharing enabling the police to disrupt SOC and safeguard vulnerable people, Spicer (2021, </w:t>
      </w:r>
      <w:r>
        <w:rPr>
          <w:sz w:val="24"/>
          <w:szCs w:val="24"/>
        </w:rPr>
        <w:t>p.1396) recognises that “reports from other organisations often took longer to filter through compared to those received internally''. As a result, when responding to the intelligence, police have often found that dealers have already moved on. Consequentl</w:t>
      </w:r>
      <w:r>
        <w:rPr>
          <w:sz w:val="24"/>
          <w:szCs w:val="24"/>
        </w:rPr>
        <w:t xml:space="preserve">y, early safeguarding intervention has not been achieved and vulnerable people have been exploited for a longer period. </w:t>
      </w:r>
    </w:p>
    <w:p w14:paraId="00000025" w14:textId="77777777" w:rsidR="00EB7523" w:rsidRDefault="00EB7523">
      <w:pPr>
        <w:spacing w:line="360" w:lineRule="auto"/>
        <w:ind w:right="531"/>
        <w:jc w:val="both"/>
        <w:rPr>
          <w:sz w:val="24"/>
          <w:szCs w:val="24"/>
        </w:rPr>
      </w:pPr>
    </w:p>
    <w:p w14:paraId="00000026" w14:textId="77777777" w:rsidR="00EB7523" w:rsidRDefault="006738F4">
      <w:pPr>
        <w:spacing w:line="360" w:lineRule="auto"/>
        <w:ind w:right="531"/>
        <w:jc w:val="both"/>
        <w:rPr>
          <w:sz w:val="24"/>
          <w:szCs w:val="24"/>
        </w:rPr>
      </w:pPr>
      <w:r>
        <w:rPr>
          <w:sz w:val="24"/>
          <w:szCs w:val="24"/>
        </w:rPr>
        <w:t xml:space="preserve">Comparatively, the </w:t>
      </w:r>
      <w:proofErr w:type="gramStart"/>
      <w:r>
        <w:rPr>
          <w:sz w:val="24"/>
          <w:szCs w:val="24"/>
        </w:rPr>
        <w:t>manner in which</w:t>
      </w:r>
      <w:proofErr w:type="gramEnd"/>
      <w:r>
        <w:rPr>
          <w:sz w:val="24"/>
          <w:szCs w:val="24"/>
        </w:rPr>
        <w:t xml:space="preserve"> children are exploited again tends to be through forming relationships, often framed as friendship </w:t>
      </w:r>
      <w:r>
        <w:rPr>
          <w:sz w:val="24"/>
          <w:szCs w:val="24"/>
        </w:rPr>
        <w:t>or romantic. Child criminal exploitation (CCE) occurs when an “individual or group takes advantage of an imbalance of power to coerce, control, manipulate or deceive a child or young person under 18” (Home Office 2018). Often, a young person is groomed and</w:t>
      </w:r>
      <w:r>
        <w:rPr>
          <w:sz w:val="24"/>
          <w:szCs w:val="24"/>
        </w:rPr>
        <w:t xml:space="preserve"> given things, like gifts, drugs, money, </w:t>
      </w:r>
      <w:proofErr w:type="gramStart"/>
      <w:r>
        <w:rPr>
          <w:sz w:val="24"/>
          <w:szCs w:val="24"/>
        </w:rPr>
        <w:t>status</w:t>
      </w:r>
      <w:proofErr w:type="gramEnd"/>
      <w:r>
        <w:rPr>
          <w:sz w:val="24"/>
          <w:szCs w:val="24"/>
        </w:rPr>
        <w:t xml:space="preserve"> and affection in exchange for carrying out a criminal activity or performing sexual activities. The victim may have been criminally exploited even if the activity appears consensual. Children are considered t</w:t>
      </w:r>
      <w:r>
        <w:rPr>
          <w:sz w:val="24"/>
          <w:szCs w:val="24"/>
        </w:rPr>
        <w:t>he most vulnerable in society as they “are highly dependent on others to satisfy their basic needs” (</w:t>
      </w:r>
      <w:proofErr w:type="spellStart"/>
      <w:r>
        <w:rPr>
          <w:sz w:val="24"/>
          <w:szCs w:val="24"/>
        </w:rPr>
        <w:t>Bagattini</w:t>
      </w:r>
      <w:proofErr w:type="spellEnd"/>
      <w:r>
        <w:rPr>
          <w:sz w:val="24"/>
          <w:szCs w:val="24"/>
        </w:rPr>
        <w:t xml:space="preserve">, 2019, p.211). Vulnerabilities, such as low self-esteem, poor </w:t>
      </w:r>
      <w:proofErr w:type="gramStart"/>
      <w:r>
        <w:rPr>
          <w:sz w:val="24"/>
          <w:szCs w:val="24"/>
        </w:rPr>
        <w:t>self-image</w:t>
      </w:r>
      <w:proofErr w:type="gramEnd"/>
      <w:r>
        <w:rPr>
          <w:sz w:val="24"/>
          <w:szCs w:val="24"/>
        </w:rPr>
        <w:t xml:space="preserve"> and material deprivation, are identified and targeted by abusers to expl</w:t>
      </w:r>
      <w:r>
        <w:rPr>
          <w:sz w:val="24"/>
          <w:szCs w:val="24"/>
        </w:rPr>
        <w:t xml:space="preserve">oit children. The 4P’s strategy specifically features CCE and outlines that the police need to work closely with other agencies to identify those at risk of exploitation as well as individuals who may pose a risk to children (Home Office, 2013). </w:t>
      </w:r>
    </w:p>
    <w:p w14:paraId="00000027" w14:textId="77777777" w:rsidR="00EB7523" w:rsidRDefault="00EB7523">
      <w:pPr>
        <w:spacing w:line="360" w:lineRule="auto"/>
        <w:ind w:right="531"/>
        <w:jc w:val="both"/>
        <w:rPr>
          <w:sz w:val="24"/>
          <w:szCs w:val="24"/>
        </w:rPr>
      </w:pPr>
    </w:p>
    <w:p w14:paraId="00000028" w14:textId="77777777" w:rsidR="00EB7523" w:rsidRDefault="006738F4">
      <w:pPr>
        <w:spacing w:line="360" w:lineRule="auto"/>
        <w:ind w:right="531"/>
        <w:jc w:val="both"/>
        <w:rPr>
          <w:sz w:val="24"/>
          <w:szCs w:val="24"/>
        </w:rPr>
      </w:pPr>
      <w:r>
        <w:rPr>
          <w:sz w:val="24"/>
          <w:szCs w:val="24"/>
        </w:rPr>
        <w:t xml:space="preserve">Sharing </w:t>
      </w:r>
      <w:r>
        <w:rPr>
          <w:sz w:val="24"/>
          <w:szCs w:val="24"/>
        </w:rPr>
        <w:t xml:space="preserve">intelligence and information is crucial when establishing a multi-agency approach to preventing criminal exploitation as it highlights patterns, potential new </w:t>
      </w:r>
      <w:proofErr w:type="gramStart"/>
      <w:r>
        <w:rPr>
          <w:sz w:val="24"/>
          <w:szCs w:val="24"/>
        </w:rPr>
        <w:t>sources</w:t>
      </w:r>
      <w:proofErr w:type="gramEnd"/>
      <w:r>
        <w:rPr>
          <w:sz w:val="24"/>
          <w:szCs w:val="24"/>
        </w:rPr>
        <w:t xml:space="preserve"> and common trends. Accordingly, police can develop detailed local profiles. Problem profi</w:t>
      </w:r>
      <w:r>
        <w:rPr>
          <w:sz w:val="24"/>
          <w:szCs w:val="24"/>
        </w:rPr>
        <w:t>les are regarded as crucial for police investigations into CCE as they provide a “sophisticated understanding of the prevalence, nature and scale of criminal exploitation” with the additional factor that “the profiles allow police to prioritise their activ</w:t>
      </w:r>
      <w:r>
        <w:rPr>
          <w:sz w:val="24"/>
          <w:szCs w:val="24"/>
        </w:rPr>
        <w:t xml:space="preserve">ity to ensure that those most at risk receive a timely response” (Home Office, 2018). Therefore, exchanging and analysing information and intelligence can be effective in responding to SOC as it builds an accurate picture of the nature and extent of child </w:t>
      </w:r>
      <w:r>
        <w:rPr>
          <w:sz w:val="24"/>
          <w:szCs w:val="24"/>
        </w:rPr>
        <w:t xml:space="preserve">exploitation </w:t>
      </w:r>
      <w:proofErr w:type="gramStart"/>
      <w:r>
        <w:rPr>
          <w:sz w:val="24"/>
          <w:szCs w:val="24"/>
        </w:rPr>
        <w:t>in order to</w:t>
      </w:r>
      <w:proofErr w:type="gramEnd"/>
      <w:r>
        <w:rPr>
          <w:sz w:val="24"/>
          <w:szCs w:val="24"/>
        </w:rPr>
        <w:t xml:space="preserve"> disrupt and </w:t>
      </w:r>
      <w:r>
        <w:rPr>
          <w:sz w:val="24"/>
          <w:szCs w:val="24"/>
        </w:rPr>
        <w:lastRenderedPageBreak/>
        <w:t>safeguard current and potential victims. Although this is only useful if it is done in a timely manner. Barnardo's (2021) also says there is still too often a lack of clear understanding or consistency from relevant pro</w:t>
      </w:r>
      <w:r>
        <w:rPr>
          <w:sz w:val="24"/>
          <w:szCs w:val="24"/>
        </w:rPr>
        <w:t xml:space="preserve">fessionals, such as the police, social </w:t>
      </w:r>
      <w:proofErr w:type="gramStart"/>
      <w:r>
        <w:rPr>
          <w:sz w:val="24"/>
          <w:szCs w:val="24"/>
        </w:rPr>
        <w:t>care</w:t>
      </w:r>
      <w:proofErr w:type="gramEnd"/>
      <w:r>
        <w:rPr>
          <w:sz w:val="24"/>
          <w:szCs w:val="24"/>
        </w:rPr>
        <w:t xml:space="preserve"> and health, of how children are exploited by criminals or how to support them rather than criminalise them. As a result, CCE remains under-reported and opportunities to prevent exploitation is minimised. </w:t>
      </w:r>
    </w:p>
    <w:p w14:paraId="00000029" w14:textId="77777777" w:rsidR="00EB7523" w:rsidRDefault="00EB7523">
      <w:pPr>
        <w:spacing w:line="360" w:lineRule="auto"/>
        <w:ind w:right="531"/>
        <w:jc w:val="both"/>
        <w:rPr>
          <w:sz w:val="24"/>
          <w:szCs w:val="24"/>
        </w:rPr>
      </w:pPr>
    </w:p>
    <w:p w14:paraId="0000002A" w14:textId="77777777" w:rsidR="00EB7523" w:rsidRDefault="006738F4">
      <w:pPr>
        <w:spacing w:line="360" w:lineRule="auto"/>
        <w:ind w:right="531"/>
        <w:jc w:val="both"/>
        <w:rPr>
          <w:sz w:val="24"/>
          <w:szCs w:val="24"/>
        </w:rPr>
      </w:pPr>
      <w:r>
        <w:rPr>
          <w:sz w:val="24"/>
          <w:szCs w:val="24"/>
        </w:rPr>
        <w:t>In con</w:t>
      </w:r>
      <w:r>
        <w:rPr>
          <w:sz w:val="24"/>
          <w:szCs w:val="24"/>
        </w:rPr>
        <w:t xml:space="preserve">clusion, it is apparent that vulnerable people are often targeted by SOC criminals as they are unable to protect themselves from harm, </w:t>
      </w:r>
      <w:proofErr w:type="gramStart"/>
      <w:r>
        <w:rPr>
          <w:sz w:val="24"/>
          <w:szCs w:val="24"/>
        </w:rPr>
        <w:t>abuse</w:t>
      </w:r>
      <w:proofErr w:type="gramEnd"/>
      <w:r>
        <w:rPr>
          <w:sz w:val="24"/>
          <w:szCs w:val="24"/>
        </w:rPr>
        <w:t xml:space="preserve"> and exploitation. A </w:t>
      </w:r>
      <w:proofErr w:type="spellStart"/>
      <w:r>
        <w:rPr>
          <w:sz w:val="24"/>
          <w:szCs w:val="24"/>
        </w:rPr>
        <w:t>multi agency</w:t>
      </w:r>
      <w:proofErr w:type="spellEnd"/>
      <w:r>
        <w:rPr>
          <w:sz w:val="24"/>
          <w:szCs w:val="24"/>
        </w:rPr>
        <w:t xml:space="preserve"> approach is key to investigating victims of SOC. The sharing of information and in</w:t>
      </w:r>
      <w:r>
        <w:rPr>
          <w:sz w:val="24"/>
          <w:szCs w:val="24"/>
        </w:rPr>
        <w:t>telligence across relevant organisations can result in early intervention. However, there is still room for improvement around police practices and their ability to safeguard vulnerable people from being targeted by SOC criminals. SOC is fast-moving, meani</w:t>
      </w:r>
      <w:r>
        <w:rPr>
          <w:sz w:val="24"/>
          <w:szCs w:val="24"/>
        </w:rPr>
        <w:t xml:space="preserve">ng disruption demands an immediate response or it needs to be </w:t>
      </w:r>
      <w:proofErr w:type="spellStart"/>
      <w:r>
        <w:rPr>
          <w:sz w:val="24"/>
          <w:szCs w:val="24"/>
        </w:rPr>
        <w:t>preempted</w:t>
      </w:r>
      <w:proofErr w:type="spellEnd"/>
      <w:r>
        <w:rPr>
          <w:sz w:val="24"/>
          <w:szCs w:val="24"/>
        </w:rPr>
        <w:t xml:space="preserve">. </w:t>
      </w:r>
    </w:p>
    <w:p w14:paraId="0000002B" w14:textId="77777777" w:rsidR="00EB7523" w:rsidRDefault="00EB7523">
      <w:pPr>
        <w:ind w:right="531"/>
        <w:jc w:val="both"/>
        <w:rPr>
          <w:sz w:val="24"/>
          <w:szCs w:val="24"/>
        </w:rPr>
      </w:pPr>
    </w:p>
    <w:p w14:paraId="0000002C" w14:textId="77777777" w:rsidR="00EB7523" w:rsidRDefault="006738F4">
      <w:pPr>
        <w:ind w:right="531"/>
        <w:jc w:val="both"/>
        <w:rPr>
          <w:sz w:val="24"/>
          <w:szCs w:val="24"/>
        </w:rPr>
      </w:pPr>
      <w:r>
        <w:rPr>
          <w:sz w:val="24"/>
          <w:szCs w:val="24"/>
        </w:rPr>
        <w:t>Word Count: 1100</w:t>
      </w:r>
    </w:p>
    <w:p w14:paraId="0000002D" w14:textId="77777777" w:rsidR="00EB7523" w:rsidRDefault="00EB7523">
      <w:pPr>
        <w:ind w:right="531"/>
        <w:jc w:val="both"/>
        <w:rPr>
          <w:sz w:val="24"/>
          <w:szCs w:val="24"/>
        </w:rPr>
      </w:pPr>
    </w:p>
    <w:p w14:paraId="0000002E" w14:textId="77777777" w:rsidR="00EB7523" w:rsidRDefault="006738F4">
      <w:pPr>
        <w:ind w:right="531"/>
        <w:jc w:val="both"/>
        <w:rPr>
          <w:sz w:val="24"/>
          <w:szCs w:val="24"/>
        </w:rPr>
      </w:pPr>
      <w:r>
        <w:rPr>
          <w:sz w:val="24"/>
          <w:szCs w:val="24"/>
        </w:rPr>
        <w:t xml:space="preserve">Bibliography: </w:t>
      </w:r>
    </w:p>
    <w:p w14:paraId="0000002F" w14:textId="77777777" w:rsidR="00EB7523" w:rsidRDefault="00EB7523">
      <w:pPr>
        <w:ind w:right="531"/>
        <w:jc w:val="both"/>
        <w:rPr>
          <w:sz w:val="24"/>
          <w:szCs w:val="24"/>
        </w:rPr>
      </w:pPr>
    </w:p>
    <w:p w14:paraId="00000030" w14:textId="77777777" w:rsidR="00EB7523" w:rsidRDefault="006738F4">
      <w:pPr>
        <w:ind w:right="531"/>
        <w:jc w:val="both"/>
        <w:rPr>
          <w:sz w:val="24"/>
          <w:szCs w:val="24"/>
        </w:rPr>
      </w:pPr>
      <w:proofErr w:type="spellStart"/>
      <w:r>
        <w:rPr>
          <w:sz w:val="24"/>
          <w:szCs w:val="24"/>
        </w:rPr>
        <w:t>Bagattini</w:t>
      </w:r>
      <w:proofErr w:type="spellEnd"/>
      <w:r>
        <w:rPr>
          <w:sz w:val="24"/>
          <w:szCs w:val="24"/>
        </w:rPr>
        <w:t xml:space="preserve">, A. (2019) ‘Children’s Wellbeing and Vulnerability’, </w:t>
      </w:r>
      <w:r>
        <w:rPr>
          <w:i/>
          <w:sz w:val="24"/>
          <w:szCs w:val="24"/>
        </w:rPr>
        <w:t xml:space="preserve">Ethics and Social Welfare, </w:t>
      </w:r>
      <w:r>
        <w:rPr>
          <w:sz w:val="24"/>
          <w:szCs w:val="24"/>
        </w:rPr>
        <w:t xml:space="preserve">13, pp. 211-215. DOI: </w:t>
      </w:r>
      <w:hyperlink r:id="rId12">
        <w:r>
          <w:rPr>
            <w:sz w:val="24"/>
            <w:szCs w:val="24"/>
          </w:rPr>
          <w:t>https://doi.org/10.1080/17496535.2019.1647973</w:t>
        </w:r>
      </w:hyperlink>
      <w:r>
        <w:rPr>
          <w:sz w:val="24"/>
          <w:szCs w:val="24"/>
        </w:rPr>
        <w:t xml:space="preserve"> </w:t>
      </w:r>
    </w:p>
    <w:p w14:paraId="00000031" w14:textId="77777777" w:rsidR="00EB7523" w:rsidRDefault="00EB7523">
      <w:pPr>
        <w:ind w:right="531"/>
        <w:jc w:val="both"/>
        <w:rPr>
          <w:sz w:val="24"/>
          <w:szCs w:val="24"/>
        </w:rPr>
      </w:pPr>
    </w:p>
    <w:p w14:paraId="00000032" w14:textId="77777777" w:rsidR="00EB7523" w:rsidRDefault="006738F4">
      <w:pPr>
        <w:ind w:right="531"/>
        <w:jc w:val="both"/>
        <w:rPr>
          <w:sz w:val="24"/>
          <w:szCs w:val="24"/>
        </w:rPr>
      </w:pPr>
      <w:r>
        <w:rPr>
          <w:sz w:val="24"/>
          <w:szCs w:val="24"/>
        </w:rPr>
        <w:t>Barnardo’s (2021)</w:t>
      </w:r>
      <w:r>
        <w:rPr>
          <w:i/>
          <w:sz w:val="24"/>
          <w:szCs w:val="24"/>
        </w:rPr>
        <w:t xml:space="preserve"> Urgent action needed as organised crime gangs take advantage of pandemic to target vulnerable children. </w:t>
      </w:r>
      <w:r>
        <w:rPr>
          <w:sz w:val="24"/>
          <w:szCs w:val="24"/>
        </w:rPr>
        <w:t xml:space="preserve">Available at: </w:t>
      </w:r>
      <w:hyperlink r:id="rId13">
        <w:r>
          <w:rPr>
            <w:color w:val="1155CC"/>
            <w:sz w:val="24"/>
            <w:szCs w:val="24"/>
            <w:u w:val="single"/>
          </w:rPr>
          <w:t>https://www.barnardos.org.uk/news/urgent-action-needed-organised-crime-gangs-take-advantage-pandemic-target-vulnerable-children</w:t>
        </w:r>
      </w:hyperlink>
      <w:r>
        <w:rPr>
          <w:sz w:val="24"/>
          <w:szCs w:val="24"/>
        </w:rPr>
        <w:t xml:space="preserve"> (Accessed: 17th October</w:t>
      </w:r>
      <w:r>
        <w:rPr>
          <w:sz w:val="24"/>
          <w:szCs w:val="24"/>
        </w:rPr>
        <w:t xml:space="preserve"> 2022). </w:t>
      </w:r>
    </w:p>
    <w:p w14:paraId="00000033" w14:textId="77777777" w:rsidR="00EB7523" w:rsidRDefault="00EB7523">
      <w:pPr>
        <w:ind w:right="531"/>
        <w:jc w:val="both"/>
        <w:rPr>
          <w:sz w:val="24"/>
          <w:szCs w:val="24"/>
        </w:rPr>
      </w:pPr>
    </w:p>
    <w:p w14:paraId="00000034" w14:textId="77777777" w:rsidR="00EB7523" w:rsidRDefault="006738F4">
      <w:pPr>
        <w:ind w:right="531"/>
        <w:jc w:val="both"/>
        <w:rPr>
          <w:sz w:val="24"/>
          <w:szCs w:val="24"/>
        </w:rPr>
      </w:pPr>
      <w:proofErr w:type="spellStart"/>
      <w:r>
        <w:rPr>
          <w:sz w:val="24"/>
          <w:szCs w:val="24"/>
        </w:rPr>
        <w:t>Chakraborti</w:t>
      </w:r>
      <w:proofErr w:type="spellEnd"/>
      <w:r>
        <w:rPr>
          <w:sz w:val="24"/>
          <w:szCs w:val="24"/>
        </w:rPr>
        <w:t xml:space="preserve">, N. and Garland, J. (2012) ‘Reconceptualizing hate crime victimization through the lens of vulnerability and 'difference', </w:t>
      </w:r>
      <w:r>
        <w:rPr>
          <w:i/>
          <w:sz w:val="24"/>
          <w:szCs w:val="24"/>
        </w:rPr>
        <w:t>Theoretical Criminology,</w:t>
      </w:r>
      <w:r>
        <w:rPr>
          <w:sz w:val="24"/>
          <w:szCs w:val="24"/>
        </w:rPr>
        <w:t xml:space="preserve"> 16(4), pp. 499-514. DOI: </w:t>
      </w:r>
      <w:hyperlink r:id="rId14">
        <w:r>
          <w:rPr>
            <w:color w:val="1155CC"/>
            <w:sz w:val="24"/>
            <w:szCs w:val="24"/>
            <w:u w:val="single"/>
            <w:shd w:val="clear" w:color="auto" w:fill="FAFAFA"/>
          </w:rPr>
          <w:t>h</w:t>
        </w:r>
        <w:r>
          <w:rPr>
            <w:color w:val="1155CC"/>
            <w:sz w:val="24"/>
            <w:szCs w:val="24"/>
            <w:u w:val="single"/>
            <w:shd w:val="clear" w:color="auto" w:fill="FAFAFA"/>
          </w:rPr>
          <w:t>ttps://doi.org/10.1177/1362480612439432</w:t>
        </w:r>
      </w:hyperlink>
    </w:p>
    <w:p w14:paraId="00000035" w14:textId="77777777" w:rsidR="00EB7523" w:rsidRDefault="00EB7523">
      <w:pPr>
        <w:ind w:right="531"/>
        <w:jc w:val="both"/>
        <w:rPr>
          <w:sz w:val="24"/>
          <w:szCs w:val="24"/>
        </w:rPr>
      </w:pPr>
    </w:p>
    <w:p w14:paraId="00000036" w14:textId="77777777" w:rsidR="00EB7523" w:rsidRDefault="006738F4">
      <w:pPr>
        <w:ind w:right="531"/>
        <w:jc w:val="both"/>
        <w:rPr>
          <w:sz w:val="24"/>
          <w:szCs w:val="24"/>
        </w:rPr>
      </w:pPr>
      <w:r>
        <w:rPr>
          <w:sz w:val="24"/>
          <w:szCs w:val="24"/>
        </w:rPr>
        <w:t xml:space="preserve">College of Policing (2022) </w:t>
      </w:r>
      <w:r>
        <w:rPr>
          <w:i/>
          <w:sz w:val="24"/>
          <w:szCs w:val="24"/>
        </w:rPr>
        <w:t xml:space="preserve">Introduction to vulnerability-related risk. </w:t>
      </w:r>
      <w:r>
        <w:rPr>
          <w:sz w:val="24"/>
          <w:szCs w:val="24"/>
        </w:rPr>
        <w:t xml:space="preserve">Available at: </w:t>
      </w:r>
      <w:hyperlink r:id="rId15" w:anchor=":~:text=This%20states%20that%20a%20person,others%20from%20harm%20or%20exploitation">
        <w:r>
          <w:rPr>
            <w:color w:val="1155CC"/>
            <w:sz w:val="24"/>
            <w:szCs w:val="24"/>
            <w:u w:val="single"/>
          </w:rPr>
          <w:t>https://www.college.police.uk/guidance/vulne</w:t>
        </w:r>
        <w:r>
          <w:rPr>
            <w:color w:val="1155CC"/>
            <w:sz w:val="24"/>
            <w:szCs w:val="24"/>
            <w:u w:val="single"/>
          </w:rPr>
          <w:t>rability-related-risks/introduction-vulnerability-related-risk#:~:text=This%20states%20that%20a%20person,others%20from%20harm%20or%20exploitation</w:t>
        </w:r>
      </w:hyperlink>
      <w:r>
        <w:rPr>
          <w:sz w:val="24"/>
          <w:szCs w:val="24"/>
        </w:rPr>
        <w:t xml:space="preserve"> (Accessed: 16th October). </w:t>
      </w:r>
    </w:p>
    <w:p w14:paraId="00000037" w14:textId="77777777" w:rsidR="00EB7523" w:rsidRDefault="00EB7523">
      <w:pPr>
        <w:ind w:right="531"/>
        <w:jc w:val="both"/>
        <w:rPr>
          <w:sz w:val="24"/>
          <w:szCs w:val="24"/>
        </w:rPr>
      </w:pPr>
    </w:p>
    <w:p w14:paraId="00000038" w14:textId="77777777" w:rsidR="00EB7523" w:rsidRDefault="006738F4">
      <w:pPr>
        <w:ind w:right="531"/>
        <w:jc w:val="both"/>
        <w:rPr>
          <w:sz w:val="24"/>
          <w:szCs w:val="24"/>
        </w:rPr>
      </w:pPr>
      <w:r>
        <w:rPr>
          <w:sz w:val="24"/>
          <w:szCs w:val="24"/>
        </w:rPr>
        <w:t xml:space="preserve">Home Office (2013) </w:t>
      </w:r>
      <w:r>
        <w:rPr>
          <w:i/>
          <w:sz w:val="24"/>
          <w:szCs w:val="24"/>
        </w:rPr>
        <w:t xml:space="preserve">Serious and Organised Crime Strategy. </w:t>
      </w:r>
      <w:r>
        <w:rPr>
          <w:sz w:val="24"/>
          <w:szCs w:val="24"/>
        </w:rPr>
        <w:t xml:space="preserve">Available at: </w:t>
      </w:r>
      <w:hyperlink r:id="rId16">
        <w:r>
          <w:rPr>
            <w:color w:val="1155CC"/>
            <w:sz w:val="24"/>
            <w:szCs w:val="24"/>
            <w:u w:val="single"/>
          </w:rPr>
          <w:t>https://assets.publishing.service.gov.uk/government/uploads/system/uploads/attachment_data/file/248645/S</w:t>
        </w:r>
        <w:r>
          <w:rPr>
            <w:color w:val="1155CC"/>
            <w:sz w:val="24"/>
            <w:szCs w:val="24"/>
            <w:u w:val="single"/>
          </w:rPr>
          <w:t>erious_and_Organised_Crime_Strategy.pdf</w:t>
        </w:r>
      </w:hyperlink>
      <w:r>
        <w:rPr>
          <w:sz w:val="24"/>
          <w:szCs w:val="24"/>
        </w:rPr>
        <w:t xml:space="preserve"> (Accessed: 15th October 2022). </w:t>
      </w:r>
    </w:p>
    <w:p w14:paraId="00000039" w14:textId="77777777" w:rsidR="00EB7523" w:rsidRDefault="00EB7523">
      <w:pPr>
        <w:ind w:right="531"/>
        <w:jc w:val="both"/>
        <w:rPr>
          <w:sz w:val="24"/>
          <w:szCs w:val="24"/>
        </w:rPr>
      </w:pPr>
    </w:p>
    <w:p w14:paraId="0000003A" w14:textId="77777777" w:rsidR="00EB7523" w:rsidRDefault="006738F4">
      <w:pPr>
        <w:ind w:right="531"/>
        <w:jc w:val="both"/>
        <w:rPr>
          <w:sz w:val="24"/>
          <w:szCs w:val="24"/>
        </w:rPr>
      </w:pPr>
      <w:r>
        <w:rPr>
          <w:sz w:val="24"/>
          <w:szCs w:val="24"/>
        </w:rPr>
        <w:t xml:space="preserve">Home Office (2015) </w:t>
      </w:r>
      <w:r>
        <w:rPr>
          <w:i/>
          <w:sz w:val="24"/>
          <w:szCs w:val="24"/>
        </w:rPr>
        <w:t xml:space="preserve">Tackling Serious and Organised Crime: A Local Response. </w:t>
      </w:r>
      <w:r>
        <w:rPr>
          <w:sz w:val="24"/>
          <w:szCs w:val="24"/>
        </w:rPr>
        <w:t xml:space="preserve">Available at: </w:t>
      </w:r>
      <w:hyperlink r:id="rId17">
        <w:r>
          <w:rPr>
            <w:color w:val="1155CC"/>
            <w:sz w:val="24"/>
            <w:szCs w:val="24"/>
            <w:u w:val="single"/>
          </w:rPr>
          <w:t>https://www.local.gov.uk/sites/default/files/documents/tackling-serious-and-orga-44a.pdf</w:t>
        </w:r>
      </w:hyperlink>
      <w:r>
        <w:rPr>
          <w:sz w:val="24"/>
          <w:szCs w:val="24"/>
        </w:rPr>
        <w:t xml:space="preserve"> (Accessed: 15th October 2022). </w:t>
      </w:r>
    </w:p>
    <w:p w14:paraId="0000003B" w14:textId="77777777" w:rsidR="00EB7523" w:rsidRDefault="00EB7523">
      <w:pPr>
        <w:ind w:right="531"/>
        <w:jc w:val="both"/>
        <w:rPr>
          <w:sz w:val="24"/>
          <w:szCs w:val="24"/>
        </w:rPr>
      </w:pPr>
    </w:p>
    <w:p w14:paraId="0000003C" w14:textId="77777777" w:rsidR="00EB7523" w:rsidRDefault="006738F4">
      <w:pPr>
        <w:ind w:right="531"/>
        <w:jc w:val="both"/>
        <w:rPr>
          <w:sz w:val="24"/>
          <w:szCs w:val="24"/>
        </w:rPr>
      </w:pPr>
      <w:r>
        <w:rPr>
          <w:sz w:val="24"/>
          <w:szCs w:val="24"/>
        </w:rPr>
        <w:t xml:space="preserve">Home Office (2018) </w:t>
      </w:r>
      <w:r>
        <w:rPr>
          <w:i/>
          <w:sz w:val="24"/>
          <w:szCs w:val="24"/>
        </w:rPr>
        <w:t xml:space="preserve">Criminal Exploitation of children and vulnerable adults: County Lines guidance. </w:t>
      </w:r>
      <w:r>
        <w:rPr>
          <w:sz w:val="24"/>
          <w:szCs w:val="24"/>
        </w:rPr>
        <w:t xml:space="preserve">Available at: </w:t>
      </w:r>
      <w:hyperlink r:id="rId18">
        <w:r>
          <w:rPr>
            <w:color w:val="1155CC"/>
            <w:sz w:val="24"/>
            <w:szCs w:val="24"/>
            <w:u w:val="single"/>
          </w:rPr>
          <w:t>https://assets.publishing.service.gov.uk/government/uploads/system/uploads/attachment_data/file/863323/H</w:t>
        </w:r>
        <w:r>
          <w:rPr>
            <w:color w:val="1155CC"/>
            <w:sz w:val="24"/>
            <w:szCs w:val="24"/>
            <w:u w:val="single"/>
          </w:rPr>
          <w:t>OCountyLinesGuidance_-_Sept2018.pdf</w:t>
        </w:r>
      </w:hyperlink>
      <w:r>
        <w:rPr>
          <w:sz w:val="24"/>
          <w:szCs w:val="24"/>
        </w:rPr>
        <w:t xml:space="preserve"> (Accessed: 17th October 2022). </w:t>
      </w:r>
    </w:p>
    <w:p w14:paraId="0000003D" w14:textId="77777777" w:rsidR="00EB7523" w:rsidRDefault="00EB7523">
      <w:pPr>
        <w:ind w:right="531"/>
        <w:jc w:val="both"/>
        <w:rPr>
          <w:sz w:val="24"/>
          <w:szCs w:val="24"/>
        </w:rPr>
      </w:pPr>
    </w:p>
    <w:p w14:paraId="0000003E" w14:textId="77777777" w:rsidR="00EB7523" w:rsidRDefault="006738F4">
      <w:pPr>
        <w:ind w:right="531"/>
        <w:jc w:val="both"/>
        <w:rPr>
          <w:sz w:val="24"/>
          <w:szCs w:val="24"/>
        </w:rPr>
      </w:pPr>
      <w:r>
        <w:rPr>
          <w:sz w:val="24"/>
          <w:szCs w:val="24"/>
        </w:rPr>
        <w:t xml:space="preserve">Home Office (2018) </w:t>
      </w:r>
      <w:r>
        <w:rPr>
          <w:i/>
          <w:sz w:val="24"/>
          <w:szCs w:val="24"/>
        </w:rPr>
        <w:t xml:space="preserve">Protecting children from criminal exploitation, human </w:t>
      </w:r>
      <w:proofErr w:type="gramStart"/>
      <w:r>
        <w:rPr>
          <w:i/>
          <w:sz w:val="24"/>
          <w:szCs w:val="24"/>
        </w:rPr>
        <w:t>trafficking</w:t>
      </w:r>
      <w:proofErr w:type="gramEnd"/>
      <w:r>
        <w:rPr>
          <w:i/>
          <w:sz w:val="24"/>
          <w:szCs w:val="24"/>
        </w:rPr>
        <w:t xml:space="preserve"> and modern slavery: an addendum. </w:t>
      </w:r>
      <w:r>
        <w:rPr>
          <w:sz w:val="24"/>
          <w:szCs w:val="24"/>
        </w:rPr>
        <w:t xml:space="preserve">Available at: </w:t>
      </w:r>
      <w:hyperlink r:id="rId19">
        <w:r>
          <w:rPr>
            <w:color w:val="1155CC"/>
            <w:sz w:val="24"/>
            <w:szCs w:val="24"/>
            <w:u w:val="single"/>
          </w:rPr>
          <w:t>https://assets.publishing.service.gov.uk/government/uploads/system/uploads/attachment_dat</w:t>
        </w:r>
        <w:r>
          <w:rPr>
            <w:color w:val="1155CC"/>
            <w:sz w:val="24"/>
            <w:szCs w:val="24"/>
            <w:u w:val="single"/>
          </w:rPr>
          <w:t>a/file/756031/Protecting_children_from_criminal_exploitation_human_trafficking_modern_slavery_addendum_141118.pdf</w:t>
        </w:r>
      </w:hyperlink>
      <w:r>
        <w:rPr>
          <w:sz w:val="24"/>
          <w:szCs w:val="24"/>
        </w:rPr>
        <w:t xml:space="preserve"> (Accessed: 17th October 2022).</w:t>
      </w:r>
    </w:p>
    <w:p w14:paraId="0000003F" w14:textId="77777777" w:rsidR="00EB7523" w:rsidRDefault="00EB7523">
      <w:pPr>
        <w:ind w:right="531"/>
        <w:jc w:val="both"/>
        <w:rPr>
          <w:sz w:val="24"/>
          <w:szCs w:val="24"/>
        </w:rPr>
      </w:pPr>
    </w:p>
    <w:p w14:paraId="00000040" w14:textId="77777777" w:rsidR="00EB7523" w:rsidRDefault="006738F4">
      <w:pPr>
        <w:ind w:right="531"/>
        <w:jc w:val="both"/>
        <w:rPr>
          <w:sz w:val="24"/>
          <w:szCs w:val="24"/>
        </w:rPr>
      </w:pPr>
      <w:proofErr w:type="spellStart"/>
      <w:r>
        <w:rPr>
          <w:sz w:val="24"/>
          <w:szCs w:val="24"/>
        </w:rPr>
        <w:t>Sergi</w:t>
      </w:r>
      <w:proofErr w:type="spellEnd"/>
      <w:r>
        <w:rPr>
          <w:sz w:val="24"/>
          <w:szCs w:val="24"/>
        </w:rPr>
        <w:t xml:space="preserve">, A. (2017) </w:t>
      </w:r>
      <w:r>
        <w:rPr>
          <w:i/>
          <w:sz w:val="24"/>
          <w:szCs w:val="24"/>
        </w:rPr>
        <w:t xml:space="preserve">From Mafia to Organised Crime: A comparative analysis of policing models. </w:t>
      </w:r>
      <w:r>
        <w:rPr>
          <w:sz w:val="24"/>
          <w:szCs w:val="24"/>
        </w:rPr>
        <w:t>Germany: Springer I</w:t>
      </w:r>
      <w:r>
        <w:rPr>
          <w:sz w:val="24"/>
          <w:szCs w:val="24"/>
        </w:rPr>
        <w:t xml:space="preserve">nternational Publishing. </w:t>
      </w:r>
    </w:p>
    <w:p w14:paraId="00000041" w14:textId="77777777" w:rsidR="00EB7523" w:rsidRDefault="00EB7523">
      <w:pPr>
        <w:ind w:right="531"/>
        <w:jc w:val="both"/>
        <w:rPr>
          <w:sz w:val="24"/>
          <w:szCs w:val="24"/>
        </w:rPr>
      </w:pPr>
    </w:p>
    <w:p w14:paraId="00000042" w14:textId="77777777" w:rsidR="00EB7523" w:rsidRDefault="006738F4">
      <w:pPr>
        <w:ind w:right="531"/>
        <w:jc w:val="both"/>
        <w:rPr>
          <w:sz w:val="24"/>
          <w:szCs w:val="24"/>
        </w:rPr>
      </w:pPr>
      <w:r>
        <w:rPr>
          <w:sz w:val="24"/>
          <w:szCs w:val="24"/>
        </w:rPr>
        <w:t xml:space="preserve">Spicer, J., Moyle, L., and </w:t>
      </w:r>
      <w:proofErr w:type="spellStart"/>
      <w:r>
        <w:rPr>
          <w:sz w:val="24"/>
          <w:szCs w:val="24"/>
        </w:rPr>
        <w:t>Coomber</w:t>
      </w:r>
      <w:proofErr w:type="spellEnd"/>
      <w:r>
        <w:rPr>
          <w:sz w:val="24"/>
          <w:szCs w:val="24"/>
        </w:rPr>
        <w:t>, R. (2019) ‘The variable and evolving nature of ‘cuckooing’ as a form of criminal exploitation in street level drug markets</w:t>
      </w:r>
      <w:proofErr w:type="gramStart"/>
      <w:r>
        <w:rPr>
          <w:sz w:val="24"/>
          <w:szCs w:val="24"/>
        </w:rPr>
        <w:t xml:space="preserve">’,  </w:t>
      </w:r>
      <w:r>
        <w:rPr>
          <w:i/>
          <w:sz w:val="24"/>
          <w:szCs w:val="24"/>
        </w:rPr>
        <w:t>Trends</w:t>
      </w:r>
      <w:proofErr w:type="gramEnd"/>
      <w:r>
        <w:rPr>
          <w:i/>
          <w:sz w:val="24"/>
          <w:szCs w:val="24"/>
        </w:rPr>
        <w:t xml:space="preserve"> in Organized Crime</w:t>
      </w:r>
      <w:r>
        <w:rPr>
          <w:sz w:val="24"/>
          <w:szCs w:val="24"/>
        </w:rPr>
        <w:t>, 23(4), pp. 301-323. DOI: 10.1007/s12117-</w:t>
      </w:r>
      <w:r>
        <w:rPr>
          <w:sz w:val="24"/>
          <w:szCs w:val="24"/>
        </w:rPr>
        <w:t xml:space="preserve">019-09368-5. </w:t>
      </w:r>
    </w:p>
    <w:p w14:paraId="00000043" w14:textId="77777777" w:rsidR="00EB7523" w:rsidRDefault="00EB7523">
      <w:pPr>
        <w:ind w:right="531"/>
        <w:jc w:val="both"/>
        <w:rPr>
          <w:sz w:val="24"/>
          <w:szCs w:val="24"/>
        </w:rPr>
      </w:pPr>
    </w:p>
    <w:p w14:paraId="00000044" w14:textId="77777777" w:rsidR="00EB7523" w:rsidRDefault="006738F4">
      <w:pPr>
        <w:ind w:right="531"/>
        <w:jc w:val="both"/>
        <w:rPr>
          <w:sz w:val="24"/>
          <w:szCs w:val="24"/>
        </w:rPr>
      </w:pPr>
      <w:r>
        <w:rPr>
          <w:sz w:val="24"/>
          <w:szCs w:val="24"/>
        </w:rPr>
        <w:t>Spicer, J. (2021) ‘​​</w:t>
      </w:r>
      <w:r>
        <w:rPr>
          <w:sz w:val="24"/>
          <w:szCs w:val="24"/>
          <w:highlight w:val="white"/>
        </w:rPr>
        <w:t xml:space="preserve">The policing of cuckooing in ‘County Lines’ drug dealing: An ethnographic study of an amplification spiral’, </w:t>
      </w:r>
      <w:r>
        <w:rPr>
          <w:i/>
          <w:sz w:val="24"/>
          <w:szCs w:val="24"/>
          <w:highlight w:val="white"/>
        </w:rPr>
        <w:t xml:space="preserve">The British Journal of </w:t>
      </w:r>
      <w:proofErr w:type="spellStart"/>
      <w:r>
        <w:rPr>
          <w:i/>
          <w:sz w:val="24"/>
          <w:szCs w:val="24"/>
          <w:highlight w:val="white"/>
        </w:rPr>
        <w:t>Ciminology</w:t>
      </w:r>
      <w:proofErr w:type="spellEnd"/>
      <w:r>
        <w:rPr>
          <w:i/>
          <w:sz w:val="24"/>
          <w:szCs w:val="24"/>
          <w:highlight w:val="white"/>
        </w:rPr>
        <w:t xml:space="preserve">. </w:t>
      </w:r>
      <w:r>
        <w:rPr>
          <w:sz w:val="24"/>
          <w:szCs w:val="24"/>
          <w:highlight w:val="white"/>
        </w:rPr>
        <w:t xml:space="preserve">61(5), pp. 1390–1406. DOI: </w:t>
      </w:r>
      <w:hyperlink r:id="rId20">
        <w:r>
          <w:rPr>
            <w:sz w:val="24"/>
            <w:szCs w:val="24"/>
            <w:highlight w:val="white"/>
          </w:rPr>
          <w:t>https://doi.org/10.1093/bjc/azab027</w:t>
        </w:r>
      </w:hyperlink>
      <w:r>
        <w:rPr>
          <w:sz w:val="24"/>
          <w:szCs w:val="24"/>
        </w:rPr>
        <w:t xml:space="preserve">. </w:t>
      </w:r>
    </w:p>
    <w:p w14:paraId="00000045" w14:textId="77777777" w:rsidR="00EB7523" w:rsidRDefault="00EB7523">
      <w:pPr>
        <w:ind w:right="531"/>
        <w:jc w:val="both"/>
        <w:rPr>
          <w:sz w:val="24"/>
          <w:szCs w:val="24"/>
        </w:rPr>
      </w:pPr>
    </w:p>
    <w:p w14:paraId="00000046" w14:textId="77777777" w:rsidR="00EB7523" w:rsidRDefault="006738F4">
      <w:pPr>
        <w:ind w:right="531"/>
        <w:jc w:val="both"/>
        <w:rPr>
          <w:sz w:val="24"/>
          <w:szCs w:val="24"/>
        </w:rPr>
      </w:pPr>
      <w:r>
        <w:rPr>
          <w:sz w:val="24"/>
          <w:szCs w:val="24"/>
        </w:rPr>
        <w:t xml:space="preserve">The Police Foundation (2017) </w:t>
      </w:r>
      <w:r>
        <w:rPr>
          <w:i/>
          <w:sz w:val="24"/>
          <w:szCs w:val="24"/>
        </w:rPr>
        <w:t xml:space="preserve">The impact of organised crime in local communities. </w:t>
      </w:r>
      <w:r>
        <w:rPr>
          <w:sz w:val="24"/>
          <w:szCs w:val="24"/>
        </w:rPr>
        <w:t xml:space="preserve">Available at: </w:t>
      </w:r>
      <w:hyperlink r:id="rId21">
        <w:r>
          <w:rPr>
            <w:color w:val="1155CC"/>
            <w:sz w:val="24"/>
            <w:szCs w:val="24"/>
            <w:u w:val="single"/>
          </w:rPr>
          <w:t>https://www.police-foundation.org.uk/2017/wp-content/uploads/2017/10/oc_in_local_communities_final.pdf</w:t>
        </w:r>
      </w:hyperlink>
      <w:r>
        <w:rPr>
          <w:sz w:val="24"/>
          <w:szCs w:val="24"/>
        </w:rPr>
        <w:t xml:space="preserve"> (Accessed: 17th October). </w:t>
      </w:r>
    </w:p>
    <w:p w14:paraId="00000047" w14:textId="77777777" w:rsidR="00EB7523" w:rsidRDefault="00EB7523">
      <w:pPr>
        <w:ind w:right="531"/>
        <w:jc w:val="both"/>
        <w:rPr>
          <w:sz w:val="24"/>
          <w:szCs w:val="24"/>
        </w:rPr>
      </w:pPr>
    </w:p>
    <w:p w14:paraId="00000048" w14:textId="77777777" w:rsidR="00EB7523" w:rsidRDefault="00EB7523">
      <w:pPr>
        <w:ind w:right="531"/>
        <w:rPr>
          <w:sz w:val="24"/>
          <w:szCs w:val="24"/>
        </w:rPr>
      </w:pPr>
    </w:p>
    <w:p w14:paraId="00000049" w14:textId="77777777" w:rsidR="00EB7523" w:rsidRDefault="006738F4">
      <w:pPr>
        <w:ind w:right="531"/>
        <w:rPr>
          <w:sz w:val="24"/>
          <w:szCs w:val="24"/>
        </w:rPr>
      </w:pPr>
      <w:r>
        <w:rPr>
          <w:sz w:val="24"/>
          <w:szCs w:val="24"/>
        </w:rPr>
        <w:t xml:space="preserve">Question 3: </w:t>
      </w:r>
      <w:r>
        <w:rPr>
          <w:sz w:val="24"/>
          <w:szCs w:val="24"/>
          <w:u w:val="single"/>
        </w:rPr>
        <w:t>Assess</w:t>
      </w:r>
      <w:r>
        <w:rPr>
          <w:sz w:val="24"/>
          <w:szCs w:val="24"/>
        </w:rPr>
        <w:t xml:space="preserve"> the role of MAPPA in managing </w:t>
      </w:r>
      <w:proofErr w:type="gramStart"/>
      <w:r>
        <w:rPr>
          <w:sz w:val="24"/>
          <w:szCs w:val="24"/>
        </w:rPr>
        <w:t>offenders, and</w:t>
      </w:r>
      <w:proofErr w:type="gramEnd"/>
      <w:r>
        <w:rPr>
          <w:sz w:val="24"/>
          <w:szCs w:val="24"/>
        </w:rPr>
        <w:t xml:space="preserve"> </w:t>
      </w:r>
      <w:r>
        <w:rPr>
          <w:sz w:val="24"/>
          <w:szCs w:val="24"/>
          <w:u w:val="single"/>
        </w:rPr>
        <w:t>evaluate</w:t>
      </w:r>
      <w:r>
        <w:rPr>
          <w:sz w:val="24"/>
          <w:szCs w:val="24"/>
        </w:rPr>
        <w:t xml:space="preserve"> the effectiveness of current police practices to investigate public protection incidents involving violent and sexual offences.</w:t>
      </w:r>
    </w:p>
    <w:p w14:paraId="0000004A" w14:textId="77777777" w:rsidR="00EB7523" w:rsidRDefault="00EB7523">
      <w:pPr>
        <w:ind w:right="531"/>
        <w:rPr>
          <w:color w:val="0000FF"/>
          <w:sz w:val="24"/>
          <w:szCs w:val="24"/>
        </w:rPr>
      </w:pPr>
    </w:p>
    <w:p w14:paraId="0000004B" w14:textId="77777777" w:rsidR="00EB7523" w:rsidRDefault="006738F4">
      <w:pPr>
        <w:spacing w:line="360" w:lineRule="auto"/>
        <w:ind w:right="531"/>
        <w:jc w:val="both"/>
        <w:rPr>
          <w:sz w:val="24"/>
          <w:szCs w:val="24"/>
        </w:rPr>
      </w:pPr>
      <w:r>
        <w:rPr>
          <w:sz w:val="24"/>
          <w:szCs w:val="24"/>
        </w:rPr>
        <w:t>Multi-agency public protection arrangements (MAPPA) were established to protect the public, from serious harm by sexual or vio</w:t>
      </w:r>
      <w:r>
        <w:rPr>
          <w:sz w:val="24"/>
          <w:szCs w:val="24"/>
        </w:rPr>
        <w:t>lent and other dangerous offenders (College of Policing, 2017). MAPPA is a crucial partnership approach between the police, probation, prison services and other relevant agencies to manage the risks posed by violent and sexual offenders living in the commu</w:t>
      </w:r>
      <w:r>
        <w:rPr>
          <w:sz w:val="24"/>
          <w:szCs w:val="24"/>
        </w:rPr>
        <w:t xml:space="preserve">nity. Public protection and preventing further harm to current and future victims is a primary purpose of MAPPA. Reoffending is often used to measure the effectiveness of MAPPA. The process involves identifying offenders who may be eligible for management </w:t>
      </w:r>
      <w:r>
        <w:rPr>
          <w:sz w:val="24"/>
          <w:szCs w:val="24"/>
        </w:rPr>
        <w:t xml:space="preserve">under MAPPA </w:t>
      </w:r>
      <w:proofErr w:type="gramStart"/>
      <w:r>
        <w:rPr>
          <w:sz w:val="24"/>
          <w:szCs w:val="24"/>
        </w:rPr>
        <w:t>as a consequence of</w:t>
      </w:r>
      <w:proofErr w:type="gramEnd"/>
      <w:r>
        <w:rPr>
          <w:sz w:val="24"/>
          <w:szCs w:val="24"/>
        </w:rPr>
        <w:t xml:space="preserve"> their caution or conviction and sentence. Offenders must qualify under one of three categories to be eligible which is assessed based on their offence and sentence. They are then managed under one of the three levels of the </w:t>
      </w:r>
      <w:r>
        <w:rPr>
          <w:sz w:val="24"/>
          <w:szCs w:val="24"/>
        </w:rPr>
        <w:t>MAPPA structure which is based on the type of agency involvement required, the amount of supervision and the demand of resources allocated for the risk management plan. The risk assessment outlines restrictive and rehabilitative interventions and orders wh</w:t>
      </w:r>
      <w:r>
        <w:rPr>
          <w:sz w:val="24"/>
          <w:szCs w:val="24"/>
        </w:rPr>
        <w:t>ich are requirements agreed by the relevant agencies aimed at reducing opportunities for harmful behaviour, limit offender’s activities and support them in programmes to develop appropriate skills and behaviours. The professional judgement of police office</w:t>
      </w:r>
      <w:r>
        <w:rPr>
          <w:sz w:val="24"/>
          <w:szCs w:val="24"/>
        </w:rPr>
        <w:t>rs and others involved in risk assessment is central to public protection.</w:t>
      </w:r>
    </w:p>
    <w:p w14:paraId="0000004C" w14:textId="77777777" w:rsidR="00EB7523" w:rsidRDefault="00EB7523">
      <w:pPr>
        <w:spacing w:line="360" w:lineRule="auto"/>
        <w:ind w:right="531"/>
        <w:jc w:val="both"/>
        <w:rPr>
          <w:sz w:val="24"/>
          <w:szCs w:val="24"/>
        </w:rPr>
      </w:pPr>
    </w:p>
    <w:p w14:paraId="0000004D" w14:textId="77777777" w:rsidR="00EB7523" w:rsidRDefault="006738F4">
      <w:pPr>
        <w:spacing w:line="360" w:lineRule="auto"/>
        <w:ind w:right="531"/>
        <w:jc w:val="both"/>
        <w:rPr>
          <w:sz w:val="24"/>
          <w:szCs w:val="24"/>
        </w:rPr>
      </w:pPr>
      <w:r>
        <w:rPr>
          <w:sz w:val="24"/>
          <w:szCs w:val="24"/>
        </w:rPr>
        <w:t xml:space="preserve">It is widely recognised that </w:t>
      </w:r>
      <w:proofErr w:type="gramStart"/>
      <w:r>
        <w:rPr>
          <w:sz w:val="24"/>
          <w:szCs w:val="24"/>
        </w:rPr>
        <w:t>in order for</w:t>
      </w:r>
      <w:proofErr w:type="gramEnd"/>
      <w:r>
        <w:rPr>
          <w:sz w:val="24"/>
          <w:szCs w:val="24"/>
        </w:rPr>
        <w:t xml:space="preserve"> MAPPA to be successful, it depends on factors such as “effective communication, information sharing, enhanced access to services, and rapi</w:t>
      </w:r>
      <w:r>
        <w:rPr>
          <w:sz w:val="24"/>
          <w:szCs w:val="24"/>
        </w:rPr>
        <w:t>d responses to escalating risk or deteriorating behaviour” (HMIP, 2021). This suggests that all agencies involved have a responsibility to establish strong connections with each other that allows for the effortless exchange of information so they can gathe</w:t>
      </w:r>
      <w:r>
        <w:rPr>
          <w:sz w:val="24"/>
          <w:szCs w:val="24"/>
        </w:rPr>
        <w:t xml:space="preserve">r the best possible intelligence to manage the offender efficiently. Moreover, it is recognised by Green et al (2013) that police practices for managing offenders </w:t>
      </w:r>
      <w:proofErr w:type="gramStart"/>
      <w:r>
        <w:rPr>
          <w:sz w:val="24"/>
          <w:szCs w:val="24"/>
        </w:rPr>
        <w:t>has</w:t>
      </w:r>
      <w:proofErr w:type="gramEnd"/>
      <w:r>
        <w:rPr>
          <w:sz w:val="24"/>
          <w:szCs w:val="24"/>
        </w:rPr>
        <w:t xml:space="preserve"> moved on from just ‘keeping an eye’ on known offenders in the community to new expectatio</w:t>
      </w:r>
      <w:r>
        <w:rPr>
          <w:sz w:val="24"/>
          <w:szCs w:val="24"/>
        </w:rPr>
        <w:t xml:space="preserve">ns that they are just as responsible as other community based agencies in ensuring risk is minimised. Officers should collect, </w:t>
      </w:r>
      <w:proofErr w:type="gramStart"/>
      <w:r>
        <w:rPr>
          <w:sz w:val="24"/>
          <w:szCs w:val="24"/>
        </w:rPr>
        <w:t>record</w:t>
      </w:r>
      <w:proofErr w:type="gramEnd"/>
      <w:r>
        <w:rPr>
          <w:sz w:val="24"/>
          <w:szCs w:val="24"/>
        </w:rPr>
        <w:t xml:space="preserve"> and share appropriate intelligence and bring it together with other agencies in order to establish “significant informatio</w:t>
      </w:r>
      <w:r>
        <w:rPr>
          <w:sz w:val="24"/>
          <w:szCs w:val="24"/>
        </w:rPr>
        <w:t xml:space="preserve">n about </w:t>
      </w:r>
      <w:r>
        <w:rPr>
          <w:sz w:val="24"/>
          <w:szCs w:val="24"/>
        </w:rPr>
        <w:lastRenderedPageBreak/>
        <w:t xml:space="preserve">patterns of offending; prevent and disrupt offending; and provide information to courts for the purposes of reaching verdicts, sentencing and issuing civil orders” (College of Policing, 2017). More specifically, the police under MAPPA have </w:t>
      </w:r>
      <w:proofErr w:type="gramStart"/>
      <w:r>
        <w:rPr>
          <w:sz w:val="24"/>
          <w:szCs w:val="24"/>
        </w:rPr>
        <w:t>a  statu</w:t>
      </w:r>
      <w:r>
        <w:rPr>
          <w:sz w:val="24"/>
          <w:szCs w:val="24"/>
        </w:rPr>
        <w:t>tory</w:t>
      </w:r>
      <w:proofErr w:type="gramEnd"/>
      <w:r>
        <w:rPr>
          <w:sz w:val="24"/>
          <w:szCs w:val="24"/>
        </w:rPr>
        <w:t xml:space="preserve"> responsibility to manage the notification requirements of sexual offenders.  Police management of sex offenders is a relatively new responsibility. They are now actively involved in assessing the risk they pose to others and attending home visits as w</w:t>
      </w:r>
      <w:r>
        <w:rPr>
          <w:sz w:val="24"/>
          <w:szCs w:val="24"/>
        </w:rPr>
        <w:t>ell as maintaining records and providing updates to support and enable the multi-agency management of offenders.</w:t>
      </w:r>
    </w:p>
    <w:p w14:paraId="0000004E" w14:textId="77777777" w:rsidR="00EB7523" w:rsidRDefault="00EB7523">
      <w:pPr>
        <w:spacing w:line="360" w:lineRule="auto"/>
        <w:ind w:right="531"/>
        <w:jc w:val="both"/>
        <w:rPr>
          <w:sz w:val="24"/>
          <w:szCs w:val="24"/>
        </w:rPr>
      </w:pPr>
    </w:p>
    <w:p w14:paraId="0000004F" w14:textId="77777777" w:rsidR="00EB7523" w:rsidRDefault="006738F4">
      <w:pPr>
        <w:spacing w:line="360" w:lineRule="auto"/>
        <w:ind w:right="531"/>
        <w:jc w:val="both"/>
        <w:rPr>
          <w:sz w:val="24"/>
          <w:szCs w:val="24"/>
        </w:rPr>
      </w:pPr>
      <w:r>
        <w:rPr>
          <w:sz w:val="24"/>
          <w:szCs w:val="24"/>
        </w:rPr>
        <w:t xml:space="preserve">There has been extensive research undertaken to examine MAPPA's capability in managing offenders and the effectiveness of current police practices. Pandya-Wood et al (2007) undertook research about the operation and experience of MAPPA and they discovered </w:t>
      </w:r>
      <w:r>
        <w:rPr>
          <w:sz w:val="24"/>
          <w:szCs w:val="24"/>
        </w:rPr>
        <w:t>that “offenders interviewed claimed to engage with programmes, and most reported them as beneficial in enabling them to think about risk factors, victim empathy and to self-report behaviour of concern”. This suggests that cooperation between agencies to sh</w:t>
      </w:r>
      <w:r>
        <w:rPr>
          <w:sz w:val="24"/>
          <w:szCs w:val="24"/>
        </w:rPr>
        <w:t xml:space="preserve">are intelligence and information about relevant services was apparent in these cases. Comprehensive risk assessment and management took place that initiated behavioural change of offenders through </w:t>
      </w:r>
      <w:proofErr w:type="spellStart"/>
      <w:r>
        <w:rPr>
          <w:sz w:val="24"/>
          <w:szCs w:val="24"/>
        </w:rPr>
        <w:t>self risk</w:t>
      </w:r>
      <w:proofErr w:type="spellEnd"/>
      <w:r>
        <w:rPr>
          <w:sz w:val="24"/>
          <w:szCs w:val="24"/>
        </w:rPr>
        <w:t xml:space="preserve"> management and recognition of accountability, thu</w:t>
      </w:r>
      <w:r>
        <w:rPr>
          <w:sz w:val="24"/>
          <w:szCs w:val="24"/>
        </w:rPr>
        <w:t xml:space="preserve">s achieving the primary aim of public protection. It was also recognised in Pandya-Wood et </w:t>
      </w:r>
      <w:proofErr w:type="spellStart"/>
      <w:r>
        <w:rPr>
          <w:sz w:val="24"/>
          <w:szCs w:val="24"/>
        </w:rPr>
        <w:t>al’s</w:t>
      </w:r>
      <w:proofErr w:type="spellEnd"/>
      <w:r>
        <w:rPr>
          <w:sz w:val="24"/>
          <w:szCs w:val="24"/>
        </w:rPr>
        <w:t xml:space="preserve"> (2007) research that offenders stated that “MAPPA effectiveness depended greatly on the relationship formed with supervision staff” which emphasises the importa</w:t>
      </w:r>
      <w:r>
        <w:rPr>
          <w:sz w:val="24"/>
          <w:szCs w:val="24"/>
        </w:rPr>
        <w:t>nce of effective communication, not just inter-agency, but with offenders too. Risk management demands the police and others to be easily contactable to allow offenders to not only discuss any restrictions and concerns they may have to prevent harm, but al</w:t>
      </w:r>
      <w:r>
        <w:rPr>
          <w:sz w:val="24"/>
          <w:szCs w:val="24"/>
        </w:rPr>
        <w:t xml:space="preserve">so to understand their progress to give them motivation to change. Given these findings, it could be argued that when inter-agency cooperation and active communication with offenders is established, reoffending is </w:t>
      </w:r>
      <w:proofErr w:type="gramStart"/>
      <w:r>
        <w:rPr>
          <w:sz w:val="24"/>
          <w:szCs w:val="24"/>
        </w:rPr>
        <w:t>minimised</w:t>
      </w:r>
      <w:proofErr w:type="gramEnd"/>
      <w:r>
        <w:rPr>
          <w:sz w:val="24"/>
          <w:szCs w:val="24"/>
        </w:rPr>
        <w:t xml:space="preserve"> and public protection is deliver</w:t>
      </w:r>
      <w:r>
        <w:rPr>
          <w:sz w:val="24"/>
          <w:szCs w:val="24"/>
        </w:rPr>
        <w:t xml:space="preserve">ed.  Moreover, the </w:t>
      </w:r>
      <w:proofErr w:type="spellStart"/>
      <w:r>
        <w:rPr>
          <w:sz w:val="24"/>
          <w:szCs w:val="24"/>
        </w:rPr>
        <w:t>MoJ</w:t>
      </w:r>
      <w:proofErr w:type="spellEnd"/>
      <w:r>
        <w:rPr>
          <w:sz w:val="24"/>
          <w:szCs w:val="24"/>
        </w:rPr>
        <w:t xml:space="preserve"> (2015) recognised that “reductions in reoffending for new MAPPA eligible offenders suggest that MAPPA may be making a positive contribution to managing offenders convicted of serious offences”. Thus, where reoffending is used to meas</w:t>
      </w:r>
      <w:r>
        <w:rPr>
          <w:sz w:val="24"/>
          <w:szCs w:val="24"/>
        </w:rPr>
        <w:t xml:space="preserve">ure the success of MAPPA, it can be said that it is an effective mechanism. </w:t>
      </w:r>
    </w:p>
    <w:p w14:paraId="00000050" w14:textId="77777777" w:rsidR="00EB7523" w:rsidRDefault="00EB7523">
      <w:pPr>
        <w:spacing w:line="360" w:lineRule="auto"/>
        <w:ind w:right="531"/>
        <w:jc w:val="both"/>
        <w:rPr>
          <w:sz w:val="24"/>
          <w:szCs w:val="24"/>
        </w:rPr>
      </w:pPr>
    </w:p>
    <w:p w14:paraId="00000051" w14:textId="77777777" w:rsidR="00EB7523" w:rsidRDefault="006738F4">
      <w:pPr>
        <w:spacing w:line="360" w:lineRule="auto"/>
        <w:ind w:right="531"/>
        <w:jc w:val="both"/>
        <w:rPr>
          <w:sz w:val="24"/>
          <w:szCs w:val="24"/>
        </w:rPr>
      </w:pPr>
      <w:r>
        <w:rPr>
          <w:sz w:val="24"/>
          <w:szCs w:val="24"/>
        </w:rPr>
        <w:t>Conversely, it should be acknowledged that MAPPA does have flaws. Poor information exchange between agencies has been identified, resulting in a lack of support for offenders and</w:t>
      </w:r>
      <w:r>
        <w:rPr>
          <w:sz w:val="24"/>
          <w:szCs w:val="24"/>
        </w:rPr>
        <w:t xml:space="preserve"> the ability to deliver public protection. To exemplify, Nash and Walker’s (2009, p.173) research revealed that “there remains problems not only with agencies traditionally viewed as resistant to sharing (health, social services) but also among the core me</w:t>
      </w:r>
      <w:r>
        <w:rPr>
          <w:sz w:val="24"/>
          <w:szCs w:val="24"/>
        </w:rPr>
        <w:t>mbers involved” which illustrates that developing strong connections is a challenge which can compromise the purpose of MAPPA. Exchanging information with police is critical so they can assist with appropriate community management of offenders and prioriti</w:t>
      </w:r>
      <w:r>
        <w:rPr>
          <w:sz w:val="24"/>
          <w:szCs w:val="24"/>
        </w:rPr>
        <w:t>se public protection. In instances where clear expectations for offenders are not made explicit and comprehensive arrangements are not determined, it can lead to reoffending. Additionally, there is also evidence to suggest that in some circumstances, reoff</w:t>
      </w:r>
      <w:r>
        <w:rPr>
          <w:sz w:val="24"/>
          <w:szCs w:val="24"/>
        </w:rPr>
        <w:t xml:space="preserve">ending is inevitable. HMIP (2011) recognises that “the risk presented by offenders can never be fully eliminated and, on occasions, offenders managed under MAPPA will commit, or attempt to commit, serious further offences”. When this does occur, a Serious </w:t>
      </w:r>
      <w:r>
        <w:rPr>
          <w:sz w:val="24"/>
          <w:szCs w:val="24"/>
        </w:rPr>
        <w:t>Case Review is occasionally triggered which examines whether the policies, processes and actions by all agencies involved were appropriate to manage the offender and prevent risk in the community. Improvements are identified and a plan is put into place to</w:t>
      </w:r>
      <w:r>
        <w:rPr>
          <w:sz w:val="24"/>
          <w:szCs w:val="24"/>
        </w:rPr>
        <w:t xml:space="preserve"> further develop the mechanism of MAPPA. To </w:t>
      </w:r>
      <w:proofErr w:type="gramStart"/>
      <w:r>
        <w:rPr>
          <w:sz w:val="24"/>
          <w:szCs w:val="24"/>
        </w:rPr>
        <w:t>demonstrate,  the</w:t>
      </w:r>
      <w:proofErr w:type="gramEnd"/>
      <w:r>
        <w:rPr>
          <w:sz w:val="24"/>
          <w:szCs w:val="24"/>
        </w:rPr>
        <w:t xml:space="preserve"> Police and Probation Inspectorate report into Managing sex offenders in the community (HMIP &amp; HMIC, 2005), identified a number of areas which were proving problematic for MAPPA, such as the dema</w:t>
      </w:r>
      <w:r>
        <w:rPr>
          <w:sz w:val="24"/>
          <w:szCs w:val="24"/>
        </w:rPr>
        <w:t xml:space="preserve">nd for accredited sex offender programmes exceeded supply, thus leading to risk management becoming hindered impacting on rehabilitation and public protection. </w:t>
      </w:r>
    </w:p>
    <w:p w14:paraId="00000052" w14:textId="77777777" w:rsidR="00EB7523" w:rsidRDefault="00EB7523">
      <w:pPr>
        <w:spacing w:line="360" w:lineRule="auto"/>
        <w:ind w:right="531"/>
        <w:jc w:val="both"/>
        <w:rPr>
          <w:sz w:val="24"/>
          <w:szCs w:val="24"/>
        </w:rPr>
      </w:pPr>
    </w:p>
    <w:p w14:paraId="00000053" w14:textId="77777777" w:rsidR="00EB7523" w:rsidRDefault="006738F4">
      <w:pPr>
        <w:spacing w:line="360" w:lineRule="auto"/>
        <w:ind w:right="531"/>
        <w:jc w:val="both"/>
        <w:rPr>
          <w:sz w:val="24"/>
          <w:szCs w:val="24"/>
        </w:rPr>
      </w:pPr>
      <w:r>
        <w:rPr>
          <w:sz w:val="24"/>
          <w:szCs w:val="24"/>
        </w:rPr>
        <w:t>To conclude, MAPPA is an effective programme that can successfully bring together the police w</w:t>
      </w:r>
      <w:r>
        <w:rPr>
          <w:sz w:val="24"/>
          <w:szCs w:val="24"/>
        </w:rPr>
        <w:t xml:space="preserve">ith other relevant agencies </w:t>
      </w:r>
      <w:proofErr w:type="gramStart"/>
      <w:r>
        <w:rPr>
          <w:sz w:val="24"/>
          <w:szCs w:val="24"/>
        </w:rPr>
        <w:t>in order to</w:t>
      </w:r>
      <w:proofErr w:type="gramEnd"/>
      <w:r>
        <w:rPr>
          <w:sz w:val="24"/>
          <w:szCs w:val="24"/>
        </w:rPr>
        <w:t xml:space="preserve"> manage offenders and promote public protection against violent and sexual offences whilst holding each other accountable. It allows them to organise and coordinate case activity as well as share information, resource</w:t>
      </w:r>
      <w:r>
        <w:rPr>
          <w:sz w:val="24"/>
          <w:szCs w:val="24"/>
        </w:rPr>
        <w:t xml:space="preserve">s and expertise that promotes behavioural changes of offenders towards self-risk management and victim empathy. However, although MAPPA has a strong foundation for managing offenders, </w:t>
      </w:r>
      <w:r>
        <w:rPr>
          <w:sz w:val="24"/>
          <w:szCs w:val="24"/>
        </w:rPr>
        <w:lastRenderedPageBreak/>
        <w:t xml:space="preserve">there are still gaps in arrangements for support as well as issues with </w:t>
      </w:r>
      <w:r>
        <w:rPr>
          <w:sz w:val="24"/>
          <w:szCs w:val="24"/>
        </w:rPr>
        <w:t xml:space="preserve">information exchange that impedes intervention strategies. </w:t>
      </w:r>
    </w:p>
    <w:p w14:paraId="00000054" w14:textId="77777777" w:rsidR="00EB7523" w:rsidRDefault="00EB7523">
      <w:pPr>
        <w:ind w:right="531"/>
        <w:jc w:val="both"/>
        <w:rPr>
          <w:sz w:val="24"/>
          <w:szCs w:val="24"/>
        </w:rPr>
      </w:pPr>
    </w:p>
    <w:p w14:paraId="00000055" w14:textId="77777777" w:rsidR="00EB7523" w:rsidRDefault="006738F4">
      <w:pPr>
        <w:ind w:right="531"/>
        <w:jc w:val="both"/>
        <w:rPr>
          <w:sz w:val="24"/>
          <w:szCs w:val="24"/>
        </w:rPr>
      </w:pPr>
      <w:r>
        <w:rPr>
          <w:sz w:val="24"/>
          <w:szCs w:val="24"/>
        </w:rPr>
        <w:t>Word Count: 1093</w:t>
      </w:r>
    </w:p>
    <w:p w14:paraId="00000056" w14:textId="77777777" w:rsidR="00EB7523" w:rsidRDefault="00EB7523">
      <w:pPr>
        <w:ind w:right="531"/>
        <w:jc w:val="both"/>
        <w:rPr>
          <w:sz w:val="24"/>
          <w:szCs w:val="24"/>
        </w:rPr>
      </w:pPr>
    </w:p>
    <w:p w14:paraId="00000057" w14:textId="77777777" w:rsidR="00EB7523" w:rsidRDefault="006738F4">
      <w:pPr>
        <w:ind w:right="531"/>
        <w:jc w:val="both"/>
        <w:rPr>
          <w:sz w:val="24"/>
          <w:szCs w:val="24"/>
        </w:rPr>
      </w:pPr>
      <w:r>
        <w:rPr>
          <w:sz w:val="24"/>
          <w:szCs w:val="24"/>
        </w:rPr>
        <w:t>Bibliography:</w:t>
      </w:r>
    </w:p>
    <w:p w14:paraId="00000058" w14:textId="77777777" w:rsidR="00EB7523" w:rsidRDefault="00EB7523">
      <w:pPr>
        <w:ind w:right="531"/>
        <w:jc w:val="both"/>
        <w:rPr>
          <w:sz w:val="24"/>
          <w:szCs w:val="24"/>
        </w:rPr>
      </w:pPr>
    </w:p>
    <w:p w14:paraId="00000059" w14:textId="77777777" w:rsidR="00EB7523" w:rsidRDefault="006738F4">
      <w:pPr>
        <w:ind w:right="531"/>
        <w:jc w:val="both"/>
        <w:rPr>
          <w:sz w:val="24"/>
          <w:szCs w:val="24"/>
        </w:rPr>
      </w:pPr>
      <w:r>
        <w:rPr>
          <w:sz w:val="24"/>
          <w:szCs w:val="24"/>
        </w:rPr>
        <w:t xml:space="preserve">College of Policing (2017) </w:t>
      </w:r>
      <w:r>
        <w:rPr>
          <w:i/>
          <w:sz w:val="24"/>
          <w:szCs w:val="24"/>
        </w:rPr>
        <w:t xml:space="preserve">Multi-agency public protection arrangements (MAPPA). </w:t>
      </w:r>
      <w:r>
        <w:rPr>
          <w:sz w:val="24"/>
          <w:szCs w:val="24"/>
        </w:rPr>
        <w:t xml:space="preserve">Available at: </w:t>
      </w:r>
      <w:hyperlink r:id="rId22">
        <w:r>
          <w:rPr>
            <w:color w:val="1155CC"/>
            <w:sz w:val="24"/>
            <w:szCs w:val="24"/>
            <w:u w:val="single"/>
          </w:rPr>
          <w:t>https://www.college.police.uk/app/major-investigation-and-public-protection/managing-sexual-offenders-and-violent-offenders/multi-a</w:t>
        </w:r>
        <w:r>
          <w:rPr>
            <w:color w:val="1155CC"/>
            <w:sz w:val="24"/>
            <w:szCs w:val="24"/>
            <w:u w:val="single"/>
          </w:rPr>
          <w:t>gency-public-protection-arrangements-mappa</w:t>
        </w:r>
      </w:hyperlink>
      <w:r>
        <w:rPr>
          <w:sz w:val="24"/>
          <w:szCs w:val="24"/>
        </w:rPr>
        <w:t xml:space="preserve"> (Accessed: 23rd October 2022). </w:t>
      </w:r>
    </w:p>
    <w:p w14:paraId="0000005A" w14:textId="77777777" w:rsidR="00EB7523" w:rsidRDefault="00EB7523">
      <w:pPr>
        <w:ind w:right="531"/>
        <w:jc w:val="both"/>
        <w:rPr>
          <w:sz w:val="24"/>
          <w:szCs w:val="24"/>
        </w:rPr>
      </w:pPr>
    </w:p>
    <w:p w14:paraId="0000005B" w14:textId="77777777" w:rsidR="00EB7523" w:rsidRDefault="006738F4">
      <w:pPr>
        <w:ind w:right="531"/>
        <w:jc w:val="both"/>
        <w:rPr>
          <w:sz w:val="24"/>
          <w:szCs w:val="24"/>
        </w:rPr>
      </w:pPr>
      <w:r>
        <w:rPr>
          <w:sz w:val="24"/>
          <w:szCs w:val="24"/>
        </w:rPr>
        <w:t xml:space="preserve">College of Policing (2017) </w:t>
      </w:r>
      <w:r>
        <w:rPr>
          <w:i/>
          <w:sz w:val="24"/>
          <w:szCs w:val="24"/>
        </w:rPr>
        <w:t xml:space="preserve">Introduction to managing sexual offenders and violent offenders. </w:t>
      </w:r>
      <w:r>
        <w:rPr>
          <w:sz w:val="24"/>
          <w:szCs w:val="24"/>
        </w:rPr>
        <w:t xml:space="preserve">Available at: </w:t>
      </w:r>
      <w:hyperlink r:id="rId23">
        <w:r>
          <w:rPr>
            <w:color w:val="1155CC"/>
            <w:sz w:val="24"/>
            <w:szCs w:val="24"/>
            <w:u w:val="single"/>
          </w:rPr>
          <w:t>https://www.college.police.uk/app/major-investigation-and-public-protection/managing-sexual-offenders-and-violent-offenders/in</w:t>
        </w:r>
        <w:r>
          <w:rPr>
            <w:color w:val="1155CC"/>
            <w:sz w:val="24"/>
            <w:szCs w:val="24"/>
            <w:u w:val="single"/>
          </w:rPr>
          <w:t>troduction-managing-sexual-offenders-and-violent-offenders</w:t>
        </w:r>
      </w:hyperlink>
      <w:r>
        <w:rPr>
          <w:sz w:val="24"/>
          <w:szCs w:val="24"/>
        </w:rPr>
        <w:t xml:space="preserve"> (Accessed: 24th October 2022). </w:t>
      </w:r>
    </w:p>
    <w:p w14:paraId="0000005C" w14:textId="77777777" w:rsidR="00EB7523" w:rsidRDefault="00EB7523">
      <w:pPr>
        <w:ind w:right="531"/>
        <w:jc w:val="both"/>
        <w:rPr>
          <w:sz w:val="24"/>
          <w:szCs w:val="24"/>
        </w:rPr>
      </w:pPr>
    </w:p>
    <w:p w14:paraId="0000005D" w14:textId="77777777" w:rsidR="00EB7523" w:rsidRDefault="006738F4">
      <w:pPr>
        <w:ind w:right="531"/>
        <w:jc w:val="both"/>
        <w:rPr>
          <w:sz w:val="24"/>
          <w:szCs w:val="24"/>
        </w:rPr>
      </w:pPr>
      <w:r>
        <w:rPr>
          <w:sz w:val="24"/>
          <w:szCs w:val="24"/>
        </w:rPr>
        <w:t xml:space="preserve">Green, S. Lancaster, E. </w:t>
      </w:r>
      <w:proofErr w:type="gramStart"/>
      <w:r>
        <w:rPr>
          <w:sz w:val="24"/>
          <w:szCs w:val="24"/>
        </w:rPr>
        <w:t xml:space="preserve">and  </w:t>
      </w:r>
      <w:proofErr w:type="spellStart"/>
      <w:r>
        <w:rPr>
          <w:sz w:val="24"/>
          <w:szCs w:val="24"/>
        </w:rPr>
        <w:t>Feasey</w:t>
      </w:r>
      <w:proofErr w:type="spellEnd"/>
      <w:proofErr w:type="gramEnd"/>
      <w:r>
        <w:rPr>
          <w:sz w:val="24"/>
          <w:szCs w:val="24"/>
        </w:rPr>
        <w:t xml:space="preserve">, S. (2013) </w:t>
      </w:r>
      <w:r>
        <w:rPr>
          <w:i/>
          <w:sz w:val="24"/>
          <w:szCs w:val="24"/>
        </w:rPr>
        <w:t xml:space="preserve">Addressing Offending Behaviour: Context, Practice and Value. </w:t>
      </w:r>
      <w:r>
        <w:rPr>
          <w:sz w:val="24"/>
          <w:szCs w:val="24"/>
        </w:rPr>
        <w:t xml:space="preserve">London: Taylor and Francis. </w:t>
      </w:r>
    </w:p>
    <w:p w14:paraId="0000005E" w14:textId="77777777" w:rsidR="00EB7523" w:rsidRDefault="00EB7523">
      <w:pPr>
        <w:ind w:right="531"/>
        <w:jc w:val="both"/>
        <w:rPr>
          <w:sz w:val="24"/>
          <w:szCs w:val="24"/>
        </w:rPr>
      </w:pPr>
    </w:p>
    <w:p w14:paraId="0000005F" w14:textId="77777777" w:rsidR="00EB7523" w:rsidRDefault="006738F4">
      <w:pPr>
        <w:ind w:right="531"/>
        <w:jc w:val="both"/>
        <w:rPr>
          <w:sz w:val="24"/>
          <w:szCs w:val="24"/>
        </w:rPr>
      </w:pPr>
      <w:r>
        <w:rPr>
          <w:sz w:val="24"/>
          <w:szCs w:val="24"/>
        </w:rPr>
        <w:t xml:space="preserve">HMIP and HMIC (2005) </w:t>
      </w:r>
      <w:r>
        <w:rPr>
          <w:i/>
          <w:color w:val="333333"/>
          <w:sz w:val="24"/>
          <w:szCs w:val="24"/>
          <w:shd w:val="clear" w:color="auto" w:fill="FCFCFC"/>
        </w:rPr>
        <w:t>Manag</w:t>
      </w:r>
      <w:r>
        <w:rPr>
          <w:i/>
          <w:color w:val="333333"/>
          <w:sz w:val="24"/>
          <w:szCs w:val="24"/>
          <w:shd w:val="clear" w:color="auto" w:fill="FCFCFC"/>
        </w:rPr>
        <w:t>ing sex offenders in the community: A joint inspection on sex offenders</w:t>
      </w:r>
      <w:r>
        <w:rPr>
          <w:color w:val="333333"/>
          <w:sz w:val="24"/>
          <w:szCs w:val="24"/>
          <w:shd w:val="clear" w:color="auto" w:fill="FCFCFC"/>
        </w:rPr>
        <w:t xml:space="preserve">. London: HMIP and HMIC. Available at: </w:t>
      </w:r>
      <w:hyperlink r:id="rId24">
        <w:r>
          <w:rPr>
            <w:color w:val="A345C9"/>
            <w:sz w:val="24"/>
            <w:szCs w:val="24"/>
            <w:u w:val="single"/>
            <w:shd w:val="clear" w:color="auto" w:fill="FCFCFC"/>
          </w:rPr>
          <w:t>http://www.hmcpsi.gov.uk</w:t>
        </w:r>
      </w:hyperlink>
      <w:r>
        <w:rPr>
          <w:color w:val="333333"/>
          <w:sz w:val="24"/>
          <w:szCs w:val="24"/>
          <w:shd w:val="clear" w:color="auto" w:fill="FCFCFC"/>
        </w:rPr>
        <w:t>/documents/reports/CJJI_THM/OFFM/jin_20051201.pdf (Accessed: 25 October 2022)</w:t>
      </w:r>
      <w:r>
        <w:rPr>
          <w:color w:val="333333"/>
          <w:sz w:val="24"/>
          <w:szCs w:val="24"/>
          <w:shd w:val="clear" w:color="auto" w:fill="FCFCFC"/>
        </w:rPr>
        <w:t>.</w:t>
      </w:r>
    </w:p>
    <w:p w14:paraId="00000060" w14:textId="77777777" w:rsidR="00EB7523" w:rsidRDefault="00EB7523">
      <w:pPr>
        <w:ind w:right="531"/>
        <w:jc w:val="both"/>
        <w:rPr>
          <w:sz w:val="24"/>
          <w:szCs w:val="24"/>
        </w:rPr>
      </w:pPr>
    </w:p>
    <w:p w14:paraId="00000061" w14:textId="77777777" w:rsidR="00EB7523" w:rsidRDefault="006738F4">
      <w:pPr>
        <w:ind w:right="531"/>
        <w:jc w:val="both"/>
        <w:rPr>
          <w:sz w:val="24"/>
          <w:szCs w:val="24"/>
        </w:rPr>
      </w:pPr>
      <w:r>
        <w:rPr>
          <w:sz w:val="24"/>
          <w:szCs w:val="24"/>
        </w:rPr>
        <w:t xml:space="preserve">HMIP (2011) </w:t>
      </w:r>
      <w:r>
        <w:rPr>
          <w:i/>
          <w:sz w:val="24"/>
          <w:szCs w:val="24"/>
        </w:rPr>
        <w:t xml:space="preserve">Thematic Inspection Report: Putting the pieces together </w:t>
      </w:r>
      <w:proofErr w:type="gramStart"/>
      <w:r>
        <w:rPr>
          <w:i/>
          <w:sz w:val="24"/>
          <w:szCs w:val="24"/>
        </w:rPr>
        <w:t>An</w:t>
      </w:r>
      <w:proofErr w:type="gramEnd"/>
      <w:r>
        <w:rPr>
          <w:i/>
          <w:sz w:val="24"/>
          <w:szCs w:val="24"/>
        </w:rPr>
        <w:t xml:space="preserve"> inspection of Multi-Agency Public Protection Arrangements. </w:t>
      </w:r>
      <w:r>
        <w:rPr>
          <w:sz w:val="24"/>
          <w:szCs w:val="24"/>
        </w:rPr>
        <w:t xml:space="preserve">Available at: </w:t>
      </w:r>
      <w:hyperlink r:id="rId25">
        <w:r>
          <w:rPr>
            <w:color w:val="1155CC"/>
            <w:sz w:val="24"/>
            <w:szCs w:val="24"/>
            <w:u w:val="single"/>
          </w:rPr>
          <w:t>https://www.justiceinspectorates.gov.uk/hmicfrs/media/Multi-agency-public-protection-arrangements.pdf</w:t>
        </w:r>
      </w:hyperlink>
      <w:r>
        <w:rPr>
          <w:sz w:val="24"/>
          <w:szCs w:val="24"/>
        </w:rPr>
        <w:t xml:space="preserve"> (Accessed: 25th October 2022). </w:t>
      </w:r>
    </w:p>
    <w:p w14:paraId="00000062" w14:textId="77777777" w:rsidR="00EB7523" w:rsidRDefault="00EB7523">
      <w:pPr>
        <w:ind w:right="531"/>
        <w:jc w:val="both"/>
        <w:rPr>
          <w:sz w:val="24"/>
          <w:szCs w:val="24"/>
        </w:rPr>
      </w:pPr>
    </w:p>
    <w:p w14:paraId="00000063" w14:textId="77777777" w:rsidR="00EB7523" w:rsidRDefault="006738F4">
      <w:pPr>
        <w:ind w:right="531"/>
        <w:jc w:val="both"/>
        <w:rPr>
          <w:sz w:val="24"/>
          <w:szCs w:val="24"/>
        </w:rPr>
      </w:pPr>
      <w:r>
        <w:rPr>
          <w:sz w:val="24"/>
          <w:szCs w:val="24"/>
        </w:rPr>
        <w:t>HM</w:t>
      </w:r>
      <w:r>
        <w:rPr>
          <w:sz w:val="24"/>
          <w:szCs w:val="24"/>
        </w:rPr>
        <w:t xml:space="preserve">IP (2021) </w:t>
      </w:r>
      <w:proofErr w:type="spellStart"/>
      <w:r>
        <w:rPr>
          <w:i/>
          <w:sz w:val="24"/>
          <w:szCs w:val="24"/>
        </w:rPr>
        <w:t>Mutil</w:t>
      </w:r>
      <w:proofErr w:type="spellEnd"/>
      <w:r>
        <w:rPr>
          <w:i/>
          <w:sz w:val="24"/>
          <w:szCs w:val="24"/>
        </w:rPr>
        <w:t xml:space="preserve">-agency public protection arrangements. </w:t>
      </w:r>
      <w:r>
        <w:rPr>
          <w:sz w:val="24"/>
          <w:szCs w:val="24"/>
        </w:rPr>
        <w:t xml:space="preserve">Available at: </w:t>
      </w:r>
      <w:hyperlink r:id="rId26">
        <w:r>
          <w:rPr>
            <w:color w:val="1155CC"/>
            <w:sz w:val="24"/>
            <w:szCs w:val="24"/>
            <w:u w:val="single"/>
          </w:rPr>
          <w:t>https://www.justiceinspectorates.gov.uk/hmip</w:t>
        </w:r>
        <w:r>
          <w:rPr>
            <w:color w:val="1155CC"/>
            <w:sz w:val="24"/>
            <w:szCs w:val="24"/>
            <w:u w:val="single"/>
          </w:rPr>
          <w:t>robation/research/the-evidence-base-probation/specific-types-of-delivery/mappa/</w:t>
        </w:r>
      </w:hyperlink>
      <w:r>
        <w:rPr>
          <w:sz w:val="24"/>
          <w:szCs w:val="24"/>
        </w:rPr>
        <w:t xml:space="preserve"> (Accessed: 23rd October 2022). </w:t>
      </w:r>
    </w:p>
    <w:p w14:paraId="00000064" w14:textId="77777777" w:rsidR="00EB7523" w:rsidRDefault="00EB7523">
      <w:pPr>
        <w:ind w:right="531"/>
        <w:jc w:val="both"/>
        <w:rPr>
          <w:sz w:val="24"/>
          <w:szCs w:val="24"/>
        </w:rPr>
      </w:pPr>
    </w:p>
    <w:p w14:paraId="00000065" w14:textId="77777777" w:rsidR="00EB7523" w:rsidRDefault="006738F4">
      <w:pPr>
        <w:ind w:right="531"/>
        <w:jc w:val="both"/>
        <w:rPr>
          <w:sz w:val="24"/>
          <w:szCs w:val="24"/>
        </w:rPr>
      </w:pPr>
      <w:r>
        <w:rPr>
          <w:sz w:val="24"/>
          <w:szCs w:val="24"/>
        </w:rPr>
        <w:t xml:space="preserve">Ministry of Justice (2015) </w:t>
      </w:r>
      <w:r>
        <w:rPr>
          <w:i/>
          <w:sz w:val="24"/>
          <w:szCs w:val="24"/>
        </w:rPr>
        <w:t xml:space="preserve">Reoffending Analysis of MAPPA Eligible Offenders. </w:t>
      </w:r>
      <w:r>
        <w:rPr>
          <w:sz w:val="24"/>
          <w:szCs w:val="24"/>
        </w:rPr>
        <w:t xml:space="preserve">Available at: </w:t>
      </w:r>
      <w:hyperlink r:id="rId27">
        <w:r>
          <w:rPr>
            <w:color w:val="1155CC"/>
            <w:sz w:val="24"/>
            <w:szCs w:val="24"/>
            <w:u w:val="single"/>
          </w:rPr>
          <w:t>https://assets.publishing.service.gov.uk/government/uploads/system/uploads/attachment_data/file/407139/reoffending-analysis-of-mappa-</w:t>
        </w:r>
        <w:r>
          <w:rPr>
            <w:color w:val="1155CC"/>
            <w:sz w:val="24"/>
            <w:szCs w:val="24"/>
            <w:u w:val="single"/>
          </w:rPr>
          <w:t>eligible-offenders.pdf</w:t>
        </w:r>
      </w:hyperlink>
      <w:r>
        <w:rPr>
          <w:sz w:val="24"/>
          <w:szCs w:val="24"/>
        </w:rPr>
        <w:t xml:space="preserve"> (Accessed: 24th October 2022). </w:t>
      </w:r>
    </w:p>
    <w:p w14:paraId="00000066" w14:textId="77777777" w:rsidR="00EB7523" w:rsidRDefault="00EB7523">
      <w:pPr>
        <w:ind w:right="531"/>
        <w:jc w:val="both"/>
        <w:rPr>
          <w:sz w:val="24"/>
          <w:szCs w:val="24"/>
        </w:rPr>
      </w:pPr>
    </w:p>
    <w:p w14:paraId="00000067" w14:textId="77777777" w:rsidR="00EB7523" w:rsidRDefault="006738F4">
      <w:pPr>
        <w:ind w:right="531"/>
        <w:jc w:val="both"/>
        <w:rPr>
          <w:sz w:val="24"/>
          <w:szCs w:val="24"/>
        </w:rPr>
      </w:pPr>
      <w:r>
        <w:rPr>
          <w:sz w:val="24"/>
          <w:szCs w:val="24"/>
        </w:rPr>
        <w:lastRenderedPageBreak/>
        <w:t>Nash, M. and Walker, L. (2009) ‘</w:t>
      </w:r>
      <w:proofErr w:type="spellStart"/>
      <w:r>
        <w:rPr>
          <w:color w:val="2A2A2A"/>
          <w:sz w:val="24"/>
          <w:szCs w:val="24"/>
          <w:highlight w:val="white"/>
        </w:rPr>
        <w:t>Map</w:t>
      </w:r>
      <w:r>
        <w:rPr>
          <w:sz w:val="24"/>
          <w:szCs w:val="24"/>
          <w:highlight w:val="white"/>
        </w:rPr>
        <w:t>pa</w:t>
      </w:r>
      <w:proofErr w:type="spellEnd"/>
      <w:r>
        <w:rPr>
          <w:sz w:val="24"/>
          <w:szCs w:val="24"/>
          <w:highlight w:val="white"/>
        </w:rPr>
        <w:t xml:space="preserve">—Is Closer Collaboration Really the Key to Effectiveness?’, </w:t>
      </w:r>
      <w:r>
        <w:rPr>
          <w:i/>
          <w:sz w:val="24"/>
          <w:szCs w:val="24"/>
          <w:highlight w:val="white"/>
        </w:rPr>
        <w:t>Policing: A Journal of Policy and Practice</w:t>
      </w:r>
      <w:r>
        <w:rPr>
          <w:sz w:val="24"/>
          <w:szCs w:val="24"/>
          <w:highlight w:val="white"/>
        </w:rPr>
        <w:t xml:space="preserve">, 3(2), pp. 172–180, DOI: </w:t>
      </w:r>
      <w:hyperlink r:id="rId28">
        <w:r>
          <w:rPr>
            <w:sz w:val="24"/>
            <w:szCs w:val="24"/>
            <w:highlight w:val="white"/>
          </w:rPr>
          <w:t>https://doi.org/10.1093/police/pap007</w:t>
        </w:r>
      </w:hyperlink>
    </w:p>
    <w:p w14:paraId="00000068" w14:textId="77777777" w:rsidR="00EB7523" w:rsidRDefault="00EB7523">
      <w:pPr>
        <w:ind w:right="531"/>
        <w:jc w:val="both"/>
        <w:rPr>
          <w:sz w:val="24"/>
          <w:szCs w:val="24"/>
        </w:rPr>
      </w:pPr>
    </w:p>
    <w:p w14:paraId="00000069" w14:textId="77777777" w:rsidR="00EB7523" w:rsidRDefault="006738F4">
      <w:pPr>
        <w:ind w:right="531"/>
        <w:jc w:val="both"/>
        <w:rPr>
          <w:sz w:val="24"/>
          <w:szCs w:val="24"/>
        </w:rPr>
      </w:pPr>
      <w:r>
        <w:rPr>
          <w:sz w:val="24"/>
          <w:szCs w:val="24"/>
        </w:rPr>
        <w:t xml:space="preserve">Pandya-Wood, J. </w:t>
      </w:r>
      <w:proofErr w:type="spellStart"/>
      <w:r>
        <w:rPr>
          <w:sz w:val="24"/>
          <w:szCs w:val="24"/>
        </w:rPr>
        <w:t>Kemshall</w:t>
      </w:r>
      <w:proofErr w:type="spellEnd"/>
      <w:r>
        <w:rPr>
          <w:sz w:val="24"/>
          <w:szCs w:val="24"/>
        </w:rPr>
        <w:t xml:space="preserve">, H. Maguire, M. and Hudson, K. (2007) </w:t>
      </w:r>
      <w:r>
        <w:rPr>
          <w:i/>
          <w:sz w:val="24"/>
          <w:szCs w:val="24"/>
        </w:rPr>
        <w:t xml:space="preserve">The Operation and Experience of Multi-Agency Public Protection Arrangements (MAPPA). </w:t>
      </w:r>
      <w:r>
        <w:rPr>
          <w:sz w:val="24"/>
          <w:szCs w:val="24"/>
        </w:rPr>
        <w:t xml:space="preserve">Available at: </w:t>
      </w:r>
      <w:hyperlink r:id="rId29">
        <w:r>
          <w:rPr>
            <w:color w:val="1155CC"/>
            <w:sz w:val="24"/>
            <w:szCs w:val="24"/>
            <w:u w:val="single"/>
          </w:rPr>
          <w:t>https://www.researchgate.net/publication/228879448_The_Operation_and_Experience_of_Multi-Agency_Public_Protection_Arrangements_MAPPA</w:t>
        </w:r>
      </w:hyperlink>
      <w:r>
        <w:rPr>
          <w:sz w:val="24"/>
          <w:szCs w:val="24"/>
        </w:rPr>
        <w:t xml:space="preserve"> (Acc</w:t>
      </w:r>
      <w:r>
        <w:rPr>
          <w:sz w:val="24"/>
          <w:szCs w:val="24"/>
        </w:rPr>
        <w:t xml:space="preserve">essed: 24th October 2022). </w:t>
      </w:r>
    </w:p>
    <w:p w14:paraId="0000006A" w14:textId="77777777" w:rsidR="00EB7523" w:rsidRDefault="00EB7523">
      <w:pPr>
        <w:ind w:right="531"/>
        <w:jc w:val="both"/>
        <w:rPr>
          <w:sz w:val="24"/>
          <w:szCs w:val="24"/>
        </w:rPr>
      </w:pPr>
    </w:p>
    <w:p w14:paraId="0000006B" w14:textId="77777777" w:rsidR="00EB7523" w:rsidRDefault="00EB7523">
      <w:pPr>
        <w:ind w:right="531"/>
        <w:jc w:val="both"/>
        <w:rPr>
          <w:sz w:val="24"/>
          <w:szCs w:val="24"/>
        </w:rPr>
      </w:pPr>
    </w:p>
    <w:p w14:paraId="0000006C" w14:textId="77777777" w:rsidR="00EB7523" w:rsidRDefault="006738F4">
      <w:pPr>
        <w:ind w:right="531"/>
        <w:rPr>
          <w:sz w:val="24"/>
          <w:szCs w:val="24"/>
        </w:rPr>
      </w:pPr>
      <w:r>
        <w:rPr>
          <w:sz w:val="24"/>
          <w:szCs w:val="24"/>
        </w:rPr>
        <w:t xml:space="preserve">Question 4: </w:t>
      </w:r>
      <w:r>
        <w:rPr>
          <w:sz w:val="24"/>
          <w:szCs w:val="24"/>
          <w:u w:val="single"/>
        </w:rPr>
        <w:t>Critically evaluate</w:t>
      </w:r>
      <w:r>
        <w:rPr>
          <w:sz w:val="24"/>
          <w:szCs w:val="24"/>
        </w:rPr>
        <w:t xml:space="preserve"> the impact of early intervention on young offenders, and young people at risk of becoming involved in gangs. </w:t>
      </w:r>
      <w:r>
        <w:rPr>
          <w:sz w:val="24"/>
          <w:szCs w:val="24"/>
          <w:u w:val="single"/>
        </w:rPr>
        <w:t>Assess</w:t>
      </w:r>
      <w:r>
        <w:rPr>
          <w:sz w:val="24"/>
          <w:szCs w:val="24"/>
        </w:rPr>
        <w:t xml:space="preserve"> the effectiveness of partnership approaches to prevent or deter involvement in gang-related activity.</w:t>
      </w:r>
    </w:p>
    <w:p w14:paraId="0000006D" w14:textId="77777777" w:rsidR="00EB7523" w:rsidRDefault="00EB7523">
      <w:pPr>
        <w:ind w:right="531"/>
        <w:rPr>
          <w:color w:val="0000FF"/>
        </w:rPr>
      </w:pPr>
    </w:p>
    <w:p w14:paraId="0000006E" w14:textId="77777777" w:rsidR="00EB7523" w:rsidRDefault="006738F4">
      <w:pPr>
        <w:spacing w:line="360" w:lineRule="auto"/>
        <w:jc w:val="both"/>
        <w:rPr>
          <w:sz w:val="24"/>
          <w:szCs w:val="24"/>
        </w:rPr>
      </w:pPr>
      <w:r>
        <w:rPr>
          <w:sz w:val="24"/>
          <w:szCs w:val="24"/>
        </w:rPr>
        <w:t>The term Gang is essentially another</w:t>
      </w:r>
      <w:r>
        <w:rPr>
          <w:sz w:val="24"/>
          <w:szCs w:val="24"/>
        </w:rPr>
        <w:t xml:space="preserve"> term used for group offending. A gang needs to recruit members </w:t>
      </w:r>
      <w:proofErr w:type="gramStart"/>
      <w:r>
        <w:rPr>
          <w:sz w:val="24"/>
          <w:szCs w:val="24"/>
        </w:rPr>
        <w:t>in order to</w:t>
      </w:r>
      <w:proofErr w:type="gramEnd"/>
      <w:r>
        <w:rPr>
          <w:sz w:val="24"/>
          <w:szCs w:val="24"/>
        </w:rPr>
        <w:t xml:space="preserve"> strengthen their identity and make them established in society. There are </w:t>
      </w:r>
      <w:proofErr w:type="gramStart"/>
      <w:r>
        <w:rPr>
          <w:sz w:val="24"/>
          <w:szCs w:val="24"/>
        </w:rPr>
        <w:t>a number of</w:t>
      </w:r>
      <w:proofErr w:type="gramEnd"/>
      <w:r>
        <w:rPr>
          <w:sz w:val="24"/>
          <w:szCs w:val="24"/>
        </w:rPr>
        <w:t xml:space="preserve"> risk factors that increase the likelihood of a Young Person (YP) joining a gang. Risk factors </w:t>
      </w:r>
      <w:r>
        <w:rPr>
          <w:sz w:val="24"/>
          <w:szCs w:val="24"/>
        </w:rPr>
        <w:t>are recognised at individual level (aggressiveness) to the peer (delinquent siblings), school (academic failure), and community levels (poverty) (McDaniel, 2012, p.254). The presence of these risk factors in combination with YP’s inadequate support network</w:t>
      </w:r>
      <w:r>
        <w:rPr>
          <w:sz w:val="24"/>
          <w:szCs w:val="24"/>
        </w:rPr>
        <w:t xml:space="preserve"> can result in gang involvement. Gangs offer members friendship, identity development, esteem, access to financial assets (Goldstein, 2002, p.86), alleviation of fear, emotional bonding, and protection from outsiders (Vigil, 1988, p.168), thus providing a </w:t>
      </w:r>
      <w:r>
        <w:rPr>
          <w:sz w:val="24"/>
          <w:szCs w:val="24"/>
        </w:rPr>
        <w:t xml:space="preserve">YP with a sense of belonging, purpose and protection that is absent in their life. Gang recruitment is often regarded as an easy task which emphasises the need for effective intervention and prevention strategies. </w:t>
      </w:r>
    </w:p>
    <w:p w14:paraId="0000006F" w14:textId="77777777" w:rsidR="00EB7523" w:rsidRDefault="00EB7523">
      <w:pPr>
        <w:spacing w:line="360" w:lineRule="auto"/>
        <w:jc w:val="both"/>
        <w:rPr>
          <w:sz w:val="24"/>
          <w:szCs w:val="24"/>
        </w:rPr>
      </w:pPr>
    </w:p>
    <w:p w14:paraId="00000070" w14:textId="77777777" w:rsidR="00EB7523" w:rsidRDefault="006738F4">
      <w:pPr>
        <w:spacing w:line="360" w:lineRule="auto"/>
        <w:jc w:val="both"/>
        <w:rPr>
          <w:sz w:val="24"/>
          <w:szCs w:val="24"/>
        </w:rPr>
      </w:pPr>
      <w:r>
        <w:rPr>
          <w:sz w:val="24"/>
          <w:szCs w:val="24"/>
        </w:rPr>
        <w:t>Early intervention for YP at risk of bec</w:t>
      </w:r>
      <w:r>
        <w:rPr>
          <w:sz w:val="24"/>
          <w:szCs w:val="24"/>
        </w:rPr>
        <w:t>oming involved in gangs is considered integral. It is especially critical for those who experience a greater number of risk factors. The logic behind minimising the risk of YP becoming involved in gangs is not only through intervention that targets risk fa</w:t>
      </w:r>
      <w:r>
        <w:rPr>
          <w:sz w:val="24"/>
          <w:szCs w:val="24"/>
        </w:rPr>
        <w:t>ctors, but a programme that also promotes protective factors to reduce engagement. Protective factors are regarded as “a characteristic at the biological, psychological, family, or community (including peers and culture) level that is associated with a low</w:t>
      </w:r>
      <w:r>
        <w:rPr>
          <w:sz w:val="24"/>
          <w:szCs w:val="24"/>
        </w:rPr>
        <w:t xml:space="preserve">er likelihood of problem outcomes or that reduces the </w:t>
      </w:r>
      <w:r>
        <w:rPr>
          <w:sz w:val="24"/>
          <w:szCs w:val="24"/>
        </w:rPr>
        <w:lastRenderedPageBreak/>
        <w:t xml:space="preserve">negative impact of a risk factor on problem outcomes” (O’Connell et al, 2009, p.27). Protective factors </w:t>
      </w:r>
      <w:proofErr w:type="gramStart"/>
      <w:r>
        <w:rPr>
          <w:sz w:val="24"/>
          <w:szCs w:val="24"/>
        </w:rPr>
        <w:t>include:</w:t>
      </w:r>
      <w:proofErr w:type="gramEnd"/>
      <w:r>
        <w:rPr>
          <w:sz w:val="24"/>
          <w:szCs w:val="24"/>
        </w:rPr>
        <w:t xml:space="preserve"> academic achievement; engagement in sports; supportive relationships; and clear expectati</w:t>
      </w:r>
      <w:r>
        <w:rPr>
          <w:sz w:val="24"/>
          <w:szCs w:val="24"/>
        </w:rPr>
        <w:t xml:space="preserve">ons of behaviour. A partnership approach is regarded as fundamental in early intervention of gang involvement. Collaboration between police, social services, </w:t>
      </w:r>
      <w:proofErr w:type="gramStart"/>
      <w:r>
        <w:rPr>
          <w:sz w:val="24"/>
          <w:szCs w:val="24"/>
        </w:rPr>
        <w:t>education</w:t>
      </w:r>
      <w:proofErr w:type="gramEnd"/>
      <w:r>
        <w:rPr>
          <w:sz w:val="24"/>
          <w:szCs w:val="24"/>
        </w:rPr>
        <w:t xml:space="preserve"> and local communities can encourage investment in community strategies and generate fund</w:t>
      </w:r>
      <w:r>
        <w:rPr>
          <w:sz w:val="24"/>
          <w:szCs w:val="24"/>
        </w:rPr>
        <w:t xml:space="preserve">ing that gives YP access to useful resources, supportive staff and attractive programmes to deter involvement. </w:t>
      </w:r>
    </w:p>
    <w:p w14:paraId="00000071" w14:textId="77777777" w:rsidR="00EB7523" w:rsidRDefault="00EB7523">
      <w:pPr>
        <w:spacing w:line="360" w:lineRule="auto"/>
        <w:jc w:val="both"/>
        <w:rPr>
          <w:sz w:val="24"/>
          <w:szCs w:val="24"/>
        </w:rPr>
      </w:pPr>
    </w:p>
    <w:p w14:paraId="00000072" w14:textId="77777777" w:rsidR="00EB7523" w:rsidRDefault="006738F4">
      <w:pPr>
        <w:spacing w:line="360" w:lineRule="auto"/>
        <w:jc w:val="both"/>
        <w:rPr>
          <w:sz w:val="24"/>
          <w:szCs w:val="24"/>
        </w:rPr>
      </w:pPr>
      <w:r>
        <w:rPr>
          <w:sz w:val="24"/>
          <w:szCs w:val="24"/>
        </w:rPr>
        <w:t>Nevertheless, it is equally important to acknowledge that early intervention can have a significant impact on a YP’s emotional wellbeing as wel</w:t>
      </w:r>
      <w:r>
        <w:rPr>
          <w:sz w:val="24"/>
          <w:szCs w:val="24"/>
        </w:rPr>
        <w:t>l as put them at a higher risk of danger. YP may feel that they only have two options when faced with gang recruitment, either to join the gang or be a victim (Lassiter and Perry, 2009, p.91). For some, joining a gang is choosing safety as they feel they h</w:t>
      </w:r>
      <w:r>
        <w:rPr>
          <w:sz w:val="24"/>
          <w:szCs w:val="24"/>
        </w:rPr>
        <w:t>ave no alternative and do not have the support around them to help them believe otherwise. They may feel peer pressured and have a fear of exclusion or have no role model or mentor to turn to. It is not easy to simply just walk away. This strategy can be s</w:t>
      </w:r>
      <w:r>
        <w:rPr>
          <w:sz w:val="24"/>
          <w:szCs w:val="24"/>
        </w:rPr>
        <w:t xml:space="preserve">een as a sign of weakness and </w:t>
      </w:r>
      <w:proofErr w:type="gramStart"/>
      <w:r>
        <w:rPr>
          <w:sz w:val="24"/>
          <w:szCs w:val="24"/>
        </w:rPr>
        <w:t>expose  a</w:t>
      </w:r>
      <w:proofErr w:type="gramEnd"/>
      <w:r>
        <w:rPr>
          <w:sz w:val="24"/>
          <w:szCs w:val="24"/>
        </w:rPr>
        <w:t xml:space="preserve"> YP’s vulnerability, potentially leading them to being seen as an easy target to victimise, thus negatively impacting an individual’s mental health. Early intervention needs to be encompassed by extensive access to re</w:t>
      </w:r>
      <w:r>
        <w:rPr>
          <w:sz w:val="24"/>
          <w:szCs w:val="24"/>
        </w:rPr>
        <w:t>sources and mentors that can support a YP and not leave them further exposed. Moreover, Martin (2005, p.335) also recognises that early intervention can be detrimental as “recruitment can be a matter of survival because being an “outsider” in a gang infest</w:t>
      </w:r>
      <w:r>
        <w:rPr>
          <w:sz w:val="24"/>
          <w:szCs w:val="24"/>
        </w:rPr>
        <w:t xml:space="preserve">ed community can be dangerous” which highlights further the need to ensure that prevention programmes manage risk appropriately and are able to safeguard those who are vulnerable. </w:t>
      </w:r>
    </w:p>
    <w:p w14:paraId="00000073" w14:textId="77777777" w:rsidR="00EB7523" w:rsidRDefault="00EB7523">
      <w:pPr>
        <w:spacing w:line="360" w:lineRule="auto"/>
        <w:jc w:val="both"/>
        <w:rPr>
          <w:sz w:val="24"/>
          <w:szCs w:val="24"/>
        </w:rPr>
      </w:pPr>
    </w:p>
    <w:p w14:paraId="00000074" w14:textId="77777777" w:rsidR="00EB7523" w:rsidRDefault="006738F4">
      <w:pPr>
        <w:spacing w:line="360" w:lineRule="auto"/>
        <w:jc w:val="both"/>
        <w:rPr>
          <w:sz w:val="24"/>
          <w:szCs w:val="24"/>
        </w:rPr>
      </w:pPr>
      <w:r>
        <w:rPr>
          <w:sz w:val="24"/>
          <w:szCs w:val="24"/>
        </w:rPr>
        <w:t>A partnership approach is often considered as effective in preventing invo</w:t>
      </w:r>
      <w:r>
        <w:rPr>
          <w:sz w:val="24"/>
          <w:szCs w:val="24"/>
        </w:rPr>
        <w:t>lvement in gang related activity. More specifically, education establishment partnerships are seen as critical in deterring involvement in gangs due the fact that YP are of school age. Education Partnerships are an important means for police as it allows t</w:t>
      </w:r>
      <w:r>
        <w:rPr>
          <w:sz w:val="24"/>
          <w:szCs w:val="24"/>
        </w:rPr>
        <w:t>hem to “work with the senior leadership teams in respect of particular children and highlight issues of concern in the community” with the additional fact that the partnership has the scope to support schools in “ensuring the school is a safe place for the</w:t>
      </w:r>
      <w:r>
        <w:rPr>
          <w:sz w:val="24"/>
          <w:szCs w:val="24"/>
        </w:rPr>
        <w:t xml:space="preserve">ir students” (Home Office, 2018). Providing support to children whilst they are at school, can help protect those at risk of exploitation early on as early signs of risk factors can be identified and </w:t>
      </w:r>
      <w:r>
        <w:rPr>
          <w:sz w:val="24"/>
          <w:szCs w:val="24"/>
        </w:rPr>
        <w:lastRenderedPageBreak/>
        <w:t>through a partnership approach, engage relevant agencies</w:t>
      </w:r>
      <w:r>
        <w:rPr>
          <w:sz w:val="24"/>
          <w:szCs w:val="24"/>
        </w:rPr>
        <w:t xml:space="preserve"> to put preventative measures in place, thus avoiding the problems escalating. Timely interventions can support positive alternatives for YP as well as build resilience. Conversely, it must be acknowledged that education partnerships are not always effecti</w:t>
      </w:r>
      <w:r>
        <w:rPr>
          <w:sz w:val="24"/>
          <w:szCs w:val="24"/>
        </w:rPr>
        <w:t>ve as one of the risk factors that results in gang involvement is low attachment and absenteeism from school. Therefore, education partnership and its ability to be a success in deterring gang involvement is flawed, especially for those YP already involved</w:t>
      </w:r>
      <w:r>
        <w:rPr>
          <w:sz w:val="24"/>
          <w:szCs w:val="24"/>
        </w:rPr>
        <w:t xml:space="preserve"> in gang activity. </w:t>
      </w:r>
    </w:p>
    <w:p w14:paraId="00000075" w14:textId="77777777" w:rsidR="00EB7523" w:rsidRDefault="00EB7523">
      <w:pPr>
        <w:spacing w:line="360" w:lineRule="auto"/>
        <w:jc w:val="both"/>
        <w:rPr>
          <w:sz w:val="24"/>
          <w:szCs w:val="24"/>
        </w:rPr>
      </w:pPr>
    </w:p>
    <w:p w14:paraId="00000076" w14:textId="77777777" w:rsidR="00EB7523" w:rsidRDefault="006738F4">
      <w:pPr>
        <w:spacing w:line="360" w:lineRule="auto"/>
        <w:jc w:val="both"/>
        <w:rPr>
          <w:sz w:val="24"/>
          <w:szCs w:val="24"/>
        </w:rPr>
      </w:pPr>
      <w:r>
        <w:rPr>
          <w:sz w:val="24"/>
          <w:szCs w:val="24"/>
        </w:rPr>
        <w:t>To further illustrate how a partnership approach is effective, initiatives around sports programmes should be considered. This initiative tends to be received well, resulting in a lot of funding and investments from the Government comb</w:t>
      </w:r>
      <w:r>
        <w:rPr>
          <w:sz w:val="24"/>
          <w:szCs w:val="24"/>
        </w:rPr>
        <w:t xml:space="preserve">ined with support from local charities and sports clubs. Agencies including the police, schools and social services refer YP to these programmes of activities </w:t>
      </w:r>
      <w:proofErr w:type="gramStart"/>
      <w:r>
        <w:rPr>
          <w:sz w:val="24"/>
          <w:szCs w:val="24"/>
        </w:rPr>
        <w:t>in order to</w:t>
      </w:r>
      <w:proofErr w:type="gramEnd"/>
      <w:r>
        <w:rPr>
          <w:sz w:val="24"/>
          <w:szCs w:val="24"/>
        </w:rPr>
        <w:t xml:space="preserve"> identify, divert and safeguard YP at risk of criminal exploitation. Sport </w:t>
      </w:r>
      <w:proofErr w:type="gramStart"/>
      <w:r>
        <w:rPr>
          <w:sz w:val="24"/>
          <w:szCs w:val="24"/>
        </w:rPr>
        <w:t>has the abi</w:t>
      </w:r>
      <w:r>
        <w:rPr>
          <w:sz w:val="24"/>
          <w:szCs w:val="24"/>
        </w:rPr>
        <w:t>lity to</w:t>
      </w:r>
      <w:proofErr w:type="gramEnd"/>
      <w:r>
        <w:rPr>
          <w:sz w:val="24"/>
          <w:szCs w:val="24"/>
        </w:rPr>
        <w:t xml:space="preserve"> engage YP at crucial times, dismantle negative peer groups, and provide non-conventional classroom-based education to those who are currently disengaged (Sampson, 2015). More specifically, participation in boxing is often encouraged as it </w:t>
      </w:r>
      <w:proofErr w:type="gramStart"/>
      <w:r>
        <w:rPr>
          <w:sz w:val="24"/>
          <w:szCs w:val="24"/>
        </w:rPr>
        <w:t>has the a</w:t>
      </w:r>
      <w:r>
        <w:rPr>
          <w:sz w:val="24"/>
          <w:szCs w:val="24"/>
        </w:rPr>
        <w:t>bility to</w:t>
      </w:r>
      <w:proofErr w:type="gramEnd"/>
      <w:r>
        <w:rPr>
          <w:sz w:val="24"/>
          <w:szCs w:val="24"/>
        </w:rPr>
        <w:t xml:space="preserve"> utilise risk factors characteristics such as aggressiveness and low </w:t>
      </w:r>
      <w:proofErr w:type="spellStart"/>
      <w:r>
        <w:rPr>
          <w:sz w:val="24"/>
          <w:szCs w:val="24"/>
        </w:rPr>
        <w:t>self esteem</w:t>
      </w:r>
      <w:proofErr w:type="spellEnd"/>
      <w:r>
        <w:rPr>
          <w:sz w:val="24"/>
          <w:szCs w:val="24"/>
        </w:rPr>
        <w:t xml:space="preserve"> to build </w:t>
      </w:r>
      <w:proofErr w:type="spellStart"/>
      <w:r>
        <w:rPr>
          <w:sz w:val="24"/>
          <w:szCs w:val="24"/>
        </w:rPr>
        <w:t>self control</w:t>
      </w:r>
      <w:proofErr w:type="spellEnd"/>
      <w:r>
        <w:rPr>
          <w:sz w:val="24"/>
          <w:szCs w:val="24"/>
        </w:rPr>
        <w:t xml:space="preserve"> and resilience. Boxing is also associated with having a coach who can act as a role model and discipliner for a YP, effectively deterring them f</w:t>
      </w:r>
      <w:r>
        <w:rPr>
          <w:sz w:val="24"/>
          <w:szCs w:val="24"/>
        </w:rPr>
        <w:t xml:space="preserve">rom gang involvement. On the contrary, the effectiveness of sports in preventing gang involvement has come under scrutiny, especially for a sport like boxing. </w:t>
      </w:r>
      <w:proofErr w:type="spellStart"/>
      <w:r>
        <w:rPr>
          <w:sz w:val="24"/>
          <w:szCs w:val="24"/>
        </w:rPr>
        <w:t>Maruna</w:t>
      </w:r>
      <w:proofErr w:type="spellEnd"/>
      <w:r>
        <w:rPr>
          <w:sz w:val="24"/>
          <w:szCs w:val="24"/>
        </w:rPr>
        <w:t xml:space="preserve"> (2001, p.17) recognises that “the identity of a boxer places violence and retaliation as c</w:t>
      </w:r>
      <w:r>
        <w:rPr>
          <w:sz w:val="24"/>
          <w:szCs w:val="24"/>
        </w:rPr>
        <w:t xml:space="preserve">entral to the concept of self” which threatens its effectiveness as it can be seen as encouraging violent behaviour and YP may exploit the behaviours and skills they learn in the wider community. </w:t>
      </w:r>
    </w:p>
    <w:p w14:paraId="00000077" w14:textId="77777777" w:rsidR="00EB7523" w:rsidRDefault="00EB7523">
      <w:pPr>
        <w:spacing w:line="360" w:lineRule="auto"/>
        <w:jc w:val="both"/>
        <w:rPr>
          <w:sz w:val="24"/>
          <w:szCs w:val="24"/>
        </w:rPr>
      </w:pPr>
    </w:p>
    <w:p w14:paraId="00000078" w14:textId="77777777" w:rsidR="00EB7523" w:rsidRDefault="006738F4">
      <w:pPr>
        <w:spacing w:line="360" w:lineRule="auto"/>
        <w:jc w:val="both"/>
        <w:rPr>
          <w:sz w:val="24"/>
          <w:szCs w:val="24"/>
        </w:rPr>
      </w:pPr>
      <w:r>
        <w:rPr>
          <w:sz w:val="24"/>
          <w:szCs w:val="24"/>
        </w:rPr>
        <w:t>Conclusively, early intervention for YP at risk of becomin</w:t>
      </w:r>
      <w:r>
        <w:rPr>
          <w:sz w:val="24"/>
          <w:szCs w:val="24"/>
        </w:rPr>
        <w:t>g involved in gangs is crucial. Risk factors can increase the likelihood of gang involvement. Identifying these from an early age and addressing them through the promotion of protective factors can influence and deter them from a path of gang activity. How</w:t>
      </w:r>
      <w:r>
        <w:rPr>
          <w:sz w:val="24"/>
          <w:szCs w:val="24"/>
        </w:rPr>
        <w:t xml:space="preserve">ever, the way in which YP are exposed to protective factors needs to be carefully determined. YP are at risk of becoming victims if effective measures and support is not put in place when they want </w:t>
      </w:r>
      <w:r>
        <w:rPr>
          <w:sz w:val="24"/>
          <w:szCs w:val="24"/>
        </w:rPr>
        <w:lastRenderedPageBreak/>
        <w:t>to turn away from a life of gang crime. Partnership approa</w:t>
      </w:r>
      <w:r>
        <w:rPr>
          <w:sz w:val="24"/>
          <w:szCs w:val="24"/>
        </w:rPr>
        <w:t xml:space="preserve">ches </w:t>
      </w:r>
      <w:proofErr w:type="gramStart"/>
      <w:r>
        <w:rPr>
          <w:sz w:val="24"/>
          <w:szCs w:val="24"/>
        </w:rPr>
        <w:t>are capable of preventing</w:t>
      </w:r>
      <w:proofErr w:type="gramEnd"/>
      <w:r>
        <w:rPr>
          <w:sz w:val="24"/>
          <w:szCs w:val="24"/>
        </w:rPr>
        <w:t xml:space="preserve"> or deterring involvement in gang related activity. </w:t>
      </w:r>
    </w:p>
    <w:p w14:paraId="00000079" w14:textId="77777777" w:rsidR="00EB7523" w:rsidRDefault="00EB7523">
      <w:pPr>
        <w:jc w:val="both"/>
        <w:rPr>
          <w:sz w:val="24"/>
          <w:szCs w:val="24"/>
        </w:rPr>
      </w:pPr>
    </w:p>
    <w:p w14:paraId="0000007A" w14:textId="77777777" w:rsidR="00EB7523" w:rsidRDefault="006738F4">
      <w:pPr>
        <w:jc w:val="both"/>
        <w:rPr>
          <w:sz w:val="24"/>
          <w:szCs w:val="24"/>
        </w:rPr>
      </w:pPr>
      <w:r>
        <w:rPr>
          <w:sz w:val="24"/>
          <w:szCs w:val="24"/>
        </w:rPr>
        <w:t>Word Count: 1099</w:t>
      </w:r>
    </w:p>
    <w:p w14:paraId="0000007B" w14:textId="77777777" w:rsidR="00EB7523" w:rsidRDefault="00EB7523">
      <w:pPr>
        <w:jc w:val="both"/>
        <w:rPr>
          <w:sz w:val="24"/>
          <w:szCs w:val="24"/>
        </w:rPr>
      </w:pPr>
    </w:p>
    <w:p w14:paraId="0000007C" w14:textId="77777777" w:rsidR="00EB7523" w:rsidRDefault="00EB7523">
      <w:pPr>
        <w:jc w:val="both"/>
        <w:rPr>
          <w:sz w:val="24"/>
          <w:szCs w:val="24"/>
        </w:rPr>
      </w:pPr>
    </w:p>
    <w:p w14:paraId="0000007D" w14:textId="77777777" w:rsidR="00EB7523" w:rsidRDefault="006738F4">
      <w:pPr>
        <w:jc w:val="both"/>
        <w:rPr>
          <w:sz w:val="24"/>
          <w:szCs w:val="24"/>
        </w:rPr>
      </w:pPr>
      <w:r>
        <w:rPr>
          <w:sz w:val="24"/>
          <w:szCs w:val="24"/>
        </w:rPr>
        <w:t xml:space="preserve">Bibliography: </w:t>
      </w:r>
    </w:p>
    <w:p w14:paraId="0000007E" w14:textId="77777777" w:rsidR="00EB7523" w:rsidRDefault="00EB7523">
      <w:pPr>
        <w:jc w:val="both"/>
        <w:rPr>
          <w:sz w:val="24"/>
          <w:szCs w:val="24"/>
        </w:rPr>
      </w:pPr>
    </w:p>
    <w:p w14:paraId="0000007F" w14:textId="77777777" w:rsidR="00EB7523" w:rsidRDefault="006738F4">
      <w:pPr>
        <w:jc w:val="both"/>
        <w:rPr>
          <w:sz w:val="24"/>
          <w:szCs w:val="24"/>
        </w:rPr>
      </w:pPr>
      <w:r>
        <w:rPr>
          <w:sz w:val="24"/>
          <w:szCs w:val="24"/>
        </w:rPr>
        <w:t xml:space="preserve">Home Office (2018) </w:t>
      </w:r>
      <w:r>
        <w:rPr>
          <w:i/>
          <w:sz w:val="24"/>
          <w:szCs w:val="24"/>
        </w:rPr>
        <w:t xml:space="preserve">Preventing youth violence and gang involvement: practical advice for schools and colleges. </w:t>
      </w:r>
      <w:r>
        <w:rPr>
          <w:sz w:val="24"/>
          <w:szCs w:val="24"/>
        </w:rPr>
        <w:t xml:space="preserve">Available at: </w:t>
      </w:r>
      <w:hyperlink r:id="rId30">
        <w:r>
          <w:rPr>
            <w:color w:val="1155CC"/>
            <w:sz w:val="24"/>
            <w:szCs w:val="24"/>
            <w:u w:val="single"/>
          </w:rPr>
          <w:t>https://assets.publishing.service.gov.uk/government/uploads/system/uploads/attachment_data/file/418131/Preventing_youth_violence_and_gang_involvement_v3_March2015.pdf</w:t>
        </w:r>
      </w:hyperlink>
      <w:r>
        <w:rPr>
          <w:sz w:val="24"/>
          <w:szCs w:val="24"/>
        </w:rPr>
        <w:t xml:space="preserve"> (Accessed: 5th </w:t>
      </w:r>
      <w:proofErr w:type="spellStart"/>
      <w:r>
        <w:rPr>
          <w:sz w:val="24"/>
          <w:szCs w:val="24"/>
        </w:rPr>
        <w:t>Novemebr</w:t>
      </w:r>
      <w:proofErr w:type="spellEnd"/>
      <w:r>
        <w:rPr>
          <w:sz w:val="24"/>
          <w:szCs w:val="24"/>
        </w:rPr>
        <w:t xml:space="preserve"> 2022). </w:t>
      </w:r>
    </w:p>
    <w:p w14:paraId="00000080" w14:textId="77777777" w:rsidR="00EB7523" w:rsidRDefault="00EB7523">
      <w:pPr>
        <w:rPr>
          <w:sz w:val="24"/>
          <w:szCs w:val="24"/>
        </w:rPr>
      </w:pPr>
    </w:p>
    <w:p w14:paraId="00000081" w14:textId="77777777" w:rsidR="00EB7523" w:rsidRDefault="006738F4">
      <w:pPr>
        <w:rPr>
          <w:sz w:val="24"/>
          <w:szCs w:val="24"/>
        </w:rPr>
      </w:pPr>
      <w:r>
        <w:rPr>
          <w:sz w:val="24"/>
          <w:szCs w:val="24"/>
        </w:rPr>
        <w:t xml:space="preserve">Goldstein, A. (2002) </w:t>
      </w:r>
      <w:r>
        <w:rPr>
          <w:i/>
          <w:sz w:val="24"/>
          <w:szCs w:val="24"/>
        </w:rPr>
        <w:t>The psychology of group aggression</w:t>
      </w:r>
      <w:r>
        <w:rPr>
          <w:sz w:val="24"/>
          <w:szCs w:val="24"/>
        </w:rPr>
        <w:t>. West Sussex: John Wiley &amp; Sons Ltd.</w:t>
      </w:r>
    </w:p>
    <w:p w14:paraId="00000082" w14:textId="77777777" w:rsidR="00EB7523" w:rsidRDefault="00EB7523">
      <w:pPr>
        <w:rPr>
          <w:sz w:val="24"/>
          <w:szCs w:val="24"/>
        </w:rPr>
      </w:pPr>
    </w:p>
    <w:p w14:paraId="00000083" w14:textId="77777777" w:rsidR="00EB7523" w:rsidRDefault="006738F4">
      <w:pPr>
        <w:rPr>
          <w:sz w:val="24"/>
          <w:szCs w:val="24"/>
        </w:rPr>
      </w:pPr>
      <w:r>
        <w:rPr>
          <w:sz w:val="24"/>
          <w:szCs w:val="24"/>
        </w:rPr>
        <w:t xml:space="preserve">Lassiter, W. and Perry, D. (2009) </w:t>
      </w:r>
      <w:r>
        <w:rPr>
          <w:i/>
          <w:sz w:val="24"/>
          <w:szCs w:val="24"/>
        </w:rPr>
        <w:t xml:space="preserve">Preventing Violence and Crime in America’s Schools: From Put-Downs to </w:t>
      </w:r>
      <w:proofErr w:type="spellStart"/>
      <w:r>
        <w:rPr>
          <w:i/>
          <w:sz w:val="24"/>
          <w:szCs w:val="24"/>
        </w:rPr>
        <w:t>LockDowns</w:t>
      </w:r>
      <w:proofErr w:type="spellEnd"/>
      <w:r>
        <w:rPr>
          <w:i/>
          <w:sz w:val="24"/>
          <w:szCs w:val="24"/>
        </w:rPr>
        <w:t>.</w:t>
      </w:r>
      <w:r>
        <w:rPr>
          <w:sz w:val="24"/>
          <w:szCs w:val="24"/>
        </w:rPr>
        <w:t xml:space="preserve"> California: Praeger.</w:t>
      </w:r>
    </w:p>
    <w:p w14:paraId="00000084" w14:textId="77777777" w:rsidR="00EB7523" w:rsidRDefault="00EB7523">
      <w:pPr>
        <w:rPr>
          <w:sz w:val="24"/>
          <w:szCs w:val="24"/>
        </w:rPr>
      </w:pPr>
    </w:p>
    <w:p w14:paraId="00000085" w14:textId="77777777" w:rsidR="00EB7523" w:rsidRDefault="006738F4">
      <w:pPr>
        <w:rPr>
          <w:sz w:val="24"/>
          <w:szCs w:val="24"/>
        </w:rPr>
      </w:pPr>
      <w:r>
        <w:rPr>
          <w:sz w:val="24"/>
          <w:szCs w:val="24"/>
        </w:rPr>
        <w:t xml:space="preserve">Martin, G. (2005) </w:t>
      </w:r>
      <w:r>
        <w:rPr>
          <w:i/>
          <w:sz w:val="24"/>
          <w:szCs w:val="24"/>
        </w:rPr>
        <w:t xml:space="preserve">Juvenile Justice: Process and Systems. </w:t>
      </w:r>
      <w:r>
        <w:rPr>
          <w:sz w:val="24"/>
          <w:szCs w:val="24"/>
        </w:rPr>
        <w:t xml:space="preserve">California: Sage. </w:t>
      </w:r>
    </w:p>
    <w:p w14:paraId="00000086" w14:textId="77777777" w:rsidR="00EB7523" w:rsidRDefault="006738F4">
      <w:pPr>
        <w:rPr>
          <w:sz w:val="24"/>
          <w:szCs w:val="24"/>
        </w:rPr>
      </w:pPr>
      <w:r>
        <w:rPr>
          <w:sz w:val="24"/>
          <w:szCs w:val="24"/>
        </w:rPr>
        <w:br/>
      </w:r>
      <w:proofErr w:type="spellStart"/>
      <w:r>
        <w:rPr>
          <w:sz w:val="24"/>
          <w:szCs w:val="24"/>
        </w:rPr>
        <w:t>Maruna</w:t>
      </w:r>
      <w:proofErr w:type="spellEnd"/>
      <w:r>
        <w:rPr>
          <w:sz w:val="24"/>
          <w:szCs w:val="24"/>
        </w:rPr>
        <w:t xml:space="preserve">, S. (2001) </w:t>
      </w:r>
      <w:r>
        <w:rPr>
          <w:i/>
          <w:sz w:val="24"/>
          <w:szCs w:val="24"/>
        </w:rPr>
        <w:t xml:space="preserve">Making Good: How ex-convicts reform and rebuild their lives. </w:t>
      </w:r>
      <w:r>
        <w:rPr>
          <w:sz w:val="24"/>
          <w:szCs w:val="24"/>
          <w:highlight w:val="white"/>
        </w:rPr>
        <w:t xml:space="preserve">American Psychological Association: </w:t>
      </w:r>
      <w:hyperlink r:id="rId31">
        <w:r>
          <w:rPr>
            <w:sz w:val="24"/>
            <w:szCs w:val="24"/>
            <w:highlight w:val="white"/>
          </w:rPr>
          <w:t>https://doi.org/1</w:t>
        </w:r>
        <w:r>
          <w:rPr>
            <w:sz w:val="24"/>
            <w:szCs w:val="24"/>
            <w:highlight w:val="white"/>
          </w:rPr>
          <w:t>0.1037/10430-000</w:t>
        </w:r>
      </w:hyperlink>
    </w:p>
    <w:p w14:paraId="00000087" w14:textId="77777777" w:rsidR="00EB7523" w:rsidRDefault="00EB7523">
      <w:pPr>
        <w:rPr>
          <w:sz w:val="24"/>
          <w:szCs w:val="24"/>
        </w:rPr>
      </w:pPr>
    </w:p>
    <w:p w14:paraId="00000088" w14:textId="77777777" w:rsidR="00EB7523" w:rsidRDefault="006738F4">
      <w:pPr>
        <w:rPr>
          <w:color w:val="212121"/>
          <w:sz w:val="24"/>
          <w:szCs w:val="24"/>
        </w:rPr>
      </w:pPr>
      <w:r>
        <w:rPr>
          <w:sz w:val="24"/>
          <w:szCs w:val="24"/>
        </w:rPr>
        <w:t>McDaniel, D. (2012) ‘R</w:t>
      </w:r>
      <w:r>
        <w:rPr>
          <w:color w:val="212121"/>
          <w:sz w:val="24"/>
          <w:szCs w:val="24"/>
        </w:rPr>
        <w:t xml:space="preserve">isk and protective factors associated with gang affiliation among high-risk youth: a public health approach’, </w:t>
      </w:r>
      <w:r>
        <w:rPr>
          <w:i/>
          <w:color w:val="212121"/>
          <w:sz w:val="24"/>
          <w:szCs w:val="24"/>
        </w:rPr>
        <w:t xml:space="preserve">Injury Prevention, </w:t>
      </w:r>
      <w:r>
        <w:rPr>
          <w:color w:val="212121"/>
          <w:sz w:val="24"/>
          <w:szCs w:val="24"/>
        </w:rPr>
        <w:t xml:space="preserve">18(4), pp. 253-258. DOI: 10.1136/injuryprev-2011-040083. </w:t>
      </w:r>
      <w:proofErr w:type="spellStart"/>
      <w:r>
        <w:rPr>
          <w:color w:val="212121"/>
          <w:sz w:val="24"/>
          <w:szCs w:val="24"/>
        </w:rPr>
        <w:t>Epub</w:t>
      </w:r>
      <w:proofErr w:type="spellEnd"/>
      <w:r>
        <w:rPr>
          <w:color w:val="212121"/>
          <w:sz w:val="24"/>
          <w:szCs w:val="24"/>
        </w:rPr>
        <w:t xml:space="preserve"> 2012 Jan 11. PMID: 222402</w:t>
      </w:r>
      <w:r>
        <w:rPr>
          <w:color w:val="212121"/>
          <w:sz w:val="24"/>
          <w:szCs w:val="24"/>
        </w:rPr>
        <w:t>65; PMCID: PMC3406611.</w:t>
      </w:r>
    </w:p>
    <w:p w14:paraId="00000089" w14:textId="77777777" w:rsidR="00EB7523" w:rsidRDefault="00EB7523">
      <w:pPr>
        <w:rPr>
          <w:sz w:val="24"/>
          <w:szCs w:val="24"/>
        </w:rPr>
      </w:pPr>
    </w:p>
    <w:p w14:paraId="0000008A" w14:textId="77777777" w:rsidR="00EB7523" w:rsidRDefault="006738F4">
      <w:pPr>
        <w:rPr>
          <w:sz w:val="24"/>
          <w:szCs w:val="24"/>
        </w:rPr>
      </w:pPr>
      <w:r>
        <w:rPr>
          <w:sz w:val="24"/>
          <w:szCs w:val="24"/>
        </w:rPr>
        <w:t>O’Connell, M. Boat, T. and Warner, K. (2009)</w:t>
      </w:r>
      <w:r>
        <w:rPr>
          <w:i/>
          <w:sz w:val="24"/>
          <w:szCs w:val="24"/>
        </w:rPr>
        <w:t xml:space="preserve"> Preventing Mental, Emotional, and </w:t>
      </w:r>
      <w:proofErr w:type="spellStart"/>
      <w:r>
        <w:rPr>
          <w:i/>
          <w:sz w:val="24"/>
          <w:szCs w:val="24"/>
        </w:rPr>
        <w:t>Behavioral</w:t>
      </w:r>
      <w:proofErr w:type="spellEnd"/>
      <w:r>
        <w:rPr>
          <w:i/>
          <w:sz w:val="24"/>
          <w:szCs w:val="24"/>
        </w:rPr>
        <w:t xml:space="preserve"> Disorders Among Young People: Progress and </w:t>
      </w:r>
      <w:proofErr w:type="gramStart"/>
      <w:r>
        <w:rPr>
          <w:i/>
          <w:sz w:val="24"/>
          <w:szCs w:val="24"/>
        </w:rPr>
        <w:t xml:space="preserve">Possibilities,  </w:t>
      </w:r>
      <w:r>
        <w:rPr>
          <w:sz w:val="24"/>
          <w:szCs w:val="24"/>
        </w:rPr>
        <w:t>Available</w:t>
      </w:r>
      <w:proofErr w:type="gramEnd"/>
      <w:r>
        <w:rPr>
          <w:sz w:val="24"/>
          <w:szCs w:val="24"/>
        </w:rPr>
        <w:t xml:space="preserve"> at: </w:t>
      </w:r>
      <w:hyperlink r:id="rId32">
        <w:r>
          <w:rPr>
            <w:color w:val="1155CC"/>
            <w:sz w:val="24"/>
            <w:szCs w:val="24"/>
            <w:u w:val="single"/>
          </w:rPr>
          <w:t>https</w:t>
        </w:r>
        <w:r>
          <w:rPr>
            <w:color w:val="1155CC"/>
            <w:sz w:val="24"/>
            <w:szCs w:val="24"/>
            <w:u w:val="single"/>
          </w:rPr>
          <w:t>://www.ncbi.nlm.nih.gov/books/NBK32775/</w:t>
        </w:r>
      </w:hyperlink>
      <w:r>
        <w:rPr>
          <w:sz w:val="24"/>
          <w:szCs w:val="24"/>
        </w:rPr>
        <w:t xml:space="preserve"> (Accessed: 4th November 2022). </w:t>
      </w:r>
    </w:p>
    <w:p w14:paraId="0000008B" w14:textId="77777777" w:rsidR="00EB7523" w:rsidRDefault="00EB7523">
      <w:pPr>
        <w:rPr>
          <w:sz w:val="24"/>
          <w:szCs w:val="24"/>
        </w:rPr>
      </w:pPr>
    </w:p>
    <w:p w14:paraId="0000008C" w14:textId="77777777" w:rsidR="00EB7523" w:rsidRDefault="006738F4">
      <w:pPr>
        <w:rPr>
          <w:sz w:val="24"/>
          <w:szCs w:val="24"/>
        </w:rPr>
      </w:pPr>
      <w:r>
        <w:rPr>
          <w:sz w:val="24"/>
          <w:szCs w:val="24"/>
        </w:rPr>
        <w:t xml:space="preserve">Sampson, A. (2015). </w:t>
      </w:r>
      <w:r>
        <w:rPr>
          <w:i/>
          <w:sz w:val="24"/>
          <w:szCs w:val="24"/>
        </w:rPr>
        <w:t xml:space="preserve">An Evaluation of the </w:t>
      </w:r>
      <w:proofErr w:type="gramStart"/>
      <w:r>
        <w:rPr>
          <w:i/>
          <w:sz w:val="24"/>
          <w:szCs w:val="24"/>
        </w:rPr>
        <w:t>Longer Term</w:t>
      </w:r>
      <w:proofErr w:type="gramEnd"/>
      <w:r>
        <w:rPr>
          <w:i/>
          <w:sz w:val="24"/>
          <w:szCs w:val="24"/>
        </w:rPr>
        <w:t xml:space="preserve"> Outcomes of the Pathways Programme at Fight for Peace. </w:t>
      </w:r>
      <w:r>
        <w:rPr>
          <w:sz w:val="24"/>
          <w:szCs w:val="24"/>
        </w:rPr>
        <w:t>University of East London.</w:t>
      </w:r>
    </w:p>
    <w:p w14:paraId="0000008D" w14:textId="77777777" w:rsidR="00EB7523" w:rsidRDefault="006738F4">
      <w:pPr>
        <w:rPr>
          <w:sz w:val="24"/>
          <w:szCs w:val="24"/>
        </w:rPr>
      </w:pPr>
      <w:r>
        <w:rPr>
          <w:sz w:val="24"/>
          <w:szCs w:val="24"/>
        </w:rPr>
        <w:t xml:space="preserve">Vigil, J. (1988) </w:t>
      </w:r>
      <w:r>
        <w:rPr>
          <w:i/>
          <w:sz w:val="24"/>
          <w:szCs w:val="24"/>
        </w:rPr>
        <w:t>Barrio gangs: street life and i</w:t>
      </w:r>
      <w:r>
        <w:rPr>
          <w:i/>
          <w:sz w:val="24"/>
          <w:szCs w:val="24"/>
        </w:rPr>
        <w:t>dentity in southern California</w:t>
      </w:r>
      <w:r>
        <w:rPr>
          <w:sz w:val="24"/>
          <w:szCs w:val="24"/>
        </w:rPr>
        <w:t>. Austin:</w:t>
      </w:r>
    </w:p>
    <w:p w14:paraId="0000008E" w14:textId="77777777" w:rsidR="00EB7523" w:rsidRDefault="006738F4">
      <w:pPr>
        <w:shd w:val="clear" w:color="auto" w:fill="FFFFFF"/>
        <w:spacing w:line="349" w:lineRule="auto"/>
        <w:rPr>
          <w:sz w:val="24"/>
          <w:szCs w:val="24"/>
        </w:rPr>
      </w:pPr>
      <w:r>
        <w:rPr>
          <w:sz w:val="24"/>
          <w:szCs w:val="24"/>
        </w:rPr>
        <w:t>University of Texas Press.</w:t>
      </w:r>
    </w:p>
    <w:p w14:paraId="0000008F" w14:textId="77777777" w:rsidR="00EB7523" w:rsidRDefault="00EB7523">
      <w:pPr>
        <w:ind w:right="531"/>
        <w:jc w:val="both"/>
        <w:rPr>
          <w:sz w:val="24"/>
          <w:szCs w:val="24"/>
        </w:rPr>
      </w:pPr>
    </w:p>
    <w:sectPr w:rsidR="00EB75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99317" w14:textId="77777777" w:rsidR="006738F4" w:rsidRDefault="006738F4" w:rsidP="006738F4">
      <w:pPr>
        <w:spacing w:line="240" w:lineRule="auto"/>
      </w:pPr>
      <w:r>
        <w:separator/>
      </w:r>
    </w:p>
  </w:endnote>
  <w:endnote w:type="continuationSeparator" w:id="0">
    <w:p w14:paraId="2E75078F" w14:textId="77777777" w:rsidR="006738F4" w:rsidRDefault="006738F4" w:rsidP="006738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87C83" w14:textId="77777777" w:rsidR="006738F4" w:rsidRDefault="006738F4" w:rsidP="006738F4">
      <w:pPr>
        <w:spacing w:line="240" w:lineRule="auto"/>
      </w:pPr>
      <w:r>
        <w:separator/>
      </w:r>
    </w:p>
  </w:footnote>
  <w:footnote w:type="continuationSeparator" w:id="0">
    <w:p w14:paraId="4A44D134" w14:textId="77777777" w:rsidR="006738F4" w:rsidRDefault="006738F4" w:rsidP="006738F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7523"/>
    <w:rsid w:val="006738F4"/>
    <w:rsid w:val="00EB7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docId w15:val="{944B51A4-96CC-4660-9B2F-BB6CC9CC1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rofdev.college.police.uk/professional-profile/police-constable/" TargetMode="External"/><Relationship Id="rId13" Type="http://schemas.openxmlformats.org/officeDocument/2006/relationships/hyperlink" Target="https://www.barnardos.org.uk/news/urgent-action-needed-organised-crime-gangs-take-advantage-pandemic-target-vulnerable-children" TargetMode="External"/><Relationship Id="rId18" Type="http://schemas.openxmlformats.org/officeDocument/2006/relationships/hyperlink" Target="https://assets.publishing.service.gov.uk/government/uploads/system/uploads/attachment_data/file/863323/HOCountyLinesGuidance_-_Sept2018.pdf" TargetMode="External"/><Relationship Id="rId26" Type="http://schemas.openxmlformats.org/officeDocument/2006/relationships/hyperlink" Target="https://www.justiceinspectorates.gov.uk/hmiprobation/research/the-evidence-base-probation/specific-types-of-delivery/mappa/" TargetMode="External"/><Relationship Id="rId3" Type="http://schemas.openxmlformats.org/officeDocument/2006/relationships/webSettings" Target="webSettings.xml"/><Relationship Id="rId21" Type="http://schemas.openxmlformats.org/officeDocument/2006/relationships/hyperlink" Target="https://www.police-foundation.org.uk/2017/wp-content/uploads/2017/10/oc_in_local_communities_final.pdf" TargetMode="External"/><Relationship Id="rId34" Type="http://schemas.openxmlformats.org/officeDocument/2006/relationships/theme" Target="theme/theme1.xml"/><Relationship Id="rId7" Type="http://schemas.openxmlformats.org/officeDocument/2006/relationships/hyperlink" Target="https://assets.college.police.uk/s3fs-public/2021-02/code_of_ethics.pdf" TargetMode="External"/><Relationship Id="rId12" Type="http://schemas.openxmlformats.org/officeDocument/2006/relationships/hyperlink" Target="https://doi.org/10.1080/17496535.2019.1647973" TargetMode="External"/><Relationship Id="rId17" Type="http://schemas.openxmlformats.org/officeDocument/2006/relationships/hyperlink" Target="https://www.local.gov.uk/sites/default/files/documents/tackling-serious-and-orga-44a.pdf" TargetMode="External"/><Relationship Id="rId25" Type="http://schemas.openxmlformats.org/officeDocument/2006/relationships/hyperlink" Target="https://www.justiceinspectorates.gov.uk/hmicfrs/media/Multi-agency-public-protection-arrangements.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248645/Serious_and_Organised_Crime_Strategy.pdf" TargetMode="External"/><Relationship Id="rId20" Type="http://schemas.openxmlformats.org/officeDocument/2006/relationships/hyperlink" Target="https://doi.org/10.1093/bjc/azab027" TargetMode="External"/><Relationship Id="rId29" Type="http://schemas.openxmlformats.org/officeDocument/2006/relationships/hyperlink" Target="https://www.researchgate.net/publication/228879448_The_Operation_and_Experience_of_Multi-Agency_Public_Protection_Arrangements_MAPPA" TargetMode="External"/><Relationship Id="rId1" Type="http://schemas.openxmlformats.org/officeDocument/2006/relationships/styles" Target="styles.xml"/><Relationship Id="rId6" Type="http://schemas.openxmlformats.org/officeDocument/2006/relationships/hyperlink" Target="https://journals.sagepub.com/doi/full/10.1177/1461355720947762" TargetMode="External"/><Relationship Id="rId11" Type="http://schemas.openxmlformats.org/officeDocument/2006/relationships/hyperlink" Target="https://doi.org/10.1080/09627251.2012.671013" TargetMode="External"/><Relationship Id="rId24" Type="http://schemas.openxmlformats.org/officeDocument/2006/relationships/hyperlink" Target="http://www.hmcpsi.gov.uk/" TargetMode="External"/><Relationship Id="rId32" Type="http://schemas.openxmlformats.org/officeDocument/2006/relationships/hyperlink" Target="https://www.ncbi.nlm.nih.gov/books/NBK32775/" TargetMode="External"/><Relationship Id="rId5" Type="http://schemas.openxmlformats.org/officeDocument/2006/relationships/endnotes" Target="endnotes.xml"/><Relationship Id="rId15" Type="http://schemas.openxmlformats.org/officeDocument/2006/relationships/hyperlink" Target="https://www.college.police.uk/guidance/vulnerability-related-risks/introduction-vulnerability-related-risk" TargetMode="External"/><Relationship Id="rId23" Type="http://schemas.openxmlformats.org/officeDocument/2006/relationships/hyperlink" Target="https://www.college.police.uk/app/major-investigation-and-public-protection/managing-sexual-offenders-and-violent-offenders/introduction-managing-sexual-offenders-and-violent-offenders" TargetMode="External"/><Relationship Id="rId28" Type="http://schemas.openxmlformats.org/officeDocument/2006/relationships/hyperlink" Target="https://doi.org/10.1093/police/pap007" TargetMode="External"/><Relationship Id="rId10" Type="http://schemas.openxmlformats.org/officeDocument/2006/relationships/hyperlink" Target="https://assets.publishing.service.gov.uk/government/uploads/system/uploads/attachment_data/file/655892/6_3860_HO_Hillsborough_Report_2017_FINAL_WEB_updated.pdf" TargetMode="External"/><Relationship Id="rId19" Type="http://schemas.openxmlformats.org/officeDocument/2006/relationships/hyperlink" Target="https://assets.publishing.service.gov.uk/government/uploads/system/uploads/attachment_data/file/756031/Protecting_children_from_criminal_exploitation_human_trafficking_modern_slavery_addendum_141118.pdf" TargetMode="External"/><Relationship Id="rId31" Type="http://schemas.openxmlformats.org/officeDocument/2006/relationships/hyperlink" Target="https://psycnet.apa.org/doi/10.1037/10430-000" TargetMode="External"/><Relationship Id="rId4" Type="http://schemas.openxmlformats.org/officeDocument/2006/relationships/footnotes" Target="footnotes.xml"/><Relationship Id="rId9" Type="http://schemas.openxmlformats.org/officeDocument/2006/relationships/hyperlink" Target="https://assets.college.police.uk/s3fs-public/2022-08/Guidance-on-outcomes-in-police-misconduct-proceedings.pdf" TargetMode="External"/><Relationship Id="rId14" Type="http://schemas.openxmlformats.org/officeDocument/2006/relationships/hyperlink" Target="https://doi.org/10.1177/1362480612439432" TargetMode="External"/><Relationship Id="rId22" Type="http://schemas.openxmlformats.org/officeDocument/2006/relationships/hyperlink" Target="https://www.college.police.uk/app/major-investigation-and-public-protection/managing-sexual-offenders-and-violent-offenders/multi-agency-public-protection-arrangements-mappa" TargetMode="External"/><Relationship Id="rId27" Type="http://schemas.openxmlformats.org/officeDocument/2006/relationships/hyperlink" Target="https://assets.publishing.service.gov.uk/government/uploads/system/uploads/attachment_data/file/407139/reoffending-analysis-of-mappa-eligible-offenders.pdf" TargetMode="External"/><Relationship Id="rId30" Type="http://schemas.openxmlformats.org/officeDocument/2006/relationships/hyperlink" Target="https://assets.publishing.service.gov.uk/government/uploads/system/uploads/attachment_data/file/418131/Preventing_youth_violence_and_gang_involvement_v3_March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6214</Words>
  <Characters>35424</Characters>
  <Application>Microsoft Office Word</Application>
  <DocSecurity>4</DocSecurity>
  <Lines>295</Lines>
  <Paragraphs>83</Paragraphs>
  <ScaleCrop>false</ScaleCrop>
  <Company>Gwent Police</Company>
  <LinksUpToDate>false</LinksUpToDate>
  <CharactersWithSpaces>41555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Box, Ieuan</dc:creator>
  <cp:lastModifiedBy>Box, Ieuan</cp:lastModifiedBy>
  <cp:revision>2</cp:revision>
  <dcterms:created xsi:type="dcterms:W3CDTF">2022-11-07T21:17:00Z</dcterms:created>
  <dcterms:modified xsi:type="dcterms:W3CDTF">2022-11-07T21:17:00Z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2022-11-07T21:15:26Z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1588f687-7fff-4446-945b-c678607ad7c6</vt:lpwstr>
  </property>
  <property fmtid="{D5CDD505-2E9C-101B-9397-08002B2CF9AE}" pid="8" name="MSIP_Label_f2acd28b-79a3-4a0f-b0ff-4b75658b1549_ContentBits">
    <vt:lpwstr>0</vt:lpwstr>
  </property>
</Properties>
</file>