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527B" w:rsidRPr="00E1527B" w:rsidRDefault="00E1527B" w:rsidP="00E1527B">
      <w:pPr>
        <w:rPr>
          <w:rFonts w:ascii="Times New Roman" w:hAnsi="Times New Roman" w:cs="Times New Roman"/>
          <w:sz w:val="24"/>
          <w:szCs w:val="24"/>
        </w:rPr>
      </w:pPr>
      <w:bookmarkStart w:id="0" w:name="_GoBack"/>
      <w:r w:rsidRPr="00E1527B">
        <w:rPr>
          <w:rFonts w:ascii="Times New Roman" w:hAnsi="Times New Roman" w:cs="Times New Roman"/>
          <w:sz w:val="24"/>
          <w:szCs w:val="24"/>
        </w:rPr>
        <w:t xml:space="preserve">This essay will demonstrate a critical understanding of how the health and well-being of a low-income family may not be secured by protective legislation. Throughout this essay, three main areas of concerns will be discussed and how legislation may be modified in order to address any failings identified. This essay will look at findings from a UK, Wales and World perspective. Protective legislation aims to ensure the safety and protection of each individual is covered within the law. </w:t>
      </w:r>
    </w:p>
    <w:p w:rsidR="00E1527B" w:rsidRPr="00E1527B" w:rsidRDefault="00E1527B" w:rsidP="00E1527B">
      <w:pPr>
        <w:rPr>
          <w:rFonts w:ascii="Times New Roman" w:hAnsi="Times New Roman" w:cs="Times New Roman"/>
          <w:iCs/>
          <w:sz w:val="24"/>
          <w:szCs w:val="24"/>
        </w:rPr>
      </w:pPr>
      <w:r w:rsidRPr="00E1527B">
        <w:rPr>
          <w:rFonts w:ascii="Times New Roman" w:hAnsi="Times New Roman" w:cs="Times New Roman"/>
          <w:sz w:val="24"/>
          <w:szCs w:val="24"/>
        </w:rPr>
        <w:t xml:space="preserve">Evidently not every group is secured by the law, specifically certain groups who represent a small minority such as low earning individuals. The Equality Act (2010) provides evidence to support this, where socio-economic disadvantage is not characterised as a protective factor. Establishing the terms for health and wellbeing is a widely discussed topic in society with </w:t>
      </w:r>
      <w:r w:rsidRPr="00E1527B">
        <w:rPr>
          <w:rFonts w:ascii="Times New Roman" w:hAnsi="Times New Roman" w:cs="Times New Roman"/>
          <w:sz w:val="24"/>
          <w:szCs w:val="24"/>
          <w:shd w:val="clear" w:color="auto" w:fill="FFFFFF"/>
        </w:rPr>
        <w:t>well-being becoming a growing public health concern worldwide. In recent years, there has been much debate on the definition of exactly what is ‘health’ and ‘wellbeing’.</w:t>
      </w:r>
      <w:r w:rsidRPr="00E1527B">
        <w:rPr>
          <w:rFonts w:ascii="Times New Roman" w:hAnsi="Times New Roman" w:cs="Times New Roman"/>
          <w:sz w:val="24"/>
          <w:szCs w:val="24"/>
        </w:rPr>
        <w:t xml:space="preserve"> </w:t>
      </w:r>
      <w:r w:rsidRPr="00E1527B">
        <w:rPr>
          <w:rFonts w:ascii="Times New Roman" w:hAnsi="Times New Roman" w:cs="Times New Roman"/>
          <w:sz w:val="24"/>
          <w:szCs w:val="24"/>
          <w:lang w:val="en"/>
        </w:rPr>
        <w:t xml:space="preserve">The current World Health Organization (1948) definition of health, describes “a state of complete physical, mental and social well-being and not merely the absence of disease or infirmity.” </w:t>
      </w:r>
      <w:r w:rsidRPr="00E1527B">
        <w:rPr>
          <w:rFonts w:ascii="Times New Roman" w:hAnsi="Times New Roman" w:cs="Times New Roman"/>
          <w:sz w:val="24"/>
          <w:szCs w:val="24"/>
          <w:shd w:val="clear" w:color="auto" w:fill="FFFFFF"/>
        </w:rPr>
        <w:t>Although differences of opinion still exist, with the political, social and financial crisis happening in society still indeterminates every perspective. There is no agreed definition on what constitutes as well-being. According to a definition provided by Marks and Shah, (2004:2), ‘</w:t>
      </w:r>
      <w:r w:rsidRPr="00E1527B">
        <w:rPr>
          <w:rFonts w:ascii="Times New Roman" w:hAnsi="Times New Roman" w:cs="Times New Roman"/>
          <w:iCs/>
          <w:sz w:val="24"/>
          <w:szCs w:val="24"/>
        </w:rPr>
        <w:t xml:space="preserve">Well-being is more than just happiness. As well as feeling satisfied and happy, well-being means developing as a person, being fulfilled, and making a contribution to the community’. Well-being is having positive thoughts, an enthusiastic perspective on life and feeling well in yourself. </w:t>
      </w:r>
      <w:r w:rsidRPr="00E1527B">
        <w:rPr>
          <w:rFonts w:ascii="Times New Roman" w:hAnsi="Times New Roman" w:cs="Times New Roman"/>
          <w:sz w:val="24"/>
          <w:szCs w:val="24"/>
        </w:rPr>
        <w:t xml:space="preserve">For Cameron (2006), the definition of </w:t>
      </w:r>
      <w:r w:rsidRPr="00E1527B">
        <w:rPr>
          <w:rFonts w:ascii="Times New Roman" w:hAnsi="Times New Roman" w:cs="Times New Roman"/>
          <w:iCs/>
          <w:sz w:val="24"/>
          <w:szCs w:val="24"/>
        </w:rPr>
        <w:t xml:space="preserve">wellbeing can't be measured by money or traded in markets. It's about the beauty of our surroundings, the quality of our culture and, above all, the strength of our relationships. This definition distinguishes why those who are from a low-income family have negative well-being. Literature presented by Gupta </w:t>
      </w:r>
      <w:r w:rsidRPr="00E1527B">
        <w:rPr>
          <w:rFonts w:ascii="Times New Roman" w:hAnsi="Times New Roman" w:cs="Times New Roman"/>
          <w:i/>
          <w:iCs/>
          <w:sz w:val="24"/>
          <w:szCs w:val="24"/>
        </w:rPr>
        <w:t>et al</w:t>
      </w:r>
      <w:r w:rsidRPr="00E1527B">
        <w:rPr>
          <w:rFonts w:ascii="Times New Roman" w:hAnsi="Times New Roman" w:cs="Times New Roman"/>
          <w:iCs/>
          <w:sz w:val="24"/>
          <w:szCs w:val="24"/>
        </w:rPr>
        <w:t xml:space="preserve"> highlighted, </w:t>
      </w:r>
      <w:r w:rsidRPr="00E1527B">
        <w:rPr>
          <w:rFonts w:ascii="Times New Roman" w:hAnsi="Times New Roman" w:cs="Times New Roman"/>
          <w:sz w:val="24"/>
          <w:szCs w:val="24"/>
          <w:shd w:val="clear" w:color="auto" w:fill="FFFFFF"/>
        </w:rPr>
        <w:t>on average children living in low-income families or neighbourhoods have poorer health outcomes. The health consequences that arise from low income families will be discussed further in depth throughout this essay where statistics from the Welsh Government, Office of National Statistics and UNCRC will support this argument.</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shd w:val="clear" w:color="auto" w:fill="FFFFFF"/>
        </w:rPr>
        <w:t xml:space="preserve"> The essay concentrates on low-income earners which is the lowest form of social class.</w:t>
      </w:r>
      <w:r w:rsidRPr="00E1527B">
        <w:rPr>
          <w:rFonts w:ascii="Times New Roman" w:hAnsi="Times New Roman" w:cs="Times New Roman"/>
          <w:sz w:val="24"/>
          <w:szCs w:val="24"/>
        </w:rPr>
        <w:t xml:space="preserve"> Social class originates from the theoretical framework of Karl Marx and Max Weber whose interest in the lower and upper class created the Marxism theory. Marx created the term ‘Proletarial’, which represented the lower working class who were oppressed by the executives. The term ‘bourgeoise’ represented large companies and bosses who were empowered by profit and control. The Social Class System has altered over the centuries, with the BBC (2013) suggesting a Seven Social Class Model. Precariat, a social class displaying poor economic capital, and the lowest scores on every other criterion comprises 15% of the British Society (Savage </w:t>
      </w:r>
      <w:r w:rsidRPr="00E1527B">
        <w:rPr>
          <w:rFonts w:ascii="Times New Roman" w:hAnsi="Times New Roman" w:cs="Times New Roman"/>
          <w:i/>
          <w:sz w:val="24"/>
          <w:szCs w:val="24"/>
        </w:rPr>
        <w:t>et al</w:t>
      </w:r>
      <w:r w:rsidRPr="00E1527B">
        <w:rPr>
          <w:rFonts w:ascii="Times New Roman" w:hAnsi="Times New Roman" w:cs="Times New Roman"/>
          <w:sz w:val="24"/>
          <w:szCs w:val="24"/>
        </w:rPr>
        <w:t>, 2013.)  Precariat portray the 3</w:t>
      </w:r>
      <w:r w:rsidRPr="00E1527B">
        <w:rPr>
          <w:rFonts w:ascii="Times New Roman" w:hAnsi="Times New Roman" w:cs="Times New Roman"/>
          <w:sz w:val="24"/>
          <w:szCs w:val="24"/>
          <w:vertAlign w:val="superscript"/>
        </w:rPr>
        <w:t>rd</w:t>
      </w:r>
      <w:r w:rsidRPr="00E1527B">
        <w:rPr>
          <w:rFonts w:ascii="Times New Roman" w:hAnsi="Times New Roman" w:cs="Times New Roman"/>
          <w:sz w:val="24"/>
          <w:szCs w:val="24"/>
        </w:rPr>
        <w:t xml:space="preserve"> largest group within the social class system which draws attention to why income is not considered a characteristic in legislation. The importance of social class is presented in today’s society where those further up the financial ladder have more opportunities in society and are more protected by legislation due to their financial circumstance. </w:t>
      </w:r>
    </w:p>
    <w:p w:rsidR="00E1527B" w:rsidRPr="00E1527B" w:rsidRDefault="00E1527B" w:rsidP="00E1527B">
      <w:pPr>
        <w:rPr>
          <w:rFonts w:ascii="Times New Roman" w:hAnsi="Times New Roman" w:cs="Times New Roman"/>
          <w:sz w:val="24"/>
          <w:szCs w:val="24"/>
          <w:shd w:val="clear" w:color="auto" w:fill="FFFFFF"/>
        </w:rPr>
      </w:pPr>
    </w:p>
    <w:p w:rsidR="00E1527B" w:rsidRPr="00E1527B" w:rsidRDefault="00E1527B" w:rsidP="00E1527B">
      <w:pPr>
        <w:rPr>
          <w:rFonts w:ascii="Times New Roman" w:hAnsi="Times New Roman" w:cs="Times New Roman"/>
          <w:sz w:val="24"/>
          <w:szCs w:val="24"/>
          <w:shd w:val="clear" w:color="auto" w:fill="FFFFFF"/>
        </w:rPr>
      </w:pPr>
      <w:r w:rsidRPr="00E1527B">
        <w:rPr>
          <w:rFonts w:ascii="Times New Roman" w:hAnsi="Times New Roman" w:cs="Times New Roman"/>
          <w:sz w:val="24"/>
          <w:szCs w:val="24"/>
          <w:shd w:val="clear" w:color="auto" w:fill="FFFFFF"/>
        </w:rPr>
        <w:lastRenderedPageBreak/>
        <w:t>The term</w:t>
      </w:r>
      <w:r w:rsidRPr="00E1527B">
        <w:rPr>
          <w:rFonts w:ascii="Times New Roman" w:hAnsi="Times New Roman" w:cs="Times New Roman"/>
          <w:sz w:val="24"/>
          <w:szCs w:val="24"/>
        </w:rPr>
        <w:t xml:space="preserve"> Social exclusion can be defined by Levitas </w:t>
      </w:r>
      <w:r w:rsidRPr="00E1527B">
        <w:rPr>
          <w:rFonts w:ascii="Times New Roman" w:hAnsi="Times New Roman" w:cs="Times New Roman"/>
          <w:i/>
          <w:sz w:val="24"/>
          <w:szCs w:val="24"/>
        </w:rPr>
        <w:t>et al</w:t>
      </w:r>
      <w:r w:rsidRPr="00E1527B">
        <w:rPr>
          <w:rFonts w:ascii="Times New Roman" w:hAnsi="Times New Roman" w:cs="Times New Roman"/>
          <w:sz w:val="24"/>
          <w:szCs w:val="24"/>
        </w:rPr>
        <w:t xml:space="preserve"> (2007) as a complex and multi-dimensional process. It involves the lack or denial of resources, rights, goods and services, and the inability to participate in the normal relationships and activities, available to the majority of people in a society. This includes economic, social, cultural or political fields within society. </w:t>
      </w:r>
      <w:r w:rsidRPr="00E1527B">
        <w:rPr>
          <w:rFonts w:ascii="Times New Roman" w:hAnsi="Times New Roman" w:cs="Times New Roman"/>
          <w:sz w:val="24"/>
          <w:szCs w:val="24"/>
          <w:shd w:val="clear" w:color="auto" w:fill="FFFFFF"/>
        </w:rPr>
        <w:t>A socially excluded group are those who don’t fit or necessarily belong in society which can be influenced by financial status and income. Rogers (1997:66) defines those groups in society who are more likely to be vulnerable to ill health as ‘the very young and very old people, those with little education, those who earn a low income and the unemployed.’ Social scientists have long observed that people who occupy the lower levels of the economic ladder are largely excluded from the social reality of people at higher rings’. Discrimination is an issue often experienced by those in the lower class who are distinguished as being the bottom of the hierarchy. Barriers that affect low income families include unequal treatment and lack of opportunities. This will be explored in this assignment in more depth where Government Policies and Action Plans will be scrutinised to critically examine how the protection of low-income families is limited.</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In Wales, children from a low-income family are eligible for free school meals benefitting families who are in financial crisis. The child is guaranteed a nutritious balanced meal when in education which reduces worry for parents. In recent times, the Welsh Government offered eligibility for free school meals to families who worked under sixteen hours a week. Statistics from The Children’s Society (2012) state 113,000 children are currently entitled to meals. The Universal Credit is a new system being enforced, set to be introduced fully from the beginning of 2019. On the financial basis that’s currently offered, by 2022, the Welsh Government (2018) presented that half of pupils would be eligible for free school meals, in comparison to 16% who are eligible at present. The Welsh Government have insufficient funds to be spending a large proportion in one area therefore an annual income threshold up to £7,400 will stand for families. This will represent only the lowest of incomers to gain free meals. However, research has argued that families who earn over the threshold may still be in absolute poverty. In Scotland there is a more lenient threshold of £14,000 which will benefit more families (Scotland Government, 2018.)</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 xml:space="preserve">The Welsh Government (2014) propose that school offers a varied diet. School meals aim to guide children on eating a balanced diet to benefit their health now and in future times. By introducing diverse cuisines encourages children to try new foods and expand their diet. Low-incomers do not have the same opportunities as those who come from a financially stable background, therefore certain foods and lifestyles can be restricted to those children. Schools assist towards weight management, keeping fit and regular exercise and encourage eating fruit and vegetables. The negative impact of free school meals from the health aspect are children may not be receiving the nutritional requirements to focus in school. It is vital that children have access to healthy food options, which can better their learning and give them the energy they need to progress in school and at home. For those at a socio-economic disadvantage, being financially stable to afford fruit, vegetables and healthy options to eat in home and school life is a great challenge. The cost of living has increased in Wales with </w:t>
      </w:r>
      <w:r w:rsidRPr="00E1527B">
        <w:rPr>
          <w:rFonts w:ascii="Times New Roman" w:hAnsi="Times New Roman" w:cs="Times New Roman"/>
          <w:sz w:val="24"/>
          <w:szCs w:val="24"/>
        </w:rPr>
        <w:lastRenderedPageBreak/>
        <w:t xml:space="preserve">statistics from the Government (2018) showing 4.5% increase since 2017. This means only a small percentage of families will comply with the threshold as the amount is not significant. </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 xml:space="preserve">The imperative aspect for low-income families is to ensure everyone eats. The idea of reaching for the healthiest product is not always a priority in this circumstance as the unhealthy alternative is usually cheaper. According to recent reports (NHS, 2012) 27.1% of children aged 4-5 were considered over-weight or obese in Wales. This result was highest amongst Welsh and English region suggesting transformations need to be made to improve the health of individuals. The link between obesity and the poverty stricken found that it was most common in deprived areas (14.9%). Evidence from the World Health Organisation (2014) suggest there is an increased supply of cheap, palatable, energy dense foods that are much more accessible, convenient and marketed universally. A healthy diet is commonly more expensive in comparison to low priced processed foods which are easily accessible than nutritious healthy food. Further health consequences relate on to diabetes, heart attacks, increased blood pressure, therefore encouragement for children and families to maintain a healthy balanced diet needs to be proposed. </w:t>
      </w:r>
      <w:r w:rsidRPr="00E1527B">
        <w:rPr>
          <w:rFonts w:ascii="Times New Roman" w:hAnsi="Times New Roman" w:cs="Times New Roman"/>
          <w:sz w:val="24"/>
          <w:szCs w:val="24"/>
          <w:shd w:val="clear" w:color="auto" w:fill="FFFFFF"/>
        </w:rPr>
        <w:t xml:space="preserve">There is a large volume of published studies describing the positive impacts free school meals have on children. </w:t>
      </w:r>
      <w:r w:rsidRPr="00E1527B">
        <w:rPr>
          <w:rFonts w:ascii="Times New Roman" w:hAnsi="Times New Roman" w:cs="Times New Roman"/>
          <w:sz w:val="24"/>
          <w:szCs w:val="24"/>
        </w:rPr>
        <w:t xml:space="preserve">Eating well increases their success in school, their health and, ultimately, their happiness (Schabas, 2014.) </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 xml:space="preserve">Suggestions for change were advised by the World Health Organisation (2014). This included programmes to help children develop a taste for vegetables. Providing free fruit and vegetables should be encouraged in school was another suggested change. The recent ‘sugar tax’ has increased the price of sugary foods. This is a good deterrent although the foods in question are still readily available. To counter balance this the cost of healthier alternatives such as fruit and vegetables should be reduced in price. If the government doesn’t reduce the cost of healthier alternatives families who encounter financial difficulties should be given financial help. </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 xml:space="preserve">Free breakfast at primary schools in Wales is an ongoing scheme which has been in place since 2004 (Welsh Government, 2015.) The aim of the scheme is to offer children a healthy breakfast to give them a positive start to the day. Carmarthenshire County Council (2018) details that there are currently ninety-six schools in Wales providing free school meals. This helps the disadvantaged families give their children the kickstart they need which in turn improves their health and wellbeing. Literature by Cardiff Metropolitan University (2017) highlighted the importance of nutrition. Nutritious food is a key contributing factor to the improvement of a child’s health and wellbeing along with their performance at school. Children who learn from an early age about healthy eating habits are then more likely to continue these traits into adulthood. In 2017, the Conservative’s manifesto (2017) pledged sixty million pounds towards free school breakfasts to children in England. In the same year the Conservative Manifesto vowed to continue to combat childhood obesity and to promote efforts to reduce unhealthy ingredients. Research by Taras (2013) </w:t>
      </w:r>
      <w:r w:rsidRPr="00E1527B">
        <w:rPr>
          <w:rFonts w:ascii="Times New Roman" w:hAnsi="Times New Roman" w:cs="Times New Roman"/>
          <w:sz w:val="24"/>
          <w:szCs w:val="24"/>
          <w:shd w:val="clear" w:color="auto" w:fill="FFFFFF"/>
        </w:rPr>
        <w:t xml:space="preserve">indicates that school breakfast programs seem to improve attendance rates and decrease tiredness throughout the day. </w:t>
      </w:r>
      <w:r w:rsidRPr="00E1527B">
        <w:rPr>
          <w:rFonts w:ascii="Times New Roman" w:hAnsi="Times New Roman" w:cs="Times New Roman"/>
          <w:sz w:val="24"/>
          <w:szCs w:val="24"/>
        </w:rPr>
        <w:t xml:space="preserve">To improve this further the government could implement free school meals throughout every school within England and Wales. Currently just ninety-six schools in Wales take part </w:t>
      </w:r>
      <w:r w:rsidRPr="00E1527B">
        <w:rPr>
          <w:rFonts w:ascii="Times New Roman" w:hAnsi="Times New Roman" w:cs="Times New Roman"/>
          <w:sz w:val="24"/>
          <w:szCs w:val="24"/>
        </w:rPr>
        <w:lastRenderedPageBreak/>
        <w:t xml:space="preserve">in this action plan. For children who aren’t entitled to free lunches in schools a free breakfast would help them and their parents out immensely. </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The Well-being of Future Generations Act (2015) was introduced to improve health in Wales. The aim of the Government is to introduce seven goals to ensure that communities and the country can reach its full potential. The two goals relevant to protecting low income families who are unable to benefit from free school meals are ‘A healthier Wales’ and ‘A more equal Wales’. These closely link to promoting more opportunities for the socio-economic class and lead individuals to maintain a positive, healthy lifestyle.</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Universal Credit was implemented in 2010 where multiple payments were linked into one payment system. The Governments implementation of the welfare system aimed to help low-income and unemployed families. Several research findings have discussed the flaws of Universal Credit, the Welsh Government (2018) found that Foodbank use in areas where Universal Credit has been rolled out has increased by 30% according to National Audit Office Statistics, compared to a 12% increase in non-Universal Credit Areas. Recent studies from the National Federation of ALMOS (2016) found that a higher proportion of tenants (85%) claiming UC are in arrears compared to 39% of tenants overall. A study was carried out comparing the impact of Universal Credit between March 31, 2016 and 30</w:t>
      </w:r>
      <w:r w:rsidRPr="00E1527B">
        <w:rPr>
          <w:rFonts w:ascii="Times New Roman" w:hAnsi="Times New Roman" w:cs="Times New Roman"/>
          <w:sz w:val="24"/>
          <w:szCs w:val="24"/>
          <w:vertAlign w:val="superscript"/>
        </w:rPr>
        <w:t>th</w:t>
      </w:r>
      <w:r w:rsidRPr="00E1527B">
        <w:rPr>
          <w:rFonts w:ascii="Times New Roman" w:hAnsi="Times New Roman" w:cs="Times New Roman"/>
          <w:sz w:val="24"/>
          <w:szCs w:val="24"/>
        </w:rPr>
        <w:t xml:space="preserve"> September, 2016. The results showed an increase of £294.84 was owed across Universal Credit households.</w:t>
      </w:r>
    </w:p>
    <w:bookmarkEnd w:id="0"/>
    <w:p w:rsidR="00E1527B" w:rsidRPr="00E1527B" w:rsidRDefault="00E1527B" w:rsidP="00E1527B">
      <w:pPr>
        <w:pStyle w:val="story-bodylist-item"/>
        <w:shd w:val="clear" w:color="auto" w:fill="FFFFFF"/>
        <w:spacing w:before="270" w:beforeAutospacing="0" w:after="0" w:afterAutospacing="0"/>
        <w:textAlignment w:val="baseline"/>
      </w:pPr>
      <w:r w:rsidRPr="00E1527B">
        <w:t xml:space="preserve">Universal credit negatively effects low-income families as debt and repayment difficulties largely impacts health and well-being. Research presented by Fitch </w:t>
      </w:r>
      <w:r w:rsidRPr="00E1527B">
        <w:rPr>
          <w:i/>
        </w:rPr>
        <w:t>et al</w:t>
      </w:r>
      <w:r w:rsidRPr="00E1527B">
        <w:t xml:space="preserve"> (2018) suggest an individual’s worry or concern about their debt can have an equal or larger negative impact on mental health than the actual size or amount of that debt.  Statistics displayed by Hood </w:t>
      </w:r>
      <w:r w:rsidRPr="00E1527B">
        <w:rPr>
          <w:i/>
        </w:rPr>
        <w:t>et al</w:t>
      </w:r>
      <w:r w:rsidRPr="00E1527B">
        <w:t xml:space="preserve"> (2018) show </w:t>
      </w:r>
      <w:r w:rsidRPr="00E1527B">
        <w:rPr>
          <w:rStyle w:val="Strong"/>
          <w:b w:val="0"/>
          <w:color w:val="000000"/>
          <w:bdr w:val="none" w:sz="0" w:space="0" w:color="auto" w:frame="1"/>
        </w:rPr>
        <w:t>those with lower incomes are less likely to hold any unsecured debt but are more likely to be in ‘net debt’, with unsecured debts of greater value than their financial assets.</w:t>
      </w:r>
      <w:r w:rsidRPr="00E1527B">
        <w:rPr>
          <w:rStyle w:val="Strong"/>
          <w:color w:val="000000"/>
          <w:bdr w:val="none" w:sz="0" w:space="0" w:color="auto" w:frame="1"/>
        </w:rPr>
        <w:t xml:space="preserve"> </w:t>
      </w:r>
      <w:r w:rsidRPr="00E1527B">
        <w:t>There is close link between debt and the affect it has on every individual within a family. The financial burden that is presented by universal credit brings a constant worry which consequently can get worse if the problem is not dealt with. The Children Society (2017) research on debt suggests that when families on low income are struggling financially, the number of debts they owe has a significant negative impact on children’s mental health. Higher numbers of debts indicated worse mental health in children. The Children Society found that families on low income who reported having financial difficulties, as the number of debts increases so too does the likelihood of children experiencing mental health problems. Evidence proposed by The Good Childhood Report (2017) states 30% of 10-17 years olds in the UK were living in rent arrears. This suggests over a quarter of young people are faced with large problems from a young age, these issues can have damaging effects on mental health. The long-term impact on health and well-being can become more severe with illnesses such as depression, suicide, alcohol and substance abuse. Mental health (2016) statistics show higher rates of mental health problems are associated with poverty and socio-economic disadvantage. Evidence by a study carried out by Rowlingson (2011) suggests that there is a correlation between income inequality and health and social problems. Those who are from a low-income family do not have the same opportunities and financial status as those from a higher class. This highlights the negative health and well-being outcomes experienced by those who are reliant on universal credits as they are faced with ongoing demands from repayments and other monetary issues.</w:t>
      </w:r>
    </w:p>
    <w:p w:rsidR="00E1527B" w:rsidRPr="00E1527B" w:rsidRDefault="00E1527B" w:rsidP="00E1527B">
      <w:pPr>
        <w:pStyle w:val="story-bodylist-item"/>
        <w:shd w:val="clear" w:color="auto" w:fill="FFFFFF"/>
        <w:spacing w:before="270" w:beforeAutospacing="0" w:after="0" w:afterAutospacing="0"/>
        <w:textAlignment w:val="baseline"/>
      </w:pP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 xml:space="preserve">Universal credit features a six-week delay in payment to clients. The criticism on the welfare system is the six-week duration is a lengthy period to wait for low-income families when receiving no other payment. </w:t>
      </w:r>
      <w:r w:rsidRPr="00E1527B">
        <w:rPr>
          <w:rFonts w:ascii="Times New Roman" w:hAnsi="Times New Roman" w:cs="Times New Roman"/>
          <w:color w:val="00B050"/>
          <w:sz w:val="24"/>
          <w:szCs w:val="24"/>
        </w:rPr>
        <w:t xml:space="preserve">The Joseph Rowntree, Britain Thinks Report (2017) </w:t>
      </w:r>
      <w:r w:rsidRPr="00E1527B">
        <w:rPr>
          <w:rFonts w:ascii="Times New Roman" w:hAnsi="Times New Roman" w:cs="Times New Roman"/>
          <w:sz w:val="24"/>
          <w:szCs w:val="24"/>
        </w:rPr>
        <w:t xml:space="preserve">found that rent arrears are highly common in universal credit individuals because UC payments are delayed and inaccurately paid on time. This low-income group rely on borrowing money and lending from close family and friends causing individuals to fall into further monetary issues. Some of these individuals are already in financial crisis meaning universal credit can make these issues more severe. </w:t>
      </w:r>
    </w:p>
    <w:p w:rsidR="00E1527B" w:rsidRPr="00E1527B" w:rsidRDefault="00E1527B" w:rsidP="00E1527B">
      <w:pPr>
        <w:rPr>
          <w:rFonts w:ascii="Times New Roman" w:hAnsi="Times New Roman" w:cs="Times New Roman"/>
          <w:color w:val="00B050"/>
          <w:sz w:val="24"/>
          <w:szCs w:val="24"/>
        </w:rPr>
      </w:pPr>
      <w:r w:rsidRPr="00E1527B">
        <w:rPr>
          <w:rFonts w:ascii="Times New Roman" w:hAnsi="Times New Roman" w:cs="Times New Roman"/>
          <w:sz w:val="24"/>
          <w:szCs w:val="24"/>
        </w:rPr>
        <w:t xml:space="preserve">Food banks are a key feature that is affected by the delay of Universal credit. Statistics presented by Trussel Trust Charity (2018) compared results between the current and previous year in which a 13% increase was proposed. </w:t>
      </w:r>
      <w:r w:rsidRPr="00E1527B">
        <w:rPr>
          <w:rFonts w:ascii="Times New Roman" w:hAnsi="Times New Roman" w:cs="Times New Roman"/>
          <w:color w:val="000000"/>
          <w:sz w:val="24"/>
          <w:szCs w:val="24"/>
          <w:shd w:val="clear" w:color="auto" w:fill="FFFFFF"/>
        </w:rPr>
        <w:t xml:space="preserve">The top four reasons for referral to a foodbank is relative to benefit delay, benefit change and low income. Food banks distributes food to those who are socio-economically disadvantaged, this opportunity is of great importance to those less unfortunate. However, if large number of families rely on these organisations for help, it may impose a threat on the opportunity and availability of the service. The more dependent low-income families are on these charitable services, the likelihood restrictions will be made to ensure every family has the chance to eat. </w:t>
      </w:r>
      <w:r w:rsidRPr="00E1527B">
        <w:rPr>
          <w:rFonts w:ascii="Times New Roman" w:hAnsi="Times New Roman" w:cs="Times New Roman"/>
          <w:color w:val="00B050"/>
          <w:sz w:val="24"/>
          <w:szCs w:val="24"/>
          <w:shd w:val="clear" w:color="auto" w:fill="FFFFFF"/>
        </w:rPr>
        <w:t>(What I’m trying to say is there is only so much food food banks provide therefore if people over-use it then maybe low-income families wont be as fortunate to use it)</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What is striking about the results presented is the necessity for change through the Universal Credit system. The negative impact from the system plays a significant influence on the well-being low-income families experience. The National Federation (2017) proposed improvements that Governments could implicate. These changes include improving the process, ensuring the application and payments are scheduled on time. This improvement could benefit families massively as it reduces their need to rely and borrow money from others. A quicker and easier process by universal credit can offer security and safety to families who are struggling financially resulting in lower risk of negative well-being. A survey by Rowntree (2018) suggested that participants felt that both job centres and universal credit staff are lacking insufficient training. Therefore implications the government could offer is better training for staff resulting in more empathy towards housing issues can support customers and offer them piece of mind.</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The health and well-being affects ca</w:t>
      </w:r>
    </w:p>
    <w:p w:rsidR="00E1527B" w:rsidRPr="00E1527B" w:rsidRDefault="00E1527B" w:rsidP="00E1527B">
      <w:pPr>
        <w:spacing w:before="240"/>
        <w:rPr>
          <w:rFonts w:ascii="Times New Roman" w:hAnsi="Times New Roman" w:cs="Times New Roman"/>
          <w:sz w:val="24"/>
          <w:szCs w:val="24"/>
        </w:rPr>
      </w:pPr>
      <w:r w:rsidRPr="00E1527B">
        <w:rPr>
          <w:rFonts w:ascii="Times New Roman" w:hAnsi="Times New Roman" w:cs="Times New Roman"/>
          <w:sz w:val="24"/>
          <w:szCs w:val="24"/>
        </w:rPr>
        <w:t xml:space="preserve">The United Nations Declarations of Human Rights is a vital piece of legislation created in 1948 that aims to protect every individual in 48 Countries. However, evidence suggests the protective legislation does not protect low-income families despite the rights apply to every individual. The legislation contains thirty rights that offer every person basic human freedom. The United Nations (1948) state that ‘all humans beings are born free and equal in dignity and rights.’ These values offer us a sense of protection and freedom. However is challenging for the Human Rights Act to protect every individual within such a wide society without excluding vulnerable groups. Social class has a strong link between the accessibility to these </w:t>
      </w:r>
      <w:r w:rsidRPr="00E1527B">
        <w:rPr>
          <w:rFonts w:ascii="Times New Roman" w:hAnsi="Times New Roman" w:cs="Times New Roman"/>
          <w:sz w:val="24"/>
          <w:szCs w:val="24"/>
        </w:rPr>
        <w:lastRenderedPageBreak/>
        <w:t xml:space="preserve">rights. Results from Ron </w:t>
      </w:r>
      <w:r w:rsidRPr="00E1527B">
        <w:rPr>
          <w:rFonts w:ascii="Times New Roman" w:hAnsi="Times New Roman" w:cs="Times New Roman"/>
          <w:i/>
          <w:sz w:val="24"/>
          <w:szCs w:val="24"/>
        </w:rPr>
        <w:t>et al</w:t>
      </w:r>
      <w:r w:rsidRPr="00E1527B">
        <w:rPr>
          <w:rFonts w:ascii="Times New Roman" w:hAnsi="Times New Roman" w:cs="Times New Roman"/>
          <w:sz w:val="24"/>
          <w:szCs w:val="24"/>
        </w:rPr>
        <w:t xml:space="preserve"> (2014) suggest higher socio-economic status is correlated with more exposure to Human Rights. Those from a low-income family are at risk of exclusion due to social, economic and political status. The United Nations, Article 25 of the Universal Declaration of Human rights (1948) states “everyone has the right to a standard of living adequate for the health and wellbeing of himself and his family, including food, clothing, housing and medical care and necessary social services. Social and economic status is a large influence of inadequate housing. Low-income families are less fortunate and have less chance of obtaining a house. Housing opportunities are not shared equally amongst those from low-income families, it is often they are discriminated due to their financial status. These fundamental rights supposedly exclusive to everyone can be restricted and limited due to financial status within society. In 2005, the United Nations published a global survey highlighting 100 million people were homeless worldwide (Cited by Homeless World Cup, 2018.) The International human law can create an imbalance between other rights for those disadvantaged. For example, access to housing can affect the right to work, right to social security and right to education, enforcing a group to become socially excluded from every aspect of life. </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 xml:space="preserve">A low-income family without adequate housing has a devastating effect on parents and children. The opportunity to learn at school, having access to food, nutrition and healthcare are all at risk as their safety net is eradicated. The Office of High Commissioner for Human Rights states Children’s health, educational advancement and overall well-being are deeply influenced by the quality of housing in which they live. Lack of adequate housing, forced evictions or homelessness tend to have a profound impact on children due to their specific needs, affecting their growth, development and enjoyment of a whole range of human rights, including the right to education and health. ‘Forced evictions often result in children’s schooling being interrupted or completely stopped’ This has a damaging effect on well-being in the long term, education offers opportunity to grow and learn’ (OHCR, n.d.) The prevention of education removes the social and academic aspect of life from a child. </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Social exclusion is caused by denied access to opportunities which are imposed by human rights being eliminated. Research in relation to lack of education and well-being suggested that as well as the significant effect that lack of educational qualifications has on the ability to get decently paid work and to manage in a society that requires certain levels of functional literacy, this may be one of the factors that contributes to low self</w:t>
      </w:r>
      <w:r w:rsidRPr="00E1527B">
        <w:rPr>
          <w:rFonts w:ascii="Cambria Math" w:hAnsi="Cambria Math" w:cs="Cambria Math"/>
          <w:sz w:val="24"/>
          <w:szCs w:val="24"/>
        </w:rPr>
        <w:t>‐</w:t>
      </w:r>
      <w:r w:rsidRPr="00E1527B">
        <w:rPr>
          <w:rFonts w:ascii="Times New Roman" w:hAnsi="Times New Roman" w:cs="Times New Roman"/>
          <w:sz w:val="24"/>
          <w:szCs w:val="24"/>
        </w:rPr>
        <w:t xml:space="preserve">esteem, which has been shown to have a major impact on the choice, effectiveness and persistence of people’s behaviours across a range of settings, and has been shown to be a particular problem amongst many people who might be described as socially excluded (Courts and Judiciary Tribunals ,2013.) A house offers more than security, it offers access to water and food, to sleep and to live in a safe environment surrounded by family. ‘Inadequate housing can have repercussions on the right to health; residents may fall seriously ill if sanitation and water is limited’ (OCHR, n.d) Statistics presented by World Health Organisation (2018) state 844 million people lack even a basic drinking-water service. </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 xml:space="preserve">The results suggest there are improvements to be made to ensure those in low-economic and social areas are not missing out on resources which parts of society take for granted. United </w:t>
      </w:r>
      <w:r w:rsidRPr="00E1527B">
        <w:rPr>
          <w:rFonts w:ascii="Times New Roman" w:hAnsi="Times New Roman" w:cs="Times New Roman"/>
          <w:sz w:val="24"/>
          <w:szCs w:val="24"/>
        </w:rPr>
        <w:lastRenderedPageBreak/>
        <w:t xml:space="preserve">Cities and Local Governments state that the role of local governments in realizing the right to adequate housing is greater than ever before. There’s a pressing need for local governments to build partnerships with civil society in order to achieve this goal. To address the situation, the importance of adequate housing in those disadvantaged needs to be highlighted further. The Government could work with local charities and homeless shelters to help make decisions on their needs. Interacting more with residents of the community and making it a public issue may help identify issues and encourage improvements therefore everyone is getting involved. Discrimination and exclusion is a big aspect of inadequate housing, with low-income groups not receiving the same opportunities and equalities as others. By the Government promoting equality and treating everyone equal, creates a fairer society and implements Human Rights the way they were intended. </w:t>
      </w:r>
    </w:p>
    <w:p w:rsidR="00E1527B" w:rsidRPr="00E1527B" w:rsidRDefault="00E1527B" w:rsidP="00E1527B">
      <w:pPr>
        <w:rPr>
          <w:rFonts w:ascii="Times New Roman" w:hAnsi="Times New Roman" w:cs="Times New Roman"/>
          <w:sz w:val="24"/>
          <w:szCs w:val="24"/>
          <w:shd w:val="clear" w:color="auto" w:fill="FFFFFF"/>
        </w:rPr>
      </w:pPr>
      <w:r w:rsidRPr="00E1527B">
        <w:rPr>
          <w:rFonts w:ascii="Times New Roman" w:hAnsi="Times New Roman" w:cs="Times New Roman"/>
          <w:sz w:val="24"/>
          <w:szCs w:val="24"/>
        </w:rPr>
        <w:t xml:space="preserve">This assignment has critically analysed how health and well-being from a low-income family may not be secured by protective legislation. </w:t>
      </w:r>
      <w:r w:rsidRPr="00E1527B">
        <w:rPr>
          <w:rFonts w:ascii="Times New Roman" w:hAnsi="Times New Roman" w:cs="Times New Roman"/>
          <w:sz w:val="24"/>
          <w:szCs w:val="24"/>
          <w:shd w:val="clear" w:color="auto" w:fill="FFFFFF"/>
        </w:rPr>
        <w:t>This study has identified that socio-economic factors play a huge part in receiving unequal treatment and discrimination. This study has shown that because certain families do not earn a substantial income, it affects them in every aspect of life. The research provided us with evidence that lower health and well-being is more likely in disadvantaged families, as they do not share the same opportunities to healthcare, education, housing and food. The most obvious finding to emerge from this study is that despite legislation and human law enforcements, this does not protect particular groups rights to freedom. In fact, the significance of this assignment suggested a great deal of improvements need to be made to create an equal, fairer society.</w:t>
      </w:r>
      <w:r w:rsidRPr="00E1527B">
        <w:rPr>
          <w:rFonts w:ascii="Times New Roman" w:hAnsi="Times New Roman" w:cs="Times New Roman"/>
          <w:sz w:val="24"/>
          <w:szCs w:val="24"/>
        </w:rPr>
        <w:br/>
      </w:r>
      <w:r w:rsidRPr="00E1527B">
        <w:rPr>
          <w:rFonts w:ascii="Times New Roman" w:hAnsi="Times New Roman" w:cs="Times New Roman"/>
          <w:sz w:val="24"/>
          <w:szCs w:val="24"/>
          <w:shd w:val="clear" w:color="auto" w:fill="FFFFFF"/>
        </w:rPr>
        <w:t>The results of this study indicate that financial status is a large importance in the world. The ability to voice your opinion within society when you have no political, social and economic representative is almost impossible</w:t>
      </w:r>
      <w:r w:rsidRPr="00E1527B">
        <w:rPr>
          <w:rFonts w:ascii="Times New Roman" w:hAnsi="Times New Roman" w:cs="Times New Roman"/>
          <w:color w:val="333333"/>
          <w:sz w:val="24"/>
          <w:szCs w:val="24"/>
          <w:shd w:val="clear" w:color="auto" w:fill="FFFFFF"/>
        </w:rPr>
        <w:t xml:space="preserve">. </w:t>
      </w:r>
      <w:r w:rsidRPr="00E1527B">
        <w:rPr>
          <w:rFonts w:ascii="Times New Roman" w:hAnsi="Times New Roman" w:cs="Times New Roman"/>
          <w:sz w:val="24"/>
          <w:szCs w:val="24"/>
          <w:shd w:val="clear" w:color="auto" w:fill="FFFFFF"/>
        </w:rPr>
        <w:t>The overall impact on social class is negative and highlights groups on what they are not. Social class is stigmatised based on financial earnings and those who are on low income, unemployed and poverty are represented at the bottom of the hierarchy. The basis of fair treatment may be promoted if society was not distinguished between groups, but instead all had an equal positioning within civilisation. United Nations Population Fund (2017) suggests improvements for a more equal world by providing a universal protection floor where everyone has basic security, financial support and childcare. Another opportunity to progress could be to improve the accessibility and quality of education, amplifying equal opportunities. The challenge now is for local, regional and central governments to make these changes by aiming towards the Seventeen Sustainable Development Goals. Further implications under the Human Rights Act could be to create socio-economic as a protected characteristic within legislation. Social class is not a characteristic protected by the law, despite it is representative of diverse minorities. Further work is needed to fully understand the implications of low-income families and to create a less biased view. The findings of this study have a number of important implications for future practice, despite arguments that the law will never protect everyone.</w:t>
      </w:r>
    </w:p>
    <w:p w:rsidR="00E1527B" w:rsidRPr="00E1527B" w:rsidRDefault="00E1527B" w:rsidP="00E1527B">
      <w:pPr>
        <w:rPr>
          <w:rFonts w:ascii="Times New Roman" w:hAnsi="Times New Roman" w:cs="Times New Roman"/>
          <w:sz w:val="24"/>
          <w:szCs w:val="24"/>
          <w:shd w:val="clear" w:color="auto" w:fill="FFFFFF"/>
        </w:rPr>
      </w:pPr>
    </w:p>
    <w:p w:rsidR="00E1527B" w:rsidRPr="00E1527B" w:rsidRDefault="00E1527B" w:rsidP="00E1527B">
      <w:pPr>
        <w:spacing w:after="100" w:afterAutospacing="1" w:line="240" w:lineRule="auto"/>
        <w:jc w:val="center"/>
        <w:outlineLvl w:val="1"/>
        <w:rPr>
          <w:rFonts w:ascii="Times New Roman" w:eastAsia="Times New Roman" w:hAnsi="Times New Roman" w:cs="Times New Roman"/>
          <w:b/>
          <w:color w:val="000000"/>
          <w:sz w:val="24"/>
          <w:szCs w:val="24"/>
          <w:u w:val="single"/>
          <w:lang w:eastAsia="en-GB"/>
        </w:rPr>
      </w:pPr>
      <w:r w:rsidRPr="00E1527B">
        <w:rPr>
          <w:rFonts w:ascii="Times New Roman" w:eastAsia="Times New Roman" w:hAnsi="Times New Roman" w:cs="Times New Roman"/>
          <w:b/>
          <w:color w:val="000000"/>
          <w:sz w:val="24"/>
          <w:szCs w:val="24"/>
          <w:u w:val="single"/>
          <w:lang w:eastAsia="en-GB"/>
        </w:rPr>
        <w:t>References</w:t>
      </w:r>
    </w:p>
    <w:p w:rsidR="00E1527B" w:rsidRPr="00E1527B" w:rsidRDefault="00E1527B" w:rsidP="00E1527B">
      <w:pPr>
        <w:spacing w:after="180" w:line="240" w:lineRule="auto"/>
        <w:ind w:left="450" w:hanging="450"/>
        <w:rPr>
          <w:rFonts w:ascii="Times New Roman" w:eastAsia="Times New Roman" w:hAnsi="Times New Roman" w:cs="Times New Roman"/>
          <w:sz w:val="24"/>
          <w:szCs w:val="24"/>
          <w:lang w:eastAsia="en-GB"/>
        </w:rPr>
      </w:pPr>
      <w:r w:rsidRPr="00E1527B">
        <w:rPr>
          <w:rFonts w:ascii="Times New Roman" w:eastAsia="Times New Roman" w:hAnsi="Times New Roman" w:cs="Times New Roman"/>
          <w:sz w:val="24"/>
          <w:szCs w:val="24"/>
          <w:lang w:eastAsia="en-GB"/>
        </w:rPr>
        <w:lastRenderedPageBreak/>
        <w:t>Beta.gov.wales. (2018). </w:t>
      </w:r>
      <w:r w:rsidRPr="00E1527B">
        <w:rPr>
          <w:rFonts w:ascii="Times New Roman" w:eastAsia="Times New Roman" w:hAnsi="Times New Roman" w:cs="Times New Roman"/>
          <w:i/>
          <w:iCs/>
          <w:sz w:val="24"/>
          <w:szCs w:val="24"/>
          <w:lang w:eastAsia="en-GB"/>
        </w:rPr>
        <w:t>Revised eligibility criteria for free school meals</w:t>
      </w:r>
      <w:r w:rsidRPr="00E1527B">
        <w:rPr>
          <w:rFonts w:ascii="Times New Roman" w:eastAsia="Times New Roman" w:hAnsi="Times New Roman" w:cs="Times New Roman"/>
          <w:sz w:val="24"/>
          <w:szCs w:val="24"/>
          <w:lang w:eastAsia="en-GB"/>
        </w:rPr>
        <w:t>. [online] Available at: https://beta.gov.wales/sites/default/files/consultations/2018-06/revised-eligibility-criteria-for-free-school-meals-consultation-document-v2.pdf [Accessed 9 Nov. 2018].</w:t>
      </w:r>
    </w:p>
    <w:p w:rsidR="00E1527B" w:rsidRPr="00E1527B" w:rsidRDefault="00E1527B" w:rsidP="00E1527B">
      <w:pPr>
        <w:pStyle w:val="NormalWeb"/>
        <w:spacing w:before="0" w:beforeAutospacing="0" w:after="180" w:afterAutospacing="0"/>
        <w:ind w:left="450" w:hanging="450"/>
      </w:pPr>
      <w:r w:rsidRPr="00E1527B">
        <w:t>Britainthinks.com. (2018). </w:t>
      </w:r>
      <w:r w:rsidRPr="00E1527B">
        <w:rPr>
          <w:i/>
          <w:iCs/>
        </w:rPr>
        <w:t>Learning from Experiences of Universal Credit</w:t>
      </w:r>
      <w:r w:rsidRPr="00E1527B">
        <w:t>. [online] Available at: http://britainthinks.com/pdfs/Learning-from-experiences-of-Universal-Credit_Report-for-the-Joseph-Rowntree-Foundation.pdf [Accessed 9 Nov. 2018].</w:t>
      </w:r>
    </w:p>
    <w:p w:rsidR="00E1527B" w:rsidRPr="00E1527B" w:rsidRDefault="00E1527B" w:rsidP="00E1527B">
      <w:pPr>
        <w:pStyle w:val="NormalWeb"/>
        <w:spacing w:before="0" w:beforeAutospacing="0" w:after="180" w:afterAutospacing="0"/>
        <w:ind w:left="450" w:hanging="450"/>
      </w:pPr>
      <w:r w:rsidRPr="00E1527B">
        <w:t>Carmarthenshire.gov.wales. (2018). </w:t>
      </w:r>
      <w:r w:rsidRPr="00E1527B">
        <w:rPr>
          <w:i/>
          <w:iCs/>
        </w:rPr>
        <w:t>Free breakfast initiative</w:t>
      </w:r>
      <w:r w:rsidRPr="00E1527B">
        <w:t>. [online] Available at: https://www.carmarthenshire.gov.wales/home/council-services/education-schools/school-meals/free-breakfast-school-milk/#.W-P15dX7TIU [Accessed 9 Nov. 2018].</w:t>
      </w:r>
    </w:p>
    <w:p w:rsidR="00E1527B" w:rsidRPr="00E1527B" w:rsidRDefault="00E1527B" w:rsidP="00E1527B">
      <w:pPr>
        <w:spacing w:after="180" w:line="240" w:lineRule="auto"/>
        <w:ind w:left="450" w:hanging="450"/>
        <w:rPr>
          <w:rFonts w:ascii="Times New Roman" w:eastAsia="Times New Roman" w:hAnsi="Times New Roman" w:cs="Times New Roman"/>
          <w:sz w:val="24"/>
          <w:szCs w:val="24"/>
          <w:lang w:eastAsia="en-GB"/>
        </w:rPr>
      </w:pPr>
      <w:r w:rsidRPr="00E1527B">
        <w:rPr>
          <w:rFonts w:ascii="Times New Roman" w:eastAsia="Times New Roman" w:hAnsi="Times New Roman" w:cs="Times New Roman"/>
          <w:sz w:val="24"/>
          <w:szCs w:val="24"/>
          <w:lang w:eastAsia="en-GB"/>
        </w:rPr>
        <w:t>Childrenssociety.org.uk. (2018). </w:t>
      </w:r>
      <w:r w:rsidRPr="00E1527B">
        <w:rPr>
          <w:rFonts w:ascii="Times New Roman" w:eastAsia="Times New Roman" w:hAnsi="Times New Roman" w:cs="Times New Roman"/>
          <w:i/>
          <w:iCs/>
          <w:sz w:val="24"/>
          <w:szCs w:val="24"/>
          <w:lang w:eastAsia="en-GB"/>
        </w:rPr>
        <w:t>Current Provision of Free School Meals in Wales</w:t>
      </w:r>
      <w:r w:rsidRPr="00E1527B">
        <w:rPr>
          <w:rFonts w:ascii="Times New Roman" w:eastAsia="Times New Roman" w:hAnsi="Times New Roman" w:cs="Times New Roman"/>
          <w:sz w:val="24"/>
          <w:szCs w:val="24"/>
          <w:lang w:eastAsia="en-GB"/>
        </w:rPr>
        <w:t>. [online] Available at: https://www.childrenssociety.org.uk/sites/default/files/tcs/current-provision-of-free-school-meals-in-wales_final.pdf [Accessed 9 Nov. 2018].</w:t>
      </w:r>
    </w:p>
    <w:p w:rsidR="00E1527B" w:rsidRPr="00E1527B" w:rsidRDefault="00E1527B" w:rsidP="00E1527B">
      <w:pPr>
        <w:pStyle w:val="NormalWeb"/>
        <w:spacing w:before="0" w:beforeAutospacing="0" w:after="180" w:afterAutospacing="0"/>
        <w:ind w:left="450" w:hanging="450"/>
      </w:pPr>
      <w:r w:rsidRPr="00E1527B">
        <w:t>Conservatives.com. (2017). </w:t>
      </w:r>
      <w:r w:rsidRPr="00E1527B">
        <w:rPr>
          <w:i/>
          <w:iCs/>
        </w:rPr>
        <w:t>The Conservative Party Manifesto 2017</w:t>
      </w:r>
      <w:r w:rsidRPr="00E1527B">
        <w:t>. [online] Available at: https://www.conservatives.com/manifesto [Accessed 9 Nov. 2018].</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 xml:space="preserve">David Cameron (2006) </w:t>
      </w:r>
      <w:hyperlink r:id="rId4" w:history="1">
        <w:r w:rsidRPr="00E1527B">
          <w:rPr>
            <w:rStyle w:val="Hyperlink"/>
            <w:rFonts w:ascii="Times New Roman" w:hAnsi="Times New Roman" w:cs="Times New Roman"/>
            <w:color w:val="auto"/>
            <w:sz w:val="24"/>
            <w:szCs w:val="24"/>
          </w:rPr>
          <w:t>www.guardian.co.uk/politics/2006/may/22/conservatives.davidcameron</w:t>
        </w:r>
      </w:hyperlink>
    </w:p>
    <w:p w:rsidR="00E1527B" w:rsidRPr="00E1527B" w:rsidRDefault="00E1527B" w:rsidP="00E1527B">
      <w:pPr>
        <w:spacing w:after="180" w:line="240" w:lineRule="auto"/>
        <w:ind w:left="450" w:hanging="450"/>
        <w:rPr>
          <w:rFonts w:ascii="Times New Roman" w:eastAsia="Times New Roman" w:hAnsi="Times New Roman" w:cs="Times New Roman"/>
          <w:sz w:val="24"/>
          <w:szCs w:val="24"/>
          <w:lang w:eastAsia="en-GB"/>
        </w:rPr>
      </w:pPr>
      <w:r w:rsidRPr="00E1527B">
        <w:rPr>
          <w:rFonts w:ascii="Times New Roman" w:eastAsia="Times New Roman" w:hAnsi="Times New Roman" w:cs="Times New Roman"/>
          <w:sz w:val="24"/>
          <w:szCs w:val="24"/>
          <w:lang w:eastAsia="en-GB"/>
        </w:rPr>
        <w:t>Dodge, R., Daly, A., Huyton, J. and Sanders, L. (2012). </w:t>
      </w:r>
      <w:r w:rsidRPr="00E1527B">
        <w:rPr>
          <w:rFonts w:ascii="Times New Roman" w:eastAsia="Times New Roman" w:hAnsi="Times New Roman" w:cs="Times New Roman"/>
          <w:i/>
          <w:iCs/>
          <w:sz w:val="24"/>
          <w:szCs w:val="24"/>
          <w:lang w:eastAsia="en-GB"/>
        </w:rPr>
        <w:t>The Challenge of Defining Well-being</w:t>
      </w:r>
      <w:r w:rsidRPr="00E1527B">
        <w:rPr>
          <w:rFonts w:ascii="Times New Roman" w:eastAsia="Times New Roman" w:hAnsi="Times New Roman" w:cs="Times New Roman"/>
          <w:sz w:val="24"/>
          <w:szCs w:val="24"/>
          <w:lang w:eastAsia="en-GB"/>
        </w:rPr>
        <w:t>. [online] Internationaljournalofwellbeing.org. Available at: https://internationaljournalofwellbeing.org/index.php/ijow/article/viewFile/89/238 [Accessed 9 Nov. 2018].</w:t>
      </w:r>
    </w:p>
    <w:p w:rsidR="00E1527B" w:rsidRPr="00E1527B" w:rsidRDefault="00E1527B" w:rsidP="00E1527B">
      <w:pPr>
        <w:rPr>
          <w:rFonts w:ascii="Times New Roman" w:hAnsi="Times New Roman" w:cs="Times New Roman"/>
          <w:sz w:val="24"/>
          <w:szCs w:val="24"/>
        </w:rPr>
      </w:pPr>
      <w:r w:rsidRPr="00E1527B">
        <w:rPr>
          <w:rFonts w:ascii="Times New Roman" w:hAnsi="Times New Roman" w:cs="Times New Roman"/>
          <w:sz w:val="24"/>
          <w:szCs w:val="24"/>
        </w:rPr>
        <w:t>Elliott, I. (June 2016) Poverty and Mental Health: A review to inform the Joseph Rowntree Foundation’s Anti-Poverty Strategy. London: Mental Health Foundation</w:t>
      </w:r>
    </w:p>
    <w:p w:rsidR="00E1527B" w:rsidRPr="00E1527B" w:rsidRDefault="00E1527B" w:rsidP="00E1527B">
      <w:pPr>
        <w:spacing w:after="180" w:line="240" w:lineRule="auto"/>
        <w:ind w:left="450" w:hanging="450"/>
        <w:rPr>
          <w:rFonts w:ascii="Times New Roman" w:eastAsia="Times New Roman" w:hAnsi="Times New Roman" w:cs="Times New Roman"/>
          <w:sz w:val="24"/>
          <w:szCs w:val="24"/>
          <w:lang w:eastAsia="en-GB"/>
        </w:rPr>
      </w:pPr>
      <w:r w:rsidRPr="00E1527B">
        <w:rPr>
          <w:rFonts w:ascii="Times New Roman" w:eastAsia="Times New Roman" w:hAnsi="Times New Roman" w:cs="Times New Roman"/>
          <w:sz w:val="24"/>
          <w:szCs w:val="24"/>
          <w:lang w:eastAsia="en-GB"/>
        </w:rPr>
        <w:t>Federation, N. (2018). </w:t>
      </w:r>
      <w:r w:rsidRPr="00E1527B">
        <w:rPr>
          <w:rFonts w:ascii="Times New Roman" w:eastAsia="Times New Roman" w:hAnsi="Times New Roman" w:cs="Times New Roman"/>
          <w:i/>
          <w:iCs/>
          <w:sz w:val="24"/>
          <w:szCs w:val="24"/>
          <w:lang w:eastAsia="en-GB"/>
        </w:rPr>
        <w:t>“Flawed” Universal Credit is causing debt and hardship for families in social housing</w:t>
      </w:r>
      <w:r w:rsidRPr="00E1527B">
        <w:rPr>
          <w:rFonts w:ascii="Times New Roman" w:eastAsia="Times New Roman" w:hAnsi="Times New Roman" w:cs="Times New Roman"/>
          <w:sz w:val="24"/>
          <w:szCs w:val="24"/>
          <w:lang w:eastAsia="en-GB"/>
        </w:rPr>
        <w:t>. [online] Housing.org.uk. Available at: https://www.housing.org.uk/press/press-releases/flawed-universal-credit-causing-debt-hardship-families-in-social-housing/ [Accessed 9 Nov. 2018].</w:t>
      </w:r>
    </w:p>
    <w:p w:rsidR="00E1527B" w:rsidRPr="00E1527B" w:rsidRDefault="00E1527B" w:rsidP="00E1527B">
      <w:pPr>
        <w:pStyle w:val="NormalWeb"/>
        <w:spacing w:before="0" w:beforeAutospacing="0" w:after="180" w:afterAutospacing="0"/>
        <w:ind w:left="450" w:hanging="450"/>
      </w:pPr>
      <w:r w:rsidRPr="00E1527B">
        <w:t>Ferris, L. (2018). </w:t>
      </w:r>
      <w:r w:rsidRPr="00E1527B">
        <w:rPr>
          <w:i/>
          <w:iCs/>
        </w:rPr>
        <w:t>Review of Food Served to Children aged 4-6 years in Local Authority Primary Schools in Wales</w:t>
      </w:r>
      <w:r w:rsidRPr="00E1527B">
        <w:t>. [online] Repository.cardiffmet.ac.uk. Available at: https://repository.cardiffmet.ac.uk/bitstream/handle/10369/9851/Leah%20Ferris.pdf?sequence=1 [Accessed 9 Nov. 2018].</w:t>
      </w:r>
    </w:p>
    <w:p w:rsidR="00E1527B" w:rsidRPr="00E1527B" w:rsidRDefault="00E1527B" w:rsidP="00E1527B">
      <w:pPr>
        <w:spacing w:after="180" w:line="240" w:lineRule="auto"/>
        <w:ind w:left="450" w:hanging="450"/>
        <w:rPr>
          <w:rFonts w:ascii="Times New Roman" w:eastAsia="Times New Roman" w:hAnsi="Times New Roman" w:cs="Times New Roman"/>
          <w:sz w:val="24"/>
          <w:szCs w:val="24"/>
          <w:lang w:eastAsia="en-GB"/>
        </w:rPr>
      </w:pPr>
      <w:r w:rsidRPr="00E1527B">
        <w:rPr>
          <w:rFonts w:ascii="Times New Roman" w:eastAsia="Times New Roman" w:hAnsi="Times New Roman" w:cs="Times New Roman"/>
          <w:sz w:val="24"/>
          <w:szCs w:val="24"/>
          <w:lang w:eastAsia="en-GB"/>
        </w:rPr>
        <w:t>Fitch, C., Hamilton, S. and Davey, R. (2018). </w:t>
      </w:r>
      <w:r w:rsidRPr="00E1527B">
        <w:rPr>
          <w:rFonts w:ascii="Times New Roman" w:eastAsia="Times New Roman" w:hAnsi="Times New Roman" w:cs="Times New Roman"/>
          <w:i/>
          <w:iCs/>
          <w:sz w:val="24"/>
          <w:szCs w:val="24"/>
          <w:lang w:eastAsia="en-GB"/>
        </w:rPr>
        <w:t>Debt and Mental Health</w:t>
      </w:r>
      <w:r w:rsidRPr="00E1527B">
        <w:rPr>
          <w:rFonts w:ascii="Times New Roman" w:eastAsia="Times New Roman" w:hAnsi="Times New Roman" w:cs="Times New Roman"/>
          <w:sz w:val="24"/>
          <w:szCs w:val="24"/>
          <w:lang w:eastAsia="en-GB"/>
        </w:rPr>
        <w:t>. [online] Rcpsych.ac.uk. Available at: https://www.rcpsych.ac.uk/pdf/Debt%20and%20mental%20health%20(lit%20review%20-%2009_10_18).pdf [Accessed 9 Nov. 2018].</w:t>
      </w:r>
    </w:p>
    <w:p w:rsidR="00E1527B" w:rsidRPr="00E1527B" w:rsidRDefault="00E1527B" w:rsidP="00E1527B">
      <w:pPr>
        <w:spacing w:after="180" w:line="240" w:lineRule="auto"/>
        <w:ind w:left="450" w:hanging="450"/>
        <w:rPr>
          <w:rFonts w:ascii="Times New Roman" w:eastAsia="Times New Roman" w:hAnsi="Times New Roman" w:cs="Times New Roman"/>
          <w:sz w:val="24"/>
          <w:szCs w:val="24"/>
          <w:lang w:eastAsia="en-GB"/>
        </w:rPr>
      </w:pPr>
      <w:r w:rsidRPr="00E1527B">
        <w:rPr>
          <w:rFonts w:ascii="Times New Roman" w:hAnsi="Times New Roman" w:cs="Times New Roman"/>
          <w:color w:val="000000"/>
          <w:sz w:val="24"/>
          <w:szCs w:val="24"/>
          <w:shd w:val="clear" w:color="auto" w:fill="FFFFFF"/>
        </w:rPr>
        <w:t>Homeless World Cup. (2018). </w:t>
      </w:r>
      <w:r w:rsidRPr="00E1527B">
        <w:rPr>
          <w:rFonts w:ascii="Times New Roman" w:hAnsi="Times New Roman" w:cs="Times New Roman"/>
          <w:i/>
          <w:iCs/>
          <w:color w:val="000000"/>
          <w:sz w:val="24"/>
          <w:szCs w:val="24"/>
          <w:shd w:val="clear" w:color="auto" w:fill="FFFFFF"/>
        </w:rPr>
        <w:t>Global Homelessness Statistics</w:t>
      </w:r>
      <w:r w:rsidRPr="00E1527B">
        <w:rPr>
          <w:rFonts w:ascii="Times New Roman" w:hAnsi="Times New Roman" w:cs="Times New Roman"/>
          <w:color w:val="000000"/>
          <w:sz w:val="24"/>
          <w:szCs w:val="24"/>
          <w:shd w:val="clear" w:color="auto" w:fill="FFFFFF"/>
        </w:rPr>
        <w:t>. [online] Available at: https://homelessworldcup.org/homelessness-statistics/ [Accessed 6 Dec. 2018].</w:t>
      </w:r>
    </w:p>
    <w:p w:rsidR="00E1527B" w:rsidRPr="00E1527B" w:rsidRDefault="00E1527B" w:rsidP="00E1527B">
      <w:pPr>
        <w:spacing w:after="180" w:line="240" w:lineRule="auto"/>
        <w:ind w:left="450" w:hanging="450"/>
        <w:rPr>
          <w:rFonts w:ascii="Times New Roman" w:eastAsia="Times New Roman" w:hAnsi="Times New Roman" w:cs="Times New Roman"/>
          <w:sz w:val="24"/>
          <w:szCs w:val="24"/>
          <w:lang w:eastAsia="en-GB"/>
        </w:rPr>
      </w:pPr>
      <w:r w:rsidRPr="00E1527B">
        <w:rPr>
          <w:rFonts w:ascii="Times New Roman" w:hAnsi="Times New Roman" w:cs="Times New Roman"/>
          <w:color w:val="000000"/>
          <w:sz w:val="24"/>
          <w:szCs w:val="24"/>
          <w:shd w:val="clear" w:color="auto" w:fill="FFFFFF"/>
        </w:rPr>
        <w:t>Hood, A., Joyce, R. and Sturrock, D. (2018). </w:t>
      </w:r>
      <w:r w:rsidRPr="00E1527B">
        <w:rPr>
          <w:rFonts w:ascii="Times New Roman" w:hAnsi="Times New Roman" w:cs="Times New Roman"/>
          <w:i/>
          <w:iCs/>
          <w:color w:val="000000"/>
          <w:sz w:val="24"/>
          <w:szCs w:val="24"/>
          <w:shd w:val="clear" w:color="auto" w:fill="FFFFFF"/>
        </w:rPr>
        <w:t>Problem debt and low-income households</w:t>
      </w:r>
      <w:r w:rsidRPr="00E1527B">
        <w:rPr>
          <w:rFonts w:ascii="Times New Roman" w:hAnsi="Times New Roman" w:cs="Times New Roman"/>
          <w:color w:val="000000"/>
          <w:sz w:val="24"/>
          <w:szCs w:val="24"/>
          <w:shd w:val="clear" w:color="auto" w:fill="FFFFFF"/>
        </w:rPr>
        <w:t>. [online] Ifs.org.uk. Available at: https://www.ifs.org.uk/publications/10336 [Accessed 6 Dec. 2018].</w:t>
      </w:r>
    </w:p>
    <w:p w:rsidR="00E1527B" w:rsidRPr="007D04DE" w:rsidRDefault="00E1527B" w:rsidP="00E1527B">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lastRenderedPageBreak/>
        <w:t>Gapta, R., Wit, M. and Mckeown, D. (2007). </w:t>
      </w:r>
      <w:r w:rsidRPr="007D04DE">
        <w:rPr>
          <w:rFonts w:ascii="Times New Roman" w:eastAsia="Times New Roman" w:hAnsi="Times New Roman" w:cs="Times New Roman"/>
          <w:i/>
          <w:iCs/>
          <w:sz w:val="24"/>
          <w:szCs w:val="24"/>
          <w:lang w:eastAsia="en-GB"/>
        </w:rPr>
        <w:t>The impact of poverty on the current and future health status of children</w:t>
      </w:r>
      <w:r w:rsidRPr="007D04DE">
        <w:rPr>
          <w:rFonts w:ascii="Times New Roman" w:eastAsia="Times New Roman" w:hAnsi="Times New Roman" w:cs="Times New Roman"/>
          <w:sz w:val="24"/>
          <w:szCs w:val="24"/>
          <w:lang w:eastAsia="en-GB"/>
        </w:rPr>
        <w:t>. [online] National Library of Medicine. Available at: https://www.ncbi.nlm.nih.gov/pmc/articles/PMC2528796/ [Accessed 9 Nov. 2018].</w:t>
      </w:r>
    </w:p>
    <w:p w:rsidR="00E1527B" w:rsidRPr="007D04DE" w:rsidRDefault="00E1527B" w:rsidP="00E1527B">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GOV.UK. (2018). </w:t>
      </w:r>
      <w:r w:rsidRPr="007D04DE">
        <w:rPr>
          <w:rFonts w:ascii="Times New Roman" w:eastAsia="Times New Roman" w:hAnsi="Times New Roman" w:cs="Times New Roman"/>
          <w:i/>
          <w:iCs/>
          <w:sz w:val="24"/>
          <w:szCs w:val="24"/>
          <w:lang w:eastAsia="en-GB"/>
        </w:rPr>
        <w:t>UK House Price Index Wales: January 2018</w:t>
      </w:r>
      <w:r w:rsidRPr="007D04DE">
        <w:rPr>
          <w:rFonts w:ascii="Times New Roman" w:eastAsia="Times New Roman" w:hAnsi="Times New Roman" w:cs="Times New Roman"/>
          <w:sz w:val="24"/>
          <w:szCs w:val="24"/>
          <w:lang w:eastAsia="en-GB"/>
        </w:rPr>
        <w:t>. [online] Available at: https://www.gov.uk/government/publications/uk-house-price-index-wales-january-2018/uk-house-price-index-wales-january-2018 [Accessed 9 Nov. 2018].</w:t>
      </w:r>
    </w:p>
    <w:p w:rsidR="00E1527B" w:rsidRPr="007D04DE" w:rsidRDefault="00E1527B" w:rsidP="00E1527B">
      <w:pPr>
        <w:pStyle w:val="NormalWeb"/>
        <w:spacing w:before="0" w:beforeAutospacing="0" w:after="180" w:afterAutospacing="0"/>
        <w:ind w:left="450" w:hanging="450"/>
      </w:pPr>
      <w:r w:rsidRPr="007D04DE">
        <w:t>Gov.wales. (2018). </w:t>
      </w:r>
      <w:r w:rsidRPr="007D04DE">
        <w:rPr>
          <w:i/>
          <w:iCs/>
        </w:rPr>
        <w:t>Welsh Government|Universal Credit “is hitting the most vulnerable in Wales”</w:t>
      </w:r>
      <w:r w:rsidRPr="007D04DE">
        <w:t>. [online] Available at: https://gov.wales/newsroom/people-and-communities/2018/180711-universal-credit/?lang=en [Accessed 9 Nov. 2018].</w:t>
      </w:r>
    </w:p>
    <w:p w:rsidR="00E1527B" w:rsidRPr="007D04DE" w:rsidRDefault="00E1527B" w:rsidP="00E1527B">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Implementing The Right to Adequate Housing. (n.d.). [ebook] pp.1-30. Available at: https://www.uclg-cisdp.org/sites/default/files/GuideSubnationalReport_EN.pdf [Accessed 9 Nov. 2018].</w:t>
      </w:r>
    </w:p>
    <w:p w:rsidR="00E1527B" w:rsidRPr="007D04DE" w:rsidRDefault="00E1527B" w:rsidP="00E1527B">
      <w:pPr>
        <w:pStyle w:val="NormalWeb"/>
        <w:spacing w:before="0" w:beforeAutospacing="0" w:after="180" w:afterAutospacing="0"/>
        <w:ind w:left="450" w:hanging="450"/>
      </w:pPr>
      <w:r w:rsidRPr="007D04DE">
        <w:t>Judiciary.uk. (2013). </w:t>
      </w:r>
      <w:r w:rsidRPr="007D04DE">
        <w:rPr>
          <w:i/>
          <w:iCs/>
        </w:rPr>
        <w:t>Social Exclusion and Poverty</w:t>
      </w:r>
      <w:r w:rsidRPr="007D04DE">
        <w:t>. [online] Available at: https://www.judiciary.uk/wp-content/uploads/JCO/Documents/judicial-college/ETBB_Social_Exclusion__finalised_.pdf [Accessed 9 Nov. 2018].</w:t>
      </w:r>
    </w:p>
    <w:p w:rsidR="00E1527B" w:rsidRPr="007D04DE" w:rsidRDefault="00E1527B" w:rsidP="00E1527B">
      <w:pPr>
        <w:pStyle w:val="NormalWeb"/>
        <w:spacing w:before="0" w:beforeAutospacing="0" w:after="180" w:afterAutospacing="0"/>
        <w:ind w:left="450" w:hanging="450"/>
      </w:pPr>
      <w:r w:rsidRPr="007D04DE">
        <w:t>Learning.gov.wales. (2014). </w:t>
      </w:r>
      <w:r w:rsidRPr="007D04DE">
        <w:rPr>
          <w:i/>
          <w:iCs/>
        </w:rPr>
        <w:t>Healthy Eating in Maintained Schools</w:t>
      </w:r>
      <w:r w:rsidRPr="007D04DE">
        <w:t>. [online] Available at: http://learning.gov.wales/docs/learningwales/publications/160226-healthy-eating-maintained-schools-en-v2.pdf [Accessed 9 Nov. 2018].</w:t>
      </w:r>
    </w:p>
    <w:p w:rsidR="00E1527B" w:rsidRPr="007D04DE" w:rsidRDefault="00E1527B" w:rsidP="00E1527B">
      <w:pPr>
        <w:pStyle w:val="NormalWeb"/>
        <w:spacing w:before="0" w:beforeAutospacing="0" w:after="180" w:afterAutospacing="0"/>
        <w:ind w:left="450" w:hanging="450"/>
      </w:pPr>
      <w:r w:rsidRPr="007D04DE">
        <w:t>Loring, B. (2014). </w:t>
      </w:r>
      <w:r w:rsidRPr="007D04DE">
        <w:rPr>
          <w:i/>
          <w:iCs/>
        </w:rPr>
        <w:t>Obesity and Inequities</w:t>
      </w:r>
      <w:r w:rsidRPr="007D04DE">
        <w:t>. [online] Euro.who.int. Available at: http://www.euro.who.int/__data/assets/pdf_file/0003/247638/obesity-090514.pdf [Accessed 9 Nov. 2018].</w:t>
      </w:r>
    </w:p>
    <w:p w:rsidR="00E1527B" w:rsidRDefault="00E1527B" w:rsidP="00E1527B">
      <w:pPr>
        <w:rPr>
          <w:rFonts w:ascii="Times New Roman" w:hAnsi="Times New Roman" w:cs="Times New Roman"/>
          <w:sz w:val="24"/>
          <w:szCs w:val="24"/>
          <w:shd w:val="clear" w:color="auto" w:fill="FFFFFF"/>
        </w:rPr>
      </w:pPr>
      <w:r w:rsidRPr="007D04DE">
        <w:rPr>
          <w:rFonts w:ascii="Times New Roman" w:hAnsi="Times New Roman" w:cs="Times New Roman"/>
          <w:sz w:val="24"/>
          <w:szCs w:val="24"/>
          <w:shd w:val="clear" w:color="auto" w:fill="FFFFFF"/>
        </w:rPr>
        <w:t>Levitas, R. and Pantazis, C. (2018). </w:t>
      </w:r>
      <w:r w:rsidRPr="007D04DE">
        <w:rPr>
          <w:rFonts w:ascii="Times New Roman" w:hAnsi="Times New Roman" w:cs="Times New Roman"/>
          <w:i/>
          <w:iCs/>
          <w:sz w:val="24"/>
          <w:szCs w:val="24"/>
          <w:shd w:val="clear" w:color="auto" w:fill="FFFFFF"/>
        </w:rPr>
        <w:t>THE MULTI-DIMENSIONAL ANALYSIS OF SOCIAL EXCLUSION</w:t>
      </w:r>
      <w:r w:rsidRPr="007D04DE">
        <w:rPr>
          <w:rFonts w:ascii="Times New Roman" w:hAnsi="Times New Roman" w:cs="Times New Roman"/>
          <w:sz w:val="24"/>
          <w:szCs w:val="24"/>
          <w:shd w:val="clear" w:color="auto" w:fill="FFFFFF"/>
        </w:rPr>
        <w:t xml:space="preserve">. [online] Dera.ioe.ac.uk. Available at: http://dera.ioe.ac.uk/6853/1/multidimensional.pdf [Accessed 9 Nov. 2018]. Levitas, R. and </w:t>
      </w:r>
    </w:p>
    <w:p w:rsidR="00E1527B" w:rsidRPr="007D04DE" w:rsidRDefault="00E1527B" w:rsidP="00E1527B">
      <w:pPr>
        <w:pStyle w:val="NormalWeb"/>
        <w:spacing w:before="0" w:beforeAutospacing="0" w:after="180" w:afterAutospacing="0"/>
        <w:ind w:left="450" w:hanging="450"/>
      </w:pPr>
      <w:r w:rsidRPr="007D04DE">
        <w:t>Mygov.scot. (2018). </w:t>
      </w:r>
      <w:r w:rsidRPr="007D04DE">
        <w:rPr>
          <w:i/>
          <w:iCs/>
        </w:rPr>
        <w:t>School meals - mygov.scot</w:t>
      </w:r>
      <w:r w:rsidRPr="007D04DE">
        <w:t>. [online] Available at: https://www.mygov.scot/school-meals/ [Accessed 9 Nov. 2018].</w:t>
      </w:r>
    </w:p>
    <w:p w:rsidR="00E1527B" w:rsidRPr="007D04DE" w:rsidRDefault="00E1527B" w:rsidP="00E1527B">
      <w:pPr>
        <w:rPr>
          <w:rFonts w:ascii="Times New Roman" w:hAnsi="Times New Roman" w:cs="Times New Roman"/>
          <w:sz w:val="24"/>
          <w:szCs w:val="24"/>
        </w:rPr>
      </w:pPr>
      <w:r w:rsidRPr="007D04DE">
        <w:rPr>
          <w:rFonts w:ascii="Times New Roman" w:hAnsi="Times New Roman" w:cs="Times New Roman"/>
          <w:sz w:val="24"/>
          <w:szCs w:val="24"/>
          <w:shd w:val="clear" w:color="auto" w:fill="FFFFFF"/>
        </w:rPr>
        <w:t>Pantazis, C. (2018). </w:t>
      </w:r>
      <w:r w:rsidRPr="007D04DE">
        <w:rPr>
          <w:rFonts w:ascii="Times New Roman" w:hAnsi="Times New Roman" w:cs="Times New Roman"/>
          <w:i/>
          <w:iCs/>
          <w:sz w:val="24"/>
          <w:szCs w:val="24"/>
          <w:shd w:val="clear" w:color="auto" w:fill="FFFFFF"/>
        </w:rPr>
        <w:t>THE MULTI-DIMENSIONAL ANALYSIS OF SOCIAL EXCLUSION</w:t>
      </w:r>
      <w:r w:rsidRPr="007D04DE">
        <w:rPr>
          <w:rFonts w:ascii="Times New Roman" w:hAnsi="Times New Roman" w:cs="Times New Roman"/>
          <w:sz w:val="24"/>
          <w:szCs w:val="24"/>
          <w:shd w:val="clear" w:color="auto" w:fill="FFFFFF"/>
        </w:rPr>
        <w:t>. [online] Dera.ioe.ac.uk. Available at: http://dera.ioe.ac.uk/6853/1/multidimensional.pdf [Accessed 9 Nov. 2018].</w:t>
      </w:r>
    </w:p>
    <w:p w:rsidR="00E1527B" w:rsidRPr="007D04DE" w:rsidRDefault="00E1527B" w:rsidP="00E1527B">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Ron, J., Crow, D. and Golden, S. (2014). </w:t>
      </w:r>
      <w:r w:rsidRPr="007D04DE">
        <w:rPr>
          <w:rFonts w:ascii="Times New Roman" w:eastAsia="Times New Roman" w:hAnsi="Times New Roman" w:cs="Times New Roman"/>
          <w:i/>
          <w:iCs/>
          <w:sz w:val="24"/>
          <w:szCs w:val="24"/>
          <w:lang w:eastAsia="en-GB"/>
        </w:rPr>
        <w:t>Human Rights Familiarity and Socio-Economic Status - Sur - International Journal on Human Rights</w:t>
      </w:r>
      <w:r w:rsidRPr="007D04DE">
        <w:rPr>
          <w:rFonts w:ascii="Times New Roman" w:eastAsia="Times New Roman" w:hAnsi="Times New Roman" w:cs="Times New Roman"/>
          <w:sz w:val="24"/>
          <w:szCs w:val="24"/>
          <w:lang w:eastAsia="en-GB"/>
        </w:rPr>
        <w:t>. [online] Sur - International Journal on Human Rights. Available at: http://sur.conectas.org/en/human-rights-familiarity-and-socio-economic-status/ [Accessed 9 Nov. 2018].</w:t>
      </w:r>
    </w:p>
    <w:p w:rsidR="00E1527B" w:rsidRPr="007D04DE" w:rsidRDefault="00E1527B" w:rsidP="00E1527B">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Savage, M., Devine, F., Cunningham, N., Taylor, M. and Li, Y. (2013). </w:t>
      </w:r>
      <w:r w:rsidRPr="007D04DE">
        <w:rPr>
          <w:rFonts w:ascii="Times New Roman" w:eastAsia="Times New Roman" w:hAnsi="Times New Roman" w:cs="Times New Roman"/>
          <w:i/>
          <w:iCs/>
          <w:sz w:val="24"/>
          <w:szCs w:val="24"/>
          <w:lang w:eastAsia="en-GB"/>
        </w:rPr>
        <w:t>A New Model of Social Class?</w:t>
      </w:r>
      <w:r w:rsidRPr="007D04DE">
        <w:rPr>
          <w:rFonts w:ascii="Times New Roman" w:eastAsia="Times New Roman" w:hAnsi="Times New Roman" w:cs="Times New Roman"/>
          <w:sz w:val="24"/>
          <w:szCs w:val="24"/>
          <w:lang w:eastAsia="en-GB"/>
        </w:rPr>
        <w:t>. [ebook] London: SAGE, pp.1-15. Available at: https://journals.sagepub.com/doi/pdf/10.1177/0038038513481128 [Accessed 9 Nov. 2018].</w:t>
      </w:r>
    </w:p>
    <w:p w:rsidR="00E1527B" w:rsidRPr="007D04DE" w:rsidRDefault="00E1527B" w:rsidP="00E1527B">
      <w:pPr>
        <w:rPr>
          <w:rFonts w:ascii="Times New Roman" w:hAnsi="Times New Roman" w:cs="Times New Roman"/>
          <w:sz w:val="24"/>
          <w:szCs w:val="24"/>
        </w:rPr>
      </w:pPr>
      <w:r w:rsidRPr="007D04DE">
        <w:rPr>
          <w:rFonts w:ascii="Times New Roman" w:hAnsi="Times New Roman" w:cs="Times New Roman"/>
          <w:sz w:val="24"/>
          <w:szCs w:val="24"/>
        </w:rPr>
        <w:t>Shah, H., &amp; Marks, N. (2004). A well-being manifesto for a flourishing society. London: The New Economics Foundation</w:t>
      </w:r>
    </w:p>
    <w:p w:rsidR="00E1527B" w:rsidRPr="007D04DE" w:rsidRDefault="00E1527B" w:rsidP="00E1527B">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lastRenderedPageBreak/>
        <w:t>Smith, L. (2013). </w:t>
      </w:r>
      <w:r w:rsidRPr="007D04DE">
        <w:rPr>
          <w:rFonts w:ascii="Times New Roman" w:eastAsia="Times New Roman" w:hAnsi="Times New Roman" w:cs="Times New Roman"/>
          <w:i/>
          <w:iCs/>
          <w:sz w:val="24"/>
          <w:szCs w:val="24"/>
          <w:lang w:eastAsia="en-GB"/>
        </w:rPr>
        <w:t>So Close and Yet So Far Away</w:t>
      </w:r>
      <w:r w:rsidRPr="007D04DE">
        <w:rPr>
          <w:rFonts w:ascii="Times New Roman" w:eastAsia="Times New Roman" w:hAnsi="Times New Roman" w:cs="Times New Roman"/>
          <w:sz w:val="24"/>
          <w:szCs w:val="24"/>
          <w:lang w:eastAsia="en-GB"/>
        </w:rPr>
        <w:t>. [online] Wiley Online Library. Available at: https://onlinelibrary.wiley.com/doi/pdf/10.1111/ajop.12008 [Accessed 9 Nov. 2018].</w:t>
      </w:r>
    </w:p>
    <w:p w:rsidR="00E1527B" w:rsidRPr="007D04DE" w:rsidRDefault="00E1527B" w:rsidP="00E1527B">
      <w:pPr>
        <w:pStyle w:val="NormalWeb"/>
        <w:spacing w:before="0" w:beforeAutospacing="0" w:after="180" w:afterAutospacing="0"/>
        <w:ind w:left="450" w:hanging="450"/>
      </w:pPr>
      <w:r w:rsidRPr="007D04DE">
        <w:t>The Future Generations Commissioner for Wales. (2015). </w:t>
      </w:r>
      <w:r w:rsidRPr="007D04DE">
        <w:rPr>
          <w:i/>
          <w:iCs/>
        </w:rPr>
        <w:t>A More Equal Wales Archives – The Future Generations Commissioner for Wales</w:t>
      </w:r>
      <w:r w:rsidRPr="007D04DE">
        <w:t>. [online] Available at: https://futuregenerations.wales/aotp/equality/ [Accessed 9 Nov. 2018].</w:t>
      </w:r>
    </w:p>
    <w:p w:rsidR="00E1527B" w:rsidRPr="007D04DE" w:rsidRDefault="00E1527B" w:rsidP="00E1527B">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The Right to Adequate Housing. (n.d.). [ebook] Geneva, pp.1-20. Available at: https://www.ohchr.org/Documents/Publications/FS21_rev_1_Housing_en.pdf [Accessed 9 Nov. 2018].</w:t>
      </w:r>
    </w:p>
    <w:p w:rsidR="00E1527B" w:rsidRPr="007D04DE" w:rsidRDefault="00E1527B" w:rsidP="00E1527B">
      <w:pPr>
        <w:pStyle w:val="NormalWeb"/>
        <w:spacing w:before="0" w:beforeAutospacing="0" w:after="180" w:afterAutospacing="0"/>
        <w:ind w:left="450" w:hanging="450"/>
      </w:pPr>
      <w:r w:rsidRPr="007D04DE">
        <w:t>Trussell Trust. (2018). </w:t>
      </w:r>
      <w:r w:rsidRPr="007D04DE">
        <w:rPr>
          <w:i/>
          <w:iCs/>
        </w:rPr>
        <w:t>End of Year Stats</w:t>
      </w:r>
      <w:r w:rsidRPr="007D04DE">
        <w:t>. [online] Available at: https://www.trusselltrust.org/news-and-blog/latest-stats/end-year-stats/ [Accessed 9 Nov. 2018].</w:t>
      </w:r>
    </w:p>
    <w:p w:rsidR="00E1527B" w:rsidRPr="007D04DE" w:rsidRDefault="00E1527B" w:rsidP="00E1527B">
      <w:pPr>
        <w:rPr>
          <w:rFonts w:ascii="Times New Roman" w:hAnsi="Times New Roman" w:cs="Times New Roman"/>
          <w:sz w:val="24"/>
          <w:szCs w:val="24"/>
        </w:rPr>
      </w:pPr>
      <w:r w:rsidRPr="007D04DE">
        <w:rPr>
          <w:rFonts w:ascii="Times New Roman" w:hAnsi="Times New Roman" w:cs="Times New Roman"/>
          <w:sz w:val="24"/>
          <w:szCs w:val="24"/>
        </w:rPr>
        <w:t>United Nations (1948). </w:t>
      </w:r>
      <w:r w:rsidRPr="007D04DE">
        <w:rPr>
          <w:rStyle w:val="Emphasis"/>
          <w:rFonts w:ascii="Times New Roman" w:hAnsi="Times New Roman" w:cs="Times New Roman"/>
          <w:sz w:val="24"/>
          <w:szCs w:val="24"/>
        </w:rPr>
        <w:t>The Universal Declaration of Human Rights</w:t>
      </w:r>
      <w:r w:rsidRPr="007D04DE">
        <w:rPr>
          <w:rFonts w:ascii="Times New Roman" w:hAnsi="Times New Roman" w:cs="Times New Roman"/>
          <w:sz w:val="24"/>
          <w:szCs w:val="24"/>
        </w:rPr>
        <w:t>, Article 25.1</w:t>
      </w:r>
    </w:p>
    <w:p w:rsidR="00E1527B" w:rsidRPr="007D04DE" w:rsidRDefault="00E1527B" w:rsidP="00E1527B">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Un.org. (2015). </w:t>
      </w:r>
      <w:r w:rsidRPr="007D04DE">
        <w:rPr>
          <w:rFonts w:ascii="Times New Roman" w:eastAsia="Times New Roman" w:hAnsi="Times New Roman" w:cs="Times New Roman"/>
          <w:i/>
          <w:iCs/>
          <w:sz w:val="24"/>
          <w:szCs w:val="24"/>
          <w:lang w:eastAsia="en-GB"/>
        </w:rPr>
        <w:t>#Envision2030: 17 goals to transform the world for persons with disabilities | United Nations Enable</w:t>
      </w:r>
      <w:r w:rsidRPr="007D04DE">
        <w:rPr>
          <w:rFonts w:ascii="Times New Roman" w:eastAsia="Times New Roman" w:hAnsi="Times New Roman" w:cs="Times New Roman"/>
          <w:sz w:val="24"/>
          <w:szCs w:val="24"/>
          <w:lang w:eastAsia="en-GB"/>
        </w:rPr>
        <w:t>. [online] Available at: https://www.un.org/development/desa/disabilities/envision2030.html [Accessed 9 Nov. 2018].</w:t>
      </w:r>
    </w:p>
    <w:p w:rsidR="00E1527B" w:rsidRPr="007D04DE" w:rsidRDefault="00E1527B" w:rsidP="00E1527B">
      <w:pPr>
        <w:pStyle w:val="NormalWeb"/>
        <w:spacing w:before="0" w:beforeAutospacing="0" w:after="180" w:afterAutospacing="0"/>
        <w:ind w:left="450" w:hanging="450"/>
      </w:pPr>
      <w:r w:rsidRPr="007D04DE">
        <w:t>Universal Credit. (2017). [ebook] Coventry, pp.1-9. Available at: http://file:///C:/Users/User/Downloads/NFA%20&amp;%20ARCH%20Universal%20Credit%20-%</w:t>
      </w:r>
      <w:r>
        <w:t>2</w:t>
      </w:r>
      <w:r w:rsidRPr="007D04DE">
        <w:t>20A%20Progress%20Update%20(Welfare%20Reform%20Survey%20Findings%20-%20as%20at%20Sept%202016)%20%20(1).pdf [Accessed 9 Nov. 2018].</w:t>
      </w:r>
    </w:p>
    <w:p w:rsidR="00E1527B" w:rsidRPr="007D04DE" w:rsidRDefault="00E1527B" w:rsidP="00E1527B">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World Health Organization. (2018). </w:t>
      </w:r>
      <w:r w:rsidRPr="007D04DE">
        <w:rPr>
          <w:rFonts w:ascii="Times New Roman" w:eastAsia="Times New Roman" w:hAnsi="Times New Roman" w:cs="Times New Roman"/>
          <w:i/>
          <w:iCs/>
          <w:sz w:val="24"/>
          <w:szCs w:val="24"/>
          <w:lang w:eastAsia="en-GB"/>
        </w:rPr>
        <w:t>Drinking-water</w:t>
      </w:r>
      <w:r w:rsidRPr="007D04DE">
        <w:rPr>
          <w:rFonts w:ascii="Times New Roman" w:eastAsia="Times New Roman" w:hAnsi="Times New Roman" w:cs="Times New Roman"/>
          <w:sz w:val="24"/>
          <w:szCs w:val="24"/>
          <w:lang w:eastAsia="en-GB"/>
        </w:rPr>
        <w:t>. [online] Available at: http://www.who.int/news-room/fact-sheets/detail/drinking-water [Accessed 9 Nov. 2018].</w:t>
      </w:r>
    </w:p>
    <w:p w:rsidR="00E1527B" w:rsidRPr="007D04DE" w:rsidRDefault="00E1527B" w:rsidP="00E1527B">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Zurzan, R. (2017). </w:t>
      </w:r>
      <w:r w:rsidRPr="007D04DE">
        <w:rPr>
          <w:rFonts w:ascii="Times New Roman" w:eastAsia="Times New Roman" w:hAnsi="Times New Roman" w:cs="Times New Roman"/>
          <w:i/>
          <w:iCs/>
          <w:sz w:val="24"/>
          <w:szCs w:val="24"/>
          <w:lang w:eastAsia="en-GB"/>
        </w:rPr>
        <w:t>Ten actions for a more equal world</w:t>
      </w:r>
      <w:r w:rsidRPr="007D04DE">
        <w:rPr>
          <w:rFonts w:ascii="Times New Roman" w:eastAsia="Times New Roman" w:hAnsi="Times New Roman" w:cs="Times New Roman"/>
          <w:sz w:val="24"/>
          <w:szCs w:val="24"/>
          <w:lang w:eastAsia="en-GB"/>
        </w:rPr>
        <w:t>. [online] Unfpa.org. Available at: https://www.unfpa.org/news/ten-actions-more-equal-world [Accessed 9 Nov. 2018].</w:t>
      </w:r>
    </w:p>
    <w:p w:rsidR="00E1527B" w:rsidRPr="007D04DE" w:rsidRDefault="00E1527B" w:rsidP="00E1527B">
      <w:pPr>
        <w:rPr>
          <w:rFonts w:ascii="Times New Roman" w:hAnsi="Times New Roman" w:cs="Times New Roman"/>
          <w:sz w:val="24"/>
          <w:szCs w:val="24"/>
        </w:rPr>
      </w:pPr>
    </w:p>
    <w:p w:rsidR="00E1527B" w:rsidRPr="007D04DE" w:rsidRDefault="00E1527B" w:rsidP="00E1527B">
      <w:pPr>
        <w:rPr>
          <w:rFonts w:ascii="Times New Roman" w:hAnsi="Times New Roman" w:cs="Times New Roman"/>
          <w:sz w:val="24"/>
          <w:szCs w:val="24"/>
        </w:rPr>
      </w:pPr>
    </w:p>
    <w:p w:rsidR="00E1527B" w:rsidRPr="007D04DE" w:rsidRDefault="00E1527B" w:rsidP="00E1527B">
      <w:pPr>
        <w:rPr>
          <w:rFonts w:ascii="Times New Roman" w:hAnsi="Times New Roman" w:cs="Times New Roman"/>
          <w:sz w:val="24"/>
          <w:szCs w:val="24"/>
        </w:rPr>
      </w:pPr>
    </w:p>
    <w:p w:rsidR="00E1527B" w:rsidRPr="007D04DE" w:rsidRDefault="00E1527B" w:rsidP="00E1527B">
      <w:pPr>
        <w:rPr>
          <w:rFonts w:ascii="Times New Roman" w:hAnsi="Times New Roman" w:cs="Times New Roman"/>
          <w:sz w:val="24"/>
          <w:szCs w:val="24"/>
        </w:rPr>
      </w:pPr>
    </w:p>
    <w:p w:rsidR="00E1527B" w:rsidRPr="007D04DE" w:rsidRDefault="00E1527B" w:rsidP="00E1527B">
      <w:pPr>
        <w:rPr>
          <w:rFonts w:ascii="Times New Roman" w:hAnsi="Times New Roman" w:cs="Times New Roman"/>
          <w:sz w:val="24"/>
          <w:szCs w:val="24"/>
        </w:rPr>
      </w:pPr>
    </w:p>
    <w:p w:rsidR="00E1527B" w:rsidRPr="007D04DE" w:rsidRDefault="00E1527B" w:rsidP="00E1527B">
      <w:pPr>
        <w:rPr>
          <w:rFonts w:ascii="Times New Roman" w:hAnsi="Times New Roman" w:cs="Times New Roman"/>
          <w:sz w:val="24"/>
          <w:szCs w:val="24"/>
        </w:rPr>
      </w:pPr>
    </w:p>
    <w:p w:rsidR="00E1527B" w:rsidRDefault="00E1527B" w:rsidP="00E1527B">
      <w:pPr>
        <w:rPr>
          <w:rFonts w:ascii="Times New Roman" w:hAnsi="Times New Roman" w:cs="Times New Roman"/>
          <w:sz w:val="24"/>
          <w:szCs w:val="24"/>
          <w:shd w:val="clear" w:color="auto" w:fill="FFFFFF"/>
        </w:rPr>
      </w:pPr>
    </w:p>
    <w:p w:rsidR="00E1527B" w:rsidRPr="00485FE3" w:rsidRDefault="00E1527B" w:rsidP="00E1527B">
      <w:pPr>
        <w:rPr>
          <w:rFonts w:ascii="Times New Roman" w:hAnsi="Times New Roman" w:cs="Times New Roman"/>
          <w:sz w:val="24"/>
          <w:szCs w:val="24"/>
          <w:shd w:val="clear" w:color="auto" w:fill="FFFFFF"/>
        </w:rPr>
      </w:pPr>
    </w:p>
    <w:p w:rsidR="00E1527B" w:rsidRPr="00485FE3" w:rsidRDefault="00E1527B" w:rsidP="00E1527B">
      <w:pPr>
        <w:rPr>
          <w:rFonts w:ascii="Times New Roman" w:hAnsi="Times New Roman" w:cs="Times New Roman"/>
          <w:sz w:val="24"/>
          <w:szCs w:val="24"/>
          <w:shd w:val="clear" w:color="auto" w:fill="FFFFFF"/>
        </w:rPr>
      </w:pPr>
    </w:p>
    <w:p w:rsidR="005D26AB" w:rsidRDefault="00E1527B"/>
    <w:sectPr w:rsidR="005D26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27B"/>
    <w:rsid w:val="003116A7"/>
    <w:rsid w:val="004F2560"/>
    <w:rsid w:val="00E1527B"/>
    <w:rsid w:val="00EF3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248EEC1-52F0-4535-B3AF-E7D4EC8FB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52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527B"/>
    <w:rPr>
      <w:color w:val="0000FF" w:themeColor="hyperlink"/>
      <w:u w:val="single"/>
    </w:rPr>
  </w:style>
  <w:style w:type="character" w:styleId="Emphasis">
    <w:name w:val="Emphasis"/>
    <w:basedOn w:val="DefaultParagraphFont"/>
    <w:uiPriority w:val="20"/>
    <w:qFormat/>
    <w:rsid w:val="00E1527B"/>
    <w:rPr>
      <w:i/>
      <w:iCs/>
    </w:rPr>
  </w:style>
  <w:style w:type="character" w:styleId="Strong">
    <w:name w:val="Strong"/>
    <w:basedOn w:val="DefaultParagraphFont"/>
    <w:uiPriority w:val="22"/>
    <w:qFormat/>
    <w:rsid w:val="00E1527B"/>
    <w:rPr>
      <w:b/>
      <w:bCs/>
    </w:rPr>
  </w:style>
  <w:style w:type="paragraph" w:customStyle="1" w:styleId="story-bodylist-item">
    <w:name w:val="story-body__list-item"/>
    <w:basedOn w:val="Normal"/>
    <w:rsid w:val="00E152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152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guardian.co.uk/politics/2006/may/22/conservatives.davidcamer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4868</Words>
  <Characters>27753</Characters>
  <Application>Microsoft Office Word</Application>
  <DocSecurity>0</DocSecurity>
  <Lines>231</Lines>
  <Paragraphs>65</Paragraphs>
  <ScaleCrop>false</ScaleCrop>
  <Company/>
  <LinksUpToDate>false</LinksUpToDate>
  <CharactersWithSpaces>32556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1</cp:revision>
  <dcterms:created xsi:type="dcterms:W3CDTF">2018-12-06T17:41:00Z</dcterms:created>
  <dcterms:modified xsi:type="dcterms:W3CDTF">2018-12-06T17:43:00Z</dcterms:modified>
</cp:coreProperties>
</file>