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C475C1B" wp14:paraId="3894F29F" wp14:textId="06D8ADEF">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C475C1B" w:rsidR="156FF4A9">
        <w:rPr>
          <w:rFonts w:ascii="Arial" w:hAnsi="Arial" w:eastAsia="Arial" w:cs="Arial"/>
          <w:b w:val="1"/>
          <w:bCs w:val="1"/>
          <w:i w:val="0"/>
          <w:iCs w:val="0"/>
          <w:caps w:val="0"/>
          <w:smallCaps w:val="0"/>
          <w:noProof w:val="0"/>
          <w:color w:val="000000" w:themeColor="text1" w:themeTint="FF" w:themeShade="FF"/>
          <w:sz w:val="22"/>
          <w:szCs w:val="22"/>
          <w:lang w:val="en-GB"/>
        </w:rPr>
        <w:t>Certificate of Higher Education skills for the Workplace</w:t>
      </w:r>
    </w:p>
    <w:p xmlns:wp14="http://schemas.microsoft.com/office/word/2010/wordml" w:rsidP="3C475C1B" wp14:paraId="0729A0CA" wp14:textId="65C0058E">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C475C1B" wp14:paraId="3AA44241" wp14:textId="35A265B8">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3C475C1B" w:rsidR="156FF4A9">
        <w:rPr>
          <w:rFonts w:ascii="Arial" w:hAnsi="Arial" w:eastAsia="Arial" w:cs="Arial"/>
          <w:b w:val="1"/>
          <w:bCs w:val="1"/>
          <w:i w:val="0"/>
          <w:iCs w:val="0"/>
          <w:caps w:val="0"/>
          <w:smallCaps w:val="0"/>
          <w:noProof w:val="0"/>
          <w:color w:val="000000" w:themeColor="text1" w:themeTint="FF" w:themeShade="FF"/>
          <w:sz w:val="22"/>
          <w:szCs w:val="22"/>
          <w:lang w:val="en-GB"/>
        </w:rPr>
        <w:t xml:space="preserve">LCHS4008 Introduction to </w:t>
      </w:r>
      <w:r w:rsidRPr="3C475C1B" w:rsidR="18A1C56D">
        <w:rPr>
          <w:rFonts w:ascii="Arial" w:hAnsi="Arial" w:eastAsia="Arial" w:cs="Arial"/>
          <w:b w:val="1"/>
          <w:bCs w:val="1"/>
          <w:i w:val="0"/>
          <w:iCs w:val="0"/>
          <w:caps w:val="0"/>
          <w:smallCaps w:val="0"/>
          <w:noProof w:val="0"/>
          <w:color w:val="000000" w:themeColor="text1" w:themeTint="FF" w:themeShade="FF"/>
          <w:sz w:val="22"/>
          <w:szCs w:val="22"/>
          <w:lang w:val="en-GB"/>
        </w:rPr>
        <w:t>Public Health</w:t>
      </w:r>
    </w:p>
    <w:p xmlns:wp14="http://schemas.microsoft.com/office/word/2010/wordml" w:rsidP="3C475C1B" wp14:paraId="308D3E1B" wp14:textId="3DA4BE41">
      <w:pPr>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C475C1B" wp14:paraId="5C787AFC" wp14:textId="12C39147">
      <w:pPr>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3C475C1B" w:rsidR="156FF4A9">
        <w:rPr>
          <w:rFonts w:ascii="Arial" w:hAnsi="Arial" w:eastAsia="Arial" w:cs="Arial"/>
          <w:b w:val="1"/>
          <w:bCs w:val="1"/>
          <w:i w:val="0"/>
          <w:iCs w:val="0"/>
          <w:caps w:val="0"/>
          <w:smallCaps w:val="0"/>
          <w:noProof w:val="0"/>
          <w:color w:val="000000" w:themeColor="text1" w:themeTint="FF" w:themeShade="FF"/>
          <w:sz w:val="22"/>
          <w:szCs w:val="22"/>
          <w:lang w:val="en-GB"/>
        </w:rPr>
        <w:t xml:space="preserve">Assignment Title: </w:t>
      </w:r>
      <w:r w:rsidRPr="3C475C1B" w:rsidR="1F52F537">
        <w:rPr>
          <w:rFonts w:ascii="Arial" w:hAnsi="Arial" w:eastAsia="Arial" w:cs="Arial"/>
          <w:b w:val="1"/>
          <w:bCs w:val="1"/>
          <w:i w:val="0"/>
          <w:iCs w:val="0"/>
          <w:caps w:val="0"/>
          <w:smallCaps w:val="0"/>
          <w:noProof w:val="0"/>
          <w:color w:val="000000" w:themeColor="text1" w:themeTint="FF" w:themeShade="FF"/>
          <w:sz w:val="22"/>
          <w:szCs w:val="22"/>
          <w:lang w:val="en-GB"/>
        </w:rPr>
        <w:t>Report on a Health Issue</w:t>
      </w:r>
    </w:p>
    <w:p xmlns:wp14="http://schemas.microsoft.com/office/word/2010/wordml" w:rsidP="3C475C1B" wp14:paraId="7ECC4081" wp14:textId="75A61F6E">
      <w:pPr>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C475C1B" wp14:paraId="21958494" wp14:textId="17B12677">
      <w:pPr>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C475C1B" w:rsidR="156FF4A9">
        <w:rPr>
          <w:rFonts w:ascii="Arial" w:hAnsi="Arial" w:eastAsia="Arial" w:cs="Arial"/>
          <w:b w:val="1"/>
          <w:bCs w:val="1"/>
          <w:i w:val="0"/>
          <w:iCs w:val="0"/>
          <w:caps w:val="0"/>
          <w:smallCaps w:val="0"/>
          <w:noProof w:val="0"/>
          <w:color w:val="000000" w:themeColor="text1" w:themeTint="FF" w:themeShade="FF"/>
          <w:sz w:val="22"/>
          <w:szCs w:val="22"/>
          <w:lang w:val="en-GB"/>
        </w:rPr>
        <w:t xml:space="preserve">Lecturer: </w:t>
      </w:r>
      <w:r w:rsidRPr="3C475C1B" w:rsidR="77282ECD">
        <w:rPr>
          <w:rFonts w:ascii="Arial" w:hAnsi="Arial" w:eastAsia="Arial" w:cs="Arial"/>
          <w:b w:val="1"/>
          <w:bCs w:val="1"/>
          <w:i w:val="0"/>
          <w:iCs w:val="0"/>
          <w:caps w:val="0"/>
          <w:smallCaps w:val="0"/>
          <w:noProof w:val="0"/>
          <w:color w:val="000000" w:themeColor="text1" w:themeTint="FF" w:themeShade="FF"/>
          <w:sz w:val="22"/>
          <w:szCs w:val="22"/>
          <w:lang w:val="en-GB"/>
        </w:rPr>
        <w:t>Mumtaz Goolam</w:t>
      </w:r>
    </w:p>
    <w:p xmlns:wp14="http://schemas.microsoft.com/office/word/2010/wordml" w:rsidP="3C475C1B" wp14:paraId="50AFD1C3" wp14:textId="6F8C1BF8">
      <w:pPr>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C475C1B" wp14:paraId="25D46CDB" wp14:textId="320A8BE6">
      <w:pPr>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C475C1B" w:rsidR="156FF4A9">
        <w:rPr>
          <w:rFonts w:ascii="Arial" w:hAnsi="Arial" w:eastAsia="Arial" w:cs="Arial"/>
          <w:b w:val="1"/>
          <w:bCs w:val="1"/>
          <w:i w:val="0"/>
          <w:iCs w:val="0"/>
          <w:caps w:val="0"/>
          <w:smallCaps w:val="0"/>
          <w:noProof w:val="0"/>
          <w:color w:val="000000" w:themeColor="text1" w:themeTint="FF" w:themeShade="FF"/>
          <w:sz w:val="22"/>
          <w:szCs w:val="22"/>
          <w:lang w:val="en-GB"/>
        </w:rPr>
        <w:t>Student Name: Sadia Ousman</w:t>
      </w:r>
    </w:p>
    <w:p xmlns:wp14="http://schemas.microsoft.com/office/word/2010/wordml" w:rsidP="3C475C1B" wp14:paraId="0312C0F5" wp14:textId="21F82596">
      <w:pPr>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C475C1B" wp14:paraId="7CF38843" wp14:textId="27FA18AE">
      <w:pPr>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C475C1B" w:rsidR="156FF4A9">
        <w:rPr>
          <w:rFonts w:ascii="Arial" w:hAnsi="Arial" w:eastAsia="Arial" w:cs="Arial"/>
          <w:b w:val="1"/>
          <w:bCs w:val="1"/>
          <w:i w:val="0"/>
          <w:iCs w:val="0"/>
          <w:caps w:val="0"/>
          <w:smallCaps w:val="0"/>
          <w:noProof w:val="0"/>
          <w:color w:val="000000" w:themeColor="text1" w:themeTint="FF" w:themeShade="FF"/>
          <w:sz w:val="22"/>
          <w:szCs w:val="22"/>
          <w:lang w:val="en-GB"/>
        </w:rPr>
        <w:t>Student Number: 2235624</w:t>
      </w:r>
    </w:p>
    <w:p xmlns:wp14="http://schemas.microsoft.com/office/word/2010/wordml" w:rsidP="3C475C1B" wp14:paraId="5E5787A5" wp14:textId="2F293DC9">
      <w:pPr>
        <w:rPr>
          <w:rFonts w:ascii="Arial" w:hAnsi="Arial" w:eastAsia="Arial" w:cs="Arial" w:asciiTheme="minorAscii" w:hAnsiTheme="minorAscii" w:eastAsiaTheme="minorAscii" w:cstheme="minorAscii"/>
          <w:sz w:val="22"/>
          <w:szCs w:val="22"/>
        </w:rPr>
      </w:pPr>
    </w:p>
    <w:p w:rsidR="3C475C1B" w:rsidP="3C475C1B" w:rsidRDefault="3C475C1B" w14:paraId="450BC9A8" w14:textId="39EF386D">
      <w:pPr>
        <w:rPr>
          <w:rFonts w:ascii="Arial" w:hAnsi="Arial" w:eastAsia="Arial" w:cs="Arial" w:asciiTheme="minorAscii" w:hAnsiTheme="minorAscii" w:eastAsiaTheme="minorAscii" w:cstheme="minorAscii"/>
          <w:sz w:val="22"/>
          <w:szCs w:val="22"/>
        </w:rPr>
      </w:pPr>
    </w:p>
    <w:p w:rsidR="3C475C1B" w:rsidP="3C475C1B" w:rsidRDefault="3C475C1B" w14:paraId="32F61657" w14:textId="3F370D19">
      <w:pPr>
        <w:rPr>
          <w:rFonts w:ascii="Arial" w:hAnsi="Arial" w:eastAsia="Arial" w:cs="Arial" w:asciiTheme="minorAscii" w:hAnsiTheme="minorAscii" w:eastAsiaTheme="minorAscii" w:cstheme="minorAscii"/>
          <w:sz w:val="22"/>
          <w:szCs w:val="22"/>
        </w:rPr>
      </w:pPr>
    </w:p>
    <w:p w:rsidR="3C475C1B" w:rsidP="3C475C1B" w:rsidRDefault="3C475C1B" w14:paraId="13D3C09C" w14:textId="5E88B8C6">
      <w:pPr>
        <w:rPr>
          <w:rFonts w:ascii="Arial" w:hAnsi="Arial" w:eastAsia="Arial" w:cs="Arial" w:asciiTheme="minorAscii" w:hAnsiTheme="minorAscii" w:eastAsiaTheme="minorAscii" w:cstheme="minorAscii"/>
          <w:sz w:val="22"/>
          <w:szCs w:val="22"/>
        </w:rPr>
      </w:pPr>
    </w:p>
    <w:p w:rsidR="3C475C1B" w:rsidP="3C475C1B" w:rsidRDefault="3C475C1B" w14:paraId="693B3F56" w14:textId="6DD1F6BD">
      <w:pPr>
        <w:rPr>
          <w:rFonts w:ascii="Arial" w:hAnsi="Arial" w:eastAsia="Arial" w:cs="Arial" w:asciiTheme="minorAscii" w:hAnsiTheme="minorAscii" w:eastAsiaTheme="minorAscii" w:cstheme="minorAscii"/>
          <w:sz w:val="22"/>
          <w:szCs w:val="22"/>
        </w:rPr>
      </w:pPr>
    </w:p>
    <w:p w:rsidR="3C475C1B" w:rsidP="3C475C1B" w:rsidRDefault="3C475C1B" w14:paraId="2A62C0F6" w14:textId="624ABCE7">
      <w:pPr>
        <w:rPr>
          <w:rFonts w:ascii="Arial" w:hAnsi="Arial" w:eastAsia="Arial" w:cs="Arial" w:asciiTheme="minorAscii" w:hAnsiTheme="minorAscii" w:eastAsiaTheme="minorAscii" w:cstheme="minorAscii"/>
          <w:sz w:val="22"/>
          <w:szCs w:val="22"/>
        </w:rPr>
      </w:pPr>
    </w:p>
    <w:p w:rsidR="3C475C1B" w:rsidP="3C475C1B" w:rsidRDefault="3C475C1B" w14:paraId="591C5D93" w14:textId="7F150E6C">
      <w:pPr>
        <w:rPr>
          <w:rFonts w:ascii="Arial" w:hAnsi="Arial" w:eastAsia="Arial" w:cs="Arial" w:asciiTheme="minorAscii" w:hAnsiTheme="minorAscii" w:eastAsiaTheme="minorAscii" w:cstheme="minorAscii"/>
          <w:sz w:val="22"/>
          <w:szCs w:val="22"/>
        </w:rPr>
      </w:pPr>
    </w:p>
    <w:p w:rsidR="3C475C1B" w:rsidP="3C475C1B" w:rsidRDefault="3C475C1B" w14:paraId="4DC562D6" w14:textId="4502FE9C">
      <w:pPr>
        <w:rPr>
          <w:rFonts w:ascii="Arial" w:hAnsi="Arial" w:eastAsia="Arial" w:cs="Arial" w:asciiTheme="minorAscii" w:hAnsiTheme="minorAscii" w:eastAsiaTheme="minorAscii" w:cstheme="minorAscii"/>
          <w:sz w:val="22"/>
          <w:szCs w:val="22"/>
        </w:rPr>
      </w:pPr>
    </w:p>
    <w:p w:rsidR="3C475C1B" w:rsidP="3C475C1B" w:rsidRDefault="3C475C1B" w14:paraId="5FD29B7C" w14:textId="77B46BC4">
      <w:pPr>
        <w:rPr>
          <w:rFonts w:ascii="Arial" w:hAnsi="Arial" w:eastAsia="Arial" w:cs="Arial" w:asciiTheme="minorAscii" w:hAnsiTheme="minorAscii" w:eastAsiaTheme="minorAscii" w:cstheme="minorAscii"/>
          <w:sz w:val="22"/>
          <w:szCs w:val="22"/>
        </w:rPr>
      </w:pPr>
    </w:p>
    <w:p w:rsidR="3C475C1B" w:rsidP="3C475C1B" w:rsidRDefault="3C475C1B" w14:paraId="731C9EEB" w14:textId="48D1B36C">
      <w:pPr>
        <w:rPr>
          <w:rFonts w:ascii="Arial" w:hAnsi="Arial" w:eastAsia="Arial" w:cs="Arial" w:asciiTheme="minorAscii" w:hAnsiTheme="minorAscii" w:eastAsiaTheme="minorAscii" w:cstheme="minorAscii"/>
          <w:sz w:val="22"/>
          <w:szCs w:val="22"/>
        </w:rPr>
      </w:pPr>
    </w:p>
    <w:p w:rsidR="3C475C1B" w:rsidP="3C475C1B" w:rsidRDefault="3C475C1B" w14:paraId="6ED69CF4" w14:textId="29ADAE9F">
      <w:pPr>
        <w:rPr>
          <w:rFonts w:ascii="Arial" w:hAnsi="Arial" w:eastAsia="Arial" w:cs="Arial" w:asciiTheme="minorAscii" w:hAnsiTheme="minorAscii" w:eastAsiaTheme="minorAscii" w:cstheme="minorAscii"/>
          <w:sz w:val="22"/>
          <w:szCs w:val="22"/>
        </w:rPr>
      </w:pPr>
    </w:p>
    <w:p w:rsidR="3C475C1B" w:rsidP="3C475C1B" w:rsidRDefault="3C475C1B" w14:paraId="1B1BC87E" w14:textId="3833F708">
      <w:pPr>
        <w:rPr>
          <w:rFonts w:ascii="Arial" w:hAnsi="Arial" w:eastAsia="Arial" w:cs="Arial" w:asciiTheme="minorAscii" w:hAnsiTheme="minorAscii" w:eastAsiaTheme="minorAscii" w:cstheme="minorAscii"/>
          <w:sz w:val="22"/>
          <w:szCs w:val="22"/>
        </w:rPr>
      </w:pPr>
    </w:p>
    <w:p w:rsidR="3C475C1B" w:rsidP="3C475C1B" w:rsidRDefault="3C475C1B" w14:paraId="41393D0B" w14:textId="4D465B08">
      <w:pPr>
        <w:rPr>
          <w:rFonts w:ascii="Arial" w:hAnsi="Arial" w:eastAsia="Arial" w:cs="Arial" w:asciiTheme="minorAscii" w:hAnsiTheme="minorAscii" w:eastAsiaTheme="minorAscii" w:cstheme="minorAscii"/>
          <w:sz w:val="22"/>
          <w:szCs w:val="22"/>
        </w:rPr>
      </w:pPr>
    </w:p>
    <w:p w:rsidR="3C475C1B" w:rsidP="3C475C1B" w:rsidRDefault="3C475C1B" w14:paraId="10312C9C" w14:textId="2919C5EB">
      <w:pPr>
        <w:rPr>
          <w:rFonts w:ascii="Arial" w:hAnsi="Arial" w:eastAsia="Arial" w:cs="Arial" w:asciiTheme="minorAscii" w:hAnsiTheme="minorAscii" w:eastAsiaTheme="minorAscii" w:cstheme="minorAscii"/>
          <w:sz w:val="22"/>
          <w:szCs w:val="22"/>
        </w:rPr>
      </w:pPr>
    </w:p>
    <w:p w:rsidR="3C475C1B" w:rsidP="3C475C1B" w:rsidRDefault="3C475C1B" w14:paraId="040C54D5" w14:textId="11099831">
      <w:pPr>
        <w:rPr>
          <w:rFonts w:ascii="Arial" w:hAnsi="Arial" w:eastAsia="Arial" w:cs="Arial" w:asciiTheme="minorAscii" w:hAnsiTheme="minorAscii" w:eastAsiaTheme="minorAscii" w:cstheme="minorAscii"/>
          <w:sz w:val="22"/>
          <w:szCs w:val="22"/>
        </w:rPr>
      </w:pPr>
    </w:p>
    <w:p w:rsidR="3C475C1B" w:rsidP="3C475C1B" w:rsidRDefault="3C475C1B" w14:paraId="40AEB928" w14:textId="6FF99E0F">
      <w:pPr>
        <w:rPr>
          <w:rFonts w:ascii="Arial" w:hAnsi="Arial" w:eastAsia="Arial" w:cs="Arial" w:asciiTheme="minorAscii" w:hAnsiTheme="minorAscii" w:eastAsiaTheme="minorAscii" w:cstheme="minorAscii"/>
          <w:sz w:val="22"/>
          <w:szCs w:val="22"/>
        </w:rPr>
      </w:pPr>
    </w:p>
    <w:p w:rsidR="3C475C1B" w:rsidP="3C475C1B" w:rsidRDefault="3C475C1B" w14:paraId="6DEE7B57" w14:textId="64928473">
      <w:pPr>
        <w:rPr>
          <w:rFonts w:ascii="Arial" w:hAnsi="Arial" w:eastAsia="Arial" w:cs="Arial" w:asciiTheme="minorAscii" w:hAnsiTheme="minorAscii" w:eastAsiaTheme="minorAscii" w:cstheme="minorAscii"/>
          <w:sz w:val="22"/>
          <w:szCs w:val="22"/>
        </w:rPr>
      </w:pPr>
    </w:p>
    <w:p w:rsidR="3C475C1B" w:rsidP="3C475C1B" w:rsidRDefault="3C475C1B" w14:paraId="404DFFAB" w14:textId="4A2D9365">
      <w:pPr>
        <w:pStyle w:val="Normal"/>
        <w:rPr>
          <w:rFonts w:ascii="Arial" w:hAnsi="Arial" w:eastAsia="Arial" w:cs="Arial" w:asciiTheme="minorAscii" w:hAnsiTheme="minorAscii" w:eastAsiaTheme="minorAscii" w:cstheme="minorAscii"/>
          <w:sz w:val="22"/>
          <w:szCs w:val="22"/>
        </w:rPr>
      </w:pPr>
    </w:p>
    <w:p w:rsidR="0B7FC963" w:rsidP="3C475C1B" w:rsidRDefault="0B7FC963" w14:paraId="0D182EE6" w14:textId="17BEF2A4">
      <w:pPr>
        <w:pStyle w:val="Normal"/>
        <w:rPr>
          <w:rFonts w:ascii="Arial" w:hAnsi="Arial" w:eastAsia="Arial" w:cs="Arial" w:asciiTheme="minorAscii" w:hAnsiTheme="minorAscii" w:eastAsiaTheme="minorAscii" w:cstheme="minorAscii"/>
          <w:sz w:val="22"/>
          <w:szCs w:val="22"/>
        </w:rPr>
      </w:pPr>
      <w:r w:rsidRPr="3C475C1B" w:rsidR="0B7FC963">
        <w:rPr>
          <w:rFonts w:ascii="Arial" w:hAnsi="Arial" w:eastAsia="Arial" w:cs="Arial" w:asciiTheme="minorAscii" w:hAnsiTheme="minorAscii" w:eastAsiaTheme="minorAscii" w:cstheme="minorAscii"/>
          <w:sz w:val="22"/>
          <w:szCs w:val="22"/>
        </w:rPr>
        <w:t>Context</w:t>
      </w:r>
    </w:p>
    <w:p w:rsidR="3C475C1B" w:rsidP="3C475C1B" w:rsidRDefault="3C475C1B" w14:paraId="20DCCC8D" w14:textId="67220528">
      <w:pPr>
        <w:pStyle w:val="Normal"/>
        <w:rPr>
          <w:rFonts w:ascii="Arial" w:hAnsi="Arial" w:eastAsia="Arial" w:cs="Arial" w:asciiTheme="minorAscii" w:hAnsiTheme="minorAscii" w:eastAsiaTheme="minorAscii" w:cstheme="minorAscii"/>
          <w:sz w:val="22"/>
          <w:szCs w:val="22"/>
        </w:rPr>
      </w:pPr>
    </w:p>
    <w:p w:rsidR="0B7FC963" w:rsidP="3C475C1B" w:rsidRDefault="0B7FC963" w14:paraId="67EED88A" w14:textId="118FDCB6">
      <w:pPr>
        <w:pStyle w:val="Normal"/>
        <w:rPr>
          <w:rFonts w:ascii="Arial" w:hAnsi="Arial" w:eastAsia="Arial" w:cs="Arial" w:asciiTheme="minorAscii" w:hAnsiTheme="minorAscii" w:eastAsiaTheme="minorAscii" w:cstheme="minorAscii"/>
          <w:sz w:val="22"/>
          <w:szCs w:val="22"/>
        </w:rPr>
      </w:pPr>
      <w:r w:rsidRPr="3C475C1B" w:rsidR="0B7FC963">
        <w:rPr>
          <w:rFonts w:ascii="Arial" w:hAnsi="Arial" w:eastAsia="Arial" w:cs="Arial" w:asciiTheme="minorAscii" w:hAnsiTheme="minorAscii" w:eastAsiaTheme="minorAscii" w:cstheme="minorAscii"/>
          <w:sz w:val="22"/>
          <w:szCs w:val="22"/>
        </w:rPr>
        <w:t>A Report on the Public Health Challenges of Type 2 Diabetes</w:t>
      </w:r>
    </w:p>
    <w:p w:rsidR="3C475C1B" w:rsidP="3C475C1B" w:rsidRDefault="3C475C1B" w14:paraId="3C08A73B" w14:textId="38D02562">
      <w:pPr>
        <w:pStyle w:val="Normal"/>
        <w:rPr>
          <w:rFonts w:ascii="Arial" w:hAnsi="Arial" w:eastAsia="Arial" w:cs="Arial" w:asciiTheme="minorAscii" w:hAnsiTheme="minorAscii" w:eastAsiaTheme="minorAscii" w:cstheme="minorAscii"/>
          <w:sz w:val="22"/>
          <w:szCs w:val="22"/>
        </w:rPr>
      </w:pPr>
    </w:p>
    <w:p w:rsidR="0B7FC963" w:rsidP="3C475C1B" w:rsidRDefault="0B7FC963" w14:paraId="15B379B1" w14:textId="69844140">
      <w:pPr>
        <w:pStyle w:val="Normal"/>
        <w:rPr>
          <w:rFonts w:ascii="Arial" w:hAnsi="Arial" w:eastAsia="Arial" w:cs="Arial" w:asciiTheme="minorAscii" w:hAnsiTheme="minorAscii" w:eastAsiaTheme="minorAscii" w:cstheme="minorAscii"/>
          <w:sz w:val="22"/>
          <w:szCs w:val="22"/>
        </w:rPr>
      </w:pPr>
      <w:r w:rsidRPr="3C475C1B" w:rsidR="0B7FC963">
        <w:rPr>
          <w:rFonts w:ascii="Arial" w:hAnsi="Arial" w:eastAsia="Arial" w:cs="Arial" w:asciiTheme="minorAscii" w:hAnsiTheme="minorAscii" w:eastAsiaTheme="minorAscii" w:cstheme="minorAscii"/>
          <w:sz w:val="22"/>
          <w:szCs w:val="22"/>
        </w:rPr>
        <w:t>Introduction</w:t>
      </w:r>
    </w:p>
    <w:p w:rsidR="3C475C1B" w:rsidP="3C475C1B" w:rsidRDefault="3C475C1B" w14:paraId="09BC8965" w14:textId="3BAF4D09">
      <w:pPr>
        <w:pStyle w:val="Normal"/>
        <w:rPr>
          <w:rFonts w:ascii="Arial" w:hAnsi="Arial" w:eastAsia="Arial" w:cs="Arial" w:asciiTheme="minorAscii" w:hAnsiTheme="minorAscii" w:eastAsiaTheme="minorAscii" w:cstheme="minorAscii"/>
          <w:sz w:val="22"/>
          <w:szCs w:val="22"/>
        </w:rPr>
      </w:pPr>
    </w:p>
    <w:p w:rsidR="0B7FC963" w:rsidP="3C475C1B" w:rsidRDefault="0B7FC963" w14:paraId="383FEACB" w14:textId="2D402C3C">
      <w:pPr>
        <w:pStyle w:val="Normal"/>
        <w:rPr>
          <w:rFonts w:ascii="Arial" w:hAnsi="Arial" w:eastAsia="Arial" w:cs="Arial" w:asciiTheme="minorAscii" w:hAnsiTheme="minorAscii" w:eastAsiaTheme="minorAscii" w:cstheme="minorAscii"/>
          <w:sz w:val="22"/>
          <w:szCs w:val="22"/>
        </w:rPr>
      </w:pPr>
      <w:r w:rsidRPr="3C475C1B" w:rsidR="0B7FC963">
        <w:rPr>
          <w:rFonts w:ascii="Arial" w:hAnsi="Arial" w:eastAsia="Arial" w:cs="Arial" w:asciiTheme="minorAscii" w:hAnsiTheme="minorAscii" w:eastAsiaTheme="minorAscii" w:cstheme="minorAscii"/>
          <w:sz w:val="22"/>
          <w:szCs w:val="22"/>
        </w:rPr>
        <w:t>Consequences for the Community and the NHS</w:t>
      </w:r>
    </w:p>
    <w:p w:rsidR="3C475C1B" w:rsidP="3C475C1B" w:rsidRDefault="3C475C1B" w14:paraId="3884CA4E" w14:textId="1500218F">
      <w:pPr>
        <w:pStyle w:val="Normal"/>
        <w:rPr>
          <w:rFonts w:ascii="Arial" w:hAnsi="Arial" w:eastAsia="Arial" w:cs="Arial" w:asciiTheme="minorAscii" w:hAnsiTheme="minorAscii" w:eastAsiaTheme="minorAscii" w:cstheme="minorAscii"/>
          <w:sz w:val="22"/>
          <w:szCs w:val="22"/>
        </w:rPr>
      </w:pPr>
    </w:p>
    <w:p w:rsidR="0B7FC963" w:rsidP="3C475C1B" w:rsidRDefault="0B7FC963" w14:paraId="524C57B9" w14:textId="6AD92FD5">
      <w:pPr>
        <w:pStyle w:val="Normal"/>
        <w:rPr>
          <w:rFonts w:ascii="Arial" w:hAnsi="Arial" w:eastAsia="Arial" w:cs="Arial" w:asciiTheme="minorAscii" w:hAnsiTheme="minorAscii" w:eastAsiaTheme="minorAscii" w:cstheme="minorAscii"/>
          <w:sz w:val="22"/>
          <w:szCs w:val="22"/>
        </w:rPr>
      </w:pPr>
      <w:r w:rsidRPr="3C475C1B" w:rsidR="0B7FC963">
        <w:rPr>
          <w:rFonts w:ascii="Arial" w:hAnsi="Arial" w:eastAsia="Arial" w:cs="Arial" w:asciiTheme="minorAscii" w:hAnsiTheme="minorAscii" w:eastAsiaTheme="minorAscii" w:cstheme="minorAscii"/>
          <w:sz w:val="22"/>
          <w:szCs w:val="22"/>
        </w:rPr>
        <w:t>How Type 2 Diabetes is Controlled</w:t>
      </w:r>
    </w:p>
    <w:p w:rsidR="3C475C1B" w:rsidP="3C475C1B" w:rsidRDefault="3C475C1B" w14:paraId="6D493A7D" w14:textId="6703F703">
      <w:pPr>
        <w:pStyle w:val="Normal"/>
        <w:rPr>
          <w:rFonts w:ascii="Arial" w:hAnsi="Arial" w:eastAsia="Arial" w:cs="Arial" w:asciiTheme="minorAscii" w:hAnsiTheme="minorAscii" w:eastAsiaTheme="minorAscii" w:cstheme="minorAscii"/>
          <w:sz w:val="22"/>
          <w:szCs w:val="22"/>
        </w:rPr>
      </w:pPr>
    </w:p>
    <w:p w:rsidR="0B7FC963" w:rsidP="3C475C1B" w:rsidRDefault="0B7FC963" w14:paraId="280E6CE7" w14:textId="0C04C0F8">
      <w:pPr>
        <w:pStyle w:val="Normal"/>
        <w:rPr>
          <w:rFonts w:ascii="Arial" w:hAnsi="Arial" w:eastAsia="Arial" w:cs="Arial" w:asciiTheme="minorAscii" w:hAnsiTheme="minorAscii" w:eastAsiaTheme="minorAscii" w:cstheme="minorAscii"/>
          <w:sz w:val="22"/>
          <w:szCs w:val="22"/>
        </w:rPr>
      </w:pPr>
      <w:r w:rsidRPr="3C475C1B" w:rsidR="0B7FC963">
        <w:rPr>
          <w:rFonts w:ascii="Arial" w:hAnsi="Arial" w:eastAsia="Arial" w:cs="Arial" w:asciiTheme="minorAscii" w:hAnsiTheme="minorAscii" w:eastAsiaTheme="minorAscii" w:cstheme="minorAscii"/>
          <w:sz w:val="22"/>
          <w:szCs w:val="22"/>
        </w:rPr>
        <w:t>Factors Influencing Health and Wellbeing</w:t>
      </w:r>
    </w:p>
    <w:p w:rsidR="3C475C1B" w:rsidP="3C475C1B" w:rsidRDefault="3C475C1B" w14:paraId="70426F42" w14:textId="3FB48574">
      <w:pPr>
        <w:pStyle w:val="Normal"/>
        <w:rPr>
          <w:rFonts w:ascii="Arial" w:hAnsi="Arial" w:eastAsia="Arial" w:cs="Arial" w:asciiTheme="minorAscii" w:hAnsiTheme="minorAscii" w:eastAsiaTheme="minorAscii" w:cstheme="minorAscii"/>
          <w:sz w:val="22"/>
          <w:szCs w:val="22"/>
        </w:rPr>
      </w:pPr>
    </w:p>
    <w:p w:rsidR="6A92E440" w:rsidP="3C475C1B" w:rsidRDefault="6A92E440" w14:paraId="5FCCFFED" w14:textId="0E750EAD">
      <w:pPr>
        <w:pStyle w:val="Normal"/>
        <w:rPr>
          <w:rFonts w:ascii="Arial" w:hAnsi="Arial" w:eastAsia="Arial" w:cs="Arial" w:asciiTheme="minorAscii" w:hAnsiTheme="minorAscii" w:eastAsiaTheme="minorAscii" w:cstheme="minorAscii"/>
          <w:sz w:val="22"/>
          <w:szCs w:val="22"/>
        </w:rPr>
      </w:pPr>
      <w:r w:rsidRPr="3C475C1B" w:rsidR="6A92E440">
        <w:rPr>
          <w:rFonts w:ascii="Arial" w:hAnsi="Arial" w:eastAsia="Arial" w:cs="Arial" w:asciiTheme="minorAscii" w:hAnsiTheme="minorAscii" w:eastAsiaTheme="minorAscii" w:cstheme="minorAscii"/>
          <w:sz w:val="22"/>
          <w:szCs w:val="22"/>
        </w:rPr>
        <w:t>Conclusion</w:t>
      </w:r>
    </w:p>
    <w:p w:rsidR="3C475C1B" w:rsidP="3C475C1B" w:rsidRDefault="3C475C1B" w14:paraId="0D5D1309" w14:textId="585CD6E2">
      <w:pPr>
        <w:pStyle w:val="Normal"/>
        <w:rPr>
          <w:rFonts w:ascii="Arial" w:hAnsi="Arial" w:eastAsia="Arial" w:cs="Arial" w:asciiTheme="minorAscii" w:hAnsiTheme="minorAscii" w:eastAsiaTheme="minorAscii" w:cstheme="minorAscii"/>
          <w:sz w:val="22"/>
          <w:szCs w:val="22"/>
        </w:rPr>
      </w:pPr>
    </w:p>
    <w:p w:rsidR="6A92E440" w:rsidP="3C475C1B" w:rsidRDefault="6A92E440" w14:paraId="08650675" w14:textId="69035768">
      <w:pPr>
        <w:pStyle w:val="Normal"/>
        <w:rPr>
          <w:rFonts w:ascii="Arial" w:hAnsi="Arial" w:eastAsia="Arial" w:cs="Arial" w:asciiTheme="minorAscii" w:hAnsiTheme="minorAscii" w:eastAsiaTheme="minorAscii" w:cstheme="minorAscii"/>
          <w:sz w:val="22"/>
          <w:szCs w:val="22"/>
        </w:rPr>
      </w:pPr>
      <w:r w:rsidRPr="3C475C1B" w:rsidR="6A92E440">
        <w:rPr>
          <w:rFonts w:ascii="Arial" w:hAnsi="Arial" w:eastAsia="Arial" w:cs="Arial" w:asciiTheme="minorAscii" w:hAnsiTheme="minorAscii" w:eastAsiaTheme="minorAscii" w:cstheme="minorAscii"/>
          <w:sz w:val="22"/>
          <w:szCs w:val="22"/>
        </w:rPr>
        <w:t>Reference List</w:t>
      </w:r>
    </w:p>
    <w:p w:rsidR="3C475C1B" w:rsidP="3C475C1B" w:rsidRDefault="3C475C1B" w14:paraId="043B8868" w14:textId="2135CC0F">
      <w:pPr>
        <w:pStyle w:val="Normal"/>
        <w:rPr>
          <w:rFonts w:ascii="Arial" w:hAnsi="Arial" w:eastAsia="Arial" w:cs="Arial" w:asciiTheme="minorAscii" w:hAnsiTheme="minorAscii" w:eastAsiaTheme="minorAscii" w:cstheme="minorAscii"/>
          <w:sz w:val="22"/>
          <w:szCs w:val="22"/>
        </w:rPr>
      </w:pPr>
    </w:p>
    <w:p w:rsidR="3C475C1B" w:rsidP="3C475C1B" w:rsidRDefault="3C475C1B" w14:paraId="09E8ED1B" w14:textId="1308C766">
      <w:pPr>
        <w:pStyle w:val="Normal"/>
        <w:rPr>
          <w:rFonts w:ascii="Arial" w:hAnsi="Arial" w:eastAsia="Arial" w:cs="Arial" w:asciiTheme="minorAscii" w:hAnsiTheme="minorAscii" w:eastAsiaTheme="minorAscii" w:cstheme="minorAscii"/>
          <w:sz w:val="22"/>
          <w:szCs w:val="22"/>
        </w:rPr>
      </w:pPr>
    </w:p>
    <w:p w:rsidR="3C475C1B" w:rsidP="3C475C1B" w:rsidRDefault="3C475C1B" w14:paraId="49A87EF6" w14:textId="7F46E95E">
      <w:pPr>
        <w:pStyle w:val="Normal"/>
        <w:rPr>
          <w:rFonts w:ascii="Arial" w:hAnsi="Arial" w:eastAsia="Arial" w:cs="Arial" w:asciiTheme="minorAscii" w:hAnsiTheme="minorAscii" w:eastAsiaTheme="minorAscii" w:cstheme="minorAscii"/>
          <w:sz w:val="22"/>
          <w:szCs w:val="22"/>
        </w:rPr>
      </w:pPr>
    </w:p>
    <w:p w:rsidR="3C475C1B" w:rsidP="3C475C1B" w:rsidRDefault="3C475C1B" w14:paraId="5417F595" w14:textId="4E8356FD">
      <w:pPr>
        <w:pStyle w:val="Normal"/>
        <w:rPr>
          <w:rFonts w:ascii="Arial" w:hAnsi="Arial" w:eastAsia="Arial" w:cs="Arial" w:asciiTheme="minorAscii" w:hAnsiTheme="minorAscii" w:eastAsiaTheme="minorAscii" w:cstheme="minorAscii"/>
          <w:sz w:val="22"/>
          <w:szCs w:val="22"/>
        </w:rPr>
      </w:pPr>
    </w:p>
    <w:p w:rsidR="3C475C1B" w:rsidP="3C475C1B" w:rsidRDefault="3C475C1B" w14:paraId="1D12E6DF" w14:textId="366E6420">
      <w:pPr>
        <w:pStyle w:val="Normal"/>
        <w:rPr>
          <w:rFonts w:ascii="Arial" w:hAnsi="Arial" w:eastAsia="Arial" w:cs="Arial" w:asciiTheme="minorAscii" w:hAnsiTheme="minorAscii" w:eastAsiaTheme="minorAscii" w:cstheme="minorAscii"/>
          <w:sz w:val="22"/>
          <w:szCs w:val="22"/>
        </w:rPr>
      </w:pPr>
    </w:p>
    <w:p w:rsidR="3C475C1B" w:rsidP="3C475C1B" w:rsidRDefault="3C475C1B" w14:paraId="0553F36A" w14:textId="002D4EB8">
      <w:pPr>
        <w:pStyle w:val="Normal"/>
        <w:rPr>
          <w:rFonts w:ascii="Arial" w:hAnsi="Arial" w:eastAsia="Arial" w:cs="Arial" w:asciiTheme="minorAscii" w:hAnsiTheme="minorAscii" w:eastAsiaTheme="minorAscii" w:cstheme="minorAscii"/>
          <w:sz w:val="22"/>
          <w:szCs w:val="22"/>
        </w:rPr>
      </w:pPr>
    </w:p>
    <w:p w:rsidR="3C475C1B" w:rsidP="3C475C1B" w:rsidRDefault="3C475C1B" w14:paraId="2A81C57A" w14:textId="3ABEBD0F">
      <w:pPr>
        <w:pStyle w:val="Normal"/>
        <w:rPr>
          <w:rFonts w:ascii="Arial" w:hAnsi="Arial" w:eastAsia="Arial" w:cs="Arial" w:asciiTheme="minorAscii" w:hAnsiTheme="minorAscii" w:eastAsiaTheme="minorAscii" w:cstheme="minorAscii"/>
          <w:sz w:val="22"/>
          <w:szCs w:val="22"/>
        </w:rPr>
      </w:pPr>
    </w:p>
    <w:p w:rsidR="3C475C1B" w:rsidP="3C475C1B" w:rsidRDefault="3C475C1B" w14:paraId="261A28B0" w14:textId="27660FBB">
      <w:pPr>
        <w:pStyle w:val="Normal"/>
        <w:rPr>
          <w:rFonts w:ascii="Arial" w:hAnsi="Arial" w:eastAsia="Arial" w:cs="Arial" w:asciiTheme="minorAscii" w:hAnsiTheme="minorAscii" w:eastAsiaTheme="minorAscii" w:cstheme="minorAscii"/>
          <w:sz w:val="22"/>
          <w:szCs w:val="22"/>
        </w:rPr>
      </w:pPr>
    </w:p>
    <w:p w:rsidR="3C475C1B" w:rsidP="3C475C1B" w:rsidRDefault="3C475C1B" w14:paraId="4257D82F" w14:textId="2BBB2054">
      <w:pPr>
        <w:pStyle w:val="Normal"/>
        <w:rPr>
          <w:rFonts w:ascii="Arial" w:hAnsi="Arial" w:eastAsia="Arial" w:cs="Arial" w:asciiTheme="minorAscii" w:hAnsiTheme="minorAscii" w:eastAsiaTheme="minorAscii" w:cstheme="minorAscii"/>
          <w:sz w:val="22"/>
          <w:szCs w:val="22"/>
        </w:rPr>
      </w:pPr>
    </w:p>
    <w:p w:rsidR="3C475C1B" w:rsidP="3C475C1B" w:rsidRDefault="3C475C1B" w14:paraId="404A27C6" w14:textId="2A9149DD">
      <w:pPr>
        <w:pStyle w:val="Normal"/>
        <w:rPr>
          <w:rFonts w:ascii="Arial" w:hAnsi="Arial" w:eastAsia="Arial" w:cs="Arial" w:asciiTheme="minorAscii" w:hAnsiTheme="minorAscii" w:eastAsiaTheme="minorAscii" w:cstheme="minorAscii"/>
          <w:sz w:val="22"/>
          <w:szCs w:val="22"/>
        </w:rPr>
      </w:pPr>
    </w:p>
    <w:p w:rsidR="3C475C1B" w:rsidP="3C475C1B" w:rsidRDefault="3C475C1B" w14:paraId="3DF9F0C4" w14:textId="59761246">
      <w:pPr>
        <w:pStyle w:val="Normal"/>
        <w:rPr>
          <w:rFonts w:ascii="Arial" w:hAnsi="Arial" w:eastAsia="Arial" w:cs="Arial" w:asciiTheme="minorAscii" w:hAnsiTheme="minorAscii" w:eastAsiaTheme="minorAscii" w:cstheme="minorAscii"/>
          <w:sz w:val="22"/>
          <w:szCs w:val="22"/>
        </w:rPr>
      </w:pPr>
    </w:p>
    <w:p w:rsidR="3C475C1B" w:rsidP="3C475C1B" w:rsidRDefault="3C475C1B" w14:paraId="4D659CE6" w14:textId="50D2DCCA">
      <w:pPr>
        <w:pStyle w:val="Normal"/>
        <w:rPr>
          <w:rFonts w:ascii="Arial" w:hAnsi="Arial" w:eastAsia="Arial" w:cs="Arial" w:asciiTheme="minorAscii" w:hAnsiTheme="minorAscii" w:eastAsiaTheme="minorAscii" w:cstheme="minorAscii"/>
          <w:sz w:val="22"/>
          <w:szCs w:val="22"/>
        </w:rPr>
      </w:pPr>
    </w:p>
    <w:p w:rsidR="3C475C1B" w:rsidP="3C475C1B" w:rsidRDefault="3C475C1B" w14:paraId="0E97CFE1" w14:textId="761BC8EF">
      <w:pPr>
        <w:pStyle w:val="Normal"/>
        <w:rPr>
          <w:rFonts w:ascii="Arial" w:hAnsi="Arial" w:eastAsia="Arial" w:cs="Arial" w:asciiTheme="minorAscii" w:hAnsiTheme="minorAscii" w:eastAsiaTheme="minorAscii" w:cstheme="minorAscii"/>
          <w:sz w:val="22"/>
          <w:szCs w:val="22"/>
        </w:rPr>
      </w:pPr>
    </w:p>
    <w:p w:rsidR="3C475C1B" w:rsidP="3C475C1B" w:rsidRDefault="3C475C1B" w14:paraId="4E7718C4" w14:textId="15DC7ADB">
      <w:pPr>
        <w:pStyle w:val="Normal"/>
        <w:rPr>
          <w:rFonts w:ascii="Arial" w:hAnsi="Arial" w:eastAsia="Arial" w:cs="Arial" w:asciiTheme="minorAscii" w:hAnsiTheme="minorAscii" w:eastAsiaTheme="minorAscii" w:cstheme="minorAscii"/>
          <w:sz w:val="22"/>
          <w:szCs w:val="22"/>
        </w:rPr>
      </w:pPr>
    </w:p>
    <w:p w:rsidR="6ED78DBD" w:rsidP="3C475C1B" w:rsidRDefault="6ED78DBD" w14:paraId="631F571B" w14:textId="23F82BBE">
      <w:pPr>
        <w:pStyle w:val="Normal"/>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3C475C1B" w:rsidR="6ED78DB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 Report on the Public Health Challenge of Type 2 Diabetes</w:t>
      </w:r>
      <w:r>
        <w:br/>
      </w:r>
      <w:r>
        <w:br/>
      </w:r>
      <w:r w:rsidRPr="3C475C1B" w:rsidR="6ED78DB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Introduction</w:t>
      </w:r>
      <w:r>
        <w:br/>
      </w:r>
      <w:r>
        <w:br/>
      </w:r>
      <w:r w:rsidRPr="3C475C1B" w:rsidR="6ED78DB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Type 2 Diabetes Mellitus (T2DM) is a chronic metabolic disorder characterised by hyperglycaemia (high blood glucose levels) resulting from the body's ineffective use of insulin. This condition, known as insulin resistance, is often accompanied by a progressive decline in insulin secretion from the pancreatic beta-cells (Zaccardi et al., 2016). Common signs and symptoms include increased thirst (polydipsia), frequent urination (polyuria), constant hunger, unexplained weight loss, fatigue, and blurred vision. However, the onset can be insidious, and many individuals </w:t>
      </w:r>
      <w:r w:rsidRPr="3C475C1B" w:rsidR="6ED78DB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remain</w:t>
      </w:r>
      <w:r w:rsidRPr="3C475C1B" w:rsidR="6ED78DB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asymptomatic for years. T2DM </w:t>
      </w:r>
      <w:r w:rsidRPr="3C475C1B" w:rsidR="6ED78DB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represents</w:t>
      </w:r>
      <w:r w:rsidRPr="3C475C1B" w:rsidR="6ED78DB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 severe global health issue. Worldwide, the prevalence has risen dramatically, with an estimated 537 million adults (20-79 years) living with diabetes in 2021, a figure projected to reach 643 million by 2030, the majority of which are T2DM cases (International Diabetes Federation [IDF], 2021). In the UK, Diabetes UK (2023a) reports that over 5.6 million people are currently living with diabetes, approximately 90% of whom have T2DM, underscoring the scale of this national health crisis.</w:t>
      </w:r>
    </w:p>
    <w:p w:rsidR="3C475C1B" w:rsidP="3C475C1B" w:rsidRDefault="3C475C1B" w14:paraId="3A4AF81F" w14:textId="300E7251">
      <w:pPr>
        <w:pStyle w:val="Normal"/>
        <w:spacing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p>
    <w:p w:rsidR="7E4F66DC" w:rsidP="3C475C1B" w:rsidRDefault="7E4F66DC" w14:paraId="29F4EF81" w14:textId="7D72A915">
      <w:pPr>
        <w:pStyle w:val="Normal"/>
        <w:rPr>
          <w:rFonts w:ascii="Arial" w:hAnsi="Arial" w:eastAsia="Arial" w:cs="Arial" w:asciiTheme="minorAscii" w:hAnsiTheme="minorAscii" w:eastAsiaTheme="minorAscii" w:cstheme="minorAscii"/>
          <w:noProof w:val="0"/>
          <w:sz w:val="22"/>
          <w:szCs w:val="22"/>
          <w:lang w:val="en-GB"/>
        </w:rPr>
      </w:pPr>
      <w:r w:rsidRPr="3C475C1B" w:rsidR="7E4F66DC">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Consequences for the Community and the NHS</w:t>
      </w:r>
      <w:r>
        <w:br/>
      </w:r>
      <w:r>
        <w:br/>
      </w:r>
      <w:r w:rsidRPr="3C475C1B" w:rsidR="7E4F66DC">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The ramifications of T2DM extend far beyond the individual, placing a substantial burden on both the community and the National Health Service (NHS). For the community, the impact is multifaceted. Economically, productivity losses are significant due to premature mortality, absenteeism from work, and presenteeism (reduced productivity while at work). Furthermore, the disease contributes to health inequalities, as its prevalence is disproportionately higher in more deprived socio-economic groups (Diabetes UK, 2023b). This creates a cycle of disadvantage where poor health impedes the ability to work and earn, further </w:t>
      </w:r>
      <w:r w:rsidRPr="3C475C1B" w:rsidR="7E4F66DC">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exacerbating</w:t>
      </w:r>
      <w:r w:rsidRPr="3C475C1B" w:rsidR="7E4F66DC">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poverty. Socially, individuals with T2DM can face stigma and a reduced quality of life, while family members often become informal carers, experiencing their own psychological and financial strain.</w:t>
      </w:r>
      <w:r>
        <w:br/>
      </w:r>
      <w:r>
        <w:br/>
      </w:r>
      <w:r w:rsidRPr="3C475C1B" w:rsidR="7E4F66DC">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For the NHS, the financial burden is staggering. It is estimated that the NHS spends </w:t>
      </w:r>
      <w:r w:rsidRPr="3C475C1B" w:rsidR="7E4F66DC">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approximately £10 billion</w:t>
      </w:r>
      <w:r w:rsidRPr="3C475C1B" w:rsidR="7E4F66DC">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annually on diabetes care, which equates to around 10% of its entire budget (NHS Digital, 2022). This cost is not primarily driven by the management of hyperglycaemia itself, but by the treatment of its devastating and costly complications. These can be categorised as microvascular and macrovascular.</w:t>
      </w:r>
      <w:r>
        <w:br/>
      </w:r>
      <w:r>
        <w:br/>
      </w:r>
      <w:r w:rsidRPr="3C475C1B" w:rsidR="232B08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t>
      </w:r>
      <w:r w:rsidRPr="3C475C1B" w:rsidR="7E4F66DC">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Microvascular complications result from damage to small blood vessels. They include:</w:t>
      </w:r>
      <w:r>
        <w:br/>
      </w:r>
      <w:r w:rsidRPr="3C475C1B" w:rsidR="7E4F66DC">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Diabetic Retinopathy: A leading cause of preventable blindness in adults. Screening programmes are essential but add to NHS costs.</w:t>
      </w:r>
      <w:r>
        <w:br/>
      </w:r>
      <w:r w:rsidRPr="3C475C1B" w:rsidR="7E4F66DC">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Diabetic Nephropathy: A major cause of end-stage renal disease, requiring expensive dialysis or kidney transplantation.</w:t>
      </w:r>
      <w:r>
        <w:br/>
      </w:r>
      <w:r w:rsidRPr="3C475C1B" w:rsidR="7E4F66DC">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Diabetic Neuropathy: Nerve damage that can lead to foot ulcers, infections, </w:t>
      </w:r>
      <w:r w:rsidRPr="3C475C1B" w:rsidR="7E4F66DC">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and ultimately, lower-limb</w:t>
      </w:r>
      <w:r w:rsidRPr="3C475C1B" w:rsidR="7E4F66DC">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amputations, which are physically and psychologically traumatic for the patient and resource-intensive for the health service.</w:t>
      </w:r>
      <w:r>
        <w:br/>
      </w:r>
      <w:r w:rsidRPr="3C475C1B" w:rsidR="738A843E">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t>
      </w:r>
      <w:r w:rsidRPr="3C475C1B" w:rsidR="7E4F66DC">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Macrovascular complications involve damage to larger arteries, significantly increasing the risk of:</w:t>
      </w:r>
      <w:r>
        <w:br/>
      </w:r>
      <w:r w:rsidRPr="3C475C1B" w:rsidR="7E4F66DC">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t>
      </w:r>
      <w:bookmarkStart w:name="_Int_offfZjmv" w:id="1941214596"/>
      <w:r w:rsidRPr="3C475C1B" w:rsidR="7E4F66DC">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Cardiovascular Disease</w:t>
      </w:r>
      <w:bookmarkEnd w:id="1941214596"/>
      <w:r w:rsidRPr="3C475C1B" w:rsidR="7E4F66DC">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(CVD): This includes heart attacks and strokes. People with T2DM are two to four times more likely to develop CVD (World Health Organization [WHO], 2023).</w:t>
      </w:r>
      <w:r>
        <w:br/>
      </w:r>
      <w:r w:rsidRPr="3C475C1B" w:rsidR="7E4F66DC">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Peripheral Arterial Disease: Reduced blood flow to the limbs, which compounds the risks associated with neuropathy.</w:t>
      </w:r>
      <w:r>
        <w:br/>
      </w:r>
      <w:r>
        <w:br/>
      </w:r>
      <w:r w:rsidRPr="3C475C1B" w:rsidR="7E4F66DC">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The management of these complications, alongside the ongoing cost of medications (e.g., metformin, insulin), blood glucose test strips, and regular consultations with GPs, nurses, and dietitians, </w:t>
      </w:r>
      <w:r w:rsidRPr="3C475C1B" w:rsidR="7E4F66DC">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constitutes</w:t>
      </w:r>
      <w:r w:rsidRPr="3C475C1B" w:rsidR="7E4F66DC">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the immense and sustained financial pressure T2DM places on the NHS.</w:t>
      </w:r>
    </w:p>
    <w:p w:rsidR="3C475C1B" w:rsidP="3C475C1B" w:rsidRDefault="3C475C1B" w14:paraId="15587D1E" w14:textId="672F7658">
      <w:pPr>
        <w:rPr>
          <w:rFonts w:ascii="Arial" w:hAnsi="Arial" w:eastAsia="Arial" w:cs="Arial" w:asciiTheme="minorAscii" w:hAnsiTheme="minorAscii" w:eastAsiaTheme="minorAscii" w:cstheme="minorAscii"/>
          <w:sz w:val="22"/>
          <w:szCs w:val="22"/>
        </w:rPr>
      </w:pPr>
    </w:p>
    <w:p w:rsidR="617AFA32" w:rsidP="3C475C1B" w:rsidRDefault="617AFA32" w14:paraId="3FDB50F2" w14:textId="7AD91727">
      <w:pPr>
        <w:pStyle w:val="Normal"/>
        <w:spacing w:before="0" w:beforeAutospacing="off" w:after="120" w:afterAutospacing="off"/>
        <w:rPr>
          <w:rFonts w:ascii="Arial" w:hAnsi="Arial" w:eastAsia="Arial" w:cs="Arial" w:asciiTheme="minorAscii" w:hAnsiTheme="minorAscii" w:eastAsiaTheme="minorAscii" w:cstheme="minorAscii"/>
          <w:noProof w:val="0"/>
          <w:sz w:val="22"/>
          <w:szCs w:val="22"/>
          <w:lang w:val="en-GB"/>
        </w:rPr>
      </w:pPr>
      <w:r w:rsidRPr="3C475C1B" w:rsidR="617AFA3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How Type 2 Diabetes is Controlled</w:t>
      </w:r>
      <w:r>
        <w:br/>
      </w:r>
      <w:r>
        <w:br/>
      </w:r>
      <w:r w:rsidRPr="3C475C1B" w:rsidR="617AFA3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The control of T2DM operates on multiple levels: prevention, clinical management, and national policy.</w:t>
      </w:r>
      <w:r>
        <w:br/>
      </w:r>
      <w:r>
        <w:br/>
      </w:r>
      <w:r w:rsidRPr="3C475C1B" w:rsidR="617AFA3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1. Prevention: Given that T2DM is largely preventable, public health initiatives are paramount. The NHS Diabetes Prevention Programme (NHS DPP) is a key example, offering a structured, evidence-based education programme to individuals identified as having non-diabetic hyperglycaemia (prediabetes). This programme focuses on achieving weight loss through healthier eating and increased physical activity, which can reduce the risk of progressing to full T2DM by up to 50% (WHO, 2023). Public awareness campaigns, such as those run by Diabetes UK, also play a crucial role in educating the public about risk factors.</w:t>
      </w:r>
    </w:p>
    <w:p w:rsidR="3C475C1B" w:rsidP="3C475C1B" w:rsidRDefault="3C475C1B" w14:paraId="74F66DBF" w14:textId="05748096">
      <w:pPr>
        <w:rPr>
          <w:rFonts w:ascii="Arial" w:hAnsi="Arial" w:eastAsia="Arial" w:cs="Arial" w:asciiTheme="minorAscii" w:hAnsiTheme="minorAscii" w:eastAsiaTheme="minorAscii" w:cstheme="minorAscii"/>
          <w:sz w:val="22"/>
          <w:szCs w:val="22"/>
        </w:rPr>
      </w:pPr>
    </w:p>
    <w:p w:rsidR="05DE3AE1" w:rsidP="3C475C1B" w:rsidRDefault="05DE3AE1" w14:paraId="2FAE293F" w14:textId="5429CE1C">
      <w:pPr>
        <w:pStyle w:val="Normal"/>
        <w:rPr>
          <w:rFonts w:ascii="Arial" w:hAnsi="Arial" w:eastAsia="Arial" w:cs="Arial" w:asciiTheme="minorAscii" w:hAnsiTheme="minorAscii" w:eastAsiaTheme="minorAscii" w:cstheme="minorAscii"/>
          <w:noProof w:val="0"/>
          <w:sz w:val="22"/>
          <w:szCs w:val="22"/>
          <w:lang w:val="en-GB"/>
        </w:rPr>
      </w:pPr>
      <w:r w:rsidRPr="3C475C1B" w:rsidR="05DE3AE1">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2. Clinical Management: For those diagnosed, management is a lifelong process focused on maintaining blood glucose levels within a target range to prevent complications. The cornerstone is lifestyle modification: a balanced, calorie-controlled diet and regular physical activity. When lifestyle changes are insufficient, pharmacotherapy is initiated. Metformin is typically the first-line medication. If blood glucose remains uncontrolled, a range of other drugs can be used, including SGLT2 inhibitors and GLP-1 receptor agonists, which also offer cardiovascular benefits (NICE, 2022). Insulin therapy may be required in later stages. Effective management also involves regular screening for complications, including annual foot checks, eye screening, and kidney function tests.</w:t>
      </w:r>
      <w:r>
        <w:br/>
      </w:r>
    </w:p>
    <w:p w:rsidR="05DE3AE1" w:rsidP="3C475C1B" w:rsidRDefault="05DE3AE1" w14:paraId="38342181" w14:textId="22144674">
      <w:pPr>
        <w:pStyle w:val="Normal"/>
        <w:rPr>
          <w:rFonts w:ascii="Arial" w:hAnsi="Arial" w:eastAsia="Arial" w:cs="Arial" w:asciiTheme="minorAscii" w:hAnsiTheme="minorAscii" w:eastAsiaTheme="minorAscii" w:cstheme="minorAscii"/>
          <w:noProof w:val="0"/>
          <w:sz w:val="22"/>
          <w:szCs w:val="22"/>
          <w:lang w:val="en-GB"/>
        </w:rPr>
      </w:pPr>
      <w:r w:rsidRPr="3C475C1B" w:rsidR="05DE3AE1">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3. National Policy: Government policy is critical for creating a healthier environment. This includes measures like the UK's Soft Drinks Industry Levy (the "sugar tax"), which has successfully incentivised manufacturers to reduce sugar content in beverages (Pearson-Stuttard et al., 2023). Policies aimed at improving food labelling, promoting active travel (e.g., cycling infrastructure), and regulating the advertising of unhealthy foods to children are all part of a comprehensive strategy to control the T2DM epidemic at a population level.</w:t>
      </w:r>
      <w:r>
        <w:br/>
      </w:r>
    </w:p>
    <w:p w:rsidR="645ACB18" w:rsidP="3C475C1B" w:rsidRDefault="645ACB18" w14:paraId="3AC6CBFF" w14:textId="71700CA8">
      <w:pPr>
        <w:pStyle w:val="Normal"/>
        <w:rPr>
          <w:rFonts w:ascii="Arial" w:hAnsi="Arial" w:eastAsia="Arial" w:cs="Arial" w:asciiTheme="minorAscii" w:hAnsiTheme="minorAscii" w:eastAsiaTheme="minorAscii" w:cstheme="minorAscii"/>
          <w:noProof w:val="0"/>
          <w:sz w:val="22"/>
          <w:szCs w:val="22"/>
          <w:lang w:val="en-GB"/>
        </w:rPr>
      </w:pPr>
      <w:r w:rsidRPr="3C475C1B" w:rsidR="645ACB18">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Factors Influencing Health and Well-being</w:t>
      </w:r>
      <w:r>
        <w:br/>
      </w:r>
      <w:r>
        <w:br/>
      </w:r>
      <w:r w:rsidRPr="3C475C1B" w:rsidR="645ACB18">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The health and well-being of individuals with T2DM and those around them are influenced by a complex interplay of biological, psychological, social, and economic factors.</w:t>
      </w:r>
      <w:r>
        <w:br/>
      </w:r>
      <w:r>
        <w:br/>
      </w:r>
      <w:r w:rsidRPr="3C475C1B" w:rsidR="645ACB18">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Biological and Psychological Factors: The very nature of T2DM as a chronic, progressive condition is a primary influence. The constant need for self-management—monitoring blood sugar, taking medication, and adhering to dietary restrictions—can lead to "diabetes distress," a state of emotional overwhelm and burnout (Fisher et al., 2022). This psychological burden is compounded by the fear of developing complications, which can cause significant anxiety and depression. The presence of co-morbidities, such as obesity or hypertension, further complicates management and </w:t>
      </w:r>
      <w:r w:rsidRPr="3C475C1B" w:rsidR="645ACB18">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impacts</w:t>
      </w:r>
      <w:r w:rsidRPr="3C475C1B" w:rsidR="645ACB18">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overall well-being.</w:t>
      </w:r>
      <w:r>
        <w:br/>
      </w:r>
      <w:r>
        <w:br/>
      </w:r>
      <w:r w:rsidRPr="3C475C1B" w:rsidR="645ACB18">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Social and Economic Determinants: Socio-economic status is one of the most powerful determinants. Individuals from more deprived backgrounds are at a higher risk of developing T2DM and experience worse outcomes (Diabetes UK, 2023b). This is mediated through several pathways:</w:t>
      </w:r>
      <w:r>
        <w:br/>
      </w:r>
      <w:r w:rsidRPr="3C475C1B" w:rsidR="645ACB18">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Food Environment: Healthier foods, such as fresh fruit and vegetables, are often more expensive and less accessible in deprived areas ("food deserts") compared to energy-dense, nutrient-poor processed foods.</w:t>
      </w:r>
      <w:r>
        <w:br/>
      </w:r>
      <w:r w:rsidRPr="3C475C1B" w:rsidR="645ACB18">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Education and Health Literacy: Lower levels of health literacy can make it difficult to understand complex medical information and navigate the healthcare system, leading to poorer adherence to treatment plans.</w:t>
      </w:r>
      <w:r>
        <w:br/>
      </w:r>
      <w:r w:rsidRPr="3C475C1B" w:rsidR="645ACB18">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Financial Pressure: The cost of healthy food, gym memberships, and sometimes prescription charges can be prohibitive, making recommended lifestyle changes unfeasible.</w:t>
      </w:r>
      <w:r>
        <w:br/>
      </w:r>
      <w:r>
        <w:br/>
      </w:r>
      <w:r w:rsidRPr="3C475C1B" w:rsidR="645ACB18">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Cultural and Family Influences: Cultural norms and beliefs around body weight, food, and physical activity can either support or hinder disease management. Family dynamics are also crucial. A supportive family can provide encouragement and help </w:t>
      </w:r>
      <w:r w:rsidRPr="3C475C1B" w:rsidR="645ACB18">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maintain</w:t>
      </w:r>
      <w:r w:rsidRPr="3C475C1B" w:rsidR="645ACB18">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 healthy home environment. Conversely, a lack of family support, or a family experiencing shared socio-economic stress, can be a major barrier. Family members, particularly partners, may experience carer fatigue and anxiety about their loved one's health, affecting their own mental well-being.</w:t>
      </w:r>
      <w:r>
        <w:br/>
      </w:r>
      <w:r>
        <w:br/>
      </w:r>
      <w:r w:rsidRPr="3C475C1B" w:rsidR="645ACB18">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Access to Healthcare: Timely access to high-quality healthcare services is vital. Disparities in access, whether due to geography, language barriers, or system pressures, can lead to delayed diagnoses and suboptimal management. The quality of the patient-clinician relationship is also critical; a supportive, non-judgemental approach from healthcare professionals empowers individuals and improves self-efficacy.</w:t>
      </w:r>
    </w:p>
    <w:p w:rsidR="3C475C1B" w:rsidP="3C475C1B" w:rsidRDefault="3C475C1B" w14:paraId="4BF33255" w14:textId="01233C86">
      <w:pPr>
        <w:rPr>
          <w:rFonts w:ascii="Arial" w:hAnsi="Arial" w:eastAsia="Arial" w:cs="Arial" w:asciiTheme="minorAscii" w:hAnsiTheme="minorAscii" w:eastAsiaTheme="minorAscii" w:cstheme="minorAscii"/>
          <w:sz w:val="22"/>
          <w:szCs w:val="22"/>
        </w:rPr>
      </w:pPr>
    </w:p>
    <w:p w:rsidR="35C4E1E0" w:rsidP="3C475C1B" w:rsidRDefault="35C4E1E0" w14:paraId="0B81B048" w14:textId="1A61FC45">
      <w:pPr>
        <w:pStyle w:val="Normal"/>
        <w:rPr>
          <w:rFonts w:ascii="Arial" w:hAnsi="Arial" w:eastAsia="Arial" w:cs="Arial" w:asciiTheme="minorAscii" w:hAnsiTheme="minorAscii" w:eastAsiaTheme="minorAscii" w:cstheme="minorAscii"/>
          <w:noProof w:val="0"/>
          <w:sz w:val="22"/>
          <w:szCs w:val="22"/>
          <w:lang w:val="en-GB"/>
        </w:rPr>
      </w:pPr>
      <w:r w:rsidRPr="3C475C1B" w:rsidR="35C4E1E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Conclusion</w:t>
      </w:r>
      <w:r>
        <w:br/>
      </w:r>
      <w:r>
        <w:br/>
      </w:r>
      <w:r w:rsidRPr="3C475C1B" w:rsidR="35C4E1E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In conclusion, Type 2 Diabetes is a defining public health challenge of our time, with escalating prevalence both globally and within the UK. Its impact is profound, imposing a severe human cost in terms of debilitating complications and reduced quality of life for millions, while simultaneously threatening the financial sustainability of the NHS through astronomical treatment costs. The disease is controllable through a multi-pronged strategy that prioritises population-level prevention, structured clinical management for those diagnosed, and supportive government policy. However, the effectiveness of these measures is heavily mediated by a wide range of factors influencing health and well-being, from the individual's psychological state to deep-seated socio-economic inequalities. Addressing the T2DM epidemic, therefore, requires more than just medical interventions; it demands a concerted, societal effort to tackle the underlying social determinants of health, create healthier environments, and provide equitable, person-centred support to all those affected by the condition.</w:t>
      </w:r>
    </w:p>
    <w:p w:rsidR="3C475C1B" w:rsidP="3C475C1B" w:rsidRDefault="3C475C1B" w14:paraId="2C9BFDA8" w14:textId="43FEF556">
      <w:pPr>
        <w:rPr>
          <w:rFonts w:ascii="Arial" w:hAnsi="Arial" w:eastAsia="Arial" w:cs="Arial" w:asciiTheme="minorAscii" w:hAnsiTheme="minorAscii" w:eastAsiaTheme="minorAscii" w:cstheme="minorAscii"/>
          <w:sz w:val="22"/>
          <w:szCs w:val="22"/>
        </w:rPr>
      </w:pPr>
    </w:p>
    <w:p w:rsidR="35C4E1E0" w:rsidP="3C475C1B" w:rsidRDefault="35C4E1E0" w14:paraId="41133828" w14:textId="3E3BF366">
      <w:pPr>
        <w:pStyle w:val="Normal"/>
        <w:rPr>
          <w:rFonts w:ascii="Arial" w:hAnsi="Arial" w:eastAsia="Arial" w:cs="Arial" w:asciiTheme="minorAscii" w:hAnsiTheme="minorAscii" w:eastAsiaTheme="minorAscii" w:cstheme="minorAscii"/>
          <w:noProof w:val="0"/>
          <w:sz w:val="22"/>
          <w:szCs w:val="22"/>
          <w:lang w:val="en-GB"/>
        </w:rPr>
      </w:pPr>
      <w:r w:rsidRPr="3C475C1B" w:rsidR="35C4E1E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Reference List</w:t>
      </w:r>
      <w:r>
        <w:br/>
      </w:r>
      <w:r>
        <w:br/>
      </w:r>
      <w:r w:rsidRPr="3C475C1B" w:rsidR="35C4E1E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Diabetes UK (2023a) Diabetes Statistics. Available at: </w:t>
      </w:r>
      <w:hyperlink r:id="R372200beeffe4634">
        <w:r w:rsidRPr="3C475C1B" w:rsidR="35C4E1E0">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https://www.diabetes.org.uk/professionals/position-statements-reports/statistics</w:t>
        </w:r>
      </w:hyperlink>
      <w:r w:rsidRPr="3C475C1B" w:rsidR="35C4E1E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(Accessed: 1</w:t>
      </w:r>
      <w:r w:rsidRPr="3C475C1B" w:rsidR="254B379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4</w:t>
      </w:r>
      <w:r w:rsidRPr="3C475C1B" w:rsidR="35C4E1E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November 2025).</w:t>
      </w:r>
      <w:r>
        <w:br/>
      </w:r>
      <w:r>
        <w:br/>
      </w:r>
      <w:r w:rsidRPr="3C475C1B" w:rsidR="35C4E1E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Diabetes UK (2023b) Us, diabetes and a lot of facts and stats. Available at: </w:t>
      </w:r>
      <w:hyperlink r:id="Rfe0e7db3348949d7">
        <w:r w:rsidRPr="3C475C1B" w:rsidR="35C4E1E0">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https://www.diabetes.org.uk/resources-s3/2023-03/Us_diabetes_and_a_lot_of_facts_and_stats_March_2023.pdf</w:t>
        </w:r>
      </w:hyperlink>
      <w:r w:rsidRPr="3C475C1B" w:rsidR="35C4E1E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(Accessed: 15 November 2025).</w:t>
      </w:r>
      <w:r>
        <w:br/>
      </w:r>
      <w:r>
        <w:br/>
      </w:r>
      <w:r w:rsidRPr="3C475C1B" w:rsidR="35C4E1E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Fisher, L. et al. (2022) 'Understanding diabetes distress, depression, and diabetes management in adults with type 2 diabetes: A longitudinal study', Diabetes Care, 45(5), pp. 1153-1160.</w:t>
      </w:r>
      <w:r>
        <w:br/>
      </w:r>
      <w:r>
        <w:br/>
      </w:r>
      <w:r w:rsidRPr="3C475C1B" w:rsidR="35C4E1E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International Diabetes Federation (2021) IDF Diabetes Atlas, 10th </w:t>
      </w:r>
      <w:r w:rsidRPr="3C475C1B" w:rsidR="35C4E1E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edn</w:t>
      </w:r>
      <w:r w:rsidRPr="3C475C1B" w:rsidR="35C4E1E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Brussels, Belgium: International Diabetes Federation. Available at: </w:t>
      </w:r>
      <w:hyperlink r:id="R98565abf934e4681">
        <w:r w:rsidRPr="3C475C1B" w:rsidR="35C4E1E0">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https://www.diabetesatlas.org</w:t>
        </w:r>
      </w:hyperlink>
      <w:r w:rsidRPr="3C475C1B" w:rsidR="35C4E1E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(Accessed: 1</w:t>
      </w:r>
      <w:r w:rsidRPr="3C475C1B" w:rsidR="1092CABC">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4</w:t>
      </w:r>
      <w:r w:rsidRPr="3C475C1B" w:rsidR="35C4E1E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November 2025).</w:t>
      </w:r>
      <w:r>
        <w:br/>
      </w:r>
      <w:r>
        <w:br/>
      </w:r>
      <w:r w:rsidRPr="3C475C1B" w:rsidR="35C4E1E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NHS Digital (2022) National Diabetes Audit, Report 1: Care Processes and Treatment Targets. Available at: </w:t>
      </w:r>
      <w:hyperlink r:id="R494159245ee04a36">
        <w:r w:rsidRPr="3C475C1B" w:rsidR="35C4E1E0">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https://digital.nhs.uk/data-and-information/publications/statistical/national-diabetes-audit</w:t>
        </w:r>
      </w:hyperlink>
      <w:r w:rsidRPr="3C475C1B" w:rsidR="35C4E1E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(Accessed: 15 November 2025).</w:t>
      </w:r>
      <w:r>
        <w:br/>
      </w:r>
      <w:r>
        <w:br/>
      </w:r>
      <w:r w:rsidRPr="3C475C1B" w:rsidR="35C4E1E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NICE (2022) Type 2 diabetes in adults: management. [NICE guideline NG28]. Available at: </w:t>
      </w:r>
      <w:hyperlink r:id="R24fad4a4b7fc4f1b">
        <w:r w:rsidRPr="3C475C1B" w:rsidR="35C4E1E0">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https://www.nice.org.uk/guidance/ng28</w:t>
        </w:r>
      </w:hyperlink>
      <w:r w:rsidRPr="3C475C1B" w:rsidR="35C4E1E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(Accessed: 1</w:t>
      </w:r>
      <w:r w:rsidRPr="3C475C1B" w:rsidR="46C9A52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6</w:t>
      </w:r>
      <w:r w:rsidRPr="3C475C1B" w:rsidR="35C4E1E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November 2025).</w:t>
      </w:r>
      <w:r>
        <w:br/>
      </w:r>
      <w:r>
        <w:br/>
      </w:r>
      <w:r w:rsidRPr="3C475C1B" w:rsidR="35C4E1E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Pearson-</w:t>
      </w:r>
      <w:r w:rsidRPr="3C475C1B" w:rsidR="35C4E1E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Stuttard</w:t>
      </w:r>
      <w:r w:rsidRPr="3C475C1B" w:rsidR="35C4E1E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J. et al. (2023) 'Estimated health and economic impacts of the UK Soft Drinks Industry Levy in the UK: an interrupted time series analysis', The Lancet, 401(10375), pp. 632-641.</w:t>
      </w:r>
      <w:r>
        <w:br/>
      </w:r>
      <w:r>
        <w:br/>
      </w:r>
      <w:r w:rsidRPr="3C475C1B" w:rsidR="35C4E1E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World Health Organization (2023) Diabetes. Available at: </w:t>
      </w:r>
      <w:hyperlink r:id="R2a1160b6acd04a52">
        <w:r w:rsidRPr="3C475C1B" w:rsidR="35C4E1E0">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https://www.who.int/news-room/fact-sheets/detail/diabetes</w:t>
        </w:r>
      </w:hyperlink>
      <w:r w:rsidRPr="3C475C1B" w:rsidR="35C4E1E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(Accessed: 15 November 2025).</w:t>
      </w:r>
      <w:r>
        <w:br/>
      </w:r>
      <w:r>
        <w:br/>
      </w:r>
      <w:r w:rsidRPr="3C475C1B" w:rsidR="35C4E1E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Zaccardi, F. et al. (2016) 'The relationship between type 2 diabetes and insulin sensitivity and secretion', The Lancet Diabetes &amp; Endocrinology, 4(6), pp. 487-494.</w:t>
      </w:r>
    </w:p>
    <w:p w:rsidR="3C475C1B" w:rsidP="3C475C1B" w:rsidRDefault="3C475C1B" w14:paraId="57BEC95A" w14:textId="19CBF6C7">
      <w:pPr>
        <w:rPr>
          <w:rFonts w:ascii="Arial" w:hAnsi="Arial" w:eastAsia="Arial" w:cs="Arial" w:asciiTheme="minorAscii" w:hAnsiTheme="minorAscii" w:eastAsiaTheme="minorAscii" w:cstheme="minorAscii"/>
          <w:sz w:val="22"/>
          <w:szCs w:val="22"/>
        </w:rPr>
      </w:pPr>
    </w:p>
    <w:p w:rsidR="3C475C1B" w:rsidP="3C475C1B" w:rsidRDefault="3C475C1B" w14:paraId="0F9E0C86" w14:textId="1DC1D743">
      <w:pPr>
        <w:rPr>
          <w:rFonts w:ascii="Arial" w:hAnsi="Arial" w:eastAsia="Arial" w:cs="Arial" w:asciiTheme="minorAscii" w:hAnsiTheme="minorAscii" w:eastAsiaTheme="minorAscii" w:cstheme="minorAscii"/>
          <w:sz w:val="22"/>
          <w:szCs w:val="22"/>
        </w:rPr>
      </w:pPr>
    </w:p>
    <w:p w:rsidR="3C475C1B" w:rsidP="3C475C1B" w:rsidRDefault="3C475C1B" w14:paraId="35EAD287" w14:textId="232F7136">
      <w:pPr>
        <w:rPr>
          <w:rFonts w:ascii="Arial" w:hAnsi="Arial" w:eastAsia="Arial" w:cs="Arial" w:asciiTheme="minorAscii" w:hAnsiTheme="minorAscii" w:eastAsiaTheme="minorAscii" w:cstheme="minorAscii"/>
          <w:sz w:val="22"/>
          <w:szCs w:val="22"/>
        </w:rPr>
      </w:pPr>
    </w:p>
    <w:p w:rsidR="3C475C1B" w:rsidP="3C475C1B" w:rsidRDefault="3C475C1B" w14:paraId="3C14CEE0" w14:textId="72C66D51">
      <w:pPr>
        <w:rPr>
          <w:rFonts w:ascii="Arial" w:hAnsi="Arial" w:eastAsia="Arial" w:cs="Arial" w:asciiTheme="minorAscii" w:hAnsiTheme="minorAscii" w:eastAsiaTheme="minorAscii" w:cstheme="minorAscii"/>
          <w:sz w:val="22"/>
          <w:szCs w:val="22"/>
        </w:rPr>
      </w:pPr>
    </w:p>
    <w:p w:rsidR="3C475C1B" w:rsidP="3C475C1B" w:rsidRDefault="3C475C1B" w14:paraId="436FA255" w14:textId="3885A5DB">
      <w:pPr>
        <w:rPr>
          <w:rFonts w:ascii="Arial" w:hAnsi="Arial" w:eastAsia="Arial" w:cs="Arial" w:asciiTheme="minorAscii" w:hAnsiTheme="minorAscii" w:eastAsiaTheme="minorAscii" w:cstheme="minorAscii"/>
          <w:sz w:val="22"/>
          <w:szCs w:val="22"/>
        </w:rPr>
      </w:pPr>
    </w:p>
    <w:p w:rsidR="3C475C1B" w:rsidP="3C475C1B" w:rsidRDefault="3C475C1B" w14:paraId="3C0ECB83" w14:textId="3C85FB14">
      <w:pPr>
        <w:rPr>
          <w:rFonts w:ascii="Arial" w:hAnsi="Arial" w:eastAsia="Arial" w:cs="Arial" w:asciiTheme="minorAscii" w:hAnsiTheme="minorAscii" w:eastAsiaTheme="minorAscii" w:cstheme="minorAscii"/>
          <w:sz w:val="22"/>
          <w:szCs w:val="22"/>
        </w:rPr>
      </w:pPr>
    </w:p>
    <w:sectPr>
      <w:pgSz w:w="11906" w:h="16838" w:orient="portrait"/>
      <w:pgMar w:top="1440" w:right="1440" w:bottom="1440" w:left="1440" w:header="720" w:footer="720" w:gutter="0"/>
      <w:cols w:space="720"/>
      <w:docGrid w:linePitch="360"/>
      <w:headerReference w:type="default" r:id="Rfa8e7d3a032e4021"/>
      <w:footerReference w:type="default" r:id="Rfbf96b24e1ea427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C475C1B" w:rsidTr="3C475C1B" w14:paraId="70923DF0">
      <w:trPr>
        <w:trHeight w:val="300"/>
      </w:trPr>
      <w:tc>
        <w:tcPr>
          <w:tcW w:w="3005" w:type="dxa"/>
          <w:tcMar/>
        </w:tcPr>
        <w:p w:rsidR="3C475C1B" w:rsidP="3C475C1B" w:rsidRDefault="3C475C1B" w14:paraId="53E2375F" w14:textId="75AC04AD">
          <w:pPr>
            <w:pStyle w:val="Header"/>
            <w:bidi w:val="0"/>
            <w:ind w:left="-115"/>
            <w:jc w:val="left"/>
          </w:pPr>
        </w:p>
      </w:tc>
      <w:tc>
        <w:tcPr>
          <w:tcW w:w="3005" w:type="dxa"/>
          <w:tcMar/>
        </w:tcPr>
        <w:p w:rsidR="3C475C1B" w:rsidP="3C475C1B" w:rsidRDefault="3C475C1B" w14:paraId="54DAA5C9" w14:textId="2BE74476">
          <w:pPr>
            <w:pStyle w:val="Header"/>
            <w:bidi w:val="0"/>
            <w:jc w:val="center"/>
          </w:pPr>
        </w:p>
      </w:tc>
      <w:tc>
        <w:tcPr>
          <w:tcW w:w="3005" w:type="dxa"/>
          <w:tcMar/>
        </w:tcPr>
        <w:p w:rsidR="3C475C1B" w:rsidP="3C475C1B" w:rsidRDefault="3C475C1B" w14:paraId="1CE4F871" w14:textId="675FFDD1">
          <w:pPr>
            <w:pStyle w:val="Header"/>
            <w:bidi w:val="0"/>
            <w:ind w:right="-115"/>
            <w:jc w:val="right"/>
          </w:pPr>
          <w:r>
            <w:fldChar w:fldCharType="begin"/>
          </w:r>
          <w:r>
            <w:instrText xml:space="preserve">PAGE</w:instrText>
          </w:r>
          <w:r>
            <w:fldChar w:fldCharType="separate"/>
          </w:r>
          <w:r>
            <w:fldChar w:fldCharType="end"/>
          </w:r>
        </w:p>
      </w:tc>
    </w:tr>
  </w:tbl>
  <w:p w:rsidR="3C475C1B" w:rsidP="3C475C1B" w:rsidRDefault="3C475C1B" w14:paraId="39239EBC" w14:textId="10ED019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C475C1B" w:rsidTr="3C475C1B" w14:paraId="51B4C3DA">
      <w:trPr>
        <w:trHeight w:val="300"/>
      </w:trPr>
      <w:tc>
        <w:tcPr>
          <w:tcW w:w="3005" w:type="dxa"/>
          <w:tcMar/>
        </w:tcPr>
        <w:p w:rsidR="3C475C1B" w:rsidP="3C475C1B" w:rsidRDefault="3C475C1B" w14:paraId="7D59ADEB" w14:textId="455ECBD3">
          <w:pPr>
            <w:pStyle w:val="Header"/>
            <w:bidi w:val="0"/>
            <w:ind w:left="-115"/>
            <w:jc w:val="left"/>
          </w:pPr>
        </w:p>
      </w:tc>
      <w:tc>
        <w:tcPr>
          <w:tcW w:w="3005" w:type="dxa"/>
          <w:tcMar/>
        </w:tcPr>
        <w:p w:rsidR="3C475C1B" w:rsidP="3C475C1B" w:rsidRDefault="3C475C1B" w14:paraId="69C7C9C3" w14:textId="04129D42">
          <w:pPr>
            <w:pStyle w:val="Header"/>
            <w:bidi w:val="0"/>
            <w:jc w:val="center"/>
          </w:pPr>
        </w:p>
      </w:tc>
      <w:tc>
        <w:tcPr>
          <w:tcW w:w="3005" w:type="dxa"/>
          <w:tcMar/>
        </w:tcPr>
        <w:p w:rsidR="3C475C1B" w:rsidP="3C475C1B" w:rsidRDefault="3C475C1B" w14:paraId="13D901AA" w14:textId="0136F9A4">
          <w:pPr>
            <w:pStyle w:val="Header"/>
            <w:bidi w:val="0"/>
            <w:ind w:right="-115"/>
            <w:jc w:val="right"/>
          </w:pPr>
        </w:p>
      </w:tc>
    </w:tr>
  </w:tbl>
  <w:p w:rsidR="3C475C1B" w:rsidP="3C475C1B" w:rsidRDefault="3C475C1B" w14:paraId="44F49D8C" w14:textId="0B6874A0">
    <w:pPr>
      <w:pStyle w:val="Header"/>
      <w:bidi w:val="0"/>
    </w:pPr>
  </w:p>
</w:hdr>
</file>

<file path=word/intelligence2.xml><?xml version="1.0" encoding="utf-8"?>
<int2:intelligence xmlns:int2="http://schemas.microsoft.com/office/intelligence/2020/intelligence">
  <int2:observations>
    <int2:bookmark int2:bookmarkName="_Int_offfZjmv" int2:invalidationBookmarkName="" int2:hashCode="rImC0qVP62WQw/" int2:id="RvcQaLtl">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EC5E74"/>
    <w:rsid w:val="003F6858"/>
    <w:rsid w:val="05DE3AE1"/>
    <w:rsid w:val="0679F4BE"/>
    <w:rsid w:val="091AA2FD"/>
    <w:rsid w:val="0989464E"/>
    <w:rsid w:val="0B7FC963"/>
    <w:rsid w:val="0C1024A9"/>
    <w:rsid w:val="0C2B64E5"/>
    <w:rsid w:val="1092CABC"/>
    <w:rsid w:val="156FF4A9"/>
    <w:rsid w:val="180B83D2"/>
    <w:rsid w:val="18A1C56D"/>
    <w:rsid w:val="1BEC5E74"/>
    <w:rsid w:val="1F52F537"/>
    <w:rsid w:val="212DE8F9"/>
    <w:rsid w:val="22895239"/>
    <w:rsid w:val="232B0852"/>
    <w:rsid w:val="254B3792"/>
    <w:rsid w:val="26C4BC13"/>
    <w:rsid w:val="279981EB"/>
    <w:rsid w:val="27B5FF30"/>
    <w:rsid w:val="3467D09E"/>
    <w:rsid w:val="35C4E1E0"/>
    <w:rsid w:val="3C475C1B"/>
    <w:rsid w:val="440DA2FC"/>
    <w:rsid w:val="46C9A520"/>
    <w:rsid w:val="4A047856"/>
    <w:rsid w:val="4AAE3B47"/>
    <w:rsid w:val="53502EAA"/>
    <w:rsid w:val="5C0122B7"/>
    <w:rsid w:val="5F0DC4EA"/>
    <w:rsid w:val="600F4379"/>
    <w:rsid w:val="617AFA32"/>
    <w:rsid w:val="62D079BC"/>
    <w:rsid w:val="6315C233"/>
    <w:rsid w:val="640B853C"/>
    <w:rsid w:val="645ACB18"/>
    <w:rsid w:val="652ED7C6"/>
    <w:rsid w:val="65B84AE6"/>
    <w:rsid w:val="680BD4BA"/>
    <w:rsid w:val="6A92E440"/>
    <w:rsid w:val="6CDA5204"/>
    <w:rsid w:val="6D9A059D"/>
    <w:rsid w:val="6ED78DBD"/>
    <w:rsid w:val="710A2EFF"/>
    <w:rsid w:val="738A843E"/>
    <w:rsid w:val="7526AD0C"/>
    <w:rsid w:val="77282ECD"/>
    <w:rsid w:val="7805AFD5"/>
    <w:rsid w:val="7905E8A8"/>
    <w:rsid w:val="79F08A47"/>
    <w:rsid w:val="7E4F66DC"/>
    <w:rsid w:val="7FE21B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EC5E74"/>
  <w15:chartTrackingRefBased/>
  <w15:docId w15:val="{686AD1ED-59FD-4C05-BFA2-3E59D4CF0A3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3C475C1B"/>
    <w:rPr>
      <w:color w:val="467886"/>
      <w:u w:val="single"/>
    </w:rPr>
  </w:style>
  <w:style w:type="paragraph" w:styleId="Header">
    <w:uiPriority w:val="99"/>
    <w:name w:val="header"/>
    <w:basedOn w:val="Normal"/>
    <w:unhideWhenUsed/>
    <w:rsid w:val="3C475C1B"/>
    <w:pPr>
      <w:tabs>
        <w:tab w:val="center" w:leader="none" w:pos="4680"/>
        <w:tab w:val="right" w:leader="none" w:pos="9360"/>
      </w:tabs>
      <w:spacing w:after="0" w:line="240" w:lineRule="auto"/>
    </w:pPr>
  </w:style>
  <w:style w:type="paragraph" w:styleId="Footer">
    <w:uiPriority w:val="99"/>
    <w:name w:val="footer"/>
    <w:basedOn w:val="Normal"/>
    <w:unhideWhenUsed/>
    <w:rsid w:val="3C475C1B"/>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diabetes.org.uk/professionals/position-statements-reports/statistics" TargetMode="External" Id="R372200beeffe4634" /><Relationship Type="http://schemas.openxmlformats.org/officeDocument/2006/relationships/hyperlink" Target="https://www.diabetes.org.uk/resources-s3/2023-03/Us_diabetes_and_a_lot_of_facts_and_stats_March_2023.pdf" TargetMode="External" Id="Rfe0e7db3348949d7" /><Relationship Type="http://schemas.openxmlformats.org/officeDocument/2006/relationships/hyperlink" Target="https://www.diabetesatlas.org/" TargetMode="External" Id="R98565abf934e4681" /><Relationship Type="http://schemas.openxmlformats.org/officeDocument/2006/relationships/hyperlink" Target="https://digital.nhs.uk/data-and-information/publications/statistical/national-diabetes-audit" TargetMode="External" Id="R494159245ee04a36" /><Relationship Type="http://schemas.openxmlformats.org/officeDocument/2006/relationships/hyperlink" Target="https://www.nice.org.uk/guidance/ng28" TargetMode="External" Id="R24fad4a4b7fc4f1b" /><Relationship Type="http://schemas.openxmlformats.org/officeDocument/2006/relationships/hyperlink" Target="https://www.who.int/news-room/fact-sheets/detail/diabetes" TargetMode="External" Id="R2a1160b6acd04a52" /><Relationship Type="http://schemas.openxmlformats.org/officeDocument/2006/relationships/header" Target="/word/header.xml" Id="Rfa8e7d3a032e4021" /><Relationship Type="http://schemas.openxmlformats.org/officeDocument/2006/relationships/footer" Target="/word/footer.xml" Id="Rfbf96b24e1ea4274" /><Relationship Type="http://schemas.microsoft.com/office/2020/10/relationships/intelligence" Target="/word/intelligence2.xml" Id="R98d020ac071143c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Sadia Ousman (2235624)</dc:creator>
  <keywords/>
  <dc:description/>
  <lastModifiedBy>Sadia Ousman (2235624)</lastModifiedBy>
  <revision>2</revision>
  <dcterms:created xsi:type="dcterms:W3CDTF">2025-11-16T21:57:13.7117190Z</dcterms:created>
  <dcterms:modified xsi:type="dcterms:W3CDTF">2025-11-16T22:47:00.0144636Z</dcterms:modified>
</coreProperties>
</file>