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2462" w:rsidRPr="00A0798A" w:rsidRDefault="000D2462" w:rsidP="006E1197">
      <w:pPr>
        <w:spacing w:after="220" w:line="360" w:lineRule="auto"/>
        <w:ind w:right="1438"/>
        <w:jc w:val="center"/>
        <w:rPr>
          <w:rFonts w:ascii="Times New Roman" w:hAnsi="Times New Roman" w:cs="Times New Roman"/>
        </w:rPr>
      </w:pPr>
      <w:r w:rsidRPr="00A0798A">
        <w:rPr>
          <w:rFonts w:ascii="Arial" w:eastAsia="Arial" w:hAnsi="Arial" w:cs="Arial"/>
          <w:noProof/>
        </w:rPr>
        <w:drawing>
          <wp:inline distT="0" distB="0" distL="0" distR="0" wp14:anchorId="4E94536F" wp14:editId="2B51A6D6">
            <wp:extent cx="4648200" cy="1752600"/>
            <wp:effectExtent l="0" t="0" r="0" b="0"/>
            <wp:docPr id="4" name="Picture 4"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 logo with text on 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8200" cy="1752600"/>
                    </a:xfrm>
                    <a:prstGeom prst="rect">
                      <a:avLst/>
                    </a:prstGeom>
                    <a:noFill/>
                    <a:ln>
                      <a:noFill/>
                    </a:ln>
                  </pic:spPr>
                </pic:pic>
              </a:graphicData>
            </a:graphic>
          </wp:inline>
        </w:drawing>
      </w:r>
    </w:p>
    <w:p w:rsidR="000D2462" w:rsidRPr="00A0798A" w:rsidRDefault="000D2462" w:rsidP="00AF4B2A">
      <w:pPr>
        <w:spacing w:after="276" w:line="360" w:lineRule="auto"/>
        <w:jc w:val="both"/>
        <w:rPr>
          <w:rFonts w:ascii="Times New Roman" w:hAnsi="Times New Roman" w:cs="Times New Roman"/>
        </w:rPr>
      </w:pPr>
    </w:p>
    <w:p w:rsidR="000D2462" w:rsidRPr="00A0798A" w:rsidRDefault="000D2462" w:rsidP="00AF4B2A">
      <w:pPr>
        <w:spacing w:after="274" w:line="360" w:lineRule="auto"/>
        <w:jc w:val="both"/>
        <w:rPr>
          <w:rFonts w:ascii="Times New Roman" w:hAnsi="Times New Roman" w:cs="Times New Roman"/>
          <w:sz w:val="28"/>
          <w:szCs w:val="24"/>
        </w:rPr>
      </w:pPr>
      <w:proofErr w:type="spellStart"/>
      <w:r w:rsidRPr="00A0798A">
        <w:rPr>
          <w:rFonts w:ascii="Arial" w:eastAsia="Arial" w:hAnsi="Arial" w:cs="Arial"/>
          <w:b/>
          <w:sz w:val="28"/>
          <w:szCs w:val="24"/>
        </w:rPr>
        <w:t>Programe</w:t>
      </w:r>
      <w:proofErr w:type="spellEnd"/>
      <w:r w:rsidRPr="00A0798A">
        <w:rPr>
          <w:rFonts w:ascii="Arial" w:eastAsia="Arial" w:hAnsi="Arial" w:cs="Arial"/>
          <w:b/>
          <w:sz w:val="28"/>
          <w:szCs w:val="24"/>
        </w:rPr>
        <w:t>: Master of Business Administration</w:t>
      </w:r>
    </w:p>
    <w:p w:rsidR="000D2462" w:rsidRPr="00A0798A" w:rsidRDefault="000D2462" w:rsidP="00AF4B2A">
      <w:pPr>
        <w:pStyle w:val="Heading1"/>
        <w:spacing w:before="0" w:line="360" w:lineRule="auto"/>
        <w:jc w:val="both"/>
        <w:rPr>
          <w:rFonts w:ascii="Times New Roman" w:hAnsi="Times New Roman" w:cs="Times New Roman"/>
          <w:color w:val="auto"/>
          <w:sz w:val="28"/>
          <w:szCs w:val="28"/>
        </w:rPr>
      </w:pPr>
      <w:r w:rsidRPr="00A0798A">
        <w:rPr>
          <w:rFonts w:ascii="Arial" w:eastAsia="Arial" w:hAnsi="Arial" w:cs="Arial"/>
          <w:b/>
          <w:color w:val="auto"/>
          <w:sz w:val="28"/>
          <w:szCs w:val="24"/>
        </w:rPr>
        <w:t>Module:</w:t>
      </w:r>
      <w:r w:rsidRPr="00A0798A">
        <w:rPr>
          <w:rFonts w:ascii="Arial" w:eastAsia="Arial" w:hAnsi="Arial" w:cs="Arial"/>
          <w:b/>
          <w:color w:val="auto"/>
          <w:sz w:val="24"/>
          <w:szCs w:val="24"/>
        </w:rPr>
        <w:t xml:space="preserve"> </w:t>
      </w:r>
      <w:r w:rsidRPr="00A0798A">
        <w:rPr>
          <w:rFonts w:ascii="Arial" w:eastAsia="Arial" w:hAnsi="Arial" w:cs="Arial"/>
          <w:color w:val="auto"/>
          <w:sz w:val="28"/>
          <w:szCs w:val="28"/>
        </w:rPr>
        <w:t>Business Development Proposal</w:t>
      </w:r>
    </w:p>
    <w:p w:rsidR="000D2462" w:rsidRPr="00A0798A" w:rsidRDefault="000D2462" w:rsidP="00AF4B2A">
      <w:pPr>
        <w:spacing w:after="274" w:line="360" w:lineRule="auto"/>
        <w:ind w:right="66"/>
        <w:jc w:val="both"/>
        <w:rPr>
          <w:rFonts w:ascii="Times New Roman" w:hAnsi="Times New Roman" w:cs="Times New Roman"/>
          <w:sz w:val="28"/>
          <w:szCs w:val="28"/>
        </w:rPr>
      </w:pPr>
      <w:r w:rsidRPr="00A0798A">
        <w:rPr>
          <w:rFonts w:ascii="Arial" w:eastAsia="Arial" w:hAnsi="Arial" w:cs="Arial"/>
          <w:b/>
          <w:sz w:val="28"/>
          <w:szCs w:val="28"/>
        </w:rPr>
        <w:t xml:space="preserve">Module code: </w:t>
      </w:r>
      <w:r w:rsidRPr="00A0798A">
        <w:rPr>
          <w:rFonts w:ascii="Arial" w:eastAsia="Arial" w:hAnsi="Arial" w:cs="Arial"/>
          <w:bCs/>
          <w:sz w:val="28"/>
          <w:szCs w:val="28"/>
        </w:rPr>
        <w:t>LCMB7037</w:t>
      </w:r>
    </w:p>
    <w:p w:rsidR="000D2462" w:rsidRPr="00A0798A" w:rsidRDefault="000D2462" w:rsidP="00AF4B2A">
      <w:pPr>
        <w:spacing w:after="274" w:line="360" w:lineRule="auto"/>
        <w:ind w:right="65"/>
        <w:jc w:val="both"/>
        <w:rPr>
          <w:rFonts w:ascii="Times New Roman" w:eastAsia="Times New Roman" w:hAnsi="Times New Roman" w:cs="Times New Roman"/>
          <w:sz w:val="28"/>
          <w:szCs w:val="28"/>
          <w:lang w:val="en-GB"/>
        </w:rPr>
      </w:pPr>
      <w:proofErr w:type="gramStart"/>
      <w:r w:rsidRPr="00A0798A">
        <w:rPr>
          <w:rFonts w:ascii="Arial" w:eastAsia="Arial" w:hAnsi="Arial" w:cs="Arial"/>
          <w:b/>
          <w:sz w:val="28"/>
          <w:szCs w:val="28"/>
        </w:rPr>
        <w:t>Title :</w:t>
      </w:r>
      <w:proofErr w:type="gramEnd"/>
      <w:r w:rsidRPr="00A0798A">
        <w:rPr>
          <w:rFonts w:ascii="Arial" w:eastAsia="Arial" w:hAnsi="Arial" w:cs="Arial"/>
          <w:b/>
          <w:sz w:val="28"/>
          <w:szCs w:val="28"/>
        </w:rPr>
        <w:t xml:space="preserve"> </w:t>
      </w:r>
      <w:r w:rsidRPr="00A0798A">
        <w:rPr>
          <w:rFonts w:ascii="Arial" w:eastAsia="Arial" w:hAnsi="Arial" w:cs="Arial"/>
          <w:sz w:val="28"/>
          <w:szCs w:val="28"/>
        </w:rPr>
        <w:t>Taste Of India (Restaurant)</w:t>
      </w:r>
    </w:p>
    <w:p w:rsidR="000D2462" w:rsidRPr="00A0798A" w:rsidRDefault="000D2462" w:rsidP="00AF4B2A">
      <w:pPr>
        <w:spacing w:after="274" w:line="360" w:lineRule="auto"/>
        <w:ind w:right="62"/>
        <w:jc w:val="both"/>
        <w:rPr>
          <w:rFonts w:ascii="Times New Roman" w:eastAsia="Times New Roman" w:hAnsi="Times New Roman" w:cs="Times New Roman"/>
          <w:sz w:val="28"/>
          <w:szCs w:val="28"/>
        </w:rPr>
      </w:pPr>
      <w:r w:rsidRPr="00A0798A">
        <w:rPr>
          <w:rFonts w:ascii="Arial" w:eastAsia="Arial" w:hAnsi="Arial" w:cs="Arial"/>
          <w:b/>
          <w:sz w:val="28"/>
          <w:szCs w:val="28"/>
        </w:rPr>
        <w:t>Word count:</w:t>
      </w:r>
    </w:p>
    <w:p w:rsidR="000D2462" w:rsidRPr="00A0798A" w:rsidRDefault="000D2462" w:rsidP="00AF4B2A">
      <w:pPr>
        <w:spacing w:after="165" w:line="360" w:lineRule="auto"/>
        <w:ind w:right="2836"/>
        <w:jc w:val="both"/>
        <w:rPr>
          <w:rFonts w:ascii="Times New Roman" w:eastAsia="Arial" w:hAnsi="Times New Roman" w:cs="Times New Roman"/>
          <w:b/>
          <w:sz w:val="28"/>
          <w:szCs w:val="28"/>
        </w:rPr>
      </w:pPr>
      <w:proofErr w:type="gramStart"/>
      <w:r w:rsidRPr="00A0798A">
        <w:rPr>
          <w:rFonts w:ascii="Arial" w:eastAsia="Arial" w:hAnsi="Arial" w:cs="Arial"/>
          <w:b/>
          <w:sz w:val="28"/>
          <w:szCs w:val="28"/>
        </w:rPr>
        <w:t>Lecturer :</w:t>
      </w:r>
      <w:proofErr w:type="gramEnd"/>
      <w:r w:rsidRPr="00A0798A">
        <w:rPr>
          <w:rFonts w:ascii="Arial" w:eastAsia="Arial" w:hAnsi="Arial" w:cs="Arial"/>
          <w:b/>
          <w:sz w:val="28"/>
          <w:szCs w:val="28"/>
        </w:rPr>
        <w:t xml:space="preserve"> </w:t>
      </w:r>
      <w:proofErr w:type="spellStart"/>
      <w:r w:rsidRPr="00A0798A">
        <w:rPr>
          <w:rFonts w:ascii="Arial" w:eastAsia="Arial" w:hAnsi="Arial" w:cs="Arial"/>
          <w:color w:val="1D2125"/>
          <w:sz w:val="28"/>
          <w:szCs w:val="28"/>
          <w:shd w:val="clear" w:color="auto" w:fill="FFFFFF"/>
        </w:rPr>
        <w:t>Bentil</w:t>
      </w:r>
      <w:proofErr w:type="spellEnd"/>
      <w:r w:rsidRPr="00A0798A">
        <w:rPr>
          <w:rFonts w:ascii="Arial" w:eastAsia="Arial" w:hAnsi="Arial" w:cs="Arial"/>
          <w:color w:val="1D2125"/>
          <w:sz w:val="28"/>
          <w:szCs w:val="28"/>
          <w:shd w:val="clear" w:color="auto" w:fill="FFFFFF"/>
        </w:rPr>
        <w:t xml:space="preserve"> </w:t>
      </w:r>
      <w:proofErr w:type="spellStart"/>
      <w:r w:rsidRPr="00A0798A">
        <w:rPr>
          <w:rFonts w:ascii="Arial" w:eastAsia="Arial" w:hAnsi="Arial" w:cs="Arial"/>
          <w:color w:val="1D2125"/>
          <w:sz w:val="28"/>
          <w:szCs w:val="28"/>
          <w:shd w:val="clear" w:color="auto" w:fill="FFFFFF"/>
        </w:rPr>
        <w:t>Oduro</w:t>
      </w:r>
      <w:proofErr w:type="spellEnd"/>
    </w:p>
    <w:p w:rsidR="000D2462" w:rsidRPr="00A0798A" w:rsidRDefault="000D2462" w:rsidP="00AF4B2A">
      <w:pPr>
        <w:spacing w:after="165" w:line="360" w:lineRule="auto"/>
        <w:ind w:right="2836"/>
        <w:jc w:val="both"/>
        <w:rPr>
          <w:rFonts w:ascii="Times New Roman" w:hAnsi="Times New Roman" w:cs="Times New Roman"/>
          <w:sz w:val="28"/>
          <w:szCs w:val="28"/>
        </w:rPr>
      </w:pPr>
      <w:r w:rsidRPr="00A0798A">
        <w:rPr>
          <w:rFonts w:ascii="Arial" w:eastAsia="Arial" w:hAnsi="Arial" w:cs="Arial"/>
          <w:b/>
          <w:sz w:val="28"/>
          <w:szCs w:val="28"/>
        </w:rPr>
        <w:t xml:space="preserve">Student </w:t>
      </w:r>
      <w:proofErr w:type="gramStart"/>
      <w:r w:rsidRPr="00A0798A">
        <w:rPr>
          <w:rFonts w:ascii="Arial" w:eastAsia="Arial" w:hAnsi="Arial" w:cs="Arial"/>
          <w:b/>
          <w:sz w:val="28"/>
          <w:szCs w:val="28"/>
        </w:rPr>
        <w:t>Name :</w:t>
      </w:r>
      <w:proofErr w:type="gramEnd"/>
      <w:r w:rsidRPr="00A0798A">
        <w:rPr>
          <w:rFonts w:ascii="Arial" w:eastAsia="Arial" w:hAnsi="Arial" w:cs="Arial"/>
          <w:b/>
          <w:sz w:val="28"/>
          <w:szCs w:val="28"/>
        </w:rPr>
        <w:t xml:space="preserve"> </w:t>
      </w:r>
      <w:r w:rsidRPr="00A0798A">
        <w:rPr>
          <w:rFonts w:ascii="Arial" w:eastAsia="Arial" w:hAnsi="Arial" w:cs="Arial"/>
          <w:sz w:val="28"/>
          <w:szCs w:val="28"/>
        </w:rPr>
        <w:t xml:space="preserve">Raj </w:t>
      </w:r>
      <w:proofErr w:type="spellStart"/>
      <w:r w:rsidRPr="00A0798A">
        <w:rPr>
          <w:rFonts w:ascii="Arial" w:eastAsia="Arial" w:hAnsi="Arial" w:cs="Arial"/>
          <w:sz w:val="28"/>
          <w:szCs w:val="28"/>
        </w:rPr>
        <w:t>Nalinkumar</w:t>
      </w:r>
      <w:proofErr w:type="spellEnd"/>
      <w:r w:rsidRPr="00A0798A">
        <w:rPr>
          <w:rFonts w:ascii="Arial" w:eastAsia="Arial" w:hAnsi="Arial" w:cs="Arial"/>
          <w:sz w:val="28"/>
          <w:szCs w:val="28"/>
        </w:rPr>
        <w:t xml:space="preserve"> </w:t>
      </w:r>
      <w:proofErr w:type="spellStart"/>
      <w:r w:rsidRPr="00A0798A">
        <w:rPr>
          <w:rFonts w:ascii="Arial" w:eastAsia="Arial" w:hAnsi="Arial" w:cs="Arial"/>
          <w:sz w:val="28"/>
          <w:szCs w:val="28"/>
        </w:rPr>
        <w:t>Bharucha</w:t>
      </w:r>
      <w:proofErr w:type="spellEnd"/>
    </w:p>
    <w:p w:rsidR="000D2462" w:rsidRPr="00A0798A" w:rsidRDefault="000D2462" w:rsidP="00AF4B2A">
      <w:pPr>
        <w:spacing w:after="274" w:line="360" w:lineRule="auto"/>
        <w:ind w:right="62"/>
        <w:jc w:val="both"/>
        <w:rPr>
          <w:rFonts w:ascii="Times New Roman" w:eastAsia="Times New Roman" w:hAnsi="Times New Roman" w:cs="Times New Roman"/>
          <w:sz w:val="28"/>
          <w:szCs w:val="28"/>
        </w:rPr>
      </w:pPr>
      <w:r w:rsidRPr="00A0798A">
        <w:rPr>
          <w:rFonts w:ascii="Arial" w:eastAsia="Arial" w:hAnsi="Arial" w:cs="Arial"/>
          <w:b/>
          <w:sz w:val="28"/>
          <w:szCs w:val="28"/>
        </w:rPr>
        <w:t xml:space="preserve">Student ID: </w:t>
      </w:r>
      <w:r w:rsidRPr="00A0798A">
        <w:rPr>
          <w:rFonts w:ascii="Arial" w:eastAsia="Arial" w:hAnsi="Arial" w:cs="Arial"/>
          <w:sz w:val="28"/>
          <w:szCs w:val="28"/>
        </w:rPr>
        <w:t>2510180</w:t>
      </w:r>
    </w:p>
    <w:p w:rsidR="000D2462" w:rsidRPr="00A0798A" w:rsidRDefault="000D2462"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A0798A">
        <w:rPr>
          <w:rFonts w:ascii="Arial" w:eastAsia="Arial" w:hAnsi="Arial" w:cs="Arial"/>
          <w:b/>
          <w:sz w:val="28"/>
          <w:szCs w:val="28"/>
        </w:rPr>
        <w:t xml:space="preserve">Submission Date- </w:t>
      </w:r>
      <w:r w:rsidR="000419EE" w:rsidRPr="00A0798A">
        <w:rPr>
          <w:rFonts w:ascii="Arial" w:eastAsia="Arial" w:hAnsi="Arial" w:cs="Arial"/>
          <w:sz w:val="28"/>
          <w:szCs w:val="28"/>
        </w:rPr>
        <w:t xml:space="preserve"> August</w:t>
      </w:r>
      <w:r w:rsidRPr="00A0798A">
        <w:rPr>
          <w:rFonts w:ascii="Arial" w:eastAsia="Arial" w:hAnsi="Arial" w:cs="Arial"/>
          <w:sz w:val="28"/>
          <w:szCs w:val="28"/>
        </w:rPr>
        <w:t>, 2026</w:t>
      </w:r>
    </w:p>
    <w:p w:rsidR="00A0798A" w:rsidRPr="006E1197" w:rsidRDefault="000D2462" w:rsidP="00067045">
      <w:pPr>
        <w:tabs>
          <w:tab w:val="left" w:pos="10020"/>
        </w:tabs>
        <w:spacing w:line="360" w:lineRule="auto"/>
        <w:jc w:val="both"/>
        <w:rPr>
          <w:rFonts w:ascii="Times New Roman" w:hAnsi="Times New Roman" w:cs="Times New Roman"/>
          <w:sz w:val="48"/>
          <w:szCs w:val="48"/>
        </w:rPr>
      </w:pPr>
      <w:r w:rsidRPr="00A0798A">
        <w:rPr>
          <w:rFonts w:ascii="Arial" w:eastAsia="Arial" w:hAnsi="Arial" w:cs="Arial"/>
          <w:b/>
          <w:bCs/>
          <w:sz w:val="36"/>
          <w:szCs w:val="36"/>
        </w:rPr>
        <w:br w:type="page"/>
      </w:r>
      <w:r w:rsidR="00A0798A" w:rsidRPr="00A0798A">
        <w:rPr>
          <w:rStyle w:val="Strong"/>
          <w:rFonts w:ascii="Arial" w:eastAsia="Arial" w:hAnsi="Arial" w:cs="Arial"/>
          <w:bCs w:val="0"/>
          <w:color w:val="000000" w:themeColor="text1"/>
          <w:sz w:val="48"/>
          <w:szCs w:val="48"/>
        </w:rPr>
        <w:lastRenderedPageBreak/>
        <w:t>TABLE OF CONTENTS</w:t>
      </w:r>
      <w:r w:rsidR="00067045">
        <w:rPr>
          <w:rStyle w:val="Strong"/>
          <w:rFonts w:ascii="Arial" w:eastAsia="Arial" w:hAnsi="Arial" w:cs="Arial"/>
          <w:bCs w:val="0"/>
          <w:color w:val="000000" w:themeColor="text1"/>
          <w:sz w:val="48"/>
          <w:szCs w:val="48"/>
        </w:rPr>
        <w:tab/>
      </w:r>
    </w:p>
    <w:sdt>
      <w:sdtPr>
        <w:alias w:val="Table of Contents"/>
        <w:id w:val="402177997"/>
      </w:sdtPr>
      <w:sdtEndPr>
        <w:rPr>
          <w:sz w:val="24"/>
          <w:szCs w:val="24"/>
        </w:rPr>
      </w:sdtEndPr>
      <w:sdtContent>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1. Executive Summary ..................................................................................... 7</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2. Company Description ................................................................................... 9</w:t>
          </w:r>
        </w:p>
        <w:p w:rsidR="001B76A8" w:rsidRPr="00940623" w:rsidRDefault="001B76A8" w:rsidP="001B76A8">
          <w:pPr>
            <w:spacing w:after="0"/>
            <w:jc w:val="both"/>
            <w:rPr>
              <w:rFonts w:ascii="Arial" w:hAnsi="Arial" w:cs="Arial"/>
            </w:rPr>
          </w:pPr>
          <w:r w:rsidRPr="00940623">
            <w:rPr>
              <w:rFonts w:ascii="Arial" w:hAnsi="Arial" w:cs="Arial"/>
            </w:rPr>
            <w:t xml:space="preserve">    2.1 Business Name and Concept ............................................................................ 9</w:t>
          </w:r>
        </w:p>
        <w:p w:rsidR="001B76A8" w:rsidRPr="00940623" w:rsidRDefault="001B76A8" w:rsidP="001B76A8">
          <w:pPr>
            <w:spacing w:after="0"/>
            <w:jc w:val="both"/>
            <w:rPr>
              <w:rFonts w:ascii="Arial" w:hAnsi="Arial" w:cs="Arial"/>
            </w:rPr>
          </w:pPr>
          <w:r w:rsidRPr="00940623">
            <w:rPr>
              <w:rFonts w:ascii="Arial" w:hAnsi="Arial" w:cs="Arial"/>
            </w:rPr>
            <w:t xml:space="preserve">    2.2 Background of the Owner .............................................................................. 9</w:t>
          </w:r>
        </w:p>
        <w:p w:rsidR="001B76A8" w:rsidRPr="00940623" w:rsidRDefault="001B76A8" w:rsidP="001B76A8">
          <w:pPr>
            <w:spacing w:after="0"/>
            <w:jc w:val="both"/>
            <w:rPr>
              <w:rFonts w:ascii="Arial" w:hAnsi="Arial" w:cs="Arial"/>
            </w:rPr>
          </w:pPr>
          <w:r w:rsidRPr="00940623">
            <w:rPr>
              <w:rFonts w:ascii="Arial" w:hAnsi="Arial" w:cs="Arial"/>
            </w:rPr>
            <w:t xml:space="preserve">    2.3 Product and Service Offering ......................................................................... 9</w:t>
          </w:r>
        </w:p>
        <w:p w:rsidR="001B76A8" w:rsidRPr="00940623" w:rsidRDefault="001B76A8" w:rsidP="001B76A8">
          <w:pPr>
            <w:spacing w:after="0"/>
            <w:jc w:val="both"/>
            <w:rPr>
              <w:rFonts w:ascii="Arial" w:hAnsi="Arial" w:cs="Arial"/>
            </w:rPr>
          </w:pPr>
          <w:r w:rsidRPr="00940623">
            <w:rPr>
              <w:rFonts w:ascii="Arial" w:hAnsi="Arial" w:cs="Arial"/>
            </w:rPr>
            <w:t xml:space="preserve">    2.4 Customer Problem and Market Gap ...................................................................... 10</w:t>
          </w:r>
        </w:p>
        <w:p w:rsidR="001B76A8" w:rsidRPr="00940623" w:rsidRDefault="001B76A8" w:rsidP="001B76A8">
          <w:pPr>
            <w:spacing w:after="0"/>
            <w:jc w:val="both"/>
            <w:rPr>
              <w:rFonts w:ascii="Arial" w:hAnsi="Arial" w:cs="Arial"/>
            </w:rPr>
          </w:pPr>
          <w:r w:rsidRPr="00940623">
            <w:rPr>
              <w:rFonts w:ascii="Arial" w:hAnsi="Arial" w:cs="Arial"/>
            </w:rPr>
            <w:t xml:space="preserve">    2.5 Mission and Vision ................................................................................... 10</w:t>
          </w:r>
        </w:p>
        <w:p w:rsidR="001B76A8" w:rsidRPr="00940623" w:rsidRDefault="001B76A8" w:rsidP="001B76A8">
          <w:pPr>
            <w:spacing w:after="0"/>
            <w:jc w:val="both"/>
            <w:rPr>
              <w:rFonts w:ascii="Arial" w:hAnsi="Arial" w:cs="Arial"/>
            </w:rPr>
          </w:pPr>
          <w:r w:rsidRPr="00940623">
            <w:rPr>
              <w:rFonts w:ascii="Arial" w:hAnsi="Arial" w:cs="Arial"/>
            </w:rPr>
            <w:t xml:space="preserve">    2.6 Legal and Ownership Structure ........................................................................ 11</w:t>
          </w:r>
        </w:p>
        <w:p w:rsidR="001B76A8" w:rsidRPr="00940623" w:rsidRDefault="001B76A8" w:rsidP="001B76A8">
          <w:pPr>
            <w:spacing w:after="0"/>
            <w:jc w:val="both"/>
            <w:rPr>
              <w:rFonts w:ascii="Arial" w:hAnsi="Arial" w:cs="Arial"/>
            </w:rPr>
          </w:pPr>
          <w:r w:rsidRPr="00940623">
            <w:rPr>
              <w:rFonts w:ascii="Arial" w:hAnsi="Arial" w:cs="Arial"/>
            </w:rPr>
            <w:t xml:space="preserve">    2.7 Location and Operating Model ......................................................................... 11</w:t>
          </w:r>
        </w:p>
        <w:p w:rsidR="001B76A8" w:rsidRPr="00940623" w:rsidRDefault="001B76A8" w:rsidP="001B76A8">
          <w:pPr>
            <w:spacing w:after="0"/>
            <w:jc w:val="both"/>
            <w:rPr>
              <w:rFonts w:ascii="Arial" w:hAnsi="Arial" w:cs="Arial"/>
            </w:rPr>
          </w:pPr>
          <w:r w:rsidRPr="00940623">
            <w:rPr>
              <w:rFonts w:ascii="Arial" w:hAnsi="Arial" w:cs="Arial"/>
            </w:rPr>
            <w:t xml:space="preserve">    2.8 Target Customers ..................................................................................... 11</w:t>
          </w:r>
        </w:p>
        <w:p w:rsidR="001B76A8" w:rsidRPr="00940623" w:rsidRDefault="001B76A8" w:rsidP="001B76A8">
          <w:pPr>
            <w:spacing w:after="0"/>
            <w:jc w:val="both"/>
            <w:rPr>
              <w:rFonts w:ascii="Arial" w:hAnsi="Arial" w:cs="Arial"/>
            </w:rPr>
          </w:pPr>
          <w:r w:rsidRPr="00940623">
            <w:rPr>
              <w:rFonts w:ascii="Arial" w:hAnsi="Arial" w:cs="Arial"/>
            </w:rPr>
            <w:t xml:space="preserve">    2.9 Unique Selling Proposition (USP) ..................................................................... 12</w:t>
          </w:r>
        </w:p>
        <w:p w:rsidR="001B76A8" w:rsidRPr="00940623" w:rsidRDefault="001B76A8" w:rsidP="001B76A8">
          <w:pPr>
            <w:spacing w:after="0"/>
            <w:jc w:val="both"/>
            <w:rPr>
              <w:rFonts w:ascii="Arial" w:hAnsi="Arial" w:cs="Arial"/>
            </w:rPr>
          </w:pPr>
          <w:r w:rsidRPr="00940623">
            <w:rPr>
              <w:rFonts w:ascii="Arial" w:hAnsi="Arial" w:cs="Arial"/>
            </w:rPr>
            <w:t xml:space="preserve">    2.10 Aim and Objectives .................................................................................. 12</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3. Market Research and Validation ........................................................................ 13</w:t>
          </w:r>
        </w:p>
        <w:p w:rsidR="001B76A8" w:rsidRPr="00940623" w:rsidRDefault="001B76A8" w:rsidP="001B76A8">
          <w:pPr>
            <w:spacing w:after="0"/>
            <w:jc w:val="both"/>
            <w:rPr>
              <w:rFonts w:ascii="Arial" w:hAnsi="Arial" w:cs="Arial"/>
            </w:rPr>
          </w:pPr>
          <w:r w:rsidRPr="00940623">
            <w:rPr>
              <w:rFonts w:ascii="Arial" w:hAnsi="Arial" w:cs="Arial"/>
            </w:rPr>
            <w:t xml:space="preserve">    3.1 Market Size and Growth ............................................................................... 13</w:t>
          </w:r>
        </w:p>
        <w:p w:rsidR="001B76A8" w:rsidRPr="00940623" w:rsidRDefault="001B76A8" w:rsidP="001B76A8">
          <w:pPr>
            <w:spacing w:after="0"/>
            <w:jc w:val="both"/>
            <w:rPr>
              <w:rFonts w:ascii="Arial" w:hAnsi="Arial" w:cs="Arial"/>
            </w:rPr>
          </w:pPr>
          <w:r w:rsidRPr="00940623">
            <w:rPr>
              <w:rFonts w:ascii="Arial" w:hAnsi="Arial" w:cs="Arial"/>
            </w:rPr>
            <w:t xml:space="preserve">    3.2 Market Trends ........................................................................................ 14</w:t>
          </w:r>
        </w:p>
        <w:p w:rsidR="001B76A8" w:rsidRPr="00940623" w:rsidRDefault="001B76A8" w:rsidP="001B76A8">
          <w:pPr>
            <w:spacing w:after="0"/>
            <w:jc w:val="both"/>
            <w:rPr>
              <w:rFonts w:ascii="Arial" w:hAnsi="Arial" w:cs="Arial"/>
            </w:rPr>
          </w:pPr>
          <w:r w:rsidRPr="00940623">
            <w:rPr>
              <w:rFonts w:ascii="Arial" w:hAnsi="Arial" w:cs="Arial"/>
            </w:rPr>
            <w:t xml:space="preserve">    3.3 Target Customer Segments ............................................................................. 14</w:t>
          </w:r>
        </w:p>
        <w:p w:rsidR="001B76A8" w:rsidRPr="00940623" w:rsidRDefault="001B76A8" w:rsidP="001B76A8">
          <w:pPr>
            <w:spacing w:after="0"/>
            <w:jc w:val="both"/>
            <w:rPr>
              <w:rFonts w:ascii="Arial" w:hAnsi="Arial" w:cs="Arial"/>
            </w:rPr>
          </w:pPr>
          <w:r w:rsidRPr="00940623">
            <w:rPr>
              <w:rFonts w:ascii="Arial" w:hAnsi="Arial" w:cs="Arial"/>
            </w:rPr>
            <w:t xml:space="preserve">    3.4 Competitor Activity .................................................................................. 15</w:t>
          </w:r>
        </w:p>
        <w:p w:rsidR="001B76A8" w:rsidRPr="00940623" w:rsidRDefault="001B76A8" w:rsidP="001B76A8">
          <w:pPr>
            <w:spacing w:after="0"/>
            <w:jc w:val="both"/>
            <w:rPr>
              <w:rFonts w:ascii="Arial" w:hAnsi="Arial" w:cs="Arial"/>
            </w:rPr>
          </w:pPr>
          <w:r w:rsidRPr="00940623">
            <w:rPr>
              <w:rFonts w:ascii="Arial" w:hAnsi="Arial" w:cs="Arial"/>
            </w:rPr>
            <w:t xml:space="preserve">    3.5 Pricing Information .................................................................................. 16</w:t>
          </w:r>
        </w:p>
        <w:p w:rsidR="001B76A8" w:rsidRPr="00940623" w:rsidRDefault="001B76A8" w:rsidP="001B76A8">
          <w:pPr>
            <w:spacing w:after="0"/>
            <w:jc w:val="both"/>
            <w:rPr>
              <w:rFonts w:ascii="Arial" w:hAnsi="Arial" w:cs="Arial"/>
            </w:rPr>
          </w:pPr>
          <w:r w:rsidRPr="00940623">
            <w:rPr>
              <w:rFonts w:ascii="Arial" w:hAnsi="Arial" w:cs="Arial"/>
            </w:rPr>
            <w:t xml:space="preserve">    3.6 Barriers to Entry .................................................................................... 17</w:t>
          </w:r>
        </w:p>
        <w:p w:rsidR="001B76A8" w:rsidRPr="00940623" w:rsidRDefault="001B76A8" w:rsidP="001B76A8">
          <w:pPr>
            <w:spacing w:after="0"/>
            <w:jc w:val="both"/>
            <w:rPr>
              <w:rFonts w:ascii="Arial" w:hAnsi="Arial" w:cs="Arial"/>
            </w:rPr>
          </w:pPr>
          <w:r w:rsidRPr="00940623">
            <w:rPr>
              <w:rFonts w:ascii="Arial" w:hAnsi="Arial" w:cs="Arial"/>
            </w:rPr>
            <w:t xml:space="preserve">    3.7 Legal and Regulatory Issues .......................................................................... 18</w:t>
          </w:r>
        </w:p>
        <w:p w:rsidR="001B76A8" w:rsidRPr="00940623" w:rsidRDefault="001B76A8" w:rsidP="001B76A8">
          <w:pPr>
            <w:spacing w:after="0"/>
            <w:jc w:val="both"/>
            <w:rPr>
              <w:rFonts w:ascii="Arial" w:hAnsi="Arial" w:cs="Arial"/>
            </w:rPr>
          </w:pPr>
          <w:r w:rsidRPr="00940623">
            <w:rPr>
              <w:rFonts w:ascii="Arial" w:hAnsi="Arial" w:cs="Arial"/>
            </w:rPr>
            <w:t xml:space="preserve">    3.8 Evidence of Demand ................................................................................... 18</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4. Business Model Canvas ................................................................................. 20</w:t>
          </w:r>
        </w:p>
        <w:p w:rsidR="001B76A8" w:rsidRPr="00940623" w:rsidRDefault="001B76A8" w:rsidP="001B76A8">
          <w:pPr>
            <w:spacing w:after="0"/>
            <w:jc w:val="both"/>
            <w:rPr>
              <w:rFonts w:ascii="Arial" w:hAnsi="Arial" w:cs="Arial"/>
            </w:rPr>
          </w:pPr>
          <w:r w:rsidRPr="00940623">
            <w:rPr>
              <w:rFonts w:ascii="Arial" w:hAnsi="Arial" w:cs="Arial"/>
            </w:rPr>
            <w:t xml:space="preserve">    4.1 Customer Segments .................................................................................... 20</w:t>
          </w:r>
        </w:p>
        <w:p w:rsidR="001B76A8" w:rsidRPr="00940623" w:rsidRDefault="001B76A8" w:rsidP="001B76A8">
          <w:pPr>
            <w:spacing w:after="0"/>
            <w:jc w:val="both"/>
            <w:rPr>
              <w:rFonts w:ascii="Arial" w:hAnsi="Arial" w:cs="Arial"/>
            </w:rPr>
          </w:pPr>
          <w:r w:rsidRPr="00940623">
            <w:rPr>
              <w:rFonts w:ascii="Arial" w:hAnsi="Arial" w:cs="Arial"/>
            </w:rPr>
            <w:t xml:space="preserve">    4.2 Value Propositions ................................................................................... 20</w:t>
          </w:r>
        </w:p>
        <w:p w:rsidR="001B76A8" w:rsidRPr="00940623" w:rsidRDefault="001B76A8" w:rsidP="001B76A8">
          <w:pPr>
            <w:spacing w:after="0"/>
            <w:jc w:val="both"/>
            <w:rPr>
              <w:rFonts w:ascii="Arial" w:hAnsi="Arial" w:cs="Arial"/>
            </w:rPr>
          </w:pPr>
          <w:r w:rsidRPr="00940623">
            <w:rPr>
              <w:rFonts w:ascii="Arial" w:hAnsi="Arial" w:cs="Arial"/>
            </w:rPr>
            <w:t xml:space="preserve">    4.3 Channels ............................................................................................. 20</w:t>
          </w:r>
        </w:p>
        <w:p w:rsidR="001B76A8" w:rsidRPr="00940623" w:rsidRDefault="001B76A8" w:rsidP="001B76A8">
          <w:pPr>
            <w:spacing w:after="0"/>
            <w:jc w:val="both"/>
            <w:rPr>
              <w:rFonts w:ascii="Arial" w:hAnsi="Arial" w:cs="Arial"/>
            </w:rPr>
          </w:pPr>
          <w:r w:rsidRPr="00940623">
            <w:rPr>
              <w:rFonts w:ascii="Arial" w:hAnsi="Arial" w:cs="Arial"/>
            </w:rPr>
            <w:t xml:space="preserve">    4.4 Customer Relationships ............................................................................... 21</w:t>
          </w:r>
        </w:p>
        <w:p w:rsidR="001B76A8" w:rsidRPr="00940623" w:rsidRDefault="001B76A8" w:rsidP="001B76A8">
          <w:pPr>
            <w:spacing w:after="0"/>
            <w:jc w:val="both"/>
            <w:rPr>
              <w:rFonts w:ascii="Arial" w:hAnsi="Arial" w:cs="Arial"/>
            </w:rPr>
          </w:pPr>
          <w:r w:rsidRPr="00940623">
            <w:rPr>
              <w:rFonts w:ascii="Arial" w:hAnsi="Arial" w:cs="Arial"/>
            </w:rPr>
            <w:t xml:space="preserve">    4.5 Revenue Streams ...................................................................................... 21</w:t>
          </w:r>
        </w:p>
        <w:p w:rsidR="001B76A8" w:rsidRPr="00940623" w:rsidRDefault="001B76A8" w:rsidP="001B76A8">
          <w:pPr>
            <w:spacing w:after="0"/>
            <w:jc w:val="both"/>
            <w:rPr>
              <w:rFonts w:ascii="Arial" w:hAnsi="Arial" w:cs="Arial"/>
            </w:rPr>
          </w:pPr>
          <w:r w:rsidRPr="00940623">
            <w:rPr>
              <w:rFonts w:ascii="Arial" w:hAnsi="Arial" w:cs="Arial"/>
            </w:rPr>
            <w:t xml:space="preserve">    4.6 Key Resources ........................................................................................ 21</w:t>
          </w:r>
        </w:p>
        <w:p w:rsidR="001B76A8" w:rsidRPr="00940623" w:rsidRDefault="001B76A8" w:rsidP="001B76A8">
          <w:pPr>
            <w:spacing w:after="0"/>
            <w:jc w:val="both"/>
            <w:rPr>
              <w:rFonts w:ascii="Arial" w:hAnsi="Arial" w:cs="Arial"/>
            </w:rPr>
          </w:pPr>
          <w:r w:rsidRPr="00940623">
            <w:rPr>
              <w:rFonts w:ascii="Arial" w:hAnsi="Arial" w:cs="Arial"/>
            </w:rPr>
            <w:t xml:space="preserve">    4.7 Key Activities ....................................................................................... 21</w:t>
          </w:r>
        </w:p>
        <w:p w:rsidR="001B76A8" w:rsidRPr="00940623" w:rsidRDefault="001B76A8" w:rsidP="001B76A8">
          <w:pPr>
            <w:spacing w:after="0"/>
            <w:jc w:val="both"/>
            <w:rPr>
              <w:rFonts w:ascii="Arial" w:hAnsi="Arial" w:cs="Arial"/>
            </w:rPr>
          </w:pPr>
          <w:r w:rsidRPr="00940623">
            <w:rPr>
              <w:rFonts w:ascii="Arial" w:hAnsi="Arial" w:cs="Arial"/>
            </w:rPr>
            <w:t xml:space="preserve">    4.8 Key Partnerships ..................................................................................... 22</w:t>
          </w:r>
        </w:p>
        <w:p w:rsidR="001B76A8" w:rsidRPr="00940623" w:rsidRDefault="001B76A8" w:rsidP="001B76A8">
          <w:pPr>
            <w:spacing w:after="0"/>
            <w:jc w:val="both"/>
            <w:rPr>
              <w:rFonts w:ascii="Arial" w:hAnsi="Arial" w:cs="Arial"/>
            </w:rPr>
          </w:pPr>
          <w:r w:rsidRPr="00940623">
            <w:rPr>
              <w:rFonts w:ascii="Arial" w:hAnsi="Arial" w:cs="Arial"/>
            </w:rPr>
            <w:t xml:space="preserve">    4.9 Cost Structure ....................................................................................... 23</w:t>
          </w:r>
        </w:p>
        <w:p w:rsidR="001B76A8" w:rsidRPr="00940623" w:rsidRDefault="001B76A8" w:rsidP="001B76A8">
          <w:pPr>
            <w:spacing w:after="0"/>
            <w:jc w:val="both"/>
            <w:rPr>
              <w:rFonts w:ascii="Arial" w:hAnsi="Arial" w:cs="Arial"/>
            </w:rPr>
          </w:pPr>
          <w:r w:rsidRPr="00940623">
            <w:rPr>
              <w:rFonts w:ascii="Arial" w:hAnsi="Arial" w:cs="Arial"/>
            </w:rPr>
            <w:t xml:space="preserve">    4.10 What the Canvas Reveals ............................................................................. 23</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5. Marketing and Sales Strategy .......................................................................... 23</w:t>
          </w:r>
        </w:p>
        <w:p w:rsidR="001B76A8" w:rsidRPr="00940623" w:rsidRDefault="001B76A8" w:rsidP="001B76A8">
          <w:pPr>
            <w:spacing w:after="0"/>
            <w:jc w:val="both"/>
            <w:rPr>
              <w:rFonts w:ascii="Arial" w:hAnsi="Arial" w:cs="Arial"/>
            </w:rPr>
          </w:pPr>
          <w:r w:rsidRPr="00940623">
            <w:rPr>
              <w:rFonts w:ascii="Arial" w:hAnsi="Arial" w:cs="Arial"/>
            </w:rPr>
            <w:lastRenderedPageBreak/>
            <w:t xml:space="preserve">    5.1 Target Market and Customer Profile ................................................................... 24</w:t>
          </w:r>
        </w:p>
        <w:p w:rsidR="001B76A8" w:rsidRPr="00940623" w:rsidRDefault="001B76A8" w:rsidP="001B76A8">
          <w:pPr>
            <w:spacing w:after="0"/>
            <w:jc w:val="both"/>
            <w:rPr>
              <w:rFonts w:ascii="Arial" w:hAnsi="Arial" w:cs="Arial"/>
            </w:rPr>
          </w:pPr>
          <w:r w:rsidRPr="00940623">
            <w:rPr>
              <w:rFonts w:ascii="Arial" w:hAnsi="Arial" w:cs="Arial"/>
            </w:rPr>
            <w:t xml:space="preserve">    5.2 Positioning .......................................................................................... 24</w:t>
          </w:r>
        </w:p>
        <w:p w:rsidR="001B76A8" w:rsidRPr="00940623" w:rsidRDefault="001B76A8" w:rsidP="001B76A8">
          <w:pPr>
            <w:spacing w:after="0"/>
            <w:jc w:val="both"/>
            <w:rPr>
              <w:rFonts w:ascii="Arial" w:hAnsi="Arial" w:cs="Arial"/>
            </w:rPr>
          </w:pPr>
          <w:r w:rsidRPr="00940623">
            <w:rPr>
              <w:rFonts w:ascii="Arial" w:hAnsi="Arial" w:cs="Arial"/>
            </w:rPr>
            <w:t xml:space="preserve">    5.3 Pricing Strategy ..................................................................................... 25</w:t>
          </w:r>
        </w:p>
        <w:p w:rsidR="001B76A8" w:rsidRPr="00940623" w:rsidRDefault="001B76A8" w:rsidP="001B76A8">
          <w:pPr>
            <w:spacing w:after="0"/>
            <w:jc w:val="both"/>
            <w:rPr>
              <w:rFonts w:ascii="Arial" w:hAnsi="Arial" w:cs="Arial"/>
            </w:rPr>
          </w:pPr>
          <w:r w:rsidRPr="00940623">
            <w:rPr>
              <w:rFonts w:ascii="Arial" w:hAnsi="Arial" w:cs="Arial"/>
            </w:rPr>
            <w:t xml:space="preserve">    5.4 Branding ............................................................................................. 25</w:t>
          </w:r>
        </w:p>
        <w:p w:rsidR="001B76A8" w:rsidRPr="00940623" w:rsidRDefault="001B76A8" w:rsidP="001B76A8">
          <w:pPr>
            <w:spacing w:after="0"/>
            <w:jc w:val="both"/>
            <w:rPr>
              <w:rFonts w:ascii="Arial" w:hAnsi="Arial" w:cs="Arial"/>
            </w:rPr>
          </w:pPr>
          <w:r w:rsidRPr="00940623">
            <w:rPr>
              <w:rFonts w:ascii="Arial" w:hAnsi="Arial" w:cs="Arial"/>
            </w:rPr>
            <w:t xml:space="preserve">    5.5 Promotion ............................................................................................ 26</w:t>
          </w:r>
        </w:p>
        <w:p w:rsidR="001B76A8" w:rsidRPr="00940623" w:rsidRDefault="001B76A8" w:rsidP="001B76A8">
          <w:pPr>
            <w:spacing w:after="0"/>
            <w:jc w:val="both"/>
            <w:rPr>
              <w:rFonts w:ascii="Arial" w:hAnsi="Arial" w:cs="Arial"/>
            </w:rPr>
          </w:pPr>
          <w:r w:rsidRPr="00940623">
            <w:rPr>
              <w:rFonts w:ascii="Arial" w:hAnsi="Arial" w:cs="Arial"/>
            </w:rPr>
            <w:t xml:space="preserve">    5.6 Digital Marketing .................................................................................... 26</w:t>
          </w:r>
        </w:p>
        <w:p w:rsidR="001B76A8" w:rsidRPr="00940623" w:rsidRDefault="001B76A8" w:rsidP="001B76A8">
          <w:pPr>
            <w:spacing w:after="0"/>
            <w:jc w:val="both"/>
            <w:rPr>
              <w:rFonts w:ascii="Arial" w:hAnsi="Arial" w:cs="Arial"/>
            </w:rPr>
          </w:pPr>
          <w:r w:rsidRPr="00940623">
            <w:rPr>
              <w:rFonts w:ascii="Arial" w:hAnsi="Arial" w:cs="Arial"/>
            </w:rPr>
            <w:t xml:space="preserve">    5.7 Sales Channels ....................................................................................... 27</w:t>
          </w:r>
        </w:p>
        <w:p w:rsidR="001B76A8" w:rsidRPr="00940623" w:rsidRDefault="001B76A8" w:rsidP="001B76A8">
          <w:pPr>
            <w:spacing w:after="0"/>
            <w:jc w:val="both"/>
            <w:rPr>
              <w:rFonts w:ascii="Arial" w:hAnsi="Arial" w:cs="Arial"/>
            </w:rPr>
          </w:pPr>
          <w:r w:rsidRPr="00940623">
            <w:rPr>
              <w:rFonts w:ascii="Arial" w:hAnsi="Arial" w:cs="Arial"/>
            </w:rPr>
            <w:t xml:space="preserve">    5.8 Customer Acquisition ................................................................................. 27</w:t>
          </w:r>
        </w:p>
        <w:p w:rsidR="001B76A8" w:rsidRPr="00940623" w:rsidRDefault="001B76A8" w:rsidP="001B76A8">
          <w:pPr>
            <w:spacing w:after="0"/>
            <w:jc w:val="both"/>
            <w:rPr>
              <w:rFonts w:ascii="Arial" w:hAnsi="Arial" w:cs="Arial"/>
            </w:rPr>
          </w:pPr>
          <w:r w:rsidRPr="00940623">
            <w:rPr>
              <w:rFonts w:ascii="Arial" w:hAnsi="Arial" w:cs="Arial"/>
            </w:rPr>
            <w:t xml:space="preserve">    5.9 Customer Retention ................................................................................... 28</w:t>
          </w:r>
        </w:p>
        <w:p w:rsidR="001B76A8" w:rsidRPr="00940623" w:rsidRDefault="001B76A8" w:rsidP="001B76A8">
          <w:pPr>
            <w:spacing w:after="0"/>
            <w:jc w:val="both"/>
            <w:rPr>
              <w:rFonts w:ascii="Arial" w:hAnsi="Arial" w:cs="Arial"/>
            </w:rPr>
          </w:pPr>
          <w:r w:rsidRPr="00940623">
            <w:rPr>
              <w:rFonts w:ascii="Arial" w:hAnsi="Arial" w:cs="Arial"/>
            </w:rPr>
            <w:t xml:space="preserve">    5.10 Sales Targets ....................................................................................... 28</w:t>
          </w:r>
        </w:p>
        <w:p w:rsidR="001B76A8" w:rsidRPr="00940623" w:rsidRDefault="001B76A8" w:rsidP="001B76A8">
          <w:pPr>
            <w:spacing w:after="0"/>
            <w:jc w:val="both"/>
            <w:rPr>
              <w:rFonts w:ascii="Arial" w:hAnsi="Arial" w:cs="Arial"/>
            </w:rPr>
          </w:pPr>
          <w:r w:rsidRPr="00940623">
            <w:rPr>
              <w:rFonts w:ascii="Arial" w:hAnsi="Arial" w:cs="Arial"/>
            </w:rPr>
            <w:t xml:space="preserve">    5.11 Measuring Marketing Success ......................................................................... 29</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6. Operation Plan ........................................................................................ 29</w:t>
          </w:r>
        </w:p>
        <w:p w:rsidR="001B76A8" w:rsidRPr="00940623" w:rsidRDefault="001B76A8" w:rsidP="001B76A8">
          <w:pPr>
            <w:spacing w:after="0"/>
            <w:jc w:val="both"/>
            <w:rPr>
              <w:rFonts w:ascii="Arial" w:hAnsi="Arial" w:cs="Arial"/>
            </w:rPr>
          </w:pPr>
          <w:r w:rsidRPr="00940623">
            <w:rPr>
              <w:rFonts w:ascii="Arial" w:hAnsi="Arial" w:cs="Arial"/>
            </w:rPr>
            <w:t xml:space="preserve">    6.1 Location and Operating Base .......................................................................... 29</w:t>
          </w:r>
        </w:p>
        <w:p w:rsidR="001B76A8" w:rsidRPr="00940623" w:rsidRDefault="001B76A8" w:rsidP="001B76A8">
          <w:pPr>
            <w:spacing w:after="0"/>
            <w:jc w:val="both"/>
            <w:rPr>
              <w:rFonts w:ascii="Arial" w:hAnsi="Arial" w:cs="Arial"/>
            </w:rPr>
          </w:pPr>
          <w:r w:rsidRPr="00940623">
            <w:rPr>
              <w:rFonts w:ascii="Arial" w:hAnsi="Arial" w:cs="Arial"/>
            </w:rPr>
            <w:t xml:space="preserve">    6.2 Suppliers and Partners ............................................................................... 30</w:t>
          </w:r>
        </w:p>
        <w:p w:rsidR="001B76A8" w:rsidRPr="00940623" w:rsidRDefault="001B76A8" w:rsidP="001B76A8">
          <w:pPr>
            <w:spacing w:after="0"/>
            <w:jc w:val="both"/>
            <w:rPr>
              <w:rFonts w:ascii="Arial" w:hAnsi="Arial" w:cs="Arial"/>
            </w:rPr>
          </w:pPr>
          <w:r w:rsidRPr="00940623">
            <w:rPr>
              <w:rFonts w:ascii="Arial" w:hAnsi="Arial" w:cs="Arial"/>
            </w:rPr>
            <w:t xml:space="preserve">    6.3 Equipment and Technology ............................................................................. 31</w:t>
          </w:r>
        </w:p>
        <w:p w:rsidR="001B76A8" w:rsidRPr="00940623" w:rsidRDefault="001B76A8" w:rsidP="001B76A8">
          <w:pPr>
            <w:spacing w:after="0"/>
            <w:jc w:val="both"/>
            <w:rPr>
              <w:rFonts w:ascii="Arial" w:hAnsi="Arial" w:cs="Arial"/>
            </w:rPr>
          </w:pPr>
          <w:r w:rsidRPr="00940623">
            <w:rPr>
              <w:rFonts w:ascii="Arial" w:hAnsi="Arial" w:cs="Arial"/>
            </w:rPr>
            <w:t xml:space="preserve">    6.4 Production and Service Delivery ...................................................................... 31</w:t>
          </w:r>
        </w:p>
        <w:p w:rsidR="001B76A8" w:rsidRPr="00940623" w:rsidRDefault="001B76A8" w:rsidP="001B76A8">
          <w:pPr>
            <w:spacing w:after="0"/>
            <w:jc w:val="both"/>
            <w:rPr>
              <w:rFonts w:ascii="Arial" w:hAnsi="Arial" w:cs="Arial"/>
            </w:rPr>
          </w:pPr>
          <w:r w:rsidRPr="00940623">
            <w:rPr>
              <w:rFonts w:ascii="Arial" w:hAnsi="Arial" w:cs="Arial"/>
            </w:rPr>
            <w:t xml:space="preserve">    6.5 Distribution ......................................................................................... 32</w:t>
          </w:r>
        </w:p>
        <w:p w:rsidR="001B76A8" w:rsidRPr="00940623" w:rsidRDefault="001B76A8" w:rsidP="001B76A8">
          <w:pPr>
            <w:spacing w:after="0"/>
            <w:jc w:val="both"/>
            <w:rPr>
              <w:rFonts w:ascii="Arial" w:hAnsi="Arial" w:cs="Arial"/>
            </w:rPr>
          </w:pPr>
          <w:r w:rsidRPr="00940623">
            <w:rPr>
              <w:rFonts w:ascii="Arial" w:hAnsi="Arial" w:cs="Arial"/>
            </w:rPr>
            <w:t xml:space="preserve">    6.6 Quality Control ...................................................................................... 32</w:t>
          </w:r>
        </w:p>
        <w:p w:rsidR="001B76A8" w:rsidRPr="00940623" w:rsidRDefault="001B76A8" w:rsidP="001B76A8">
          <w:pPr>
            <w:spacing w:after="0"/>
            <w:jc w:val="both"/>
            <w:rPr>
              <w:rFonts w:ascii="Arial" w:hAnsi="Arial" w:cs="Arial"/>
            </w:rPr>
          </w:pPr>
          <w:r w:rsidRPr="00940623">
            <w:rPr>
              <w:rFonts w:ascii="Arial" w:hAnsi="Arial" w:cs="Arial"/>
            </w:rPr>
            <w:t xml:space="preserve">    6.7 Customer Service ..................................................................................... 32</w:t>
          </w:r>
        </w:p>
        <w:p w:rsidR="001B76A8" w:rsidRPr="00940623" w:rsidRDefault="001B76A8" w:rsidP="001B76A8">
          <w:pPr>
            <w:spacing w:after="0"/>
            <w:jc w:val="both"/>
            <w:rPr>
              <w:rFonts w:ascii="Arial" w:hAnsi="Arial" w:cs="Arial"/>
            </w:rPr>
          </w:pPr>
          <w:r w:rsidRPr="00940623">
            <w:rPr>
              <w:rFonts w:ascii="Arial" w:hAnsi="Arial" w:cs="Arial"/>
            </w:rPr>
            <w:t xml:space="preserve">    6.8 Legal, Licensing and Regulatory Requirements ......................................................... 33</w:t>
          </w:r>
        </w:p>
        <w:p w:rsidR="001B76A8" w:rsidRPr="00940623" w:rsidRDefault="001B76A8" w:rsidP="001B76A8">
          <w:pPr>
            <w:spacing w:after="0"/>
            <w:jc w:val="both"/>
            <w:rPr>
              <w:rFonts w:ascii="Arial" w:hAnsi="Arial" w:cs="Arial"/>
            </w:rPr>
          </w:pPr>
          <w:r w:rsidRPr="00940623">
            <w:rPr>
              <w:rFonts w:ascii="Arial" w:hAnsi="Arial" w:cs="Arial"/>
            </w:rPr>
            <w:t xml:space="preserve">    6.9 Insurance Requirements ............................................................................... 33</w:t>
          </w:r>
        </w:p>
        <w:p w:rsidR="001B76A8" w:rsidRPr="00940623" w:rsidRDefault="001B76A8" w:rsidP="001B76A8">
          <w:pPr>
            <w:spacing w:after="0"/>
            <w:jc w:val="both"/>
            <w:rPr>
              <w:rFonts w:ascii="Arial" w:hAnsi="Arial" w:cs="Arial"/>
            </w:rPr>
          </w:pPr>
          <w:r w:rsidRPr="00940623">
            <w:rPr>
              <w:rFonts w:ascii="Arial" w:hAnsi="Arial" w:cs="Arial"/>
            </w:rPr>
            <w:t xml:space="preserve">    6.10 Key Operational Milestones .......................................................................... 33</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7. Human Resource Capital Allocation ..................................................................... 35</w:t>
          </w:r>
        </w:p>
        <w:p w:rsidR="001B76A8" w:rsidRPr="00940623" w:rsidRDefault="001B76A8" w:rsidP="001B76A8">
          <w:pPr>
            <w:spacing w:after="0"/>
            <w:jc w:val="both"/>
            <w:rPr>
              <w:rFonts w:ascii="Arial" w:hAnsi="Arial" w:cs="Arial"/>
            </w:rPr>
          </w:pPr>
          <w:r w:rsidRPr="00940623">
            <w:rPr>
              <w:rFonts w:ascii="Arial" w:hAnsi="Arial" w:cs="Arial"/>
            </w:rPr>
            <w:t xml:space="preserve">    7.1 Founder/Owner Role ................................................................................... 35</w:t>
          </w:r>
        </w:p>
        <w:p w:rsidR="001B76A8" w:rsidRPr="00940623" w:rsidRDefault="001B76A8" w:rsidP="001B76A8">
          <w:pPr>
            <w:spacing w:after="0"/>
            <w:jc w:val="both"/>
            <w:rPr>
              <w:rFonts w:ascii="Arial" w:hAnsi="Arial" w:cs="Arial"/>
            </w:rPr>
          </w:pPr>
          <w:r w:rsidRPr="00940623">
            <w:rPr>
              <w:rFonts w:ascii="Arial" w:hAnsi="Arial" w:cs="Arial"/>
            </w:rPr>
            <w:t xml:space="preserve">    7.2 Staffing at Launch (Month 0–6) ....................................................................... 36</w:t>
          </w:r>
        </w:p>
        <w:p w:rsidR="001B76A8" w:rsidRPr="00940623" w:rsidRDefault="001B76A8" w:rsidP="001B76A8">
          <w:pPr>
            <w:spacing w:after="0"/>
            <w:jc w:val="both"/>
            <w:rPr>
              <w:rFonts w:ascii="Arial" w:hAnsi="Arial" w:cs="Arial"/>
            </w:rPr>
          </w:pPr>
          <w:r w:rsidRPr="00940623">
            <w:rPr>
              <w:rFonts w:ascii="Arial" w:hAnsi="Arial" w:cs="Arial"/>
            </w:rPr>
            <w:t xml:space="preserve">    7.3 Staffing Growth at 6 Months .......................................................................... 37</w:t>
          </w:r>
        </w:p>
        <w:p w:rsidR="001B76A8" w:rsidRPr="00940623" w:rsidRDefault="001B76A8" w:rsidP="001B76A8">
          <w:pPr>
            <w:spacing w:after="0"/>
            <w:jc w:val="both"/>
            <w:rPr>
              <w:rFonts w:ascii="Arial" w:hAnsi="Arial" w:cs="Arial"/>
            </w:rPr>
          </w:pPr>
          <w:r w:rsidRPr="00940623">
            <w:rPr>
              <w:rFonts w:ascii="Arial" w:hAnsi="Arial" w:cs="Arial"/>
            </w:rPr>
            <w:t xml:space="preserve">    7.4 Staffing Growth at 12 Months ......................................................................... 37</w:t>
          </w:r>
        </w:p>
        <w:p w:rsidR="001B76A8" w:rsidRPr="00940623" w:rsidRDefault="001B76A8" w:rsidP="001B76A8">
          <w:pPr>
            <w:spacing w:after="0"/>
            <w:jc w:val="both"/>
            <w:rPr>
              <w:rFonts w:ascii="Arial" w:hAnsi="Arial" w:cs="Arial"/>
            </w:rPr>
          </w:pPr>
          <w:r w:rsidRPr="00940623">
            <w:rPr>
              <w:rFonts w:ascii="Arial" w:hAnsi="Arial" w:cs="Arial"/>
            </w:rPr>
            <w:t xml:space="preserve">    7.5 Responsibilities and Skills Needed ................................................................... 38</w:t>
          </w:r>
        </w:p>
        <w:p w:rsidR="001B76A8" w:rsidRPr="00940623" w:rsidRDefault="001B76A8" w:rsidP="001B76A8">
          <w:pPr>
            <w:spacing w:after="0"/>
            <w:jc w:val="both"/>
            <w:rPr>
              <w:rFonts w:ascii="Arial" w:hAnsi="Arial" w:cs="Arial"/>
            </w:rPr>
          </w:pPr>
          <w:r w:rsidRPr="00940623">
            <w:rPr>
              <w:rFonts w:ascii="Arial" w:hAnsi="Arial" w:cs="Arial"/>
            </w:rPr>
            <w:t xml:space="preserve">    7.6 Skills Gaps .......................................................................................... 38</w:t>
          </w:r>
        </w:p>
        <w:p w:rsidR="001B76A8" w:rsidRPr="00940623" w:rsidRDefault="001B76A8" w:rsidP="001B76A8">
          <w:pPr>
            <w:spacing w:after="0"/>
            <w:jc w:val="both"/>
            <w:rPr>
              <w:rFonts w:ascii="Arial" w:hAnsi="Arial" w:cs="Arial"/>
            </w:rPr>
          </w:pPr>
          <w:r w:rsidRPr="00940623">
            <w:rPr>
              <w:rFonts w:ascii="Arial" w:hAnsi="Arial" w:cs="Arial"/>
            </w:rPr>
            <w:t xml:space="preserve">    7.7 Recruitment .......................................................................................... 39</w:t>
          </w:r>
        </w:p>
        <w:p w:rsidR="001B76A8" w:rsidRPr="00940623" w:rsidRDefault="001B76A8" w:rsidP="001B76A8">
          <w:pPr>
            <w:spacing w:after="0"/>
            <w:jc w:val="both"/>
            <w:rPr>
              <w:rFonts w:ascii="Arial" w:hAnsi="Arial" w:cs="Arial"/>
            </w:rPr>
          </w:pPr>
          <w:r w:rsidRPr="00940623">
            <w:rPr>
              <w:rFonts w:ascii="Arial" w:hAnsi="Arial" w:cs="Arial"/>
            </w:rPr>
            <w:t xml:space="preserve">    7.8 Training ............................................................................................. 39</w:t>
          </w:r>
        </w:p>
        <w:p w:rsidR="001B76A8" w:rsidRPr="00940623" w:rsidRDefault="001B76A8" w:rsidP="001B76A8">
          <w:pPr>
            <w:spacing w:after="0"/>
            <w:jc w:val="both"/>
            <w:rPr>
              <w:rFonts w:ascii="Arial" w:hAnsi="Arial" w:cs="Arial"/>
            </w:rPr>
          </w:pPr>
          <w:r w:rsidRPr="00940623">
            <w:rPr>
              <w:rFonts w:ascii="Arial" w:hAnsi="Arial" w:cs="Arial"/>
            </w:rPr>
            <w:t xml:space="preserve">    7.9 Responsibility for Ingredient Sourcing ............................................................... 40</w:t>
          </w:r>
        </w:p>
        <w:p w:rsidR="001B76A8" w:rsidRPr="00940623" w:rsidRDefault="001B76A8" w:rsidP="001B76A8">
          <w:pPr>
            <w:spacing w:after="0"/>
            <w:jc w:val="both"/>
            <w:rPr>
              <w:rFonts w:ascii="Arial" w:hAnsi="Arial" w:cs="Arial"/>
            </w:rPr>
          </w:pPr>
          <w:r w:rsidRPr="00940623">
            <w:rPr>
              <w:rFonts w:ascii="Arial" w:hAnsi="Arial" w:cs="Arial"/>
            </w:rPr>
            <w:t xml:space="preserve">    7.10 Outsourced Professional Support ..................................................................... 40</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8. Business Analysis Models .............................................................................. 41</w:t>
          </w:r>
        </w:p>
        <w:p w:rsidR="001B76A8" w:rsidRPr="00940623" w:rsidRDefault="001B76A8" w:rsidP="001B76A8">
          <w:pPr>
            <w:spacing w:after="0"/>
            <w:jc w:val="both"/>
            <w:rPr>
              <w:rFonts w:ascii="Arial" w:hAnsi="Arial" w:cs="Arial"/>
            </w:rPr>
          </w:pPr>
          <w:r w:rsidRPr="00940623">
            <w:rPr>
              <w:rFonts w:ascii="Arial" w:hAnsi="Arial" w:cs="Arial"/>
            </w:rPr>
            <w:t xml:space="preserve">    8.1 PESTLE Analysis ...................................................................................... 43</w:t>
          </w:r>
        </w:p>
        <w:p w:rsidR="001B76A8" w:rsidRPr="00940623" w:rsidRDefault="001B76A8" w:rsidP="001B76A8">
          <w:pPr>
            <w:spacing w:after="0"/>
            <w:jc w:val="both"/>
            <w:rPr>
              <w:rFonts w:ascii="Arial" w:hAnsi="Arial" w:cs="Arial"/>
            </w:rPr>
          </w:pPr>
          <w:r w:rsidRPr="00940623">
            <w:rPr>
              <w:rFonts w:ascii="Arial" w:hAnsi="Arial" w:cs="Arial"/>
            </w:rPr>
            <w:t xml:space="preserve">    8.2 SWOT Analysis ........................................................................................ 45</w:t>
          </w:r>
        </w:p>
        <w:p w:rsidR="001B76A8" w:rsidRPr="00940623" w:rsidRDefault="001B76A8" w:rsidP="001B76A8">
          <w:pPr>
            <w:spacing w:after="0"/>
            <w:jc w:val="both"/>
            <w:rPr>
              <w:rFonts w:ascii="Arial" w:hAnsi="Arial" w:cs="Arial"/>
            </w:rPr>
          </w:pPr>
          <w:r w:rsidRPr="00940623">
            <w:rPr>
              <w:rFonts w:ascii="Arial" w:hAnsi="Arial" w:cs="Arial"/>
            </w:rPr>
            <w:t xml:space="preserve">    8.3 Competitor Analysis .................................................................................. 47</w:t>
          </w:r>
        </w:p>
        <w:p w:rsidR="001B76A8" w:rsidRPr="00940623" w:rsidRDefault="001B76A8" w:rsidP="001B76A8">
          <w:pPr>
            <w:spacing w:after="0"/>
            <w:jc w:val="both"/>
            <w:rPr>
              <w:rFonts w:ascii="Arial" w:hAnsi="Arial" w:cs="Arial"/>
            </w:rPr>
          </w:pPr>
          <w:r w:rsidRPr="00940623">
            <w:rPr>
              <w:rFonts w:ascii="Arial" w:hAnsi="Arial" w:cs="Arial"/>
            </w:rPr>
            <w:lastRenderedPageBreak/>
            <w:t xml:space="preserve">    8.4 Porter's Five Forces ................................................................................. 49</w:t>
          </w:r>
        </w:p>
        <w:p w:rsidR="001B76A8" w:rsidRPr="00940623" w:rsidRDefault="001B76A8" w:rsidP="001B76A8">
          <w:pPr>
            <w:spacing w:after="0"/>
            <w:jc w:val="both"/>
            <w:rPr>
              <w:rFonts w:ascii="Arial" w:hAnsi="Arial" w:cs="Arial"/>
            </w:rPr>
          </w:pPr>
          <w:r w:rsidRPr="00940623">
            <w:rPr>
              <w:rFonts w:ascii="Arial" w:hAnsi="Arial" w:cs="Arial"/>
            </w:rPr>
            <w:t xml:space="preserve">    8.5 </w:t>
          </w:r>
          <w:proofErr w:type="spellStart"/>
          <w:r w:rsidRPr="00940623">
            <w:rPr>
              <w:rFonts w:ascii="Arial" w:hAnsi="Arial" w:cs="Arial"/>
            </w:rPr>
            <w:t>Ansoff</w:t>
          </w:r>
          <w:proofErr w:type="spellEnd"/>
          <w:r w:rsidRPr="00940623">
            <w:rPr>
              <w:rFonts w:ascii="Arial" w:hAnsi="Arial" w:cs="Arial"/>
            </w:rPr>
            <w:t xml:space="preserve"> Matrix ........................................................................................ 51</w:t>
          </w:r>
        </w:p>
        <w:p w:rsidR="001B76A8" w:rsidRPr="00940623" w:rsidRDefault="001B76A8" w:rsidP="001B76A8">
          <w:pPr>
            <w:spacing w:after="0"/>
            <w:jc w:val="both"/>
            <w:rPr>
              <w:rFonts w:ascii="Arial" w:hAnsi="Arial" w:cs="Arial"/>
            </w:rPr>
          </w:pPr>
          <w:r w:rsidRPr="00940623">
            <w:rPr>
              <w:rFonts w:ascii="Arial" w:hAnsi="Arial" w:cs="Arial"/>
            </w:rPr>
            <w:t xml:space="preserve">    8.6 Synthesis Across the Five Models ..................................................................... 53</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9. Financial Plan ........................................................................................ 54</w:t>
          </w:r>
        </w:p>
        <w:p w:rsidR="001B76A8" w:rsidRPr="00940623" w:rsidRDefault="001B76A8" w:rsidP="001B76A8">
          <w:pPr>
            <w:spacing w:after="0"/>
            <w:jc w:val="both"/>
            <w:rPr>
              <w:rFonts w:ascii="Arial" w:hAnsi="Arial" w:cs="Arial"/>
            </w:rPr>
          </w:pPr>
          <w:r w:rsidRPr="00940623">
            <w:rPr>
              <w:rFonts w:ascii="Arial" w:hAnsi="Arial" w:cs="Arial"/>
            </w:rPr>
            <w:t xml:space="preserve">    9.1 Start-Up Costs ....................................................................................... 54</w:t>
          </w:r>
        </w:p>
        <w:p w:rsidR="001B76A8" w:rsidRPr="00940623" w:rsidRDefault="001B76A8" w:rsidP="001B76A8">
          <w:pPr>
            <w:spacing w:after="0"/>
            <w:jc w:val="both"/>
            <w:rPr>
              <w:rFonts w:ascii="Arial" w:hAnsi="Arial" w:cs="Arial"/>
            </w:rPr>
          </w:pPr>
          <w:r w:rsidRPr="00940623">
            <w:rPr>
              <w:rFonts w:ascii="Arial" w:hAnsi="Arial" w:cs="Arial"/>
            </w:rPr>
            <w:t xml:space="preserve">    9.2 Sources of Funding ................................................................................... 55</w:t>
          </w:r>
        </w:p>
        <w:p w:rsidR="001B76A8" w:rsidRPr="00940623" w:rsidRDefault="001B76A8" w:rsidP="001B76A8">
          <w:pPr>
            <w:spacing w:after="0"/>
            <w:jc w:val="both"/>
            <w:rPr>
              <w:rFonts w:ascii="Arial" w:hAnsi="Arial" w:cs="Arial"/>
            </w:rPr>
          </w:pPr>
          <w:r w:rsidRPr="00940623">
            <w:rPr>
              <w:rFonts w:ascii="Arial" w:hAnsi="Arial" w:cs="Arial"/>
            </w:rPr>
            <w:t xml:space="preserve">    9.3 Key Assumptions ...................................................................................... 55</w:t>
          </w:r>
        </w:p>
        <w:p w:rsidR="001B76A8" w:rsidRPr="00940623" w:rsidRDefault="001B76A8" w:rsidP="001B76A8">
          <w:pPr>
            <w:spacing w:after="0"/>
            <w:jc w:val="both"/>
            <w:rPr>
              <w:rFonts w:ascii="Arial" w:hAnsi="Arial" w:cs="Arial"/>
            </w:rPr>
          </w:pPr>
          <w:r w:rsidRPr="00940623">
            <w:rPr>
              <w:rFonts w:ascii="Arial" w:hAnsi="Arial" w:cs="Arial"/>
            </w:rPr>
            <w:t xml:space="preserve">    9.4 12-Month Cash Flow Statement ......................................................................... 56</w:t>
          </w:r>
        </w:p>
        <w:p w:rsidR="001B76A8" w:rsidRPr="00940623" w:rsidRDefault="001B76A8" w:rsidP="001B76A8">
          <w:pPr>
            <w:spacing w:after="0"/>
            <w:jc w:val="both"/>
            <w:rPr>
              <w:rFonts w:ascii="Arial" w:hAnsi="Arial" w:cs="Arial"/>
            </w:rPr>
          </w:pPr>
          <w:r w:rsidRPr="00940623">
            <w:rPr>
              <w:rFonts w:ascii="Arial" w:hAnsi="Arial" w:cs="Arial"/>
            </w:rPr>
            <w:t xml:space="preserve">    9.5 Break-Even Analysis .................................................................................. 57</w:t>
          </w:r>
        </w:p>
        <w:p w:rsidR="001B76A8" w:rsidRPr="00940623" w:rsidRDefault="001B76A8" w:rsidP="001B76A8">
          <w:pPr>
            <w:spacing w:after="0"/>
            <w:jc w:val="both"/>
            <w:rPr>
              <w:rFonts w:ascii="Arial" w:hAnsi="Arial" w:cs="Arial"/>
            </w:rPr>
          </w:pPr>
          <w:r w:rsidRPr="00940623">
            <w:rPr>
              <w:rFonts w:ascii="Arial" w:hAnsi="Arial" w:cs="Arial"/>
            </w:rPr>
            <w:t xml:space="preserve">    9.6 Reconciling with Sector Margin Benchmarks ............................................................ 58</w:t>
          </w:r>
        </w:p>
        <w:p w:rsidR="001B76A8" w:rsidRPr="00940623" w:rsidRDefault="001B76A8" w:rsidP="001B76A8">
          <w:pPr>
            <w:spacing w:after="0"/>
            <w:jc w:val="both"/>
            <w:rPr>
              <w:rFonts w:ascii="Arial" w:hAnsi="Arial" w:cs="Arial"/>
            </w:rPr>
          </w:pPr>
          <w:r w:rsidRPr="00940623">
            <w:rPr>
              <w:rFonts w:ascii="Arial" w:hAnsi="Arial" w:cs="Arial"/>
            </w:rPr>
            <w:t xml:space="preserve">    9.7 Is the Business Financially Realistic? ............................................................... 58</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10. Reflection ........................................................................................... 59</w:t>
          </w:r>
        </w:p>
        <w:p w:rsidR="001B76A8" w:rsidRPr="00940623" w:rsidRDefault="001B76A8" w:rsidP="001B76A8">
          <w:pPr>
            <w:spacing w:after="0"/>
            <w:jc w:val="both"/>
            <w:rPr>
              <w:rFonts w:ascii="Arial" w:hAnsi="Arial" w:cs="Arial"/>
            </w:rPr>
          </w:pPr>
          <w:r w:rsidRPr="00940623">
            <w:rPr>
              <w:rFonts w:ascii="Arial" w:hAnsi="Arial" w:cs="Arial"/>
            </w:rPr>
            <w:t xml:space="preserve">    10.1 Is the Idea Realistic? .............................................................................. 59</w:t>
          </w:r>
        </w:p>
        <w:p w:rsidR="001B76A8" w:rsidRPr="00940623" w:rsidRDefault="001B76A8" w:rsidP="001B76A8">
          <w:pPr>
            <w:spacing w:after="0"/>
            <w:jc w:val="both"/>
            <w:rPr>
              <w:rFonts w:ascii="Arial" w:hAnsi="Arial" w:cs="Arial"/>
            </w:rPr>
          </w:pPr>
          <w:r w:rsidRPr="00940623">
            <w:rPr>
              <w:rFonts w:ascii="Arial" w:hAnsi="Arial" w:cs="Arial"/>
            </w:rPr>
            <w:t xml:space="preserve">    10.2 Is There Enough Demand? ............................................................................. 60</w:t>
          </w:r>
        </w:p>
        <w:p w:rsidR="001B76A8" w:rsidRPr="00940623" w:rsidRDefault="001B76A8" w:rsidP="001B76A8">
          <w:pPr>
            <w:spacing w:after="0"/>
            <w:jc w:val="both"/>
            <w:rPr>
              <w:rFonts w:ascii="Arial" w:hAnsi="Arial" w:cs="Arial"/>
            </w:rPr>
          </w:pPr>
          <w:r w:rsidRPr="00940623">
            <w:rPr>
              <w:rFonts w:ascii="Arial" w:hAnsi="Arial" w:cs="Arial"/>
            </w:rPr>
            <w:t xml:space="preserve">    10.3 Are the Financial Assumptions Achievable? ........................................................... 60</w:t>
          </w:r>
        </w:p>
        <w:p w:rsidR="001B76A8" w:rsidRPr="00940623" w:rsidRDefault="001B76A8" w:rsidP="001B76A8">
          <w:pPr>
            <w:spacing w:after="0"/>
            <w:jc w:val="both"/>
            <w:rPr>
              <w:rFonts w:ascii="Arial" w:hAnsi="Arial" w:cs="Arial"/>
            </w:rPr>
          </w:pPr>
          <w:r w:rsidRPr="00940623">
            <w:rPr>
              <w:rFonts w:ascii="Arial" w:hAnsi="Arial" w:cs="Arial"/>
            </w:rPr>
            <w:t xml:space="preserve">    10.4 Do I Have the Skills and Resources? What Is Missing? ................................................ 61</w:t>
          </w:r>
        </w:p>
        <w:p w:rsidR="001B76A8" w:rsidRPr="00940623" w:rsidRDefault="001B76A8" w:rsidP="001B76A8">
          <w:pPr>
            <w:spacing w:after="0"/>
            <w:jc w:val="both"/>
            <w:rPr>
              <w:rFonts w:ascii="Arial" w:hAnsi="Arial" w:cs="Arial"/>
            </w:rPr>
          </w:pPr>
          <w:r w:rsidRPr="00940623">
            <w:rPr>
              <w:rFonts w:ascii="Arial" w:hAnsi="Arial" w:cs="Arial"/>
            </w:rPr>
            <w:t xml:space="preserve">    10.5 What Would I Improve? ............................................................................... 61</w:t>
          </w:r>
        </w:p>
        <w:p w:rsidR="001B76A8" w:rsidRPr="00940623" w:rsidRDefault="001B76A8" w:rsidP="001B76A8">
          <w:pPr>
            <w:spacing w:after="0"/>
            <w:jc w:val="both"/>
            <w:rPr>
              <w:rFonts w:ascii="Arial" w:hAnsi="Arial" w:cs="Arial"/>
            </w:rPr>
          </w:pPr>
          <w:r w:rsidRPr="00940623">
            <w:rPr>
              <w:rFonts w:ascii="Arial" w:hAnsi="Arial" w:cs="Arial"/>
            </w:rPr>
            <w:t xml:space="preserve">    10.6 Would I Launch, Delay, Change, or Not Start? ........................................................ 62</w:t>
          </w:r>
        </w:p>
        <w:p w:rsidR="001B76A8" w:rsidRPr="00940623" w:rsidRDefault="001B76A8" w:rsidP="001B76A8">
          <w:pPr>
            <w:spacing w:after="0"/>
            <w:jc w:val="both"/>
            <w:rPr>
              <w:rFonts w:ascii="Arial" w:hAnsi="Arial" w:cs="Arial"/>
              <w:sz w:val="24"/>
              <w:szCs w:val="24"/>
            </w:rPr>
          </w:pPr>
          <w:r w:rsidRPr="00940623">
            <w:rPr>
              <w:rFonts w:ascii="Arial" w:hAnsi="Arial" w:cs="Arial"/>
              <w:sz w:val="24"/>
              <w:szCs w:val="24"/>
            </w:rPr>
            <w:t>11. References ........................................................................................... 63</w:t>
          </w:r>
        </w:p>
        <w:p w:rsidR="001B5210" w:rsidRDefault="006E1197" w:rsidP="001B76A8">
          <w:pPr>
            <w:jc w:val="both"/>
          </w:pPr>
        </w:p>
      </w:sdtContent>
    </w:sdt>
    <w:p w:rsidR="001B5210" w:rsidRDefault="001B5210" w:rsidP="00AF4B2A">
      <w:pPr>
        <w:spacing w:line="360" w:lineRule="auto"/>
        <w:jc w:val="both"/>
      </w:pPr>
      <w:r>
        <w:rPr>
          <w:rFonts w:ascii="Arial" w:eastAsia="Arial" w:hAnsi="Arial" w:cs="Arial"/>
        </w:rPr>
        <w:br w:type="page"/>
      </w:r>
    </w:p>
    <w:p w:rsidR="001B5210" w:rsidRDefault="001B5210" w:rsidP="00AF4B2A">
      <w:pPr>
        <w:pStyle w:val="Heading1"/>
        <w:jc w:val="both"/>
        <w:rPr>
          <w:rFonts w:ascii="Arial" w:eastAsia="Arial" w:hAnsi="Arial" w:cs="Arial"/>
          <w:b/>
          <w:bCs/>
        </w:rPr>
      </w:pPr>
      <w:bookmarkStart w:id="0" w:name="_Toc237864287"/>
      <w:r>
        <w:rPr>
          <w:rFonts w:ascii="Arial" w:eastAsia="Arial" w:hAnsi="Arial" w:cs="Arial"/>
          <w:b/>
          <w:bCs/>
        </w:rPr>
        <w:lastRenderedPageBreak/>
        <w:t>List of Tables</w:t>
      </w:r>
      <w:bookmarkEnd w:id="0"/>
    </w:p>
    <w:p w:rsidR="00940623" w:rsidRPr="00940623" w:rsidRDefault="00940623" w:rsidP="00940623"/>
    <w:p w:rsidR="001B5210" w:rsidRDefault="001B5210" w:rsidP="00AF4B2A">
      <w:pPr>
        <w:spacing w:after="100" w:line="360" w:lineRule="auto"/>
        <w:jc w:val="both"/>
      </w:pPr>
      <w:r>
        <w:rPr>
          <w:rFonts w:ascii="Arial" w:eastAsia="Arial" w:hAnsi="Arial" w:cs="Arial"/>
          <w:sz w:val="24"/>
          <w:szCs w:val="24"/>
        </w:rPr>
        <w:t>Table 1: Target customer segments and evidence of demand</w:t>
      </w:r>
    </w:p>
    <w:p w:rsidR="001B5210" w:rsidRDefault="001B5210" w:rsidP="00AF4B2A">
      <w:pPr>
        <w:spacing w:after="100" w:line="360" w:lineRule="auto"/>
        <w:jc w:val="both"/>
      </w:pPr>
      <w:r>
        <w:rPr>
          <w:rFonts w:ascii="Arial" w:eastAsia="Arial" w:hAnsi="Arial" w:cs="Arial"/>
          <w:sz w:val="24"/>
          <w:szCs w:val="24"/>
        </w:rPr>
        <w:t>Table 2: Local competitor positioning</w:t>
      </w:r>
    </w:p>
    <w:p w:rsidR="001B5210" w:rsidRDefault="001B5210" w:rsidP="00AF4B2A">
      <w:pPr>
        <w:spacing w:after="100" w:line="360" w:lineRule="auto"/>
        <w:jc w:val="both"/>
      </w:pPr>
      <w:r>
        <w:rPr>
          <w:rFonts w:ascii="Arial" w:eastAsia="Arial" w:hAnsi="Arial" w:cs="Arial"/>
          <w:sz w:val="24"/>
          <w:szCs w:val="24"/>
        </w:rPr>
        <w:t>Table 3: Price benchmarking against competitors</w:t>
      </w:r>
    </w:p>
    <w:p w:rsidR="001B5210" w:rsidRDefault="001B5210" w:rsidP="00AF4B2A">
      <w:pPr>
        <w:spacing w:after="100" w:line="360" w:lineRule="auto"/>
        <w:jc w:val="both"/>
      </w:pPr>
      <w:r>
        <w:rPr>
          <w:rFonts w:ascii="Arial" w:eastAsia="Arial" w:hAnsi="Arial" w:cs="Arial"/>
          <w:sz w:val="24"/>
          <w:szCs w:val="24"/>
        </w:rPr>
        <w:t>Table 4: Business Model Canvas summary — Taste of India</w:t>
      </w:r>
    </w:p>
    <w:p w:rsidR="001B5210" w:rsidRDefault="001B5210" w:rsidP="00AF4B2A">
      <w:pPr>
        <w:spacing w:after="100" w:line="360" w:lineRule="auto"/>
        <w:jc w:val="both"/>
      </w:pPr>
      <w:r>
        <w:rPr>
          <w:rFonts w:ascii="Arial" w:eastAsia="Arial" w:hAnsi="Arial" w:cs="Arial"/>
          <w:sz w:val="24"/>
          <w:szCs w:val="24"/>
        </w:rPr>
        <w:t>Table 5: Potential suppliers and categories</w:t>
      </w:r>
    </w:p>
    <w:p w:rsidR="001B5210" w:rsidRDefault="001B5210" w:rsidP="00AF4B2A">
      <w:pPr>
        <w:spacing w:after="100" w:line="360" w:lineRule="auto"/>
        <w:jc w:val="both"/>
      </w:pPr>
      <w:r>
        <w:rPr>
          <w:rFonts w:ascii="Arial" w:eastAsia="Arial" w:hAnsi="Arial" w:cs="Arial"/>
          <w:sz w:val="24"/>
          <w:szCs w:val="24"/>
        </w:rPr>
        <w:t>Table 6: Key operational milestones and target timing</w:t>
      </w:r>
    </w:p>
    <w:p w:rsidR="001B5210" w:rsidRDefault="001B5210" w:rsidP="00AF4B2A">
      <w:pPr>
        <w:spacing w:after="100" w:line="360" w:lineRule="auto"/>
        <w:jc w:val="both"/>
      </w:pPr>
      <w:r>
        <w:rPr>
          <w:rFonts w:ascii="Arial" w:eastAsia="Arial" w:hAnsi="Arial" w:cs="Arial"/>
          <w:sz w:val="24"/>
          <w:szCs w:val="24"/>
        </w:rPr>
        <w:t>Table 7: Staffing plan at launch</w:t>
      </w:r>
    </w:p>
    <w:p w:rsidR="001B5210" w:rsidRDefault="001B5210" w:rsidP="00AF4B2A">
      <w:pPr>
        <w:spacing w:after="100" w:line="360" w:lineRule="auto"/>
        <w:jc w:val="both"/>
      </w:pPr>
      <w:r>
        <w:rPr>
          <w:rFonts w:ascii="Arial" w:eastAsia="Arial" w:hAnsi="Arial" w:cs="Arial"/>
          <w:sz w:val="24"/>
          <w:szCs w:val="24"/>
        </w:rPr>
        <w:t>Table 8: Outsourced professional support functions</w:t>
      </w:r>
      <w:bookmarkStart w:id="1" w:name="_GoBack"/>
      <w:bookmarkEnd w:id="1"/>
    </w:p>
    <w:p w:rsidR="001B5210" w:rsidRDefault="001B5210" w:rsidP="00AF4B2A">
      <w:pPr>
        <w:spacing w:after="100" w:line="360" w:lineRule="auto"/>
        <w:jc w:val="both"/>
      </w:pPr>
      <w:r>
        <w:rPr>
          <w:rFonts w:ascii="Arial" w:eastAsia="Arial" w:hAnsi="Arial" w:cs="Arial"/>
          <w:sz w:val="24"/>
          <w:szCs w:val="24"/>
        </w:rPr>
        <w:t>Table 9: PESTLE analysis</w:t>
      </w:r>
    </w:p>
    <w:p w:rsidR="001B5210" w:rsidRDefault="001B5210" w:rsidP="00AF4B2A">
      <w:pPr>
        <w:spacing w:after="100" w:line="360" w:lineRule="auto"/>
        <w:jc w:val="both"/>
      </w:pPr>
      <w:r>
        <w:rPr>
          <w:rFonts w:ascii="Arial" w:eastAsia="Arial" w:hAnsi="Arial" w:cs="Arial"/>
          <w:sz w:val="24"/>
          <w:szCs w:val="24"/>
        </w:rPr>
        <w:t>Table 10: SWOT analysis</w:t>
      </w:r>
    </w:p>
    <w:p w:rsidR="001B5210" w:rsidRDefault="001B5210" w:rsidP="00AF4B2A">
      <w:pPr>
        <w:spacing w:after="100" w:line="360" w:lineRule="auto"/>
        <w:jc w:val="both"/>
      </w:pPr>
      <w:r>
        <w:rPr>
          <w:rFonts w:ascii="Arial" w:eastAsia="Arial" w:hAnsi="Arial" w:cs="Arial"/>
          <w:sz w:val="24"/>
          <w:szCs w:val="24"/>
        </w:rPr>
        <w:t>Table 11: Competitor strategic positioning</w:t>
      </w:r>
    </w:p>
    <w:p w:rsidR="001B5210" w:rsidRDefault="001B5210" w:rsidP="00AF4B2A">
      <w:pPr>
        <w:spacing w:after="100" w:line="360" w:lineRule="auto"/>
        <w:jc w:val="both"/>
      </w:pPr>
      <w:r>
        <w:rPr>
          <w:rFonts w:ascii="Arial" w:eastAsia="Arial" w:hAnsi="Arial" w:cs="Arial"/>
          <w:sz w:val="24"/>
          <w:szCs w:val="24"/>
        </w:rPr>
        <w:t>Table 12: Porter's Five Forces analysis</w:t>
      </w:r>
    </w:p>
    <w:p w:rsidR="001B5210" w:rsidRDefault="001B5210" w:rsidP="00AF4B2A">
      <w:pPr>
        <w:spacing w:after="100" w:line="360" w:lineRule="auto"/>
        <w:jc w:val="both"/>
      </w:pPr>
      <w:r>
        <w:rPr>
          <w:rFonts w:ascii="Arial" w:eastAsia="Arial" w:hAnsi="Arial" w:cs="Arial"/>
          <w:sz w:val="24"/>
          <w:szCs w:val="24"/>
        </w:rPr>
        <w:t xml:space="preserve">Table 13: </w:t>
      </w:r>
      <w:proofErr w:type="spellStart"/>
      <w:r>
        <w:rPr>
          <w:rFonts w:ascii="Arial" w:eastAsia="Arial" w:hAnsi="Arial" w:cs="Arial"/>
          <w:sz w:val="24"/>
          <w:szCs w:val="24"/>
        </w:rPr>
        <w:t>Ansoff</w:t>
      </w:r>
      <w:proofErr w:type="spellEnd"/>
      <w:r>
        <w:rPr>
          <w:rFonts w:ascii="Arial" w:eastAsia="Arial" w:hAnsi="Arial" w:cs="Arial"/>
          <w:sz w:val="24"/>
          <w:szCs w:val="24"/>
        </w:rPr>
        <w:t xml:space="preserve"> Matrix — strategic growth options</w:t>
      </w:r>
    </w:p>
    <w:p w:rsidR="001B5210" w:rsidRDefault="001B5210" w:rsidP="00AF4B2A">
      <w:pPr>
        <w:spacing w:after="100" w:line="360" w:lineRule="auto"/>
        <w:jc w:val="both"/>
      </w:pPr>
      <w:r>
        <w:rPr>
          <w:rFonts w:ascii="Arial" w:eastAsia="Arial" w:hAnsi="Arial" w:cs="Arial"/>
          <w:sz w:val="24"/>
          <w:szCs w:val="24"/>
        </w:rPr>
        <w:t>Table 14: Estimated start-up costs (illustrative)</w:t>
      </w:r>
    </w:p>
    <w:p w:rsidR="001B5210" w:rsidRDefault="001B5210" w:rsidP="00AF4B2A">
      <w:pPr>
        <w:spacing w:after="100" w:line="360" w:lineRule="auto"/>
        <w:jc w:val="both"/>
      </w:pPr>
      <w:r>
        <w:rPr>
          <w:rFonts w:ascii="Arial" w:eastAsia="Arial" w:hAnsi="Arial" w:cs="Arial"/>
          <w:sz w:val="24"/>
          <w:szCs w:val="24"/>
        </w:rPr>
        <w:t>Table 15: Sources of funding (illustrative)</w:t>
      </w:r>
    </w:p>
    <w:p w:rsidR="000419EE" w:rsidRPr="00A0798A" w:rsidRDefault="001B5210"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Pr>
          <w:rFonts w:ascii="Arial" w:eastAsia="Arial" w:hAnsi="Arial" w:cs="Arial"/>
          <w:sz w:val="24"/>
          <w:szCs w:val="24"/>
        </w:rPr>
        <w:t>Table 16: 12-month cash flow statement (illustrative)</w:t>
      </w:r>
    </w:p>
    <w:p w:rsidR="000419EE" w:rsidRPr="00A0798A" w:rsidRDefault="000419EE"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227A2D" w:rsidRPr="006E1197" w:rsidRDefault="000419EE" w:rsidP="006E1197">
      <w:pPr>
        <w:spacing w:line="360" w:lineRule="auto"/>
        <w:jc w:val="both"/>
        <w:rPr>
          <w:b/>
          <w:sz w:val="36"/>
          <w:szCs w:val="36"/>
        </w:rPr>
      </w:pPr>
      <w:r w:rsidRPr="00A0798A">
        <w:rPr>
          <w:rFonts w:ascii="Arial" w:eastAsia="Arial" w:hAnsi="Arial" w:cs="Arial"/>
          <w:b/>
          <w:bCs/>
          <w:sz w:val="36"/>
          <w:szCs w:val="36"/>
        </w:rPr>
        <w:br w:type="page"/>
      </w:r>
      <w:r w:rsidR="00227A2D" w:rsidRPr="006E1197">
        <w:rPr>
          <w:rFonts w:ascii="Arial" w:eastAsia="Arial" w:hAnsi="Arial" w:cs="Arial"/>
          <w:b/>
          <w:sz w:val="36"/>
          <w:szCs w:val="36"/>
        </w:rPr>
        <w:lastRenderedPageBreak/>
        <w:t>1. Executive Summary</w:t>
      </w:r>
    </w:p>
    <w:p w:rsidR="00E94238" w:rsidRPr="00E94238" w:rsidRDefault="00E94238" w:rsidP="00E94238">
      <w:pPr>
        <w:pStyle w:val="NormalWeb"/>
        <w:spacing w:line="360" w:lineRule="auto"/>
        <w:jc w:val="both"/>
        <w:rPr>
          <w:rFonts w:ascii="Arial" w:hAnsi="Arial" w:cs="Arial"/>
        </w:rPr>
      </w:pPr>
      <w:r w:rsidRPr="00E94238">
        <w:rPr>
          <w:rFonts w:ascii="Arial" w:hAnsi="Arial" w:cs="Arial"/>
        </w:rPr>
        <w:t xml:space="preserve">This Business Development Proposal has been prepared to provide evidence for establishment of a new independent Indian restaurant within the region, called Taste of India, as a Private Limited Company in central Leicester. New business to fill a quantifiable gap in the city's Indian food offering: there are high-end fine dining Indian restaurants in the city (e.g. Chutney Ivy) and there are mid-market budget/retail curry-houses in the city (e.g. Spice </w:t>
      </w:r>
      <w:proofErr w:type="spellStart"/>
      <w:r w:rsidRPr="00E94238">
        <w:rPr>
          <w:rFonts w:ascii="Arial" w:hAnsi="Arial" w:cs="Arial"/>
        </w:rPr>
        <w:t>Bazzar</w:t>
      </w:r>
      <w:proofErr w:type="spellEnd"/>
      <w:r w:rsidRPr="00E94238">
        <w:rPr>
          <w:rFonts w:ascii="Arial" w:hAnsi="Arial" w:cs="Arial"/>
        </w:rPr>
        <w:t>), but there is no other restaurant in the city that is simultaneously authentic, genuinely multi-regional and priced within the reach of a typical budget.</w:t>
      </w:r>
    </w:p>
    <w:p w:rsidR="00E94238" w:rsidRPr="00E94238" w:rsidRDefault="00E94238" w:rsidP="00E94238">
      <w:pPr>
        <w:pStyle w:val="NormalWeb"/>
        <w:spacing w:line="360" w:lineRule="auto"/>
        <w:jc w:val="both"/>
        <w:rPr>
          <w:rFonts w:ascii="Arial" w:hAnsi="Arial" w:cs="Arial"/>
        </w:rPr>
      </w:pPr>
      <w:r w:rsidRPr="00E94238">
        <w:rPr>
          <w:rFonts w:ascii="Arial" w:hAnsi="Arial" w:cs="Arial"/>
        </w:rPr>
        <w:t xml:space="preserve">Taste of India says it's filling this gap with a collection of ‘seven unique culinary styles’, such as Keralan, Gujarati and Punjabi, also featuring </w:t>
      </w:r>
      <w:proofErr w:type="spellStart"/>
      <w:r w:rsidRPr="00E94238">
        <w:rPr>
          <w:rFonts w:ascii="Arial" w:hAnsi="Arial" w:cs="Arial"/>
        </w:rPr>
        <w:t>specialised</w:t>
      </w:r>
      <w:proofErr w:type="spellEnd"/>
      <w:r w:rsidRPr="00E94238">
        <w:rPr>
          <w:rFonts w:ascii="Arial" w:hAnsi="Arial" w:cs="Arial"/>
        </w:rPr>
        <w:t xml:space="preserve"> vegetarian and halal selections, while the prices are based on the market, in the region of £15–20, with a clear focus on the mid-range diner between the fine-dining and budget-curry-house extremes in the city. The activities include dine-in, </w:t>
      </w:r>
      <w:proofErr w:type="spellStart"/>
      <w:r w:rsidRPr="00E94238">
        <w:rPr>
          <w:rFonts w:ascii="Arial" w:hAnsi="Arial" w:cs="Arial"/>
        </w:rPr>
        <w:t>take out</w:t>
      </w:r>
      <w:proofErr w:type="spellEnd"/>
      <w:r w:rsidRPr="00E94238">
        <w:rPr>
          <w:rFonts w:ascii="Arial" w:hAnsi="Arial" w:cs="Arial"/>
        </w:rPr>
        <w:t xml:space="preserve"> and delivery, along with event and festival catering as a secondary revenue source.</w:t>
      </w:r>
    </w:p>
    <w:p w:rsidR="00E94238" w:rsidRPr="00E94238" w:rsidRDefault="00E94238" w:rsidP="00E94238">
      <w:pPr>
        <w:pStyle w:val="NormalWeb"/>
        <w:spacing w:line="360" w:lineRule="auto"/>
        <w:jc w:val="both"/>
        <w:rPr>
          <w:rFonts w:ascii="Arial" w:hAnsi="Arial" w:cs="Arial"/>
        </w:rPr>
      </w:pPr>
      <w:r w:rsidRPr="00E94238">
        <w:rPr>
          <w:rFonts w:ascii="Arial" w:hAnsi="Arial" w:cs="Arial"/>
        </w:rPr>
        <w:t xml:space="preserve">The target market comprises 5 major groups; South Asians (a </w:t>
      </w:r>
      <w:proofErr w:type="spellStart"/>
      <w:r w:rsidRPr="00E94238">
        <w:rPr>
          <w:rFonts w:ascii="Arial" w:hAnsi="Arial" w:cs="Arial"/>
        </w:rPr>
        <w:t>well established</w:t>
      </w:r>
      <w:proofErr w:type="spellEnd"/>
      <w:r w:rsidRPr="00E94238">
        <w:rPr>
          <w:rFonts w:ascii="Arial" w:hAnsi="Arial" w:cs="Arial"/>
        </w:rPr>
        <w:t xml:space="preserve"> </w:t>
      </w:r>
      <w:proofErr w:type="spellStart"/>
      <w:r w:rsidRPr="00E94238">
        <w:rPr>
          <w:rFonts w:ascii="Arial" w:hAnsi="Arial" w:cs="Arial"/>
        </w:rPr>
        <w:t>diasporean</w:t>
      </w:r>
      <w:proofErr w:type="spellEnd"/>
      <w:r w:rsidRPr="00E94238">
        <w:rPr>
          <w:rFonts w:ascii="Arial" w:hAnsi="Arial" w:cs="Arial"/>
        </w:rPr>
        <w:t xml:space="preserve"> community in Leicester), vegetarians and vegans (28,794 in Leicester and 2,552,072 in the UK), college students and younger professionals (Leicester has a population of ~+60,000 students), local family groups and domestic and international tourists. The UK ethnic food market is expected to expand at a compound 8.4% per annum, rising from $3.12 billion in 2024 to $6.23 billion in 2032 (Credence Research, 2025) while the UK eating-out market is projected to grow by 3.94% annually from $92.3 billion in 2024 to $121.0 billion in 2030 (Lumina Intelligence, 2026), although this expansion appears to be inflation-led and driven by larger branded operators (Lumina Intelligence, 2026).Leicester and Leicestershire's visitor economy reached £2.676 billion in 2025, up 4.62% year-on-year (Leicestershire County Council, 2026).</w:t>
      </w:r>
    </w:p>
    <w:p w:rsidR="00E94238" w:rsidRPr="00E94238" w:rsidRDefault="00E94238" w:rsidP="00E94238">
      <w:pPr>
        <w:pStyle w:val="NormalWeb"/>
        <w:spacing w:line="360" w:lineRule="auto"/>
        <w:jc w:val="both"/>
        <w:rPr>
          <w:rFonts w:ascii="Arial" w:hAnsi="Arial" w:cs="Arial"/>
        </w:rPr>
      </w:pPr>
      <w:r w:rsidRPr="00E94238">
        <w:rPr>
          <w:rFonts w:ascii="Arial" w:hAnsi="Arial" w:cs="Arial"/>
        </w:rPr>
        <w:t xml:space="preserve">The marketing and sales focus will be to ensure that Taste of India becomes the student focused, regional dining outlet in Leicester, initially by building trust, and making the acquisition go through low-cost channels such as community word of mouth, local press and ingredient review platform visibility, and later, retaining customers through a tailored digital marketing strategy for the student and young-professional market and a loyalty-focused strategy. </w:t>
      </w:r>
      <w:proofErr w:type="spellStart"/>
      <w:r w:rsidRPr="00E94238">
        <w:rPr>
          <w:rFonts w:ascii="Arial" w:hAnsi="Arial" w:cs="Arial"/>
        </w:rPr>
        <w:t>Delegationally</w:t>
      </w:r>
      <w:proofErr w:type="spellEnd"/>
      <w:r w:rsidRPr="00E94238">
        <w:rPr>
          <w:rFonts w:ascii="Arial" w:hAnsi="Arial" w:cs="Arial"/>
        </w:rPr>
        <w:t xml:space="preserve"> and operationally, the business will see its life over an 8-month period, </w:t>
      </w:r>
      <w:r w:rsidRPr="00E94238">
        <w:rPr>
          <w:rFonts w:ascii="Arial" w:hAnsi="Arial" w:cs="Arial"/>
        </w:rPr>
        <w:lastRenderedPageBreak/>
        <w:t>with a diverse supplier integration that starts with a national wholesale supplier, and then goes on to include ethnic-specialist and local suppliers—this is to ensure against being vulnerable to single-source supply. While the number of staff will gradually increase, staffing will be only around 8–9 employees during the first month, and will reach 14–15 employees by month 12, the most crucial human resource turnkey is access to chefs with genuine regional culinary training, which this proposal has defined as the basis of the business and most critical dependency risk.</w:t>
      </w:r>
    </w:p>
    <w:p w:rsidR="00E94238" w:rsidRPr="00E94238" w:rsidRDefault="00E94238" w:rsidP="00E94238">
      <w:pPr>
        <w:pStyle w:val="NormalWeb"/>
        <w:spacing w:line="360" w:lineRule="auto"/>
        <w:jc w:val="both"/>
        <w:rPr>
          <w:rFonts w:ascii="Arial" w:hAnsi="Arial" w:cs="Arial"/>
        </w:rPr>
      </w:pPr>
      <w:r w:rsidRPr="00E94238">
        <w:rPr>
          <w:rFonts w:ascii="Arial" w:hAnsi="Arial" w:cs="Arial"/>
        </w:rPr>
        <w:t xml:space="preserve">The consistent factor that the five models of business analysis revealed was that the overall demand case for Taste of India is relatively </w:t>
      </w:r>
      <w:proofErr w:type="gramStart"/>
      <w:r w:rsidRPr="00E94238">
        <w:rPr>
          <w:rFonts w:ascii="Arial" w:hAnsi="Arial" w:cs="Arial"/>
        </w:rPr>
        <w:t>more stronger</w:t>
      </w:r>
      <w:proofErr w:type="gramEnd"/>
      <w:r w:rsidRPr="00E94238">
        <w:rPr>
          <w:rFonts w:ascii="Arial" w:hAnsi="Arial" w:cs="Arial"/>
        </w:rPr>
        <w:t>; while, the competitive environment and the economic environment are structurally tough with high buyer power and high threat of substitutes, as well as the margin pressure in the industry. That makes the point that viability doesn't relate to the necessity of having enough customer demand, it's the ability of the business to ensure that that opening attribute is preserved and its efforts to deliver that attribute are constantly met by competing businesses. Market penetration in Year 1 and product development (menu rotations, event catering) as secondary, is recommended, and site expansion was reserved until the establishment is demonstrated viable at the targeted site.</w:t>
      </w:r>
    </w:p>
    <w:p w:rsidR="00E94238" w:rsidRPr="00E94238" w:rsidRDefault="00E94238" w:rsidP="00E94238">
      <w:pPr>
        <w:pStyle w:val="NormalWeb"/>
        <w:spacing w:line="360" w:lineRule="auto"/>
        <w:jc w:val="both"/>
        <w:rPr>
          <w:rFonts w:ascii="Arial" w:hAnsi="Arial" w:cs="Arial"/>
        </w:rPr>
      </w:pPr>
      <w:r w:rsidRPr="00E94238">
        <w:rPr>
          <w:rFonts w:ascii="Arial" w:hAnsi="Arial" w:cs="Arial"/>
        </w:rPr>
        <w:t xml:space="preserve">The illustrative financial </w:t>
      </w:r>
      <w:proofErr w:type="gramStart"/>
      <w:r w:rsidRPr="00E94238">
        <w:rPr>
          <w:rFonts w:ascii="Arial" w:hAnsi="Arial" w:cs="Arial"/>
        </w:rPr>
        <w:t>12 month</w:t>
      </w:r>
      <w:proofErr w:type="gramEnd"/>
      <w:r w:rsidRPr="00E94238">
        <w:rPr>
          <w:rFonts w:ascii="Arial" w:hAnsi="Arial" w:cs="Arial"/>
        </w:rPr>
        <w:t xml:space="preserve"> model assumes that £106,000 of start-up funding (both personal, commercial loan and private investments) enables a reasonable trajectory of monthly positive cash flow by month 3, and cumulative positive cash flow by month 5 (these are highlighted as assumptions and not backed with real suppliers quotes and financing terms).</w:t>
      </w:r>
    </w:p>
    <w:p w:rsidR="00227A2D" w:rsidRPr="00E94238" w:rsidRDefault="00E94238" w:rsidP="00E94238">
      <w:pPr>
        <w:pStyle w:val="NormalWeb"/>
        <w:spacing w:line="360" w:lineRule="auto"/>
        <w:jc w:val="both"/>
        <w:rPr>
          <w:rFonts w:ascii="Arial" w:hAnsi="Arial" w:cs="Arial"/>
        </w:rPr>
      </w:pPr>
      <w:r w:rsidRPr="00E94238">
        <w:rPr>
          <w:rFonts w:ascii="Arial" w:hAnsi="Arial" w:cs="Arial"/>
        </w:rPr>
        <w:t>Overall conclusion: evidences collected from all the activities of the assigned proposal supports the concept of Taste of India as a basic idea which is very realistic and viable for business. Considering that these activities are necessary to finalize full launch commitment and sign a lease, they conclude that a short low-cost validation phase (critical reflection, Section 10) is required prior to this and that the financial assumptions could be strengthened with actual quotes.</w:t>
      </w:r>
    </w:p>
    <w:p w:rsidR="00227A2D" w:rsidRDefault="00227A2D" w:rsidP="00AF4B2A">
      <w:pPr>
        <w:spacing w:before="100" w:beforeAutospacing="1" w:after="100" w:afterAutospacing="1" w:line="360" w:lineRule="auto"/>
        <w:jc w:val="both"/>
        <w:outlineLvl w:val="1"/>
      </w:pPr>
    </w:p>
    <w:p w:rsidR="00CC0725" w:rsidRDefault="00CC0725"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3F324F" w:rsidRPr="003F324F" w:rsidRDefault="003F324F"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3F324F">
        <w:rPr>
          <w:rFonts w:ascii="Arial" w:eastAsia="Arial" w:hAnsi="Arial" w:cs="Arial"/>
          <w:b/>
          <w:bCs/>
          <w:sz w:val="36"/>
          <w:szCs w:val="36"/>
        </w:rPr>
        <w:lastRenderedPageBreak/>
        <w:t>2. Company Description</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2.1 Business Name and Concept</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Taste of India is a proposed independent Indian restaurant to be established in central Leicester. The business idea responds to a clear opportunity within the city's hospitality sector: while Leicester is home to a dense concentration of South Asian restaurants, the majority fall into one of two categories — high-end, contemporary fine dining, or the generic "curry house" format offering a </w:t>
      </w:r>
      <w:proofErr w:type="spellStart"/>
      <w:r w:rsidRPr="003F324F">
        <w:rPr>
          <w:rFonts w:ascii="Arial" w:eastAsia="Arial" w:hAnsi="Arial" w:cs="Arial"/>
          <w:sz w:val="24"/>
          <w:szCs w:val="24"/>
        </w:rPr>
        <w:t>standardised</w:t>
      </w:r>
      <w:proofErr w:type="spellEnd"/>
      <w:r w:rsidRPr="003F324F">
        <w:rPr>
          <w:rFonts w:ascii="Arial" w:eastAsia="Arial" w:hAnsi="Arial" w:cs="Arial"/>
          <w:sz w:val="24"/>
          <w:szCs w:val="24"/>
        </w:rPr>
        <w:t xml:space="preserve">, </w:t>
      </w:r>
      <w:proofErr w:type="gramStart"/>
      <w:r w:rsidRPr="003F324F">
        <w:rPr>
          <w:rFonts w:ascii="Arial" w:eastAsia="Arial" w:hAnsi="Arial" w:cs="Arial"/>
          <w:sz w:val="24"/>
          <w:szCs w:val="24"/>
        </w:rPr>
        <w:t>pan</w:t>
      </w:r>
      <w:proofErr w:type="gramEnd"/>
      <w:r w:rsidRPr="003F324F">
        <w:rPr>
          <w:rFonts w:ascii="Arial" w:eastAsia="Arial" w:hAnsi="Arial" w:cs="Arial"/>
          <w:sz w:val="24"/>
          <w:szCs w:val="24"/>
        </w:rPr>
        <w:t xml:space="preserve">-Indian menu. Taste of India will occupy the underserved space between these two models, offering </w:t>
      </w:r>
      <w:r w:rsidRPr="00A0798A">
        <w:rPr>
          <w:rFonts w:ascii="Arial" w:eastAsia="Arial" w:hAnsi="Arial" w:cs="Arial"/>
          <w:b/>
          <w:bCs/>
          <w:sz w:val="24"/>
          <w:szCs w:val="24"/>
        </w:rPr>
        <w:t>regional Indian cuisine</w:t>
      </w:r>
      <w:r w:rsidRPr="003F324F">
        <w:rPr>
          <w:rFonts w:ascii="Arial" w:eastAsia="Arial" w:hAnsi="Arial" w:cs="Arial"/>
          <w:sz w:val="24"/>
          <w:szCs w:val="24"/>
        </w:rPr>
        <w:t xml:space="preserve"> (including Keralan, Gujarati and Punjabi dishes) prepared by chefs with direct culinary heritage in those regions, at accessible, mid-market prices.</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2.2 Background of the Owner</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The business will be founded and run by the author of this proposal, an MBA candidate with a background in [hospitality/retail/business management]. The founder's motivation for the venture stems from personal familiarity with Leicester's South Asian community and an identified gap between the dining experiences currently available and genuine demand for regional authenticity. Where relevant, the founder intends to draw on family or community connections to source native regional chefs, an approach that directly underpins the business's core differentiation strategy.</w:t>
      </w:r>
      <w:r w:rsidRPr="00A04826">
        <w:rPr>
          <w:rFonts w:ascii="Arial" w:eastAsia="Arial" w:hAnsi="Arial" w:cs="Arial"/>
          <w:sz w:val="24"/>
        </w:rPr>
        <w:t xml:space="preserve"> This reliance on family and community networks reflects a wider pattern identified in UK research on ethnic-minority business formation, where new entrants often draw on close social and family ties, a dynamic described as ‘mixed embeddedness’, to access resources, </w:t>
      </w:r>
      <w:proofErr w:type="spellStart"/>
      <w:r w:rsidRPr="00A04826">
        <w:rPr>
          <w:rFonts w:ascii="Arial" w:eastAsia="Arial" w:hAnsi="Arial" w:cs="Arial"/>
          <w:sz w:val="24"/>
        </w:rPr>
        <w:t>labour</w:t>
      </w:r>
      <w:proofErr w:type="spellEnd"/>
      <w:r w:rsidRPr="00A04826">
        <w:rPr>
          <w:rFonts w:ascii="Arial" w:eastAsia="Arial" w:hAnsi="Arial" w:cs="Arial"/>
          <w:sz w:val="24"/>
        </w:rPr>
        <w:t xml:space="preserve"> and legitimacy not otherwise readily available to a new business (Ram and Jones, 2008).</w:t>
      </w:r>
    </w:p>
    <w:p w:rsidR="00A04826" w:rsidRDefault="00A04826" w:rsidP="00AF4B2A">
      <w:pPr>
        <w:spacing w:before="100" w:beforeAutospacing="1" w:after="100" w:afterAutospacing="1" w:line="360" w:lineRule="auto"/>
        <w:jc w:val="both"/>
        <w:outlineLvl w:val="2"/>
        <w:rPr>
          <w:rFonts w:ascii="Arial" w:eastAsia="Arial" w:hAnsi="Arial" w:cs="Arial"/>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2.3 Product and Service Offering</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Taste of India will offer a dine-in restaurant service complemented by takeaway and delivery options, in line with the continued growth of the UK food delivery market. The menu will rotate and showcase dishes from multiple Indian regions rather than a single </w:t>
      </w:r>
      <w:proofErr w:type="spellStart"/>
      <w:r w:rsidR="00E67BA3" w:rsidRPr="00A0798A">
        <w:rPr>
          <w:rFonts w:ascii="Arial" w:eastAsia="Arial" w:hAnsi="Arial" w:cs="Arial"/>
          <w:sz w:val="24"/>
          <w:szCs w:val="24"/>
        </w:rPr>
        <w:t>homogenised</w:t>
      </w:r>
      <w:proofErr w:type="spellEnd"/>
      <w:r w:rsidRPr="003F324F">
        <w:rPr>
          <w:rFonts w:ascii="Arial" w:eastAsia="Arial" w:hAnsi="Arial" w:cs="Arial"/>
          <w:sz w:val="24"/>
          <w:szCs w:val="24"/>
        </w:rPr>
        <w:t xml:space="preserve"> </w:t>
      </w:r>
      <w:r w:rsidRPr="003F324F">
        <w:rPr>
          <w:rFonts w:ascii="Arial" w:eastAsia="Arial" w:hAnsi="Arial" w:cs="Arial"/>
          <w:sz w:val="24"/>
          <w:szCs w:val="24"/>
        </w:rPr>
        <w:lastRenderedPageBreak/>
        <w:t>"Indian" menu, and will include dedicated vegetarian and halal sections to reflect the dietary needs of Leicester's Hindu, Jain</w:t>
      </w:r>
      <w:r w:rsidR="00E67BA3" w:rsidRPr="00A0798A">
        <w:rPr>
          <w:rFonts w:ascii="Arial" w:eastAsia="Arial" w:hAnsi="Arial" w:cs="Arial"/>
          <w:sz w:val="24"/>
          <w:szCs w:val="24"/>
        </w:rPr>
        <w:t xml:space="preserve">, </w:t>
      </w:r>
      <w:proofErr w:type="spellStart"/>
      <w:r w:rsidR="00E67BA3" w:rsidRPr="00A0798A">
        <w:rPr>
          <w:rFonts w:ascii="Arial" w:eastAsia="Arial" w:hAnsi="Arial" w:cs="Arial"/>
          <w:sz w:val="24"/>
          <w:szCs w:val="24"/>
        </w:rPr>
        <w:t>christain</w:t>
      </w:r>
      <w:proofErr w:type="spellEnd"/>
      <w:r w:rsidRPr="003F324F">
        <w:rPr>
          <w:rFonts w:ascii="Arial" w:eastAsia="Arial" w:hAnsi="Arial" w:cs="Arial"/>
          <w:sz w:val="24"/>
          <w:szCs w:val="24"/>
        </w:rPr>
        <w:t xml:space="preserve"> and Muslim communities. The dining environment will incorporate design and cultural elements (décor, music, table presentation) intended to communicate regional authenticity as much as the food itself.</w:t>
      </w:r>
    </w:p>
    <w:p w:rsidR="00A04826" w:rsidRDefault="00A04826" w:rsidP="00AF4B2A">
      <w:pPr>
        <w:spacing w:before="100" w:beforeAutospacing="1" w:after="100" w:afterAutospacing="1" w:line="360" w:lineRule="auto"/>
        <w:jc w:val="both"/>
        <w:outlineLvl w:val="2"/>
        <w:rPr>
          <w:rFonts w:ascii="Arial" w:eastAsia="Arial" w:hAnsi="Arial" w:cs="Arial"/>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2.4 Customer Problem and Market Gap</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Leicester's South Asian population is substantial and longstanding, with the city </w:t>
      </w:r>
      <w:proofErr w:type="spellStart"/>
      <w:r w:rsidRPr="003F324F">
        <w:rPr>
          <w:rFonts w:ascii="Arial" w:eastAsia="Arial" w:hAnsi="Arial" w:cs="Arial"/>
          <w:sz w:val="24"/>
          <w:szCs w:val="24"/>
        </w:rPr>
        <w:t>recognised</w:t>
      </w:r>
      <w:proofErr w:type="spellEnd"/>
      <w:r w:rsidRPr="003F324F">
        <w:rPr>
          <w:rFonts w:ascii="Arial" w:eastAsia="Arial" w:hAnsi="Arial" w:cs="Arial"/>
          <w:sz w:val="24"/>
          <w:szCs w:val="24"/>
        </w:rPr>
        <w:t xml:space="preserve"> informally as the UK's "curry capital." However, benchmarking against existing competitors (detailed further in Section 3 and Section 8) shows that fine-dining venues such as Chutney Ivy price out casual and repeat custom, while budget curry houses such as Spice </w:t>
      </w:r>
      <w:proofErr w:type="spellStart"/>
      <w:r w:rsidRPr="003F324F">
        <w:rPr>
          <w:rFonts w:ascii="Arial" w:eastAsia="Arial" w:hAnsi="Arial" w:cs="Arial"/>
          <w:sz w:val="24"/>
          <w:szCs w:val="24"/>
        </w:rPr>
        <w:t>Bazzar</w:t>
      </w:r>
      <w:proofErr w:type="spellEnd"/>
      <w:r w:rsidRPr="003F324F">
        <w:rPr>
          <w:rFonts w:ascii="Arial" w:eastAsia="Arial" w:hAnsi="Arial" w:cs="Arial"/>
          <w:sz w:val="24"/>
          <w:szCs w:val="24"/>
        </w:rPr>
        <w:t xml:space="preserve"> rarely differentiate by region or </w:t>
      </w:r>
      <w:proofErr w:type="spellStart"/>
      <w:r w:rsidRPr="003F324F">
        <w:rPr>
          <w:rFonts w:ascii="Arial" w:eastAsia="Arial" w:hAnsi="Arial" w:cs="Arial"/>
          <w:sz w:val="24"/>
          <w:szCs w:val="24"/>
        </w:rPr>
        <w:t>emphasise</w:t>
      </w:r>
      <w:proofErr w:type="spellEnd"/>
      <w:r w:rsidRPr="003F324F">
        <w:rPr>
          <w:rFonts w:ascii="Arial" w:eastAsia="Arial" w:hAnsi="Arial" w:cs="Arial"/>
          <w:sz w:val="24"/>
          <w:szCs w:val="24"/>
        </w:rPr>
        <w:t xml:space="preserve"> ingredient provenance. This leaves a gap for a mid-priced restaurant that offers genuine regional variety without the premium price tag of fine dining — the gap Taste of India is designed to fill.</w:t>
      </w:r>
    </w:p>
    <w:p w:rsidR="00A0798A" w:rsidRDefault="00A0798A"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2.5 Mission and Vision</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Mission:</w:t>
      </w:r>
      <w:r w:rsidRPr="003F324F">
        <w:rPr>
          <w:rFonts w:ascii="Arial" w:eastAsia="Arial" w:hAnsi="Arial" w:cs="Arial"/>
          <w:sz w:val="24"/>
          <w:szCs w:val="24"/>
        </w:rPr>
        <w:t xml:space="preserve"> To bring the authentic diversity of India's regional cuisines to Leicester through fresh, high-quality ingredients and culturally immersive dining, at prices accessible to the wider community.</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Vision:</w:t>
      </w:r>
      <w:r w:rsidRPr="003F324F">
        <w:rPr>
          <w:rFonts w:ascii="Arial" w:eastAsia="Arial" w:hAnsi="Arial" w:cs="Arial"/>
          <w:sz w:val="24"/>
          <w:szCs w:val="24"/>
        </w:rPr>
        <w:t xml:space="preserve"> To become Leicester's most </w:t>
      </w:r>
      <w:proofErr w:type="spellStart"/>
      <w:r w:rsidRPr="003F324F">
        <w:rPr>
          <w:rFonts w:ascii="Arial" w:eastAsia="Arial" w:hAnsi="Arial" w:cs="Arial"/>
          <w:sz w:val="24"/>
          <w:szCs w:val="24"/>
        </w:rPr>
        <w:t>recognised</w:t>
      </w:r>
      <w:proofErr w:type="spellEnd"/>
      <w:r w:rsidRPr="003F324F">
        <w:rPr>
          <w:rFonts w:ascii="Arial" w:eastAsia="Arial" w:hAnsi="Arial" w:cs="Arial"/>
          <w:sz w:val="24"/>
          <w:szCs w:val="24"/>
        </w:rPr>
        <w:t xml:space="preserve"> destination for regional Indian dining, celebrated for authenticity, community connection and consistent quality, with the potential to expand within the East Midlands.</w:t>
      </w:r>
    </w:p>
    <w:p w:rsidR="00A04826" w:rsidRDefault="00A04826" w:rsidP="00AF4B2A">
      <w:pPr>
        <w:spacing w:before="100" w:beforeAutospacing="1" w:after="100" w:afterAutospacing="1" w:line="360" w:lineRule="auto"/>
        <w:jc w:val="both"/>
        <w:outlineLvl w:val="2"/>
        <w:rPr>
          <w:rFonts w:ascii="Arial" w:eastAsia="Arial" w:hAnsi="Arial" w:cs="Arial"/>
          <w:b/>
          <w:bCs/>
          <w:sz w:val="27"/>
          <w:szCs w:val="27"/>
        </w:rPr>
      </w:pPr>
    </w:p>
    <w:p w:rsidR="00A04826" w:rsidRDefault="00A04826" w:rsidP="00AF4B2A">
      <w:pPr>
        <w:spacing w:before="100" w:beforeAutospacing="1" w:after="100" w:afterAutospacing="1" w:line="360" w:lineRule="auto"/>
        <w:jc w:val="both"/>
        <w:outlineLvl w:val="2"/>
        <w:rPr>
          <w:rFonts w:ascii="Arial" w:eastAsia="Arial" w:hAnsi="Arial" w:cs="Arial"/>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lastRenderedPageBreak/>
        <w:t>2.6 Legal and Ownership Structure</w:t>
      </w:r>
    </w:p>
    <w:p w:rsidR="003F324F" w:rsidRPr="003F324F" w:rsidRDefault="00B7517F" w:rsidP="00AF4B2A">
      <w:pPr>
        <w:spacing w:before="100" w:beforeAutospacing="1" w:after="100" w:afterAutospacing="1" w:line="360" w:lineRule="auto"/>
        <w:jc w:val="both"/>
        <w:rPr>
          <w:rFonts w:ascii="Times New Roman" w:eastAsia="Times New Roman" w:hAnsi="Times New Roman" w:cs="Times New Roman"/>
          <w:sz w:val="24"/>
          <w:szCs w:val="24"/>
        </w:rPr>
      </w:pPr>
      <w:r>
        <w:rPr>
          <w:rFonts w:ascii="Arial" w:eastAsia="Arial" w:hAnsi="Arial" w:cs="Arial"/>
          <w:b/>
          <w:bCs/>
          <w:sz w:val="24"/>
          <w:szCs w:val="24"/>
        </w:rPr>
        <w:t>(</w:t>
      </w:r>
      <w:r w:rsidR="003F324F" w:rsidRPr="00A0798A">
        <w:rPr>
          <w:rFonts w:ascii="Arial" w:eastAsia="Arial" w:hAnsi="Arial" w:cs="Arial"/>
          <w:b/>
          <w:bCs/>
          <w:sz w:val="24"/>
          <w:szCs w:val="24"/>
        </w:rPr>
        <w:t>Assumption</w:t>
      </w:r>
      <w:r>
        <w:rPr>
          <w:rFonts w:ascii="Arial" w:eastAsia="Arial" w:hAnsi="Arial" w:cs="Arial"/>
          <w:b/>
          <w:bCs/>
          <w:sz w:val="24"/>
          <w:szCs w:val="24"/>
        </w:rPr>
        <w:t>)</w:t>
      </w:r>
      <w:r w:rsidR="003F324F" w:rsidRPr="003F324F">
        <w:rPr>
          <w:rFonts w:ascii="Arial" w:eastAsia="Arial" w:hAnsi="Arial" w:cs="Arial"/>
          <w:sz w:val="24"/>
          <w:szCs w:val="24"/>
        </w:rPr>
        <w:t xml:space="preserve"> Taste of India will be registered as a </w:t>
      </w:r>
      <w:r w:rsidR="003F324F" w:rsidRPr="00A0798A">
        <w:rPr>
          <w:rFonts w:ascii="Arial" w:eastAsia="Arial" w:hAnsi="Arial" w:cs="Arial"/>
          <w:b/>
          <w:bCs/>
          <w:sz w:val="24"/>
          <w:szCs w:val="24"/>
        </w:rPr>
        <w:t>private limited company (Ltd)</w:t>
      </w:r>
      <w:r w:rsidR="003F324F" w:rsidRPr="003F324F">
        <w:rPr>
          <w:rFonts w:ascii="Arial" w:eastAsia="Arial" w:hAnsi="Arial" w:cs="Arial"/>
          <w:sz w:val="24"/>
          <w:szCs w:val="24"/>
        </w:rPr>
        <w:t xml:space="preserve"> in the UK, providing the founder with limited liability protection and a credible structure for engaging suppliers, landlords and potential lenders. The founder will initially hold full ownership as sole director and shareholder, with the option to bring in a minority investor or business partner at a later stage should additional capital be required (see Section 9, Financial Plan). This structure was chosen over a sole trader model specifically to limit personal financial exposure given the capital-intensive nature of restaurant fit-out and equipment costs.</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2.7 Location and Operating Model</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The restaurant will be located in central Leicester </w:t>
      </w:r>
      <w:r w:rsidR="00B7517F">
        <w:rPr>
          <w:rFonts w:ascii="Arial" w:eastAsia="Arial" w:hAnsi="Arial" w:cs="Arial"/>
          <w:b/>
          <w:bCs/>
          <w:sz w:val="24"/>
          <w:szCs w:val="24"/>
        </w:rPr>
        <w:t>(</w:t>
      </w:r>
      <w:r w:rsidRPr="00A0798A">
        <w:rPr>
          <w:rFonts w:ascii="Arial" w:eastAsia="Arial" w:hAnsi="Arial" w:cs="Arial"/>
          <w:b/>
          <w:bCs/>
          <w:sz w:val="24"/>
          <w:szCs w:val="24"/>
        </w:rPr>
        <w:t>specific site to be confirmed — e.g. near the Golden Mile/Gr</w:t>
      </w:r>
      <w:r w:rsidR="00B7517F">
        <w:rPr>
          <w:rFonts w:ascii="Arial" w:eastAsia="Arial" w:hAnsi="Arial" w:cs="Arial"/>
          <w:b/>
          <w:bCs/>
          <w:sz w:val="24"/>
          <w:szCs w:val="24"/>
        </w:rPr>
        <w:t xml:space="preserve">anby Street area or city </w:t>
      </w:r>
      <w:proofErr w:type="spellStart"/>
      <w:r w:rsidR="00B7517F">
        <w:rPr>
          <w:rFonts w:ascii="Arial" w:eastAsia="Arial" w:hAnsi="Arial" w:cs="Arial"/>
          <w:b/>
          <w:bCs/>
          <w:sz w:val="24"/>
          <w:szCs w:val="24"/>
        </w:rPr>
        <w:t>centre</w:t>
      </w:r>
      <w:proofErr w:type="spellEnd"/>
      <w:r w:rsidR="00B7517F">
        <w:rPr>
          <w:rFonts w:ascii="Arial" w:eastAsia="Arial" w:hAnsi="Arial" w:cs="Arial"/>
          <w:b/>
          <w:bCs/>
          <w:sz w:val="24"/>
          <w:szCs w:val="24"/>
        </w:rPr>
        <w:t>)</w:t>
      </w:r>
      <w:r w:rsidRPr="003F324F">
        <w:rPr>
          <w:rFonts w:ascii="Arial" w:eastAsia="Arial" w:hAnsi="Arial" w:cs="Arial"/>
          <w:sz w:val="24"/>
          <w:szCs w:val="24"/>
        </w:rPr>
        <w:t xml:space="preserve">, chosen for its proximity to existing South Asian retail and dining clusters, footfall from Leicester's student population (approximately 60,000 across two universities), and visibility to the city's substantial annual visitor numbers. The operating model combines a traditional dine-in restaurant with takeaway and third-party delivery partnerships (e.g. </w:t>
      </w:r>
      <w:proofErr w:type="spellStart"/>
      <w:r w:rsidRPr="003F324F">
        <w:rPr>
          <w:rFonts w:ascii="Arial" w:eastAsia="Arial" w:hAnsi="Arial" w:cs="Arial"/>
          <w:sz w:val="24"/>
          <w:szCs w:val="24"/>
        </w:rPr>
        <w:t>Deliveroo</w:t>
      </w:r>
      <w:proofErr w:type="spellEnd"/>
      <w:r w:rsidRPr="003F324F">
        <w:rPr>
          <w:rFonts w:ascii="Arial" w:eastAsia="Arial" w:hAnsi="Arial" w:cs="Arial"/>
          <w:sz w:val="24"/>
          <w:szCs w:val="24"/>
        </w:rPr>
        <w:t>, Uber Eats), allowing the business to capture both destination dining and convenience-driven demand from launch.</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2.8 Target Customers</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Taste of India's customer base is intentionally broad but anchored around several core segments, detailed fully in Section 3:</w:t>
      </w:r>
    </w:p>
    <w:p w:rsidR="003F324F" w:rsidRPr="003F324F" w:rsidRDefault="003F324F" w:rsidP="00AF4B2A">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Leicester's South Asian diaspora communities (Gujarati, Punjabi and others), for whom regional authenticity carries strong cultural relevance</w:t>
      </w:r>
    </w:p>
    <w:p w:rsidR="003F324F" w:rsidRPr="003F324F" w:rsidRDefault="003F324F" w:rsidP="00AF4B2A">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Vegetarian and vegan diners, given Leicester's established vegetarian dining scene</w:t>
      </w:r>
    </w:p>
    <w:p w:rsidR="003F324F" w:rsidRPr="003F324F" w:rsidRDefault="003F324F" w:rsidP="00AF4B2A">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Students and young professionals seeking adventurous, socially shareable dining experiences</w:t>
      </w:r>
    </w:p>
    <w:p w:rsidR="003F324F" w:rsidRPr="003F324F" w:rsidRDefault="003F324F" w:rsidP="00AF4B2A">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Local families seeking a comfortable, mid-priced dining occasion</w:t>
      </w:r>
    </w:p>
    <w:p w:rsidR="00AE2F45" w:rsidRPr="00A04826" w:rsidRDefault="003F324F" w:rsidP="00A04826">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Tourists and visitors exploring Leicester's food culture, including domestic and diaspora tourism</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lastRenderedPageBreak/>
        <w:t>2.9 Unique Selling Proposition (USP)</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Taste of India's USP rests on three combined elements that no single local competitor currently offers together: (1) genuine regional variety across the menu rather than a single </w:t>
      </w:r>
      <w:proofErr w:type="spellStart"/>
      <w:r w:rsidRPr="003F324F">
        <w:rPr>
          <w:rFonts w:ascii="Arial" w:eastAsia="Arial" w:hAnsi="Arial" w:cs="Arial"/>
          <w:sz w:val="24"/>
          <w:szCs w:val="24"/>
        </w:rPr>
        <w:t>standardised</w:t>
      </w:r>
      <w:proofErr w:type="spellEnd"/>
      <w:r w:rsidRPr="003F324F">
        <w:rPr>
          <w:rFonts w:ascii="Arial" w:eastAsia="Arial" w:hAnsi="Arial" w:cs="Arial"/>
          <w:sz w:val="24"/>
          <w:szCs w:val="24"/>
        </w:rPr>
        <w:t xml:space="preserve"> style, (2) chef-led authenticity through cooks with direct regional heritage, and (3) mid-market pricing that makes this authenticity accessible to a wide customer base rather than confined to premium dining.</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2.10 Aim and Objectives</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Aim:</w:t>
      </w:r>
      <w:r w:rsidRPr="003F324F">
        <w:rPr>
          <w:rFonts w:ascii="Arial" w:eastAsia="Arial" w:hAnsi="Arial" w:cs="Arial"/>
          <w:sz w:val="24"/>
          <w:szCs w:val="24"/>
        </w:rPr>
        <w:t xml:space="preserve"> To establish a financially sustainable, authentic regional Indian restaurant in Leicester within the first 12 months of operation.</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Objectives:</w:t>
      </w:r>
    </w:p>
    <w:p w:rsidR="003F324F" w:rsidRPr="003F324F" w:rsidRDefault="003F324F" w:rsidP="00AF4B2A">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To open the restaurant within an 8-month launch timeline from project approval (see Section 6, Operation Plan).</w:t>
      </w:r>
    </w:p>
    <w:p w:rsidR="003F324F" w:rsidRPr="003F324F" w:rsidRDefault="003F324F" w:rsidP="00AF4B2A">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To achieve positive monthly cash flow within the first 12 months of trading (see Section 9, Financial Plan).</w:t>
      </w:r>
    </w:p>
    <w:p w:rsidR="003F324F" w:rsidRPr="003F324F" w:rsidRDefault="003F324F" w:rsidP="00AF4B2A">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To build a customer base spanning at least four of the five identified target segments within the first year.</w:t>
      </w:r>
    </w:p>
    <w:p w:rsidR="003F324F" w:rsidRPr="003F324F" w:rsidRDefault="003F324F" w:rsidP="00AF4B2A">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To achieve a customer satisfaction/review rating competitive with or exceeding the top three local competitors within 12 months.</w:t>
      </w:r>
    </w:p>
    <w:p w:rsidR="00E05AA2" w:rsidRPr="00A0798A" w:rsidRDefault="003F324F" w:rsidP="00AF4B2A">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To establish a reliable, diversified supply chain (national, local and ethnic-specialist suppliers) to protect against ingredient cost volatility.</w:t>
      </w:r>
    </w:p>
    <w:p w:rsidR="003F324F" w:rsidRPr="00A0798A" w:rsidRDefault="003F324F" w:rsidP="00AF4B2A">
      <w:pPr>
        <w:spacing w:before="100" w:beforeAutospacing="1" w:after="100" w:afterAutospacing="1" w:line="360" w:lineRule="auto"/>
        <w:ind w:left="360"/>
        <w:jc w:val="both"/>
        <w:rPr>
          <w:rFonts w:ascii="Times New Roman" w:eastAsia="Times New Roman" w:hAnsi="Times New Roman" w:cs="Times New Roman"/>
          <w:sz w:val="24"/>
          <w:szCs w:val="24"/>
        </w:rPr>
      </w:pPr>
    </w:p>
    <w:p w:rsidR="00FC7943" w:rsidRDefault="00FC7943"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A04826" w:rsidRPr="00A0798A" w:rsidRDefault="00A04826"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EB500F" w:rsidRDefault="00EB500F"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3F324F" w:rsidRPr="003F324F" w:rsidRDefault="003F324F"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3F324F">
        <w:rPr>
          <w:rFonts w:ascii="Arial" w:eastAsia="Arial" w:hAnsi="Arial" w:cs="Arial"/>
          <w:b/>
          <w:bCs/>
          <w:sz w:val="36"/>
          <w:szCs w:val="36"/>
        </w:rPr>
        <w:lastRenderedPageBreak/>
        <w:t>3. Market Research and Validation</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3.1 Market Size and Growth</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highlight w:val="yellow"/>
        </w:rPr>
      </w:pPr>
      <w:r w:rsidRPr="006365B8">
        <w:rPr>
          <w:rFonts w:ascii="Arial" w:eastAsia="Arial" w:hAnsi="Arial" w:cs="Arial"/>
          <w:sz w:val="24"/>
          <w:szCs w:val="24"/>
        </w:rPr>
        <w:t>The UK "eating out" sector remains a large and structurally significant part of the economy. Industry data forecasts the UK eating-out market to reach £102.8 billion in value in 2026, representing 1.8% year-on-year growth, with outlet numbers expected to remain broadly flat while growth concentrates among larger, more differentiated operators.</w:t>
      </w:r>
      <w:r w:rsidR="006365B8" w:rsidRPr="001B5210">
        <w:rPr>
          <w:rFonts w:ascii="Arial" w:eastAsia="Arial" w:hAnsi="Arial" w:cs="Arial"/>
          <w:sz w:val="24"/>
          <w:szCs w:val="24"/>
        </w:rPr>
        <w:t xml:space="preserve"> (Lumina Intelligence, 2026)</w:t>
      </w:r>
      <w:r w:rsidRPr="001B5210">
        <w:rPr>
          <w:rFonts w:ascii="Arial" w:eastAsia="Arial" w:hAnsi="Arial" w:cs="Arial"/>
          <w:sz w:val="24"/>
          <w:szCs w:val="24"/>
        </w:rPr>
        <w:t xml:space="preserve"> </w:t>
      </w:r>
      <w:r w:rsidRPr="006365B8">
        <w:rPr>
          <w:rFonts w:ascii="Arial" w:eastAsia="Arial" w:hAnsi="Arial" w:cs="Arial"/>
          <w:sz w:val="24"/>
          <w:szCs w:val="24"/>
        </w:rPr>
        <w:t>This is a meaningful shift from the £101 billion recorded the previous year, and growth is expected to continue toward £108.7 billion by 2028. Notably, much of this growth reflects inflation rather than volume, meaning independent operators face a more selective, value-conscious customer base than headline figures suggest. This has a direct implication for Taste of India's positioning: differentiation and perceived value will matter more than simply entering a growing market.</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highlight w:val="yellow"/>
        </w:rPr>
      </w:pPr>
      <w:r w:rsidRPr="001B5210">
        <w:rPr>
          <w:rFonts w:ascii="Arial" w:eastAsia="Arial" w:hAnsi="Arial" w:cs="Arial"/>
          <w:sz w:val="24"/>
          <w:szCs w:val="24"/>
        </w:rPr>
        <w:t>Within this broader market, the UK ethnic food sector is expanding at a notably faster rate. The UK ethnic food market grew from approximately $1.9 billion in 2018 to $3.12 billion in 2024, and is projected to reach $6.23 billion by 2032, representing an 8.4% compound annual growth rate, driven by rising cultural diversity and consumer openness to global cuisine. Within this segment, the UK Asian food market specifically was valued at approximately $7.5 billion in 2024, with England — and cities such as Leicester and Birmingham in particular — holding the dominant regional share due to dense multicultural populations. This positions Leicester not as a peripheral market but as one of the core geographic drivers of UK ethnic food demand.</w:t>
      </w:r>
    </w:p>
    <w:p w:rsidR="003F324F" w:rsidRPr="003F324F" w:rsidRDefault="00E94238" w:rsidP="00AF4B2A">
      <w:pPr>
        <w:spacing w:before="100" w:beforeAutospacing="1" w:after="100" w:afterAutospacing="1" w:line="360" w:lineRule="auto"/>
        <w:jc w:val="both"/>
        <w:rPr>
          <w:rFonts w:ascii="Times New Roman" w:eastAsia="Times New Roman" w:hAnsi="Times New Roman" w:cs="Times New Roman"/>
          <w:sz w:val="24"/>
          <w:szCs w:val="24"/>
        </w:rPr>
      </w:pPr>
      <w:r>
        <w:rPr>
          <w:rFonts w:ascii="Arial" w:eastAsia="Arial" w:hAnsi="Arial" w:cs="Arial"/>
          <w:b/>
          <w:bCs/>
          <w:sz w:val="24"/>
          <w:szCs w:val="24"/>
        </w:rPr>
        <w:t>(</w:t>
      </w:r>
      <w:r w:rsidR="00E54E95">
        <w:rPr>
          <w:rFonts w:ascii="Arial" w:eastAsia="Arial" w:hAnsi="Arial" w:cs="Arial"/>
          <w:b/>
          <w:bCs/>
          <w:sz w:val="24"/>
          <w:szCs w:val="24"/>
        </w:rPr>
        <w:t xml:space="preserve">Note: </w:t>
      </w:r>
      <w:r w:rsidR="003F324F" w:rsidRPr="00E54E95">
        <w:rPr>
          <w:rFonts w:ascii="Arial" w:eastAsia="Arial" w:hAnsi="Arial" w:cs="Arial"/>
          <w:b/>
          <w:bCs/>
          <w:sz w:val="24"/>
          <w:szCs w:val="24"/>
        </w:rPr>
        <w:t>original outline cited the 2024 Leicester visitor figure of £2.558bn / 32.04m visits — mor</w:t>
      </w:r>
      <w:r>
        <w:rPr>
          <w:rFonts w:ascii="Arial" w:eastAsia="Arial" w:hAnsi="Arial" w:cs="Arial"/>
          <w:b/>
          <w:bCs/>
          <w:sz w:val="24"/>
          <w:szCs w:val="24"/>
        </w:rPr>
        <w:t>e recent data is now available.)</w:t>
      </w:r>
      <w:r w:rsidR="003F324F" w:rsidRPr="00E54E95">
        <w:rPr>
          <w:rFonts w:ascii="Arial" w:eastAsia="Arial" w:hAnsi="Arial" w:cs="Arial"/>
          <w:sz w:val="24"/>
          <w:szCs w:val="24"/>
        </w:rPr>
        <w:t xml:space="preserve"> The economic impact of tourism to Leicester and Leicestershire reached £2.676 billion in 2025, up 4.62% on the 2024 figure, with over 32.5 million visits recorded across the city and county, of which 10.62 million visits were to the city itself.</w:t>
      </w:r>
      <w:r w:rsidR="006365B8" w:rsidRPr="001B5210">
        <w:rPr>
          <w:rFonts w:ascii="Arial" w:eastAsia="Arial" w:hAnsi="Arial" w:cs="Arial"/>
          <w:sz w:val="24"/>
          <w:szCs w:val="24"/>
        </w:rPr>
        <w:t xml:space="preserve"> (Leicestershire</w:t>
      </w:r>
      <w:r w:rsidR="00E54E95" w:rsidRPr="001B5210">
        <w:rPr>
          <w:rFonts w:ascii="Arial" w:eastAsia="Arial" w:hAnsi="Arial" w:cs="Arial"/>
          <w:sz w:val="24"/>
          <w:szCs w:val="24"/>
        </w:rPr>
        <w:t xml:space="preserve"> County Council, 2026)</w:t>
      </w:r>
      <w:r w:rsidR="006365B8" w:rsidRPr="001B5210">
        <w:rPr>
          <w:rFonts w:ascii="Arial" w:eastAsia="Arial" w:hAnsi="Arial" w:cs="Arial"/>
          <w:sz w:val="24"/>
          <w:szCs w:val="24"/>
        </w:rPr>
        <w:t xml:space="preserve"> </w:t>
      </w:r>
      <w:r w:rsidR="003F324F" w:rsidRPr="00E54E95">
        <w:rPr>
          <w:rFonts w:ascii="Arial" w:eastAsia="Arial" w:hAnsi="Arial" w:cs="Arial"/>
          <w:sz w:val="24"/>
          <w:szCs w:val="24"/>
        </w:rPr>
        <w:t>This confirms a sustained, growing visitor base that supports demand for the city's hospitality and dining sector. I'd recommend using the 2025 figures going forward as they are more current and strengthen your case — let me know if you'd prefer to keep the 2024 figures for consistency with your ethics form/outline submission.</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lastRenderedPageBreak/>
        <w:t>3.2 Market Trends</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Several trends shape the environment Taste of India will enter:</w:t>
      </w:r>
    </w:p>
    <w:p w:rsidR="003F324F" w:rsidRPr="003F324F" w:rsidRDefault="003F324F" w:rsidP="00AF4B2A">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Value-conscious but resilient demand.</w:t>
      </w:r>
      <w:r w:rsidRPr="003F324F">
        <w:rPr>
          <w:rFonts w:ascii="Arial" w:eastAsia="Arial" w:hAnsi="Arial" w:cs="Arial"/>
          <w:sz w:val="24"/>
          <w:szCs w:val="24"/>
        </w:rPr>
        <w:t xml:space="preserve"> Overall eating-out participation has declined slightly, with growth increasingly concentrated among younger, more affluent diners aged 25–34, while lower-income and older groups disengage from the market. This supports Taste of India's mid-market pricing strategy, which targets accessibility without competing purely on the lowest price point.</w:t>
      </w:r>
    </w:p>
    <w:p w:rsidR="003F324F" w:rsidRPr="003F324F" w:rsidRDefault="003F324F" w:rsidP="00AF4B2A">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Health and quality-driven choice.</w:t>
      </w:r>
      <w:r w:rsidRPr="003F324F">
        <w:rPr>
          <w:rFonts w:ascii="Arial" w:eastAsia="Arial" w:hAnsi="Arial" w:cs="Arial"/>
          <w:sz w:val="24"/>
          <w:szCs w:val="24"/>
        </w:rPr>
        <w:t xml:space="preserve"> Health, quality and value have overtaken proximity as the primary drivers of venue choice, with consumers increasingly </w:t>
      </w:r>
      <w:proofErr w:type="spellStart"/>
      <w:r w:rsidRPr="003F324F">
        <w:rPr>
          <w:rFonts w:ascii="Arial" w:eastAsia="Arial" w:hAnsi="Arial" w:cs="Arial"/>
          <w:sz w:val="24"/>
          <w:szCs w:val="24"/>
        </w:rPr>
        <w:t>favouring</w:t>
      </w:r>
      <w:proofErr w:type="spellEnd"/>
      <w:r w:rsidRPr="003F324F">
        <w:rPr>
          <w:rFonts w:ascii="Arial" w:eastAsia="Arial" w:hAnsi="Arial" w:cs="Arial"/>
          <w:sz w:val="24"/>
          <w:szCs w:val="24"/>
        </w:rPr>
        <w:t xml:space="preserve"> fewer but more considered dining occasions over frequency-driven visits. This trend </w:t>
      </w:r>
      <w:proofErr w:type="spellStart"/>
      <w:r w:rsidRPr="003F324F">
        <w:rPr>
          <w:rFonts w:ascii="Arial" w:eastAsia="Arial" w:hAnsi="Arial" w:cs="Arial"/>
          <w:sz w:val="24"/>
          <w:szCs w:val="24"/>
        </w:rPr>
        <w:t>favours</w:t>
      </w:r>
      <w:proofErr w:type="spellEnd"/>
      <w:r w:rsidRPr="003F324F">
        <w:rPr>
          <w:rFonts w:ascii="Arial" w:eastAsia="Arial" w:hAnsi="Arial" w:cs="Arial"/>
          <w:sz w:val="24"/>
          <w:szCs w:val="24"/>
        </w:rPr>
        <w:t xml:space="preserve"> Taste of India's emphasis on fresh ingredients and authentic regional cooking over the </w:t>
      </w:r>
      <w:proofErr w:type="spellStart"/>
      <w:r w:rsidRPr="003F324F">
        <w:rPr>
          <w:rFonts w:ascii="Arial" w:eastAsia="Arial" w:hAnsi="Arial" w:cs="Arial"/>
          <w:sz w:val="24"/>
          <w:szCs w:val="24"/>
        </w:rPr>
        <w:t>standardised</w:t>
      </w:r>
      <w:proofErr w:type="spellEnd"/>
      <w:r w:rsidRPr="003F324F">
        <w:rPr>
          <w:rFonts w:ascii="Arial" w:eastAsia="Arial" w:hAnsi="Arial" w:cs="Arial"/>
          <w:sz w:val="24"/>
          <w:szCs w:val="24"/>
        </w:rPr>
        <w:t xml:space="preserve"> curry-house model.</w:t>
      </w:r>
    </w:p>
    <w:p w:rsidR="003F324F" w:rsidRPr="003F324F" w:rsidRDefault="003F324F" w:rsidP="00AF4B2A">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Delivery and convenience growth.</w:t>
      </w:r>
      <w:r w:rsidRPr="003F324F">
        <w:rPr>
          <w:rFonts w:ascii="Arial" w:eastAsia="Arial" w:hAnsi="Arial" w:cs="Arial"/>
          <w:sz w:val="24"/>
          <w:szCs w:val="24"/>
        </w:rPr>
        <w:t xml:space="preserve"> The continued expansion of food delivery platforms supports Taste of India's planned takeaway and delivery channels as a meaningful secondary revenue stream, not merely an add-on.</w:t>
      </w:r>
    </w:p>
    <w:p w:rsidR="003F324F" w:rsidRPr="003F324F" w:rsidRDefault="003F324F" w:rsidP="00AF4B2A">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Structural consolidation.</w:t>
      </w:r>
      <w:r w:rsidRPr="003F324F">
        <w:rPr>
          <w:rFonts w:ascii="Arial" w:eastAsia="Arial" w:hAnsi="Arial" w:cs="Arial"/>
          <w:sz w:val="24"/>
          <w:szCs w:val="24"/>
        </w:rPr>
        <w:t xml:space="preserve"> Growth in the wider eating-out market is increasingly concentrated among larger, branded operators, with weaker independent sites exiting the market. This is a genuine risk for a new independent entrant and reinforces the need for strong differentiation and disciplined cost control from launch (addressed further in Sections 6 and 9).</w:t>
      </w:r>
    </w:p>
    <w:p w:rsidR="00FB5DCA" w:rsidRPr="00A0798A" w:rsidRDefault="00FB5DCA"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3.3 Target Customer Segments</w:t>
      </w:r>
    </w:p>
    <w:p w:rsidR="003F324F" w:rsidRDefault="003F324F" w:rsidP="00AF4B2A">
      <w:pPr>
        <w:spacing w:before="100" w:beforeAutospacing="1" w:after="100" w:afterAutospacing="1" w:line="360" w:lineRule="auto"/>
        <w:jc w:val="both"/>
        <w:rPr>
          <w:rFonts w:ascii="Arial" w:eastAsia="Arial" w:hAnsi="Arial" w:cs="Arial"/>
          <w:sz w:val="24"/>
          <w:szCs w:val="24"/>
        </w:rPr>
      </w:pPr>
      <w:r w:rsidRPr="003F324F">
        <w:rPr>
          <w:rFonts w:ascii="Arial" w:eastAsia="Arial" w:hAnsi="Arial" w:cs="Arial"/>
          <w:sz w:val="24"/>
          <w:szCs w:val="24"/>
        </w:rPr>
        <w:t xml:space="preserve">As outlined in Section 2, Taste of India's target market spans several overlapping segments (Table 1), each validated by demographic and </w:t>
      </w:r>
      <w:proofErr w:type="spellStart"/>
      <w:r w:rsidRPr="003F324F">
        <w:rPr>
          <w:rFonts w:ascii="Arial" w:eastAsia="Arial" w:hAnsi="Arial" w:cs="Arial"/>
          <w:sz w:val="24"/>
          <w:szCs w:val="24"/>
        </w:rPr>
        <w:t>behavioural</w:t>
      </w:r>
      <w:proofErr w:type="spellEnd"/>
      <w:r w:rsidRPr="003F324F">
        <w:rPr>
          <w:rFonts w:ascii="Arial" w:eastAsia="Arial" w:hAnsi="Arial" w:cs="Arial"/>
          <w:sz w:val="24"/>
          <w:szCs w:val="24"/>
        </w:rPr>
        <w:t xml:space="preserve"> data:</w:t>
      </w:r>
    </w:p>
    <w:p w:rsidR="00AE2F45" w:rsidRPr="003F324F" w:rsidRDefault="00AE2F45" w:rsidP="00AF4B2A">
      <w:pPr>
        <w:spacing w:before="100" w:beforeAutospacing="1" w:after="100" w:afterAutospacing="1" w:line="360" w:lineRule="auto"/>
        <w:jc w:val="both"/>
        <w:rPr>
          <w:rFonts w:ascii="Times New Roman" w:eastAsia="Times New Roman" w:hAnsi="Times New Roman" w:cs="Times New Roman"/>
          <w:sz w:val="24"/>
          <w:szCs w:val="24"/>
        </w:rPr>
      </w:pPr>
    </w:p>
    <w:p w:rsidR="001B5210" w:rsidRDefault="001B5210" w:rsidP="00AF4B2A">
      <w:pPr>
        <w:spacing w:before="160" w:after="80" w:line="360" w:lineRule="auto"/>
        <w:jc w:val="both"/>
      </w:pPr>
      <w:r>
        <w:rPr>
          <w:rFonts w:ascii="Arial" w:eastAsia="Arial" w:hAnsi="Arial" w:cs="Arial"/>
          <w:b/>
          <w:bCs/>
        </w:rPr>
        <w:lastRenderedPageBreak/>
        <w:t>Table 1: Target customer segments and evidence of demand</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4200"/>
        <w:gridCol w:w="3600"/>
      </w:tblGrid>
      <w:tr w:rsidR="001B5210" w:rsidRPr="001B5210" w:rsidTr="001B5210">
        <w:trPr>
          <w:tblHeader/>
        </w:trPr>
        <w:tc>
          <w:tcPr>
            <w:tcW w:w="22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Segment</w:t>
            </w:r>
          </w:p>
        </w:tc>
        <w:tc>
          <w:tcPr>
            <w:tcW w:w="42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Characteristics</w:t>
            </w:r>
          </w:p>
        </w:tc>
        <w:tc>
          <w:tcPr>
            <w:tcW w:w="3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Evidence of Demand</w:t>
            </w:r>
          </w:p>
        </w:tc>
      </w:tr>
      <w:tr w:rsidR="001B5210" w:rsidRPr="001B5210" w:rsidTr="001B5210">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South Asian diaspora</w:t>
            </w:r>
          </w:p>
        </w:tc>
        <w:tc>
          <w:tcPr>
            <w:tcW w:w="4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Established communities seeking authentic regional dishes, often halal</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Leicester's high proportion of South Asian residents</w:t>
            </w:r>
          </w:p>
        </w:tc>
      </w:tr>
      <w:tr w:rsidR="001B5210" w:rsidRPr="001B5210" w:rsidTr="001B5210">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Vegetarian/vegan diners</w:t>
            </w:r>
          </w:p>
        </w:tc>
        <w:tc>
          <w:tcPr>
            <w:tcW w:w="4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Includes Hindu, Jain and health-conscious customers</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Strong existing vegetarian dining scene</w:t>
            </w:r>
          </w:p>
        </w:tc>
      </w:tr>
      <w:tr w:rsidR="001B5210" w:rsidRPr="001B5210" w:rsidTr="001B5210">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Students &amp; young professionals</w:t>
            </w:r>
          </w:p>
        </w:tc>
        <w:tc>
          <w:tcPr>
            <w:tcW w:w="4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~60,000 students across two universities</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Aligns with the 25-34 affluent-diner growth segment</w:t>
            </w:r>
          </w:p>
        </w:tc>
      </w:tr>
      <w:tr w:rsidR="001B5210" w:rsidRPr="001B5210" w:rsidTr="001B5210">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Local families</w:t>
            </w:r>
          </w:p>
        </w:tc>
        <w:tc>
          <w:tcPr>
            <w:tcW w:w="4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Seek comfortable, mid-priced occasion dining</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Stable, year-round demand base</w:t>
            </w:r>
          </w:p>
        </w:tc>
      </w:tr>
      <w:tr w:rsidR="001B5210" w:rsidRPr="001B5210" w:rsidTr="001B5210">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Tourists and visitors</w:t>
            </w:r>
          </w:p>
        </w:tc>
        <w:tc>
          <w:tcPr>
            <w:tcW w:w="4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Domestic and diaspora tourists</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10.62 million city visits in 2025</w:t>
            </w:r>
          </w:p>
        </w:tc>
      </w:tr>
      <w:tr w:rsidR="001B5210" w:rsidRPr="001B5210" w:rsidTr="001B5210">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Business clientele</w:t>
            </w:r>
          </w:p>
        </w:tc>
        <w:tc>
          <w:tcPr>
            <w:tcW w:w="4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Corporate lunches, client entertaining</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Smaller but reliable weekday trade</w:t>
            </w:r>
          </w:p>
        </w:tc>
      </w:tr>
    </w:tbl>
    <w:p w:rsidR="00AE2F45" w:rsidRDefault="00AE2F4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3.4 Competitor Activity</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Leicester's Indian restaurant market spans a wide spectrum from budget curry houses to premium fine dining (Table 2, carried forward from Section 2's positioning analysis):</w:t>
      </w:r>
    </w:p>
    <w:p w:rsidR="00142CB6" w:rsidRDefault="00142CB6" w:rsidP="00AF4B2A">
      <w:pPr>
        <w:spacing w:before="160" w:after="80" w:line="360" w:lineRule="auto"/>
        <w:jc w:val="both"/>
        <w:rPr>
          <w:rFonts w:ascii="Arial" w:eastAsia="Arial" w:hAnsi="Arial" w:cs="Arial"/>
          <w:b/>
          <w:bCs/>
        </w:rPr>
      </w:pPr>
    </w:p>
    <w:p w:rsidR="00142CB6" w:rsidRDefault="00142CB6" w:rsidP="00AF4B2A">
      <w:pPr>
        <w:spacing w:before="160" w:after="80" w:line="360" w:lineRule="auto"/>
        <w:jc w:val="both"/>
        <w:rPr>
          <w:rFonts w:ascii="Arial" w:eastAsia="Arial" w:hAnsi="Arial" w:cs="Arial"/>
          <w:b/>
          <w:bCs/>
        </w:rPr>
      </w:pPr>
    </w:p>
    <w:p w:rsidR="001B5210" w:rsidRDefault="001B5210" w:rsidP="00AF4B2A">
      <w:pPr>
        <w:spacing w:before="160" w:after="80" w:line="360" w:lineRule="auto"/>
        <w:jc w:val="both"/>
      </w:pPr>
      <w:r>
        <w:rPr>
          <w:rFonts w:ascii="Arial" w:eastAsia="Arial" w:hAnsi="Arial" w:cs="Arial"/>
          <w:b/>
          <w:bCs/>
        </w:rPr>
        <w:lastRenderedPageBreak/>
        <w:t>Table 2: Local competitor positioning</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800"/>
        <w:gridCol w:w="3800"/>
        <w:gridCol w:w="2600"/>
      </w:tblGrid>
      <w:tr w:rsidR="001B5210" w:rsidRPr="001B5210" w:rsidTr="001B5210">
        <w:trPr>
          <w:tblHeader/>
        </w:trPr>
        <w:tc>
          <w:tcPr>
            <w:tcW w:w="18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Competitor</w:t>
            </w:r>
          </w:p>
        </w:tc>
        <w:tc>
          <w:tcPr>
            <w:tcW w:w="18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Location</w:t>
            </w:r>
          </w:p>
        </w:tc>
        <w:tc>
          <w:tcPr>
            <w:tcW w:w="38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Concept/Focus</w:t>
            </w:r>
          </w:p>
        </w:tc>
        <w:tc>
          <w:tcPr>
            <w:tcW w:w="2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Price Range (main course)</w:t>
            </w:r>
          </w:p>
        </w:tc>
      </w:tr>
      <w:tr w:rsidR="001B5210" w:rsidRPr="001B5210" w:rsidTr="001B5210">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Chutney Ivy</w:t>
            </w:r>
          </w:p>
        </w:tc>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City Centre</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Contemporary fine-dining North Indian</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£25-35</w:t>
            </w:r>
          </w:p>
        </w:tc>
      </w:tr>
      <w:tr w:rsidR="001B5210" w:rsidRPr="001B5210" w:rsidTr="001B5210">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proofErr w:type="spellStart"/>
            <w:r w:rsidRPr="001B5210">
              <w:rPr>
                <w:rFonts w:ascii="Arial" w:eastAsia="Arial" w:hAnsi="Arial" w:cs="Arial"/>
                <w:sz w:val="24"/>
                <w:szCs w:val="24"/>
              </w:rPr>
              <w:t>Kayal</w:t>
            </w:r>
            <w:proofErr w:type="spellEnd"/>
          </w:p>
        </w:tc>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Golden Mile</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Keralan seafood &amp; vegetarian</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£12-20</w:t>
            </w:r>
          </w:p>
        </w:tc>
      </w:tr>
      <w:tr w:rsidR="001B5210" w:rsidRPr="001B5210" w:rsidTr="001B5210">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Herb</w:t>
            </w:r>
          </w:p>
        </w:tc>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Granby St</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Vegetarian/Kerala cuisine</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£10-15</w:t>
            </w:r>
          </w:p>
        </w:tc>
      </w:tr>
      <w:tr w:rsidR="001B5210" w:rsidRPr="001B5210" w:rsidTr="001B5210">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 xml:space="preserve">Spice </w:t>
            </w:r>
            <w:proofErr w:type="spellStart"/>
            <w:r w:rsidRPr="001B5210">
              <w:rPr>
                <w:rFonts w:ascii="Arial" w:eastAsia="Arial" w:hAnsi="Arial" w:cs="Arial"/>
                <w:sz w:val="24"/>
                <w:szCs w:val="24"/>
              </w:rPr>
              <w:t>Bazzar</w:t>
            </w:r>
            <w:proofErr w:type="spellEnd"/>
          </w:p>
        </w:tc>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Suburbs</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Traditional curry house</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£5-12</w:t>
            </w:r>
          </w:p>
        </w:tc>
      </w:tr>
      <w:tr w:rsidR="001B5210" w:rsidRPr="001B5210" w:rsidTr="001B5210">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proofErr w:type="spellStart"/>
            <w:r w:rsidRPr="001B5210">
              <w:rPr>
                <w:rFonts w:ascii="Arial" w:eastAsia="Arial" w:hAnsi="Arial" w:cs="Arial"/>
                <w:sz w:val="24"/>
                <w:szCs w:val="24"/>
              </w:rPr>
              <w:t>Tamatanga</w:t>
            </w:r>
            <w:proofErr w:type="spellEnd"/>
          </w:p>
        </w:tc>
        <w:tc>
          <w:tcPr>
            <w:tcW w:w="1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proofErr w:type="spellStart"/>
            <w:r w:rsidRPr="001B5210">
              <w:rPr>
                <w:rFonts w:ascii="Arial" w:eastAsia="Arial" w:hAnsi="Arial" w:cs="Arial"/>
                <w:sz w:val="24"/>
                <w:szCs w:val="24"/>
              </w:rPr>
              <w:t>Highcross</w:t>
            </w:r>
            <w:proofErr w:type="spellEnd"/>
            <w:r w:rsidRPr="001B5210">
              <w:rPr>
                <w:rFonts w:ascii="Arial" w:eastAsia="Arial" w:hAnsi="Arial" w:cs="Arial"/>
                <w:sz w:val="24"/>
                <w:szCs w:val="24"/>
              </w:rPr>
              <w:t xml:space="preserve"> Centre</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Modern Indian chain</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£10-18</w:t>
            </w:r>
          </w:p>
        </w:tc>
      </w:tr>
    </w:tbl>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This spread confirms the gap identified in Section 2: no competitor currently combines multi-regional authenticity with accessible mid-market pricing. Taste of India's target pricing (£15–20 per main) sits deliberately between the budget and fine-dining tiers.</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3.5 Pricing Information</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Based on competitor benchmarking, Taste of India's target pricing is as follows:</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2600"/>
        <w:gridCol w:w="2200"/>
        <w:gridCol w:w="2600"/>
      </w:tblGrid>
      <w:tr w:rsidR="001B5210" w:rsidRPr="001B5210" w:rsidTr="001B5210">
        <w:trPr>
          <w:tblHeader/>
        </w:trPr>
        <w:tc>
          <w:tcPr>
            <w:tcW w:w="2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Item</w:t>
            </w:r>
          </w:p>
        </w:tc>
        <w:tc>
          <w:tcPr>
            <w:tcW w:w="2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Chutney Ivy (fine-dining)</w:t>
            </w:r>
          </w:p>
        </w:tc>
        <w:tc>
          <w:tcPr>
            <w:tcW w:w="22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Herb (vegetarian)</w:t>
            </w:r>
          </w:p>
        </w:tc>
        <w:tc>
          <w:tcPr>
            <w:tcW w:w="2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Taste of India (target)</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Main curry dish</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£25-30</w:t>
            </w:r>
          </w:p>
        </w:tc>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£10-15</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£15-20</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lastRenderedPageBreak/>
              <w:t>Rice or bread</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£3-5</w:t>
            </w:r>
          </w:p>
        </w:tc>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£2-4</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£3-4</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Complete meal for two</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~£60-70</w:t>
            </w:r>
          </w:p>
        </w:tc>
        <w:tc>
          <w:tcPr>
            <w:tcW w:w="22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~£25-30</w:t>
            </w:r>
          </w:p>
        </w:tc>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~£40-50</w:t>
            </w:r>
          </w:p>
        </w:tc>
      </w:tr>
    </w:tbl>
    <w:p w:rsidR="001B5210" w:rsidRDefault="001B5210" w:rsidP="00AF4B2A">
      <w:pPr>
        <w:spacing w:before="100" w:beforeAutospacing="1" w:after="100" w:afterAutospacing="1" w:line="360" w:lineRule="auto"/>
        <w:jc w:val="both"/>
        <w:rPr>
          <w:rFonts w:ascii="Times New Roman" w:eastAsia="Times New Roman" w:hAnsi="Times New Roman" w:cs="Times New Roman"/>
          <w:sz w:val="24"/>
          <w:szCs w:val="24"/>
        </w:rPr>
      </w:pP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This pricing must also be considered against sector-wide margin pressure: rising </w:t>
      </w:r>
      <w:proofErr w:type="spellStart"/>
      <w:r w:rsidRPr="003F324F">
        <w:rPr>
          <w:rFonts w:ascii="Arial" w:eastAsia="Arial" w:hAnsi="Arial" w:cs="Arial"/>
          <w:sz w:val="24"/>
          <w:szCs w:val="24"/>
        </w:rPr>
        <w:t>labour</w:t>
      </w:r>
      <w:proofErr w:type="spellEnd"/>
      <w:r w:rsidRPr="003F324F">
        <w:rPr>
          <w:rFonts w:ascii="Arial" w:eastAsia="Arial" w:hAnsi="Arial" w:cs="Arial"/>
          <w:sz w:val="24"/>
          <w:szCs w:val="24"/>
        </w:rPr>
        <w:t xml:space="preserve"> costs, business rates and inflation continue to squeeze independent and service-led restaurant operators specifically, even as some channels such as quick-service and coffee outperform the wider market. This reinforces the importance of disciplined cost management from the outset (see Section 9).</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3.6 Barriers to Entry</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Several barriers are relevant to a new entrant:</w:t>
      </w:r>
    </w:p>
    <w:p w:rsidR="003F324F" w:rsidRPr="003F324F" w:rsidRDefault="003F324F" w:rsidP="00AF4B2A">
      <w:pPr>
        <w:numPr>
          <w:ilvl w:val="0"/>
          <w:numId w:val="4"/>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Capital intensity.</w:t>
      </w:r>
      <w:r w:rsidRPr="003F324F">
        <w:rPr>
          <w:rFonts w:ascii="Arial" w:eastAsia="Arial" w:hAnsi="Arial" w:cs="Arial"/>
          <w:sz w:val="24"/>
          <w:szCs w:val="24"/>
        </w:rPr>
        <w:t xml:space="preserve"> Restaurant fit-out, kitchen equipment and initial working capital represent a significant upfront cost, addressed in the Financial Plan (Section 9).</w:t>
      </w:r>
    </w:p>
    <w:p w:rsidR="003F324F" w:rsidRPr="003F324F" w:rsidRDefault="003F324F" w:rsidP="00AF4B2A">
      <w:pPr>
        <w:numPr>
          <w:ilvl w:val="0"/>
          <w:numId w:val="4"/>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Margin pressure.</w:t>
      </w:r>
      <w:r w:rsidRPr="003F324F">
        <w:rPr>
          <w:rFonts w:ascii="Arial" w:eastAsia="Arial" w:hAnsi="Arial" w:cs="Arial"/>
          <w:sz w:val="24"/>
          <w:szCs w:val="24"/>
        </w:rPr>
        <w:t xml:space="preserve"> Full-service UK restaurants typically operate on thin net margins (often 3–5%), meaning pricing and cost control errors have limited room for correction.</w:t>
      </w:r>
    </w:p>
    <w:p w:rsidR="003F324F" w:rsidRPr="003F324F" w:rsidRDefault="003F324F" w:rsidP="00AF4B2A">
      <w:pPr>
        <w:numPr>
          <w:ilvl w:val="0"/>
          <w:numId w:val="4"/>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Market consolidation.</w:t>
      </w:r>
      <w:r w:rsidRPr="003F324F">
        <w:rPr>
          <w:rFonts w:ascii="Arial" w:eastAsia="Arial" w:hAnsi="Arial" w:cs="Arial"/>
          <w:sz w:val="24"/>
          <w:szCs w:val="24"/>
        </w:rPr>
        <w:t xml:space="preserve"> As noted above, larger branded operators are gaining share at the expense of independents, raising the competitive bar for a new independent restaurant.</w:t>
      </w:r>
    </w:p>
    <w:p w:rsidR="003F324F" w:rsidRPr="003F324F" w:rsidRDefault="003F324F" w:rsidP="00AF4B2A">
      <w:pPr>
        <w:numPr>
          <w:ilvl w:val="0"/>
          <w:numId w:val="4"/>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Recruitment of specialist chefs.</w:t>
      </w:r>
      <w:r w:rsidRPr="003F324F">
        <w:rPr>
          <w:rFonts w:ascii="Arial" w:eastAsia="Arial" w:hAnsi="Arial" w:cs="Arial"/>
          <w:sz w:val="24"/>
          <w:szCs w:val="24"/>
        </w:rPr>
        <w:t xml:space="preserve"> Sourcing chefs with genuine regional culinary expertise (rather than generalist "Indian cuisine" training) is a specific operational barrier addressed in Section 7.</w:t>
      </w:r>
    </w:p>
    <w:p w:rsidR="003F324F" w:rsidRPr="003F324F" w:rsidRDefault="003F324F" w:rsidP="00AF4B2A">
      <w:pPr>
        <w:numPr>
          <w:ilvl w:val="0"/>
          <w:numId w:val="4"/>
        </w:numPr>
        <w:spacing w:before="100" w:beforeAutospacing="1" w:after="100" w:afterAutospacing="1" w:line="360" w:lineRule="auto"/>
        <w:jc w:val="both"/>
        <w:rPr>
          <w:rFonts w:ascii="Times New Roman" w:eastAsia="Times New Roman" w:hAnsi="Times New Roman" w:cs="Times New Roman"/>
          <w:sz w:val="24"/>
          <w:szCs w:val="24"/>
        </w:rPr>
      </w:pPr>
      <w:r w:rsidRPr="00A0798A">
        <w:rPr>
          <w:rFonts w:ascii="Arial" w:eastAsia="Arial" w:hAnsi="Arial" w:cs="Arial"/>
          <w:b/>
          <w:bCs/>
          <w:sz w:val="24"/>
          <w:szCs w:val="24"/>
        </w:rPr>
        <w:t>Licensing and premises.</w:t>
      </w:r>
      <w:r w:rsidRPr="003F324F">
        <w:rPr>
          <w:rFonts w:ascii="Arial" w:eastAsia="Arial" w:hAnsi="Arial" w:cs="Arial"/>
          <w:sz w:val="24"/>
          <w:szCs w:val="24"/>
        </w:rPr>
        <w:t xml:space="preserve"> Securing a suitable central Leicester site with the necessary planning use class and alcohol licensing represents both a cost and time barrier (see Section 6).</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lastRenderedPageBreak/>
        <w:t>3.7 Legal and Regulatory Issues</w:t>
      </w:r>
    </w:p>
    <w:p w:rsidR="003F324F" w:rsidRPr="003F324F" w:rsidRDefault="003F324F" w:rsidP="00AF4B2A">
      <w:pPr>
        <w:spacing w:before="100" w:beforeAutospacing="1" w:after="100" w:afterAutospacing="1" w:line="360" w:lineRule="auto"/>
        <w:jc w:val="both"/>
        <w:rPr>
          <w:rFonts w:ascii="Times New Roman" w:eastAsia="Times New Roman" w:hAnsi="Times New Roman" w:cs="Times New Roman"/>
          <w:sz w:val="24"/>
          <w:szCs w:val="24"/>
        </w:rPr>
      </w:pPr>
      <w:r w:rsidRPr="003F324F">
        <w:rPr>
          <w:rFonts w:ascii="Arial" w:eastAsia="Arial" w:hAnsi="Arial" w:cs="Arial"/>
          <w:sz w:val="24"/>
          <w:szCs w:val="24"/>
        </w:rPr>
        <w:t xml:space="preserve">Taste of India will need to comply with a range of standard hospitality regulations, including food hygiene registration and Food Standards Agency ratings, allergen labelling under UK food information regulations, health and safety at work requirements, and — if alcohol is served — a premises </w:t>
      </w:r>
      <w:proofErr w:type="spellStart"/>
      <w:r w:rsidRPr="003F324F">
        <w:rPr>
          <w:rFonts w:ascii="Arial" w:eastAsia="Arial" w:hAnsi="Arial" w:cs="Arial"/>
          <w:sz w:val="24"/>
          <w:szCs w:val="24"/>
        </w:rPr>
        <w:t>licence</w:t>
      </w:r>
      <w:proofErr w:type="spellEnd"/>
      <w:r w:rsidRPr="003F324F">
        <w:rPr>
          <w:rFonts w:ascii="Arial" w:eastAsia="Arial" w:hAnsi="Arial" w:cs="Arial"/>
          <w:sz w:val="24"/>
          <w:szCs w:val="24"/>
        </w:rPr>
        <w:t xml:space="preserve"> from Leicester City Council. Employment law compliance (right-to-work checks, minimum wage, working time regulations) will also apply once staff are recruited (see Section 7). These requirements are standard across the sector and do not represent a differentiating barrier, but early consultation with regulatory bodies is planned as part of the launch timeline (Section 6) to avoid delays.</w:t>
      </w:r>
    </w:p>
    <w:p w:rsidR="003F324F" w:rsidRPr="003F324F" w:rsidRDefault="003F324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3F324F">
        <w:rPr>
          <w:rFonts w:ascii="Arial" w:eastAsia="Arial" w:hAnsi="Arial" w:cs="Arial"/>
          <w:b/>
          <w:bCs/>
          <w:sz w:val="27"/>
          <w:szCs w:val="27"/>
        </w:rPr>
        <w:t>3.8 Evidence of Demand</w:t>
      </w:r>
    </w:p>
    <w:p w:rsidR="001B5210" w:rsidRPr="001B5210" w:rsidRDefault="001B5210" w:rsidP="00AF4B2A">
      <w:pPr>
        <w:spacing w:after="200" w:line="360" w:lineRule="auto"/>
        <w:jc w:val="both"/>
        <w:rPr>
          <w:rFonts w:ascii="Times New Roman" w:hAnsi="Times New Roman" w:cs="Times New Roman"/>
        </w:rPr>
      </w:pPr>
      <w:r w:rsidRPr="001B5210">
        <w:rPr>
          <w:rFonts w:ascii="Arial" w:eastAsia="Arial" w:hAnsi="Arial" w:cs="Arial"/>
          <w:sz w:val="24"/>
          <w:szCs w:val="24"/>
        </w:rPr>
        <w:t xml:space="preserve">The sections above establish the context for demand, but this section sets out the direct evidence itself as five distinct, independently sourced strands, since this is the point at which the proposal must be most rigorous rather than only </w:t>
      </w:r>
      <w:proofErr w:type="spellStart"/>
      <w:r w:rsidRPr="001B5210">
        <w:rPr>
          <w:rFonts w:ascii="Arial" w:eastAsia="Arial" w:hAnsi="Arial" w:cs="Arial"/>
          <w:sz w:val="24"/>
          <w:szCs w:val="24"/>
        </w:rPr>
        <w:t>summarising</w:t>
      </w:r>
      <w:proofErr w:type="spellEnd"/>
      <w:r w:rsidRPr="001B5210">
        <w:rPr>
          <w:rFonts w:ascii="Arial" w:eastAsia="Arial" w:hAnsi="Arial" w:cs="Arial"/>
          <w:sz w:val="24"/>
          <w:szCs w:val="24"/>
        </w:rPr>
        <w:t xml:space="preserve"> conclusions drawn elsewhere.</w:t>
      </w:r>
    </w:p>
    <w:p w:rsidR="001B5210" w:rsidRPr="001B5210" w:rsidRDefault="001B5210" w:rsidP="00AF4B2A">
      <w:pPr>
        <w:spacing w:after="200" w:line="360" w:lineRule="auto"/>
        <w:jc w:val="both"/>
        <w:rPr>
          <w:rFonts w:ascii="Times New Roman" w:hAnsi="Times New Roman" w:cs="Times New Roman"/>
        </w:rPr>
      </w:pPr>
      <w:r w:rsidRPr="001B5210">
        <w:rPr>
          <w:rFonts w:ascii="Arial" w:eastAsia="Arial" w:hAnsi="Arial" w:cs="Arial"/>
          <w:b/>
          <w:bCs/>
          <w:sz w:val="24"/>
          <w:szCs w:val="24"/>
        </w:rPr>
        <w:t>First, national and regional market growth.</w:t>
      </w:r>
      <w:r w:rsidRPr="001B5210">
        <w:rPr>
          <w:rFonts w:ascii="Arial" w:eastAsia="Arial" w:hAnsi="Arial" w:cs="Arial"/>
          <w:sz w:val="24"/>
          <w:szCs w:val="24"/>
        </w:rPr>
        <w:t xml:space="preserve"> The UK ethnic food market grew from $1.9 billion in 2018 to $3.12 billion in 2024, and is forecast to reach $6.23 billion by 2032 (Credence Research, 2025), with England, and cities such as Leicester specifically, holding the dominant share of UK Asian food demand (Section 3.1). This confirms Taste of India is entering a genuinely growing category, not a static or declining one.</w:t>
      </w:r>
    </w:p>
    <w:p w:rsidR="001B5210" w:rsidRPr="001B5210" w:rsidRDefault="001B5210" w:rsidP="00AF4B2A">
      <w:pPr>
        <w:spacing w:after="200" w:line="360" w:lineRule="auto"/>
        <w:jc w:val="both"/>
        <w:rPr>
          <w:rFonts w:ascii="Times New Roman" w:hAnsi="Times New Roman" w:cs="Times New Roman"/>
        </w:rPr>
      </w:pPr>
      <w:r w:rsidRPr="001B5210">
        <w:rPr>
          <w:rFonts w:ascii="Arial" w:eastAsia="Arial" w:hAnsi="Arial" w:cs="Arial"/>
          <w:b/>
          <w:bCs/>
          <w:sz w:val="24"/>
          <w:szCs w:val="24"/>
        </w:rPr>
        <w:t>Second, local population depth.</w:t>
      </w:r>
      <w:r w:rsidRPr="001B5210">
        <w:rPr>
          <w:rFonts w:ascii="Arial" w:eastAsia="Arial" w:hAnsi="Arial" w:cs="Arial"/>
          <w:sz w:val="24"/>
          <w:szCs w:val="24"/>
        </w:rPr>
        <w:t xml:space="preserve"> Leicester's substantial and longstanding South Asian communities provide a large resident customer base on their own, before any tourism or visitor demand is counted at all (Section 3.1, Section 3.3).</w:t>
      </w:r>
    </w:p>
    <w:p w:rsidR="001B5210" w:rsidRPr="001B5210" w:rsidRDefault="001B5210" w:rsidP="00AF4B2A">
      <w:pPr>
        <w:spacing w:after="200" w:line="360" w:lineRule="auto"/>
        <w:jc w:val="both"/>
        <w:rPr>
          <w:rFonts w:ascii="Times New Roman" w:hAnsi="Times New Roman" w:cs="Times New Roman"/>
        </w:rPr>
      </w:pPr>
      <w:r w:rsidRPr="001B5210">
        <w:rPr>
          <w:rFonts w:ascii="Arial" w:eastAsia="Arial" w:hAnsi="Arial" w:cs="Arial"/>
          <w:b/>
          <w:bCs/>
          <w:sz w:val="24"/>
          <w:szCs w:val="24"/>
        </w:rPr>
        <w:t>Third, and most directly, existing competitor performance data.</w:t>
      </w:r>
      <w:r w:rsidRPr="001B5210">
        <w:rPr>
          <w:rFonts w:ascii="Arial" w:eastAsia="Arial" w:hAnsi="Arial" w:cs="Arial"/>
          <w:sz w:val="24"/>
          <w:szCs w:val="24"/>
        </w:rPr>
        <w:t xml:space="preserve"> Rather than relying only on demographic inference, direct evidence of live customer demand for Indian dining in Leicester can be drawn from competitor performance itself. </w:t>
      </w:r>
      <w:proofErr w:type="spellStart"/>
      <w:r w:rsidRPr="001B5210">
        <w:rPr>
          <w:rFonts w:ascii="Arial" w:eastAsia="Arial" w:hAnsi="Arial" w:cs="Arial"/>
          <w:sz w:val="24"/>
          <w:szCs w:val="24"/>
        </w:rPr>
        <w:t>Kayal</w:t>
      </w:r>
      <w:proofErr w:type="spellEnd"/>
      <w:r w:rsidRPr="001B5210">
        <w:rPr>
          <w:rFonts w:ascii="Arial" w:eastAsia="Arial" w:hAnsi="Arial" w:cs="Arial"/>
          <w:sz w:val="24"/>
          <w:szCs w:val="24"/>
        </w:rPr>
        <w:t xml:space="preserve">, one of Taste of India's identified direct competitors (Section 3.4), has accumulated over 3,070 customer reviews on </w:t>
      </w:r>
      <w:proofErr w:type="spellStart"/>
      <w:r w:rsidRPr="001B5210">
        <w:rPr>
          <w:rFonts w:ascii="Arial" w:eastAsia="Arial" w:hAnsi="Arial" w:cs="Arial"/>
          <w:sz w:val="24"/>
          <w:szCs w:val="24"/>
        </w:rPr>
        <w:t>Tripadvisor</w:t>
      </w:r>
      <w:proofErr w:type="spellEnd"/>
      <w:r w:rsidRPr="001B5210">
        <w:rPr>
          <w:rFonts w:ascii="Arial" w:eastAsia="Arial" w:hAnsi="Arial" w:cs="Arial"/>
          <w:sz w:val="24"/>
          <w:szCs w:val="24"/>
        </w:rPr>
        <w:t xml:space="preserve"> and is ranked third among 1,115 restaurants listed in Leicester overall (</w:t>
      </w:r>
      <w:proofErr w:type="spellStart"/>
      <w:r w:rsidRPr="001B5210">
        <w:rPr>
          <w:rFonts w:ascii="Arial" w:eastAsia="Arial" w:hAnsi="Arial" w:cs="Arial"/>
          <w:sz w:val="24"/>
          <w:szCs w:val="24"/>
        </w:rPr>
        <w:t>Tripadvisor</w:t>
      </w:r>
      <w:proofErr w:type="spellEnd"/>
      <w:r w:rsidRPr="001B5210">
        <w:rPr>
          <w:rFonts w:ascii="Arial" w:eastAsia="Arial" w:hAnsi="Arial" w:cs="Arial"/>
          <w:sz w:val="24"/>
          <w:szCs w:val="24"/>
        </w:rPr>
        <w:t xml:space="preserve">, 2026). A review volume of this scale reflects a very high level of sustained covers over </w:t>
      </w:r>
      <w:r w:rsidRPr="001B5210">
        <w:rPr>
          <w:rFonts w:ascii="Arial" w:eastAsia="Arial" w:hAnsi="Arial" w:cs="Arial"/>
          <w:sz w:val="24"/>
          <w:szCs w:val="24"/>
        </w:rPr>
        <w:lastRenderedPageBreak/>
        <w:t>an extended period, not a niche or marginal customer base, and provides concrete evidence that a regionally focused Indian restaurant concept, similar in principle to Taste of India's own positioning, can achieve and sustain strong demand in this specific local market.</w:t>
      </w:r>
    </w:p>
    <w:p w:rsidR="001B5210" w:rsidRPr="001B5210" w:rsidRDefault="001B5210" w:rsidP="00AF4B2A">
      <w:pPr>
        <w:spacing w:after="200" w:line="360" w:lineRule="auto"/>
        <w:jc w:val="both"/>
        <w:rPr>
          <w:rFonts w:ascii="Times New Roman" w:hAnsi="Times New Roman" w:cs="Times New Roman"/>
        </w:rPr>
      </w:pPr>
      <w:r w:rsidRPr="001B5210">
        <w:rPr>
          <w:rFonts w:ascii="Arial" w:eastAsia="Arial" w:hAnsi="Arial" w:cs="Arial"/>
          <w:b/>
          <w:bCs/>
          <w:sz w:val="24"/>
          <w:szCs w:val="24"/>
        </w:rPr>
        <w:t>Fourth, cultural-event demand as an independent proxy.</w:t>
      </w:r>
      <w:r w:rsidRPr="001B5210">
        <w:rPr>
          <w:rFonts w:ascii="Arial" w:eastAsia="Arial" w:hAnsi="Arial" w:cs="Arial"/>
          <w:sz w:val="24"/>
          <w:szCs w:val="24"/>
        </w:rPr>
        <w:t xml:space="preserve"> Leicester's annual Diwali celebrations on the Golden Mile are consistently reported to attract between 40,000 and 50,000 attendees in recent years (BBC News, 2022; </w:t>
      </w:r>
      <w:proofErr w:type="spellStart"/>
      <w:r w:rsidRPr="001B5210">
        <w:rPr>
          <w:rFonts w:ascii="Arial" w:eastAsia="Arial" w:hAnsi="Arial" w:cs="Arial"/>
          <w:sz w:val="24"/>
          <w:szCs w:val="24"/>
        </w:rPr>
        <w:t>Leicester.news</w:t>
      </w:r>
      <w:proofErr w:type="spellEnd"/>
      <w:r w:rsidRPr="001B5210">
        <w:rPr>
          <w:rFonts w:ascii="Arial" w:eastAsia="Arial" w:hAnsi="Arial" w:cs="Arial"/>
          <w:sz w:val="24"/>
          <w:szCs w:val="24"/>
        </w:rPr>
        <w:t>, 2025). This confirms both the scale of active community engagement with South Asian culture in the city and a concrete, recurring commercial opportunity for the festival and event catering revenue stream identified in Section 4.5 and Section 5.5.</w:t>
      </w:r>
    </w:p>
    <w:p w:rsidR="001B5210" w:rsidRPr="001B5210" w:rsidRDefault="001B5210" w:rsidP="00AF4B2A">
      <w:pPr>
        <w:spacing w:after="200" w:line="360" w:lineRule="auto"/>
        <w:jc w:val="both"/>
        <w:rPr>
          <w:rFonts w:ascii="Times New Roman" w:hAnsi="Times New Roman" w:cs="Times New Roman"/>
        </w:rPr>
      </w:pPr>
      <w:r w:rsidRPr="001B5210">
        <w:rPr>
          <w:rFonts w:ascii="Arial" w:eastAsia="Arial" w:hAnsi="Arial" w:cs="Arial"/>
          <w:b/>
          <w:bCs/>
          <w:sz w:val="24"/>
          <w:szCs w:val="24"/>
        </w:rPr>
        <w:t>Fifth, the sustainability of the existing competitive set.</w:t>
      </w:r>
      <w:r w:rsidRPr="001B5210">
        <w:rPr>
          <w:rFonts w:ascii="Arial" w:eastAsia="Arial" w:hAnsi="Arial" w:cs="Arial"/>
          <w:sz w:val="24"/>
          <w:szCs w:val="24"/>
        </w:rPr>
        <w:t xml:space="preserve"> Leicester supports at least five established, differently positioned Indian restaurants (Section 3.4), trading profitably enough to sustain multi-year operation, within a city of only around 369,000 residents. A market of this size would not sustain this many differentiated Indian dining operators without deep and durable underlying demand.</w:t>
      </w:r>
    </w:p>
    <w:p w:rsidR="00613EEC" w:rsidRPr="00A0798A" w:rsidRDefault="001B5210" w:rsidP="00AF4B2A">
      <w:pPr>
        <w:spacing w:before="100" w:beforeAutospacing="1" w:after="100" w:afterAutospacing="1" w:line="360" w:lineRule="auto"/>
        <w:jc w:val="both"/>
        <w:rPr>
          <w:rFonts w:ascii="Times New Roman" w:eastAsia="Times New Roman" w:hAnsi="Times New Roman" w:cs="Times New Roman"/>
          <w:sz w:val="24"/>
          <w:szCs w:val="24"/>
        </w:rPr>
      </w:pPr>
      <w:r w:rsidRPr="001B5210">
        <w:rPr>
          <w:rFonts w:ascii="Arial" w:eastAsia="Arial" w:hAnsi="Arial" w:cs="Arial"/>
          <w:sz w:val="24"/>
          <w:szCs w:val="24"/>
        </w:rPr>
        <w:t>Taken together, these five strands, national and regional market growth, local population depth, direct competitor performance data, event-driven demand, and the sustainability of the existing competitive set, form a considerably stronger evidence base than macro-level market statistics alone. On this basis, the primary risk facing Taste of India is not a lack of demand for Indian dining in Leicester; the evidence above indicates that demand is well established and durable. The primary risk is capturing a share of that demand as a new, unproven entrant, which depends on execution: cost discipline, differentiation, and consistent quality, addressed directly in the Business Model Canvas, Marketing Strategy, Operations, and Financial Plan sections that follow.</w:t>
      </w:r>
    </w:p>
    <w:p w:rsidR="00AE2F45" w:rsidRDefault="00AE2F45" w:rsidP="00AF4B2A">
      <w:pPr>
        <w:pStyle w:val="Heading2"/>
        <w:jc w:val="both"/>
        <w:rPr>
          <w:rFonts w:ascii="Arial" w:eastAsia="Arial" w:hAnsi="Arial" w:cs="Arial"/>
        </w:rPr>
      </w:pPr>
    </w:p>
    <w:p w:rsidR="00AE2F45" w:rsidRDefault="00AE2F45" w:rsidP="00AF4B2A">
      <w:pPr>
        <w:pStyle w:val="Heading2"/>
        <w:jc w:val="both"/>
        <w:rPr>
          <w:rFonts w:ascii="Arial" w:eastAsia="Arial" w:hAnsi="Arial" w:cs="Arial"/>
        </w:rPr>
      </w:pPr>
    </w:p>
    <w:p w:rsidR="00C85E01" w:rsidRDefault="00C85E01" w:rsidP="00AF4B2A">
      <w:pPr>
        <w:pStyle w:val="Heading2"/>
        <w:jc w:val="both"/>
        <w:rPr>
          <w:rFonts w:ascii="Arial" w:eastAsia="Arial" w:hAnsi="Arial" w:cs="Arial"/>
        </w:rPr>
      </w:pPr>
    </w:p>
    <w:p w:rsidR="00C85E01" w:rsidRDefault="00C85E01" w:rsidP="00AF4B2A">
      <w:pPr>
        <w:pStyle w:val="Heading2"/>
        <w:jc w:val="both"/>
        <w:rPr>
          <w:rFonts w:ascii="Arial" w:eastAsia="Arial" w:hAnsi="Arial" w:cs="Arial"/>
        </w:rPr>
      </w:pPr>
    </w:p>
    <w:p w:rsidR="000419EE" w:rsidRPr="00A0798A" w:rsidRDefault="000419EE" w:rsidP="00AF4B2A">
      <w:pPr>
        <w:pStyle w:val="Heading2"/>
        <w:jc w:val="both"/>
      </w:pPr>
      <w:r w:rsidRPr="00A0798A">
        <w:rPr>
          <w:rFonts w:ascii="Arial" w:eastAsia="Arial" w:hAnsi="Arial" w:cs="Arial"/>
        </w:rPr>
        <w:lastRenderedPageBreak/>
        <w:t>4. Business Model Canvas</w:t>
      </w:r>
    </w:p>
    <w:p w:rsidR="000419EE" w:rsidRPr="00A0798A" w:rsidRDefault="000419EE" w:rsidP="00AF4B2A">
      <w:pPr>
        <w:pStyle w:val="NormalWeb"/>
        <w:spacing w:line="360" w:lineRule="auto"/>
        <w:jc w:val="both"/>
      </w:pPr>
      <w:r w:rsidRPr="00A0798A">
        <w:rPr>
          <w:rFonts w:ascii="Arial" w:eastAsia="Arial" w:hAnsi="Arial" w:cs="Arial"/>
        </w:rPr>
        <w:t>The Business Model Canvas (</w:t>
      </w:r>
      <w:proofErr w:type="spellStart"/>
      <w:r w:rsidRPr="00A0798A">
        <w:rPr>
          <w:rFonts w:ascii="Arial" w:eastAsia="Arial" w:hAnsi="Arial" w:cs="Arial"/>
        </w:rPr>
        <w:t>Osterwalder</w:t>
      </w:r>
      <w:proofErr w:type="spellEnd"/>
      <w:r w:rsidRPr="00A0798A">
        <w:rPr>
          <w:rFonts w:ascii="Arial" w:eastAsia="Arial" w:hAnsi="Arial" w:cs="Arial"/>
        </w:rPr>
        <w:t xml:space="preserve"> and </w:t>
      </w:r>
      <w:proofErr w:type="spellStart"/>
      <w:r w:rsidRPr="00A0798A">
        <w:rPr>
          <w:rFonts w:ascii="Arial" w:eastAsia="Arial" w:hAnsi="Arial" w:cs="Arial"/>
        </w:rPr>
        <w:t>Pigneur</w:t>
      </w:r>
      <w:proofErr w:type="spellEnd"/>
      <w:r w:rsidRPr="00A0798A">
        <w:rPr>
          <w:rFonts w:ascii="Arial" w:eastAsia="Arial" w:hAnsi="Arial" w:cs="Arial"/>
        </w:rPr>
        <w:t>, 2010) provides a structured, single-page framework for articulating how Taste of India will create, deliver and capture value. Applying this model to a new business idea (Path A) allows the proposal to test the internal logic of the concept — whether the resources, activities and partnerships identified are genuinely capable of delivering the value proposition to the target customer segments at a viable cost.</w:t>
      </w:r>
    </w:p>
    <w:p w:rsidR="000419EE" w:rsidRPr="00A0798A" w:rsidRDefault="000419EE" w:rsidP="00AF4B2A">
      <w:pPr>
        <w:pStyle w:val="Heading3"/>
        <w:jc w:val="both"/>
      </w:pPr>
      <w:r w:rsidRPr="00A0798A">
        <w:rPr>
          <w:rFonts w:ascii="Arial" w:eastAsia="Arial" w:hAnsi="Arial" w:cs="Arial"/>
        </w:rPr>
        <w:t>4.1 Customer Segments</w:t>
      </w:r>
    </w:p>
    <w:p w:rsidR="000419EE" w:rsidRPr="00A0798A" w:rsidRDefault="000419EE" w:rsidP="00AF4B2A">
      <w:pPr>
        <w:pStyle w:val="NormalWeb"/>
        <w:spacing w:line="360" w:lineRule="auto"/>
        <w:jc w:val="both"/>
      </w:pPr>
      <w:r w:rsidRPr="00A0798A">
        <w:rPr>
          <w:rFonts w:ascii="Arial" w:eastAsia="Arial" w:hAnsi="Arial" w:cs="Arial"/>
        </w:rPr>
        <w:t xml:space="preserve">Taste of India serves the five core segments identified in Section 3: </w:t>
      </w:r>
      <w:proofErr w:type="gramStart"/>
      <w:r w:rsidRPr="00A0798A">
        <w:rPr>
          <w:rFonts w:ascii="Arial" w:eastAsia="Arial" w:hAnsi="Arial" w:cs="Arial"/>
        </w:rPr>
        <w:t>the</w:t>
      </w:r>
      <w:proofErr w:type="gramEnd"/>
      <w:r w:rsidRPr="00A0798A">
        <w:rPr>
          <w:rFonts w:ascii="Arial" w:eastAsia="Arial" w:hAnsi="Arial" w:cs="Arial"/>
        </w:rPr>
        <w:t xml:space="preserve"> South Asian diaspora community, vegetarian and vegan diners, students and young professionals, local families, and tourists/visitors, with business clientele as a smaller secondary segment. These segments were chosen deliberately for their complementary demand patterns — for example, diaspora families and tourists provide steady weekend and evening trade, while students and business clientele support weekday lunch trade, smoothing revenue across the week.</w:t>
      </w:r>
    </w:p>
    <w:p w:rsidR="000419EE" w:rsidRPr="00A0798A" w:rsidRDefault="000419EE" w:rsidP="00AF4B2A">
      <w:pPr>
        <w:pStyle w:val="Heading3"/>
        <w:jc w:val="both"/>
      </w:pPr>
      <w:r w:rsidRPr="00A0798A">
        <w:rPr>
          <w:rFonts w:ascii="Arial" w:eastAsia="Arial" w:hAnsi="Arial" w:cs="Arial"/>
        </w:rPr>
        <w:t>4.2 Value Propositions</w:t>
      </w:r>
    </w:p>
    <w:p w:rsidR="000419EE" w:rsidRPr="00A0798A" w:rsidRDefault="000419EE" w:rsidP="00AF4B2A">
      <w:pPr>
        <w:pStyle w:val="NormalWeb"/>
        <w:spacing w:line="360" w:lineRule="auto"/>
        <w:jc w:val="both"/>
      </w:pPr>
      <w:r w:rsidRPr="00A0798A">
        <w:rPr>
          <w:rFonts w:ascii="Arial" w:eastAsia="Arial" w:hAnsi="Arial" w:cs="Arial"/>
        </w:rPr>
        <w:t>The central value proposition is authentic, chef-led regional Indian cuisine at mid-market prices — positioned explicitly between Leicester's premium fine-dining Indian restaurants and its budget curry houses (see Section 3.4). This is reinforced by dedicated vegetarian and halal menu sections and a culturally immersive dining environment. The value proposition is intentionally narrow rather than trying to compete on price alone, since full-service UK restaurants typically operate on thin margins of only 3–5%, making price-based competition unsustainable for a new entrant.</w:t>
      </w:r>
    </w:p>
    <w:p w:rsidR="000419EE" w:rsidRPr="00A0798A" w:rsidRDefault="000419EE" w:rsidP="00AF4B2A">
      <w:pPr>
        <w:pStyle w:val="Heading3"/>
        <w:jc w:val="both"/>
      </w:pPr>
      <w:r w:rsidRPr="00A0798A">
        <w:rPr>
          <w:rFonts w:ascii="Arial" w:eastAsia="Arial" w:hAnsi="Arial" w:cs="Arial"/>
        </w:rPr>
        <w:t>4.3 Channels</w:t>
      </w:r>
    </w:p>
    <w:p w:rsidR="000419EE" w:rsidRPr="00A0798A" w:rsidRDefault="000419EE" w:rsidP="00AF4B2A">
      <w:pPr>
        <w:pStyle w:val="NormalWeb"/>
        <w:spacing w:line="360" w:lineRule="auto"/>
        <w:jc w:val="both"/>
      </w:pPr>
      <w:r w:rsidRPr="00A0798A">
        <w:rPr>
          <w:rFonts w:ascii="Arial" w:eastAsia="Arial" w:hAnsi="Arial" w:cs="Arial"/>
        </w:rPr>
        <w:t xml:space="preserve">Value is delivered through three channels: the physical dine-in restaurant (the primary channel for the cultural/experiential proposition), a takeaway counter, and delivery via third-party platforms. This channel mix reflects the trend toward convenience-driven food </w:t>
      </w:r>
      <w:r w:rsidRPr="00A0798A">
        <w:rPr>
          <w:rFonts w:ascii="Arial" w:eastAsia="Arial" w:hAnsi="Arial" w:cs="Arial"/>
        </w:rPr>
        <w:lastRenderedPageBreak/>
        <w:t>consumption identified in Section 3.2, while preserving the dine-in experience as the differentiator that budget curry houses and delivery-only "dark kitchen" competitors cannot replicate.</w:t>
      </w:r>
    </w:p>
    <w:p w:rsidR="000419EE" w:rsidRPr="00A0798A" w:rsidRDefault="000419EE" w:rsidP="00AF4B2A">
      <w:pPr>
        <w:pStyle w:val="Heading3"/>
        <w:jc w:val="both"/>
      </w:pPr>
      <w:r w:rsidRPr="00A0798A">
        <w:rPr>
          <w:rFonts w:ascii="Arial" w:eastAsia="Arial" w:hAnsi="Arial" w:cs="Arial"/>
        </w:rPr>
        <w:t>4.4 Customer Relationships</w:t>
      </w:r>
    </w:p>
    <w:p w:rsidR="000419EE" w:rsidRPr="00A0798A" w:rsidRDefault="000419EE" w:rsidP="00AF4B2A">
      <w:pPr>
        <w:pStyle w:val="NormalWeb"/>
        <w:spacing w:line="360" w:lineRule="auto"/>
        <w:jc w:val="both"/>
      </w:pPr>
      <w:r w:rsidRPr="00A0798A">
        <w:rPr>
          <w:rFonts w:ascii="Arial" w:eastAsia="Arial" w:hAnsi="Arial" w:cs="Arial"/>
        </w:rPr>
        <w:t>Relationships will be built on personal, community-rooted service — reflecting the founder's positioning of the business within Leicester's South Asian community — supported by active social media engagement and loyalty incentives to encourage repeat visits. This approach is lower-cost than paid customer acquisition and is consistent with how independent ethnic restaurants typically build sustained local reputations.</w:t>
      </w:r>
    </w:p>
    <w:p w:rsidR="000419EE" w:rsidRPr="00A0798A" w:rsidRDefault="000419EE" w:rsidP="00AF4B2A">
      <w:pPr>
        <w:pStyle w:val="Heading3"/>
        <w:jc w:val="both"/>
      </w:pPr>
    </w:p>
    <w:p w:rsidR="000419EE" w:rsidRPr="00A0798A" w:rsidRDefault="000419EE" w:rsidP="00AF4B2A">
      <w:pPr>
        <w:pStyle w:val="Heading3"/>
        <w:jc w:val="both"/>
      </w:pPr>
      <w:r w:rsidRPr="00A0798A">
        <w:rPr>
          <w:rFonts w:ascii="Arial" w:eastAsia="Arial" w:hAnsi="Arial" w:cs="Arial"/>
        </w:rPr>
        <w:t>4.5 Revenue Streams</w:t>
      </w:r>
    </w:p>
    <w:p w:rsidR="000419EE" w:rsidRPr="00A0798A" w:rsidRDefault="000419EE" w:rsidP="00AF4B2A">
      <w:pPr>
        <w:pStyle w:val="NormalWeb"/>
        <w:spacing w:line="360" w:lineRule="auto"/>
        <w:jc w:val="both"/>
      </w:pPr>
      <w:r w:rsidRPr="00A0798A">
        <w:rPr>
          <w:rFonts w:ascii="Arial" w:eastAsia="Arial" w:hAnsi="Arial" w:cs="Arial"/>
        </w:rPr>
        <w:t>Revenue will be generated from three sources: dine-in sales (the primary stream), takeaway and delivery orders, and event/festival catering, particularly around occasions such as Diwali, which Leicester celebrates on a significant scale. Diversifying beyond dine-in reduces reliance on a single revenue channel and provides some resilience against the participation decline noted in the wider eating-out market (Section 3.1).</w:t>
      </w:r>
    </w:p>
    <w:p w:rsidR="000419EE" w:rsidRPr="00A0798A" w:rsidRDefault="000419EE" w:rsidP="00AF4B2A">
      <w:pPr>
        <w:pStyle w:val="Heading3"/>
        <w:jc w:val="both"/>
      </w:pPr>
      <w:r w:rsidRPr="00A0798A">
        <w:rPr>
          <w:rFonts w:ascii="Arial" w:eastAsia="Arial" w:hAnsi="Arial" w:cs="Arial"/>
        </w:rPr>
        <w:t>4.6 Key Resources</w:t>
      </w:r>
    </w:p>
    <w:p w:rsidR="000419EE" w:rsidRPr="00A0798A" w:rsidRDefault="000419EE" w:rsidP="00AF4B2A">
      <w:pPr>
        <w:pStyle w:val="NormalWeb"/>
        <w:spacing w:line="360" w:lineRule="auto"/>
        <w:jc w:val="both"/>
      </w:pPr>
      <w:r w:rsidRPr="00A0798A">
        <w:rPr>
          <w:rFonts w:ascii="Arial" w:eastAsia="Arial" w:hAnsi="Arial" w:cs="Arial"/>
        </w:rPr>
        <w:t>The business's most critical resource is human: chefs with genuine regional culinary training, since this underpins the core value proposition and cannot be easily replicated by competitors relying on generalist "Indian cuisine" chefs. Physical resources include the central Leicester premises, kitchen equipment, and the brand identity itself, which must communicate regional authenticity credibly (see Section 5, Marketing and Sales Strategy).</w:t>
      </w:r>
    </w:p>
    <w:p w:rsidR="00AE2F45" w:rsidRDefault="00AE2F45" w:rsidP="00AF4B2A">
      <w:pPr>
        <w:pStyle w:val="Heading3"/>
        <w:jc w:val="both"/>
        <w:rPr>
          <w:rFonts w:ascii="Arial" w:eastAsia="Arial" w:hAnsi="Arial" w:cs="Arial"/>
        </w:rPr>
      </w:pPr>
    </w:p>
    <w:p w:rsidR="000419EE" w:rsidRPr="00A0798A" w:rsidRDefault="000419EE" w:rsidP="00AF4B2A">
      <w:pPr>
        <w:pStyle w:val="Heading3"/>
        <w:jc w:val="both"/>
      </w:pPr>
      <w:r w:rsidRPr="00A0798A">
        <w:rPr>
          <w:rFonts w:ascii="Arial" w:eastAsia="Arial" w:hAnsi="Arial" w:cs="Arial"/>
        </w:rPr>
        <w:t>4.7 Key Activities</w:t>
      </w:r>
    </w:p>
    <w:p w:rsidR="000419EE" w:rsidRPr="00A0798A" w:rsidRDefault="000419EE" w:rsidP="00AF4B2A">
      <w:pPr>
        <w:pStyle w:val="NormalWeb"/>
        <w:spacing w:line="360" w:lineRule="auto"/>
        <w:jc w:val="both"/>
      </w:pPr>
      <w:r w:rsidRPr="00A0798A">
        <w:rPr>
          <w:rFonts w:ascii="Arial" w:eastAsia="Arial" w:hAnsi="Arial" w:cs="Arial"/>
        </w:rPr>
        <w:lastRenderedPageBreak/>
        <w:t>Core activities are regional menu development and cooking, ingredient sourcing and quality control, and service delivery across all three channels. Consistency across these activities is essential, since the authenticity claim at the heart of the value proposition would be undermined by inconsistent execution.</w:t>
      </w:r>
    </w:p>
    <w:p w:rsidR="000419EE" w:rsidRPr="00A0798A" w:rsidRDefault="000419EE" w:rsidP="00AF4B2A">
      <w:pPr>
        <w:pStyle w:val="Heading3"/>
        <w:jc w:val="both"/>
      </w:pPr>
      <w:r w:rsidRPr="00A0798A">
        <w:rPr>
          <w:rFonts w:ascii="Arial" w:eastAsia="Arial" w:hAnsi="Arial" w:cs="Arial"/>
        </w:rPr>
        <w:t>4.8 Key Partnerships</w:t>
      </w:r>
    </w:p>
    <w:p w:rsidR="001B5210" w:rsidRPr="001B5210" w:rsidRDefault="001B5210" w:rsidP="00AF4B2A">
      <w:pPr>
        <w:spacing w:after="200" w:line="360" w:lineRule="auto"/>
        <w:jc w:val="both"/>
        <w:rPr>
          <w:rFonts w:ascii="Times New Roman" w:hAnsi="Times New Roman" w:cs="Times New Roman"/>
          <w:sz w:val="24"/>
          <w:szCs w:val="24"/>
        </w:rPr>
      </w:pPr>
      <w:r w:rsidRPr="001B5210">
        <w:rPr>
          <w:rFonts w:ascii="Arial" w:eastAsia="Arial" w:hAnsi="Arial" w:cs="Arial"/>
          <w:sz w:val="24"/>
          <w:szCs w:val="24"/>
        </w:rPr>
        <w:t xml:space="preserve">Beyond the diversified supplier base </w:t>
      </w:r>
      <w:proofErr w:type="spellStart"/>
      <w:r w:rsidRPr="001B5210">
        <w:rPr>
          <w:rFonts w:ascii="Arial" w:eastAsia="Arial" w:hAnsi="Arial" w:cs="Arial"/>
          <w:sz w:val="24"/>
          <w:szCs w:val="24"/>
        </w:rPr>
        <w:t>summarised</w:t>
      </w:r>
      <w:proofErr w:type="spellEnd"/>
      <w:r w:rsidRPr="001B5210">
        <w:rPr>
          <w:rFonts w:ascii="Arial" w:eastAsia="Arial" w:hAnsi="Arial" w:cs="Arial"/>
          <w:sz w:val="24"/>
          <w:szCs w:val="24"/>
        </w:rPr>
        <w:t xml:space="preserve"> above (Section 3, Table 4; wholesale foodservice providers, ethnic food distributors, and local halal butchers and produce suppliers), a further and arguably more strategically important partnership is planned with an established local restaurant owner in Leicester. </w:t>
      </w:r>
      <w:r w:rsidRPr="001B5210">
        <w:rPr>
          <w:rFonts w:ascii="Arial" w:eastAsia="Arial" w:hAnsi="Arial" w:cs="Arial"/>
          <w:b/>
          <w:bCs/>
          <w:sz w:val="24"/>
          <w:szCs w:val="24"/>
        </w:rPr>
        <w:t>[Assumption — identity of the partner and the specific terms of the arrangement to be confirmed]</w:t>
      </w:r>
      <w:r w:rsidRPr="001B5210">
        <w:rPr>
          <w:rFonts w:ascii="Arial" w:eastAsia="Arial" w:hAnsi="Arial" w:cs="Arial"/>
          <w:sz w:val="24"/>
          <w:szCs w:val="24"/>
        </w:rPr>
        <w:t>.</w:t>
      </w:r>
    </w:p>
    <w:p w:rsidR="001B5210" w:rsidRPr="001B5210" w:rsidRDefault="001B5210" w:rsidP="00AF4B2A">
      <w:pPr>
        <w:spacing w:after="200" w:line="360" w:lineRule="auto"/>
        <w:jc w:val="both"/>
        <w:rPr>
          <w:rFonts w:ascii="Times New Roman" w:hAnsi="Times New Roman" w:cs="Times New Roman"/>
          <w:sz w:val="24"/>
          <w:szCs w:val="24"/>
        </w:rPr>
      </w:pPr>
      <w:r w:rsidRPr="001B5210">
        <w:rPr>
          <w:rFonts w:ascii="Arial" w:eastAsia="Arial" w:hAnsi="Arial" w:cs="Arial"/>
          <w:sz w:val="24"/>
          <w:szCs w:val="24"/>
        </w:rPr>
        <w:t>This relationship is intended to support the business in two specific ways during the early trading period. First, the partner's existing purchasing relationships with wholesale and ethnic food suppliers should allow Taste of India to access raw materials at discounted rates that would not typically be available to a new, unproven business, helping to protect the thin margins identified in Section 3.5 and Section 9.6 during the vulnerable start-up phase. Second, the partnership offers a practical solution to the key resource risk identified throughout this proposal (Section 4.6, Section 4.10): should the Head Chef be unavailable, for example due to holiday or illness, the local partner has agreed in principle to make a suitably qualified chef available from their own restaurant on a temporary basis, so that kitchen operations and food quality can be maintained without disruption.</w:t>
      </w:r>
    </w:p>
    <w:p w:rsidR="000419EE" w:rsidRPr="00A0798A" w:rsidRDefault="001B5210" w:rsidP="00AF4B2A">
      <w:pPr>
        <w:pStyle w:val="NormalWeb"/>
        <w:spacing w:line="360" w:lineRule="auto"/>
        <w:jc w:val="both"/>
      </w:pPr>
      <w:r w:rsidRPr="001B5210">
        <w:rPr>
          <w:rFonts w:ascii="Arial" w:eastAsia="Arial" w:hAnsi="Arial" w:cs="Arial"/>
        </w:rPr>
        <w:t xml:space="preserve">This partnership is not intended to replace the diversified supplier structure described above, but to complement it, giving the business both a cost advantage and a degree of operational resilience that a fully independent new entrant would not otherwise have. If this arrangement is </w:t>
      </w:r>
      <w:proofErr w:type="spellStart"/>
      <w:r w:rsidRPr="001B5210">
        <w:rPr>
          <w:rFonts w:ascii="Arial" w:eastAsia="Arial" w:hAnsi="Arial" w:cs="Arial"/>
        </w:rPr>
        <w:t>formalised</w:t>
      </w:r>
      <w:proofErr w:type="spellEnd"/>
      <w:r w:rsidRPr="001B5210">
        <w:rPr>
          <w:rFonts w:ascii="Arial" w:eastAsia="Arial" w:hAnsi="Arial" w:cs="Arial"/>
        </w:rPr>
        <w:t>, its terms should also be reflected in the ownership and legal structure discussion in Section 2.6, since a partnership of this kind may carry implications beyond day-to-day operations.</w:t>
      </w:r>
    </w:p>
    <w:p w:rsidR="000419EE" w:rsidRPr="00A0798A" w:rsidRDefault="000419EE" w:rsidP="00AF4B2A">
      <w:pPr>
        <w:pStyle w:val="Heading3"/>
        <w:jc w:val="both"/>
      </w:pPr>
      <w:r w:rsidRPr="00A0798A">
        <w:rPr>
          <w:rFonts w:ascii="Arial" w:eastAsia="Arial" w:hAnsi="Arial" w:cs="Arial"/>
        </w:rPr>
        <w:t>4.9 Cost Structure</w:t>
      </w:r>
    </w:p>
    <w:p w:rsidR="000419EE" w:rsidRPr="00A0798A" w:rsidRDefault="000419EE" w:rsidP="00AF4B2A">
      <w:pPr>
        <w:pStyle w:val="NormalWeb"/>
        <w:spacing w:line="360" w:lineRule="auto"/>
        <w:jc w:val="both"/>
      </w:pPr>
      <w:r w:rsidRPr="00A0798A">
        <w:rPr>
          <w:rFonts w:ascii="Arial" w:eastAsia="Arial" w:hAnsi="Arial" w:cs="Arial"/>
        </w:rPr>
        <w:lastRenderedPageBreak/>
        <w:t xml:space="preserve">The cost base is driven primarily by fixed costs at launch (rent, fit-out and kitchen equipment) and ongoing variable costs (staff wages, ingredient sourcing, utilities and marketing). Given the thin margins typical of the sector, cost discipline — particularly around </w:t>
      </w:r>
      <w:proofErr w:type="spellStart"/>
      <w:r w:rsidRPr="00A0798A">
        <w:rPr>
          <w:rFonts w:ascii="Arial" w:eastAsia="Arial" w:hAnsi="Arial" w:cs="Arial"/>
        </w:rPr>
        <w:t>labour</w:t>
      </w:r>
      <w:proofErr w:type="spellEnd"/>
      <w:r w:rsidRPr="00A0798A">
        <w:rPr>
          <w:rFonts w:ascii="Arial" w:eastAsia="Arial" w:hAnsi="Arial" w:cs="Arial"/>
        </w:rPr>
        <w:t xml:space="preserve"> and ingredient sourcing — is treated as a central operating priority rather than an afterthought, and is quantified further in Section 9 (Financial Plan).</w:t>
      </w:r>
    </w:p>
    <w:p w:rsidR="000419EE" w:rsidRPr="00A0798A" w:rsidRDefault="000419EE" w:rsidP="00AF4B2A">
      <w:pPr>
        <w:pStyle w:val="Heading3"/>
        <w:jc w:val="both"/>
      </w:pPr>
      <w:r w:rsidRPr="00A0798A">
        <w:rPr>
          <w:rFonts w:ascii="Arial" w:eastAsia="Arial" w:hAnsi="Arial" w:cs="Arial"/>
        </w:rPr>
        <w:t>4.10 What the Canvas Reveals</w:t>
      </w:r>
    </w:p>
    <w:p w:rsidR="000419EE" w:rsidRDefault="000419EE" w:rsidP="00AF4B2A">
      <w:pPr>
        <w:pStyle w:val="NormalWeb"/>
        <w:spacing w:line="360" w:lineRule="auto"/>
        <w:jc w:val="both"/>
      </w:pPr>
      <w:r w:rsidRPr="00B7517F">
        <w:rPr>
          <w:rFonts w:ascii="Arial" w:eastAsia="Arial" w:hAnsi="Arial" w:cs="Arial"/>
        </w:rPr>
        <w:t>Mapping the business onto the canvas highlights two structural dependencies that recur throughout this proposal. First, the value proposition is entirely dependent on a single key resource — regionally trained chefs — meaning recruitment (Section 7) is not simply an operational task but a strategic risk to the core differentiator. Second, the cost structure is dominated by largely fixed and semi-fixed costs against a backdrop of thin industry margins, meaning that achieving sufficient dine-in volume in the early months is critical to viability, which the Financial Plan (Section 9) must</w:t>
      </w:r>
      <w:r w:rsidRPr="00A0798A">
        <w:rPr>
          <w:rFonts w:ascii="Arial" w:eastAsia="Arial" w:hAnsi="Arial" w:cs="Arial"/>
        </w:rPr>
        <w:t xml:space="preserve"> demonstrate is realistically achievable given the market evidence presented in Section 3.</w:t>
      </w:r>
    </w:p>
    <w:p w:rsidR="00E54E95" w:rsidRDefault="00E54E95" w:rsidP="00AF4B2A">
      <w:pPr>
        <w:pStyle w:val="NormalWeb"/>
        <w:spacing w:line="360" w:lineRule="auto"/>
        <w:jc w:val="both"/>
      </w:pPr>
    </w:p>
    <w:p w:rsidR="00E54E95" w:rsidRDefault="00E54E95" w:rsidP="00AF4B2A">
      <w:pPr>
        <w:pStyle w:val="NormalWeb"/>
        <w:spacing w:line="360" w:lineRule="auto"/>
        <w:jc w:val="both"/>
      </w:pPr>
    </w:p>
    <w:p w:rsidR="00E54E95" w:rsidRDefault="00E54E95" w:rsidP="00AF4B2A">
      <w:pPr>
        <w:pStyle w:val="NormalWeb"/>
        <w:spacing w:line="360" w:lineRule="auto"/>
        <w:jc w:val="both"/>
      </w:pPr>
    </w:p>
    <w:p w:rsidR="00C85E01" w:rsidRDefault="00C85E01" w:rsidP="00AF4B2A">
      <w:pPr>
        <w:pStyle w:val="NormalWeb"/>
        <w:spacing w:line="360" w:lineRule="auto"/>
        <w:jc w:val="both"/>
      </w:pPr>
    </w:p>
    <w:p w:rsidR="00C85E01" w:rsidRDefault="00C85E01" w:rsidP="00AF4B2A">
      <w:pPr>
        <w:pStyle w:val="NormalWeb"/>
        <w:spacing w:line="360" w:lineRule="auto"/>
        <w:jc w:val="both"/>
      </w:pPr>
    </w:p>
    <w:p w:rsidR="00E54E95" w:rsidRDefault="00E54E95" w:rsidP="00AF4B2A">
      <w:pPr>
        <w:pStyle w:val="NormalWeb"/>
        <w:spacing w:line="360" w:lineRule="auto"/>
        <w:jc w:val="both"/>
      </w:pPr>
    </w:p>
    <w:p w:rsidR="00E54E95" w:rsidRDefault="00E54E95" w:rsidP="00AF4B2A">
      <w:pPr>
        <w:pStyle w:val="NormalWeb"/>
        <w:spacing w:line="360" w:lineRule="auto"/>
        <w:jc w:val="both"/>
      </w:pPr>
    </w:p>
    <w:p w:rsidR="00E54E95" w:rsidRDefault="00E54E95" w:rsidP="00AF4B2A">
      <w:pPr>
        <w:pStyle w:val="NormalWeb"/>
        <w:spacing w:line="360" w:lineRule="auto"/>
        <w:jc w:val="both"/>
      </w:pPr>
    </w:p>
    <w:p w:rsidR="00E54E95" w:rsidRPr="00E54E95" w:rsidRDefault="00E54E95"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E54E95">
        <w:rPr>
          <w:rFonts w:ascii="Arial" w:eastAsia="Arial" w:hAnsi="Arial" w:cs="Arial"/>
          <w:b/>
          <w:bCs/>
          <w:sz w:val="36"/>
          <w:szCs w:val="36"/>
        </w:rPr>
        <w:lastRenderedPageBreak/>
        <w:t>5. Marketing and Sales Strategy</w:t>
      </w: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5.1 Target Market and Customer Profile</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Taste of India's marketing strategy targets the five customer segments validated in Section 3: </w:t>
      </w:r>
      <w:proofErr w:type="gramStart"/>
      <w:r w:rsidRPr="00E54E95">
        <w:rPr>
          <w:rFonts w:ascii="Arial" w:eastAsia="Arial" w:hAnsi="Arial" w:cs="Arial"/>
          <w:sz w:val="24"/>
          <w:szCs w:val="24"/>
        </w:rPr>
        <w:t>the</w:t>
      </w:r>
      <w:proofErr w:type="gramEnd"/>
      <w:r w:rsidRPr="00E54E95">
        <w:rPr>
          <w:rFonts w:ascii="Arial" w:eastAsia="Arial" w:hAnsi="Arial" w:cs="Arial"/>
          <w:sz w:val="24"/>
          <w:szCs w:val="24"/>
        </w:rPr>
        <w:t xml:space="preserve"> South Asian diaspora community, vegetarian/vegan diners, students and young professionals, local families, and tourists/visitors, with business clientele as a secondary weekday segment. Before committing marketing resources to a positioning strategy, it is important that the underlying business concept itself has been evidence-tested rather than assumed; Mullins (2006) argues that entrepreneurs should validate market, industry and team assumptions before </w:t>
      </w:r>
      <w:proofErr w:type="spellStart"/>
      <w:r w:rsidRPr="00E54E95">
        <w:rPr>
          <w:rFonts w:ascii="Arial" w:eastAsia="Arial" w:hAnsi="Arial" w:cs="Arial"/>
          <w:sz w:val="24"/>
          <w:szCs w:val="24"/>
        </w:rPr>
        <w:t>finalising</w:t>
      </w:r>
      <w:proofErr w:type="spellEnd"/>
      <w:r w:rsidRPr="00E54E95">
        <w:rPr>
          <w:rFonts w:ascii="Arial" w:eastAsia="Arial" w:hAnsi="Arial" w:cs="Arial"/>
          <w:sz w:val="24"/>
          <w:szCs w:val="24"/>
        </w:rPr>
        <w:t xml:space="preserve"> a business plan, rather than treating the business idea as a fixed starting point. The market validation conducted in Section 3 — grounded in ONS, Lumina Intelligence and Leicester visitor economy data — serves this function, giving the marketing strategy below an evidence base rather than an assumed one.</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Customer profiles differ meaningfully by segment. Diaspora families </w:t>
      </w:r>
      <w:proofErr w:type="spellStart"/>
      <w:r w:rsidRPr="00E54E95">
        <w:rPr>
          <w:rFonts w:ascii="Arial" w:eastAsia="Arial" w:hAnsi="Arial" w:cs="Arial"/>
          <w:sz w:val="24"/>
          <w:szCs w:val="24"/>
        </w:rPr>
        <w:t>prioritise</w:t>
      </w:r>
      <w:proofErr w:type="spellEnd"/>
      <w:r w:rsidRPr="00E54E95">
        <w:rPr>
          <w:rFonts w:ascii="Arial" w:eastAsia="Arial" w:hAnsi="Arial" w:cs="Arial"/>
          <w:sz w:val="24"/>
          <w:szCs w:val="24"/>
        </w:rPr>
        <w:t xml:space="preserve"> authenticity and cultural resonance over novelty; vegetarian/vegan diners </w:t>
      </w:r>
      <w:proofErr w:type="spellStart"/>
      <w:r w:rsidRPr="00E54E95">
        <w:rPr>
          <w:rFonts w:ascii="Arial" w:eastAsia="Arial" w:hAnsi="Arial" w:cs="Arial"/>
          <w:sz w:val="24"/>
          <w:szCs w:val="24"/>
        </w:rPr>
        <w:t>prioritise</w:t>
      </w:r>
      <w:proofErr w:type="spellEnd"/>
      <w:r w:rsidRPr="00E54E95">
        <w:rPr>
          <w:rFonts w:ascii="Arial" w:eastAsia="Arial" w:hAnsi="Arial" w:cs="Arial"/>
          <w:sz w:val="24"/>
          <w:szCs w:val="24"/>
        </w:rPr>
        <w:t xml:space="preserve"> ingredient transparency and dedicated menu options; students and young professionals are price-sensitive but highly influenced by social media and peer recommendation; families </w:t>
      </w:r>
      <w:proofErr w:type="spellStart"/>
      <w:r w:rsidRPr="00E54E95">
        <w:rPr>
          <w:rFonts w:ascii="Arial" w:eastAsia="Arial" w:hAnsi="Arial" w:cs="Arial"/>
          <w:sz w:val="24"/>
          <w:szCs w:val="24"/>
        </w:rPr>
        <w:t>prioritise</w:t>
      </w:r>
      <w:proofErr w:type="spellEnd"/>
      <w:r w:rsidRPr="00E54E95">
        <w:rPr>
          <w:rFonts w:ascii="Arial" w:eastAsia="Arial" w:hAnsi="Arial" w:cs="Arial"/>
          <w:sz w:val="24"/>
          <w:szCs w:val="24"/>
        </w:rPr>
        <w:t xml:space="preserve"> comfort, value and occasion suitability; tourists </w:t>
      </w:r>
      <w:proofErr w:type="spellStart"/>
      <w:r w:rsidRPr="00E54E95">
        <w:rPr>
          <w:rFonts w:ascii="Arial" w:eastAsia="Arial" w:hAnsi="Arial" w:cs="Arial"/>
          <w:sz w:val="24"/>
          <w:szCs w:val="24"/>
        </w:rPr>
        <w:t>prioritise</w:t>
      </w:r>
      <w:proofErr w:type="spellEnd"/>
      <w:r w:rsidRPr="00E54E95">
        <w:rPr>
          <w:rFonts w:ascii="Arial" w:eastAsia="Arial" w:hAnsi="Arial" w:cs="Arial"/>
          <w:sz w:val="24"/>
          <w:szCs w:val="24"/>
        </w:rPr>
        <w:t xml:space="preserve"> "local </w:t>
      </w:r>
      <w:proofErr w:type="spellStart"/>
      <w:r w:rsidRPr="00E54E95">
        <w:rPr>
          <w:rFonts w:ascii="Arial" w:eastAsia="Arial" w:hAnsi="Arial" w:cs="Arial"/>
          <w:sz w:val="24"/>
          <w:szCs w:val="24"/>
        </w:rPr>
        <w:t>flavour</w:t>
      </w:r>
      <w:proofErr w:type="spellEnd"/>
      <w:r w:rsidRPr="00E54E95">
        <w:rPr>
          <w:rFonts w:ascii="Arial" w:eastAsia="Arial" w:hAnsi="Arial" w:cs="Arial"/>
          <w:sz w:val="24"/>
          <w:szCs w:val="24"/>
        </w:rPr>
        <w:t>" experiences and online reviews when unfamiliar with the city.</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5.2 Positioning</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Taste of India will position itself as Leicester's dedicated </w:t>
      </w:r>
      <w:r w:rsidRPr="00E54E95">
        <w:rPr>
          <w:rFonts w:ascii="Arial" w:eastAsia="Arial" w:hAnsi="Arial" w:cs="Arial"/>
          <w:b/>
          <w:bCs/>
          <w:sz w:val="24"/>
          <w:szCs w:val="24"/>
        </w:rPr>
        <w:t>regional Indian dining destination</w:t>
      </w:r>
      <w:r w:rsidRPr="00E54E95">
        <w:rPr>
          <w:rFonts w:ascii="Arial" w:eastAsia="Arial" w:hAnsi="Arial" w:cs="Arial"/>
          <w:sz w:val="24"/>
          <w:szCs w:val="24"/>
        </w:rPr>
        <w:t xml:space="preserve"> — distinct from both premium fine-dining competitors (e.g. Chutney Ivy) and </w:t>
      </w:r>
      <w:proofErr w:type="spellStart"/>
      <w:r w:rsidRPr="00E54E95">
        <w:rPr>
          <w:rFonts w:ascii="Arial" w:eastAsia="Arial" w:hAnsi="Arial" w:cs="Arial"/>
          <w:sz w:val="24"/>
          <w:szCs w:val="24"/>
        </w:rPr>
        <w:t>standardised</w:t>
      </w:r>
      <w:proofErr w:type="spellEnd"/>
      <w:r w:rsidRPr="00E54E95">
        <w:rPr>
          <w:rFonts w:ascii="Arial" w:eastAsia="Arial" w:hAnsi="Arial" w:cs="Arial"/>
          <w:sz w:val="24"/>
          <w:szCs w:val="24"/>
        </w:rPr>
        <w:t xml:space="preserve"> budget curry houses (e.g. Spice </w:t>
      </w:r>
      <w:proofErr w:type="spellStart"/>
      <w:r w:rsidRPr="00E54E95">
        <w:rPr>
          <w:rFonts w:ascii="Arial" w:eastAsia="Arial" w:hAnsi="Arial" w:cs="Arial"/>
          <w:sz w:val="24"/>
          <w:szCs w:val="24"/>
        </w:rPr>
        <w:t>Bazzar</w:t>
      </w:r>
      <w:proofErr w:type="spellEnd"/>
      <w:r w:rsidRPr="00E54E95">
        <w:rPr>
          <w:rFonts w:ascii="Arial" w:eastAsia="Arial" w:hAnsi="Arial" w:cs="Arial"/>
          <w:sz w:val="24"/>
          <w:szCs w:val="24"/>
        </w:rPr>
        <w:t>), as established in the competitor analysis (Section 3.4). The positioning statement is: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i/>
          <w:iCs/>
          <w:sz w:val="24"/>
          <w:szCs w:val="24"/>
        </w:rPr>
        <w:lastRenderedPageBreak/>
        <w:t>"For diners who want to experience India's regional diversity, not just a single 'Indian' menu, Taste of India offers chef-led, authentic regional cuisine in a culturally immersive setting, at prices accessible for regular dining, not just special occasions."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This positioning is deliberately built around the specific market gap identified in Section 3.6 (no local competitor combines multi-regional authenticity with mid-market pricing), rather than a generic quality or price claim that any competitor could equally make.</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5.3 Pricing Strategy</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Pricing follows the benchmarking established in Section 3.5: main courses at £15–20, sides and breads at £3–4, and a two-person meal averaging £40–50. This deliberately undercuts fine-dining competitors by roughly 30–40% while sitting above budget curry houses, reflecting the higher input costs of authentic regional sourcing and skilled regional chefs (Section 4.6–4.9). Set-menu options and early-week pricing (e.g. a reduced-price "regional discovery" set menu Monday–Wednesday) will be used to build weekday trade among students and business clientele without discounting the core weekend/evening dine-in proposition.</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5.4 Branding</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The brand identity will communicate regional authenticity as its central promise, expressed through naming, visual identity (</w:t>
      </w:r>
      <w:proofErr w:type="spellStart"/>
      <w:r w:rsidRPr="00E54E95">
        <w:rPr>
          <w:rFonts w:ascii="Arial" w:eastAsia="Arial" w:hAnsi="Arial" w:cs="Arial"/>
          <w:sz w:val="24"/>
          <w:szCs w:val="24"/>
        </w:rPr>
        <w:t>colour</w:t>
      </w:r>
      <w:proofErr w:type="spellEnd"/>
      <w:r w:rsidRPr="00E54E95">
        <w:rPr>
          <w:rFonts w:ascii="Arial" w:eastAsia="Arial" w:hAnsi="Arial" w:cs="Arial"/>
          <w:sz w:val="24"/>
          <w:szCs w:val="24"/>
        </w:rPr>
        <w:t xml:space="preserve"> palette and design motifs drawn from the specific Indian regions featured on the menu, rather than generic "Indian restaurant" imagery), and in-restaurant storytelling — for example, menu descriptions that name the dish's region of origin and the chef's connection to it. This branding approach directly reinforces the positioning statement above and gives the marketing content (Section 5.6) a consistent, differentiated narrative to build around, rather than relying on price or generic imagery.</w:t>
      </w:r>
      <w:r w:rsidRPr="00AE2F45">
        <w:rPr>
          <w:rFonts w:ascii="Arial" w:eastAsia="Arial" w:hAnsi="Arial" w:cs="Arial"/>
          <w:sz w:val="24"/>
        </w:rPr>
        <w:t xml:space="preserve"> This reflects wider academic research on ethnic food consumption, which shows that customer perceptions of culinary ‘authenticity’ are not simply a fixed culinary fact but are actively </w:t>
      </w:r>
      <w:r w:rsidRPr="00AE2F45">
        <w:rPr>
          <w:rFonts w:ascii="Arial" w:eastAsia="Arial" w:hAnsi="Arial" w:cs="Arial"/>
          <w:sz w:val="24"/>
        </w:rPr>
        <w:lastRenderedPageBreak/>
        <w:t>constructed through presentation, storytelling and staging, meaning authenticity must be communicated as much as it is cooked (Lu and Fine, 1995).</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5.5 Promotion</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Promotional activity will combine:</w:t>
      </w:r>
    </w:p>
    <w:p w:rsidR="00E54E95" w:rsidRPr="00E54E95" w:rsidRDefault="00E54E95" w:rsidP="00AF4B2A">
      <w:pPr>
        <w:numPr>
          <w:ilvl w:val="0"/>
          <w:numId w:val="6"/>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Launch promotion</w:t>
      </w:r>
      <w:r w:rsidRPr="00E54E95">
        <w:rPr>
          <w:rFonts w:ascii="Arial" w:eastAsia="Arial" w:hAnsi="Arial" w:cs="Arial"/>
          <w:sz w:val="24"/>
          <w:szCs w:val="24"/>
        </w:rPr>
        <w:t>: a soft-launch period with invited local press (e.g. Leicester Mercury), food bloggers and community leaders, timed to generate early reviews and word-of-mouth ahead of full opening.</w:t>
      </w:r>
    </w:p>
    <w:p w:rsidR="00E54E95" w:rsidRPr="00E54E95" w:rsidRDefault="00E54E95" w:rsidP="00AF4B2A">
      <w:pPr>
        <w:numPr>
          <w:ilvl w:val="0"/>
          <w:numId w:val="6"/>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Cultural calendar promotion</w:t>
      </w:r>
      <w:r w:rsidRPr="00E54E95">
        <w:rPr>
          <w:rFonts w:ascii="Arial" w:eastAsia="Arial" w:hAnsi="Arial" w:cs="Arial"/>
          <w:sz w:val="24"/>
          <w:szCs w:val="24"/>
        </w:rPr>
        <w:t>: targeted promotion around Diwali and other South Asian festivals, when both community demand and event/catering revenue (Section 4.5) peak.</w:t>
      </w:r>
    </w:p>
    <w:p w:rsidR="00E54E95" w:rsidRPr="00E54E95" w:rsidRDefault="00E54E95" w:rsidP="00AF4B2A">
      <w:pPr>
        <w:numPr>
          <w:ilvl w:val="0"/>
          <w:numId w:val="6"/>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Local partnerships</w:t>
      </w:r>
      <w:r w:rsidRPr="00E54E95">
        <w:rPr>
          <w:rFonts w:ascii="Arial" w:eastAsia="Arial" w:hAnsi="Arial" w:cs="Arial"/>
          <w:sz w:val="24"/>
          <w:szCs w:val="24"/>
        </w:rPr>
        <w:t>: engagement with the two Leicester universities (student unions, welcome-week events) to reach the student segment directly.</w:t>
      </w:r>
    </w:p>
    <w:p w:rsidR="00E54E95" w:rsidRPr="00E54E95" w:rsidRDefault="00E54E95" w:rsidP="00AF4B2A">
      <w:pPr>
        <w:numPr>
          <w:ilvl w:val="0"/>
          <w:numId w:val="6"/>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Review platform management</w:t>
      </w:r>
      <w:r w:rsidRPr="00E54E95">
        <w:rPr>
          <w:rFonts w:ascii="Arial" w:eastAsia="Arial" w:hAnsi="Arial" w:cs="Arial"/>
          <w:sz w:val="24"/>
          <w:szCs w:val="24"/>
        </w:rPr>
        <w:t>: active monitoring and response on Google Reviews and TripAdvisor, which strongly influence the tourist segment's venue choice given their unfamiliarity with the local market.</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5.6 Digital Marketing</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Digital marketing will be central to reaching the price-sensitive, socially engaged student and young-professional segments identified in Section 3.3. This includes:</w:t>
      </w:r>
    </w:p>
    <w:p w:rsidR="00E54E95" w:rsidRPr="00E54E95" w:rsidRDefault="00E54E95" w:rsidP="00AF4B2A">
      <w:pPr>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Social media</w:t>
      </w:r>
      <w:r w:rsidRPr="00E54E95">
        <w:rPr>
          <w:rFonts w:ascii="Arial" w:eastAsia="Arial" w:hAnsi="Arial" w:cs="Arial"/>
          <w:sz w:val="24"/>
          <w:szCs w:val="24"/>
        </w:rPr>
        <w:t xml:space="preserve">: Instagram and </w:t>
      </w:r>
      <w:proofErr w:type="spellStart"/>
      <w:r w:rsidRPr="00E54E95">
        <w:rPr>
          <w:rFonts w:ascii="Arial" w:eastAsia="Arial" w:hAnsi="Arial" w:cs="Arial"/>
          <w:sz w:val="24"/>
          <w:szCs w:val="24"/>
        </w:rPr>
        <w:t>TikTok</w:t>
      </w:r>
      <w:proofErr w:type="spellEnd"/>
      <w:r w:rsidRPr="00E54E95">
        <w:rPr>
          <w:rFonts w:ascii="Arial" w:eastAsia="Arial" w:hAnsi="Arial" w:cs="Arial"/>
          <w:sz w:val="24"/>
          <w:szCs w:val="24"/>
        </w:rPr>
        <w:t xml:space="preserve"> content focused on the regional-authenticity story (chef profiles, ingredient sourcing, regional dish explainers) rather than generic food photography, to reinforce the brand differentiation established in Section 5.4.</w:t>
      </w:r>
    </w:p>
    <w:p w:rsidR="00E54E95" w:rsidRPr="00E54E95" w:rsidRDefault="00E54E95" w:rsidP="00AF4B2A">
      <w:pPr>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lastRenderedPageBreak/>
        <w:t>Local SEO and Google Business Profile</w:t>
      </w:r>
      <w:r w:rsidRPr="00E54E95">
        <w:rPr>
          <w:rFonts w:ascii="Arial" w:eastAsia="Arial" w:hAnsi="Arial" w:cs="Arial"/>
          <w:sz w:val="24"/>
          <w:szCs w:val="24"/>
        </w:rPr>
        <w:t>: essential given tourists and new local customers are highly likely to search "Indian restaurant Leicester" or similar terms before choosing a venue.</w:t>
      </w:r>
    </w:p>
    <w:p w:rsidR="00E54E95" w:rsidRPr="00E54E95" w:rsidRDefault="00E54E95" w:rsidP="00AF4B2A">
      <w:pPr>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Delivery platform visibility</w:t>
      </w:r>
      <w:r w:rsidRPr="00E54E95">
        <w:rPr>
          <w:rFonts w:ascii="Arial" w:eastAsia="Arial" w:hAnsi="Arial" w:cs="Arial"/>
          <w:sz w:val="24"/>
          <w:szCs w:val="24"/>
        </w:rPr>
        <w:t xml:space="preserve">: </w:t>
      </w:r>
      <w:proofErr w:type="spellStart"/>
      <w:r w:rsidRPr="00E54E95">
        <w:rPr>
          <w:rFonts w:ascii="Arial" w:eastAsia="Arial" w:hAnsi="Arial" w:cs="Arial"/>
          <w:sz w:val="24"/>
          <w:szCs w:val="24"/>
        </w:rPr>
        <w:t>optimised</w:t>
      </w:r>
      <w:proofErr w:type="spellEnd"/>
      <w:r w:rsidRPr="00E54E95">
        <w:rPr>
          <w:rFonts w:ascii="Arial" w:eastAsia="Arial" w:hAnsi="Arial" w:cs="Arial"/>
          <w:sz w:val="24"/>
          <w:szCs w:val="24"/>
        </w:rPr>
        <w:t xml:space="preserve"> listings and promotional visibility on </w:t>
      </w:r>
      <w:proofErr w:type="spellStart"/>
      <w:r w:rsidRPr="00E54E95">
        <w:rPr>
          <w:rFonts w:ascii="Arial" w:eastAsia="Arial" w:hAnsi="Arial" w:cs="Arial"/>
          <w:sz w:val="24"/>
          <w:szCs w:val="24"/>
        </w:rPr>
        <w:t>Deliveroo</w:t>
      </w:r>
      <w:proofErr w:type="spellEnd"/>
      <w:r w:rsidRPr="00E54E95">
        <w:rPr>
          <w:rFonts w:ascii="Arial" w:eastAsia="Arial" w:hAnsi="Arial" w:cs="Arial"/>
          <w:sz w:val="24"/>
          <w:szCs w:val="24"/>
        </w:rPr>
        <w:t>/Uber Eats, given the sector-wide shift toward delivery-driven convenience demand noted in Section 3.2.</w:t>
      </w:r>
    </w:p>
    <w:p w:rsidR="00E54E95" w:rsidRPr="00E54E95" w:rsidRDefault="00E54E95" w:rsidP="00AF4B2A">
      <w:pPr>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b/>
          <w:bCs/>
          <w:sz w:val="24"/>
          <w:szCs w:val="24"/>
        </w:rPr>
        <w:t>Email/loyalty database</w:t>
      </w:r>
      <w:r w:rsidRPr="00E54E95">
        <w:rPr>
          <w:rFonts w:ascii="Arial" w:eastAsia="Arial" w:hAnsi="Arial" w:cs="Arial"/>
          <w:sz w:val="24"/>
          <w:szCs w:val="24"/>
        </w:rPr>
        <w:t>: building a customer database from launch to support retention campaigns (Section 5.8) at low marginal cost.</w:t>
      </w:r>
    </w:p>
    <w:p w:rsid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5.7 Sales Channels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As established in the Business Model Canvas (Section 4.3), value is delivered through three channels: dine-in (primary), takeaway, and delivery. Marketing spend and messaging will be weighted toward dine-in, since this channel carries the highest margin and is where the differentiated brand experience is fully </w:t>
      </w:r>
      <w:proofErr w:type="spellStart"/>
      <w:r w:rsidRPr="00E54E95">
        <w:rPr>
          <w:rFonts w:ascii="Arial" w:eastAsia="Arial" w:hAnsi="Arial" w:cs="Arial"/>
          <w:sz w:val="24"/>
          <w:szCs w:val="24"/>
        </w:rPr>
        <w:t>realised</w:t>
      </w:r>
      <w:proofErr w:type="spellEnd"/>
      <w:r w:rsidRPr="00E54E95">
        <w:rPr>
          <w:rFonts w:ascii="Arial" w:eastAsia="Arial" w:hAnsi="Arial" w:cs="Arial"/>
          <w:sz w:val="24"/>
          <w:szCs w:val="24"/>
        </w:rPr>
        <w:t>; takeaway and delivery marketing will focus more narrowly on convenience and menu breadth, since the in-restaurant cultural experience cannot be replicated through those channels.</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5.8 Customer Acquisition</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Customer acquisition in the first 3–6 months will rely disproportionately on low-cost, high-trust channels — word-of-mouth within the diaspora community, local press coverage, and review-platform visibility — rather than paid advertising, reflecting both budget constraints typical of a new independent restaurant (Section 4.10) and the higher trust value of peer/community recommendation for a cuisine-authenticity claim. Paid social media advertising will be introduced from month 3 onward, once initial reviews and social proof exist to support conversion.</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5.9 Customer Retention</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Retention will be supported through a lightweight loyalty scheme (e.g. a stamp-card or app-based points system rewarding repeat dine-in visits), regular menu rotation to sustain interest among repeat diaspora and local-family customers, and continued digital engagement via the customer database built in Section 5.6. Given that thin industry margins (Section 4.9) make repeat custom significantly more valuable than one-off visits, retention is treated as a priority equal to acquisition rather than a secondary concern.</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5.10 Sales Targets</w:t>
      </w:r>
    </w:p>
    <w:p w:rsidR="00E54E95" w:rsidRPr="00E54E95" w:rsidRDefault="00AE2F45" w:rsidP="00AF4B2A">
      <w:pPr>
        <w:spacing w:before="100" w:beforeAutospacing="1" w:after="100" w:afterAutospacing="1" w:line="360" w:lineRule="auto"/>
        <w:jc w:val="both"/>
        <w:rPr>
          <w:rFonts w:ascii="Times New Roman" w:eastAsia="Times New Roman" w:hAnsi="Times New Roman" w:cs="Times New Roman"/>
          <w:sz w:val="24"/>
          <w:szCs w:val="24"/>
        </w:rPr>
      </w:pPr>
      <w:r>
        <w:rPr>
          <w:rFonts w:ascii="Arial" w:eastAsia="Arial" w:hAnsi="Arial" w:cs="Arial"/>
          <w:b/>
          <w:bCs/>
          <w:sz w:val="24"/>
          <w:szCs w:val="24"/>
        </w:rPr>
        <w:t>(</w:t>
      </w:r>
      <w:r w:rsidR="00E54E95" w:rsidRPr="00E54E95">
        <w:rPr>
          <w:rFonts w:ascii="Arial" w:eastAsia="Arial" w:hAnsi="Arial" w:cs="Arial"/>
          <w:b/>
          <w:bCs/>
          <w:sz w:val="24"/>
          <w:szCs w:val="24"/>
        </w:rPr>
        <w:t xml:space="preserve">Assumption — to be reconciled with Section 9 Financial Plan once </w:t>
      </w:r>
      <w:r>
        <w:rPr>
          <w:rFonts w:ascii="Arial" w:eastAsia="Arial" w:hAnsi="Arial" w:cs="Arial"/>
          <w:b/>
          <w:bCs/>
          <w:sz w:val="24"/>
          <w:szCs w:val="24"/>
        </w:rPr>
        <w:t>cash flow figures are finalized)</w:t>
      </w:r>
      <w:r w:rsidR="00E54E95" w:rsidRPr="00E54E95">
        <w:rPr>
          <w:rFonts w:ascii="Arial" w:eastAsia="Arial" w:hAnsi="Arial" w:cs="Arial"/>
          <w:sz w:val="24"/>
          <w:szCs w:val="24"/>
        </w:rPr>
        <w:t xml:space="preserve"> Indicative targets for the first 12 months are: achieving 60% of maximum sustainable covers by month 6, and 85% by month 12, with delivery/takeaway revenue growing to represent approximately 25–30% of total revenue by month 12 as digital marketing and platform visibility mature. These targets should be treated as provisional until cross-checked against the detailed cash flow statement in Section 9.</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It is worth noting that marketing priorities are unlikely to remain static across this period. Phelps, Adams and Bessant (2007) observe that growing </w:t>
      </w:r>
      <w:proofErr w:type="spellStart"/>
      <w:r w:rsidRPr="00E54E95">
        <w:rPr>
          <w:rFonts w:ascii="Arial" w:eastAsia="Arial" w:hAnsi="Arial" w:cs="Arial"/>
          <w:sz w:val="24"/>
          <w:szCs w:val="24"/>
        </w:rPr>
        <w:t>organisations</w:t>
      </w:r>
      <w:proofErr w:type="spellEnd"/>
      <w:r w:rsidRPr="00E54E95">
        <w:rPr>
          <w:rFonts w:ascii="Arial" w:eastAsia="Arial" w:hAnsi="Arial" w:cs="Arial"/>
          <w:sz w:val="24"/>
          <w:szCs w:val="24"/>
        </w:rPr>
        <w:t xml:space="preserve"> move through distinct developmental stages, each associated with different managerial and strategic priorities, including how the </w:t>
      </w:r>
      <w:proofErr w:type="spellStart"/>
      <w:r w:rsidRPr="00E54E95">
        <w:rPr>
          <w:rFonts w:ascii="Arial" w:eastAsia="Arial" w:hAnsi="Arial" w:cs="Arial"/>
          <w:sz w:val="24"/>
          <w:szCs w:val="24"/>
        </w:rPr>
        <w:t>organisation</w:t>
      </w:r>
      <w:proofErr w:type="spellEnd"/>
      <w:r w:rsidRPr="00E54E95">
        <w:rPr>
          <w:rFonts w:ascii="Arial" w:eastAsia="Arial" w:hAnsi="Arial" w:cs="Arial"/>
          <w:sz w:val="24"/>
          <w:szCs w:val="24"/>
        </w:rPr>
        <w:t xml:space="preserve"> engages its market. Applied here, this suggests that Taste of India's marketing focus should shift over the year — from awareness-building and trial generation in the launch phase (months 1–3), to conversion and retention-focused activity as repeat custom develops (months 4–8), toward more targeted, segment-specific campaigns (e.g. corporate lunch promotion, festival catering) as the business matures (months 9–12).</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lastRenderedPageBreak/>
        <w:t xml:space="preserve">Because demand in hospitality can be volatile and is sensitive to factors outside the business's control (economic conditions, competitor activity, seasonal fluctuation), marketing spend and promotional intensity should not be fixed rigidly to a single forecast. Scenario-based planning approaches, originally developed for strategic planning in highly uncertain environments (Cornelius, Van de </w:t>
      </w:r>
      <w:proofErr w:type="spellStart"/>
      <w:r w:rsidRPr="00E54E95">
        <w:rPr>
          <w:rFonts w:ascii="Arial" w:eastAsia="Arial" w:hAnsi="Arial" w:cs="Arial"/>
          <w:sz w:val="24"/>
          <w:szCs w:val="24"/>
        </w:rPr>
        <w:t>Putte</w:t>
      </w:r>
      <w:proofErr w:type="spellEnd"/>
      <w:r w:rsidRPr="00E54E95">
        <w:rPr>
          <w:rFonts w:ascii="Arial" w:eastAsia="Arial" w:hAnsi="Arial" w:cs="Arial"/>
          <w:sz w:val="24"/>
          <w:szCs w:val="24"/>
        </w:rPr>
        <w:t xml:space="preserve"> and Romani, 2005; Lindgren and </w:t>
      </w:r>
      <w:proofErr w:type="spellStart"/>
      <w:r w:rsidRPr="00E54E95">
        <w:rPr>
          <w:rFonts w:ascii="Arial" w:eastAsia="Arial" w:hAnsi="Arial" w:cs="Arial"/>
          <w:sz w:val="24"/>
          <w:szCs w:val="24"/>
        </w:rPr>
        <w:t>Bandhold</w:t>
      </w:r>
      <w:proofErr w:type="spellEnd"/>
      <w:r w:rsidRPr="00E54E95">
        <w:rPr>
          <w:rFonts w:ascii="Arial" w:eastAsia="Arial" w:hAnsi="Arial" w:cs="Arial"/>
          <w:sz w:val="24"/>
          <w:szCs w:val="24"/>
        </w:rPr>
        <w:t xml:space="preserve">, 2002), offer a useful discipline here: rather than a single marketing budget tied to one sales forecast, Taste of India should prepare adjusted promotional plans for stronger- and weaker-than-expected early trading scenarios, allowing marketing spend to flex without </w:t>
      </w:r>
      <w:proofErr w:type="spellStart"/>
      <w:r w:rsidRPr="00E54E95">
        <w:rPr>
          <w:rFonts w:ascii="Arial" w:eastAsia="Arial" w:hAnsi="Arial" w:cs="Arial"/>
          <w:sz w:val="24"/>
          <w:szCs w:val="24"/>
        </w:rPr>
        <w:t>destabilising</w:t>
      </w:r>
      <w:proofErr w:type="spellEnd"/>
      <w:r w:rsidRPr="00E54E95">
        <w:rPr>
          <w:rFonts w:ascii="Arial" w:eastAsia="Arial" w:hAnsi="Arial" w:cs="Arial"/>
          <w:sz w:val="24"/>
          <w:szCs w:val="24"/>
        </w:rPr>
        <w:t xml:space="preserve"> the wider financial plan (Section 9).</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5.11 Measuring Marketing Success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Marketing performance will be tracked through a defined set of indicators: covers per week by channel, average spend per cover, delivery/takeaway order volume and repeat-order rate, social media engagement and follower growth, and review platform ratings and volume. Adopting a structured, evidence-based approach to collecting and interpreting this performance data — rather than relying on informal impression — reflects standard practice in business research and evaluation (</w:t>
      </w:r>
      <w:proofErr w:type="spellStart"/>
      <w:r w:rsidRPr="00E54E95">
        <w:rPr>
          <w:rFonts w:ascii="Arial" w:eastAsia="Arial" w:hAnsi="Arial" w:cs="Arial"/>
          <w:sz w:val="24"/>
          <w:szCs w:val="24"/>
        </w:rPr>
        <w:t>Bryman</w:t>
      </w:r>
      <w:proofErr w:type="spellEnd"/>
      <w:r w:rsidRPr="00E54E95">
        <w:rPr>
          <w:rFonts w:ascii="Arial" w:eastAsia="Arial" w:hAnsi="Arial" w:cs="Arial"/>
          <w:sz w:val="24"/>
          <w:szCs w:val="24"/>
        </w:rPr>
        <w:t xml:space="preserve"> and Bell, 2011; Saunders, Lewis and Thornhill, 2009), applied here to ongoing marketing measurement rather than one-off academic research. Monthly review of these indicators against the sales targets in Section 5.10 will allow marketing spend to be reallocated toward the channels and segments generating the strongest return, consistent with the flexible, scenario-informed approach outlined above.</w:t>
      </w:r>
    </w:p>
    <w:p w:rsidR="00EB500F" w:rsidRDefault="00EB500F"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AE2F45" w:rsidRDefault="00AE2F45"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A63DE6" w:rsidRDefault="00A63DE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A63DE6" w:rsidRDefault="00A63DE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E54E95" w:rsidRPr="00E54E95" w:rsidRDefault="00E54E95"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E54E95">
        <w:rPr>
          <w:rFonts w:ascii="Arial" w:eastAsia="Arial" w:hAnsi="Arial" w:cs="Arial"/>
          <w:b/>
          <w:bCs/>
          <w:sz w:val="36"/>
          <w:szCs w:val="36"/>
        </w:rPr>
        <w:lastRenderedPageBreak/>
        <w:t>6. Operation Plan</w:t>
      </w: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6.1 Location and Operating Base</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Taste of India will operate from a single site in central Leicester </w:t>
      </w:r>
      <w:r w:rsidRPr="00E54E95">
        <w:rPr>
          <w:rFonts w:ascii="Arial" w:eastAsia="Arial" w:hAnsi="Arial" w:cs="Arial"/>
          <w:b/>
          <w:bCs/>
          <w:sz w:val="24"/>
          <w:szCs w:val="24"/>
        </w:rPr>
        <w:t>[specific address to be confirmed once premises are secured]</w:t>
      </w:r>
      <w:r w:rsidRPr="00E54E95">
        <w:rPr>
          <w:rFonts w:ascii="Arial" w:eastAsia="Arial" w:hAnsi="Arial" w:cs="Arial"/>
          <w:sz w:val="24"/>
          <w:szCs w:val="24"/>
        </w:rPr>
        <w:t>, chosen for proximity to South Asian retail and dining clusters, footfall from Leicester's student population, and visibility to the city's visitor economy (see Section 3.1). The premises will require sufficient space for a commercial kitchen, dine-in seating, and a takeaway/collection point, with layout planned to support all three sales channels identified in the Business Model Canvas (Section 4.3) without operational conflict — for example, keeping takeaway collection separate from the dine-in floor to avoid disrupting the seated dining experience.</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6.2 Suppliers and Partners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As detailed in Sections 3.3 and 4.8, the supply chain will combine three supplier types to balance cost, authenticity and resilience:</w:t>
      </w:r>
    </w:p>
    <w:p w:rsidR="001B5210" w:rsidRPr="001B5210" w:rsidRDefault="001B5210" w:rsidP="00AF4B2A">
      <w:pPr>
        <w:spacing w:before="160" w:after="80" w:line="360" w:lineRule="auto"/>
        <w:jc w:val="both"/>
        <w:rPr>
          <w:rFonts w:ascii="Times New Roman" w:hAnsi="Times New Roman" w:cs="Times New Roman"/>
          <w:sz w:val="24"/>
          <w:szCs w:val="24"/>
        </w:rPr>
      </w:pPr>
      <w:r w:rsidRPr="001B5210">
        <w:rPr>
          <w:rFonts w:ascii="Arial" w:eastAsia="Arial" w:hAnsi="Arial" w:cs="Arial"/>
          <w:b/>
          <w:bCs/>
          <w:sz w:val="24"/>
          <w:szCs w:val="24"/>
        </w:rPr>
        <w:t>Table 5: Potential suppliers and categories</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3800"/>
        <w:gridCol w:w="3600"/>
      </w:tblGrid>
      <w:tr w:rsidR="001B5210" w:rsidRPr="001B5210" w:rsidTr="001B5210">
        <w:trPr>
          <w:tblHeader/>
        </w:trPr>
        <w:tc>
          <w:tcPr>
            <w:tcW w:w="2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Supplier Type</w:t>
            </w:r>
          </w:p>
        </w:tc>
        <w:tc>
          <w:tcPr>
            <w:tcW w:w="38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Examples</w:t>
            </w:r>
          </w:p>
        </w:tc>
        <w:tc>
          <w:tcPr>
            <w:tcW w:w="3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Role</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Wholesale foodservice</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proofErr w:type="spellStart"/>
            <w:r w:rsidRPr="001B5210">
              <w:rPr>
                <w:rFonts w:ascii="Arial" w:eastAsia="Arial" w:hAnsi="Arial" w:cs="Arial"/>
                <w:sz w:val="24"/>
                <w:szCs w:val="24"/>
              </w:rPr>
              <w:t>Bidfood</w:t>
            </w:r>
            <w:proofErr w:type="spellEnd"/>
            <w:r w:rsidRPr="001B5210">
              <w:rPr>
                <w:rFonts w:ascii="Arial" w:eastAsia="Arial" w:hAnsi="Arial" w:cs="Arial"/>
                <w:sz w:val="24"/>
                <w:szCs w:val="24"/>
              </w:rPr>
              <w:t>, Brakes, Booker</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Staple goods, general produce, frozen stock</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Ethnic food distributors</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Specialist Indian spice/grocery suppliers</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Authentic spices, lentils, flours, regional ingredients</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Local suppliers</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Leicester Market halal butchers, regional produce sellers</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Fresh meat, seasonal vegetables, community sourcing</w:t>
            </w:r>
          </w:p>
        </w:tc>
      </w:tr>
      <w:tr w:rsidR="001B5210" w:rsidRPr="001B5210" w:rsidTr="001B5210">
        <w:tc>
          <w:tcPr>
            <w:tcW w:w="2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lastRenderedPageBreak/>
              <w:t>Delivery platforms</w:t>
            </w:r>
          </w:p>
        </w:tc>
        <w:tc>
          <w:tcPr>
            <w:tcW w:w="3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proofErr w:type="spellStart"/>
            <w:r w:rsidRPr="001B5210">
              <w:rPr>
                <w:rFonts w:ascii="Arial" w:eastAsia="Arial" w:hAnsi="Arial" w:cs="Arial"/>
                <w:sz w:val="24"/>
                <w:szCs w:val="24"/>
              </w:rPr>
              <w:t>Deliveroo</w:t>
            </w:r>
            <w:proofErr w:type="spellEnd"/>
            <w:r w:rsidRPr="001B5210">
              <w:rPr>
                <w:rFonts w:ascii="Arial" w:eastAsia="Arial" w:hAnsi="Arial" w:cs="Arial"/>
                <w:sz w:val="24"/>
                <w:szCs w:val="24"/>
              </w:rPr>
              <w:t>, Uber Eats</w:t>
            </w:r>
          </w:p>
        </w:tc>
        <w:tc>
          <w:tcPr>
            <w:tcW w:w="3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Order fulfilment for the delivery channel</w:t>
            </w:r>
          </w:p>
        </w:tc>
      </w:tr>
    </w:tbl>
    <w:p w:rsidR="001B5210" w:rsidRDefault="001B5210" w:rsidP="00AF4B2A">
      <w:pPr>
        <w:spacing w:before="100" w:beforeAutospacing="1" w:after="100" w:afterAutospacing="1" w:line="360" w:lineRule="auto"/>
        <w:jc w:val="both"/>
        <w:rPr>
          <w:rFonts w:ascii="Times New Roman" w:eastAsia="Times New Roman" w:hAnsi="Times New Roman" w:cs="Times New Roman"/>
          <w:sz w:val="24"/>
          <w:szCs w:val="24"/>
        </w:rPr>
      </w:pPr>
    </w:p>
    <w:p w:rsidR="001B5210" w:rsidRPr="00B9185B" w:rsidRDefault="00E54E95" w:rsidP="00B9185B">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This diversified structure directly mitigates the supply chain risk identified in the original market research: no single supplier failure should be able to halt service, and the mix of national and local sourcing balances cost-efficiency with the authenticity the value proposition depends on (Section 4.6).</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6.3 Equipment and Technology</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Core kitchen equipment will include commercial tandoor ovens, gas ranges suited to regional cooking techniques, refrigeration and dry storage adequate for a diversified ingredient base, and standard food preparation equipment. Front-of-house technology will include a point-of-sale (EPOS) system integrated with delivery platform order management, enabling a single order flow across dine-in, takeaway and delivery channels rather than three disconnected systems. A basic reservation system (in-house or third-party, e.g. </w:t>
      </w:r>
      <w:proofErr w:type="spellStart"/>
      <w:r w:rsidRPr="00E54E95">
        <w:rPr>
          <w:rFonts w:ascii="Arial" w:eastAsia="Arial" w:hAnsi="Arial" w:cs="Arial"/>
          <w:sz w:val="24"/>
          <w:szCs w:val="24"/>
        </w:rPr>
        <w:t>OpenTable</w:t>
      </w:r>
      <w:proofErr w:type="spellEnd"/>
      <w:r w:rsidRPr="00E54E95">
        <w:rPr>
          <w:rFonts w:ascii="Arial" w:eastAsia="Arial" w:hAnsi="Arial" w:cs="Arial"/>
          <w:sz w:val="24"/>
          <w:szCs w:val="24"/>
        </w:rPr>
        <w:t>) will support the dine-in channel, particularly for weekend and festival-period demand (Section 5.5).</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lastRenderedPageBreak/>
        <w:t>6.4 Production and Service Delivery</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Regional dishes will be prepared to order rather than mass-batched wherever practical, supporting the authenticity claim central to the brand (Section 5.4). </w:t>
      </w:r>
      <w:proofErr w:type="spellStart"/>
      <w:r w:rsidRPr="00E54E95">
        <w:rPr>
          <w:rFonts w:ascii="Arial" w:eastAsia="Arial" w:hAnsi="Arial" w:cs="Arial"/>
          <w:sz w:val="24"/>
          <w:szCs w:val="24"/>
        </w:rPr>
        <w:t>Standardised</w:t>
      </w:r>
      <w:proofErr w:type="spellEnd"/>
      <w:r w:rsidRPr="00E54E95">
        <w:rPr>
          <w:rFonts w:ascii="Arial" w:eastAsia="Arial" w:hAnsi="Arial" w:cs="Arial"/>
          <w:sz w:val="24"/>
          <w:szCs w:val="24"/>
        </w:rPr>
        <w:t xml:space="preserve"> recipe documentation and portion specifications will be used across all chefs to maintain consistency — particularly important given the business's dependence on regionally trained chefs as a scarce key resource (Section 4.6). Service delivery timing targets will be set separately for dine-in (table service pacing) and takeaway/delivery (order-to-collection/dispatch time), </w:t>
      </w:r>
      <w:proofErr w:type="spellStart"/>
      <w:r w:rsidRPr="00E54E95">
        <w:rPr>
          <w:rFonts w:ascii="Arial" w:eastAsia="Arial" w:hAnsi="Arial" w:cs="Arial"/>
          <w:sz w:val="24"/>
          <w:szCs w:val="24"/>
        </w:rPr>
        <w:t>recognising</w:t>
      </w:r>
      <w:proofErr w:type="spellEnd"/>
      <w:r w:rsidRPr="00E54E95">
        <w:rPr>
          <w:rFonts w:ascii="Arial" w:eastAsia="Arial" w:hAnsi="Arial" w:cs="Arial"/>
          <w:sz w:val="24"/>
          <w:szCs w:val="24"/>
        </w:rPr>
        <w:t xml:space="preserve"> that customer expectations differ meaningfully between these channels.</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6.5 Distribution</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Distribution operates across the three channels established in Section 4.3: direct dine-in service, in-house takeaway collection, and third-party delivery platform fulfilment. No additional distribution infrastructure (e.g. in-house delivery fleet) is planned at launch, </w:t>
      </w:r>
      <w:proofErr w:type="spellStart"/>
      <w:r w:rsidRPr="00E54E95">
        <w:rPr>
          <w:rFonts w:ascii="Arial" w:eastAsia="Arial" w:hAnsi="Arial" w:cs="Arial"/>
          <w:sz w:val="24"/>
          <w:szCs w:val="24"/>
        </w:rPr>
        <w:t>minimising</w:t>
      </w:r>
      <w:proofErr w:type="spellEnd"/>
      <w:r w:rsidRPr="00E54E95">
        <w:rPr>
          <w:rFonts w:ascii="Arial" w:eastAsia="Arial" w:hAnsi="Arial" w:cs="Arial"/>
          <w:sz w:val="24"/>
          <w:szCs w:val="24"/>
        </w:rPr>
        <w:t xml:space="preserve"> fixed operating costs (Section 4.9) while still capturing delivery demand through established platform partnerships.</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6.6 Quality Control</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Quality control will operate at three levels: ingredient level (supplier vetting and incoming goods checks, particularly for perishable and halal-certified items), preparation level (</w:t>
      </w:r>
      <w:proofErr w:type="spellStart"/>
      <w:r w:rsidRPr="00E54E95">
        <w:rPr>
          <w:rFonts w:ascii="Arial" w:eastAsia="Arial" w:hAnsi="Arial" w:cs="Arial"/>
          <w:sz w:val="24"/>
          <w:szCs w:val="24"/>
        </w:rPr>
        <w:t>standardised</w:t>
      </w:r>
      <w:proofErr w:type="spellEnd"/>
      <w:r w:rsidRPr="00E54E95">
        <w:rPr>
          <w:rFonts w:ascii="Arial" w:eastAsia="Arial" w:hAnsi="Arial" w:cs="Arial"/>
          <w:sz w:val="24"/>
          <w:szCs w:val="24"/>
        </w:rPr>
        <w:t xml:space="preserve"> recipes and chef training, Section 6.4), and service level (customer feedback monitoring via review platforms, as established in Section 5.6, and regular internal service audits). Given that the core value proposition rests on authenticity and consistency, quality control is treated as inseparable from the marketing strategy rather than a purely operational afterthought — inconsistent food quality would directly undermine the brand positioning established in Section 5.2.</w:t>
      </w: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lastRenderedPageBreak/>
        <w:t>6.7 Customer Service</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Customer service standards will be set separately by channel, reflecting the different customer expectations identified in Section 5.1: attentive, knowledgeable table service for dine-in customers (including staff ability to explain regional dishes, supporting the storytelling element of the brand), efficient and accurate order handling for takeaway, and clear communication and packaging standards for delivery, where the customer experience depends entirely on food quality on arrival rather than any in-person interaction.</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6.8 Legal, Licensing and Regulatory Requirements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As outlined in Section 3.7, the business will require food hygiene registration with Leicester City Council, compliance with Food Standards Agency allergen labelling requirements, and — if alcohol is served — a premises </w:t>
      </w:r>
      <w:proofErr w:type="spellStart"/>
      <w:r w:rsidRPr="00E54E95">
        <w:rPr>
          <w:rFonts w:ascii="Arial" w:eastAsia="Arial" w:hAnsi="Arial" w:cs="Arial"/>
          <w:sz w:val="24"/>
          <w:szCs w:val="24"/>
        </w:rPr>
        <w:t>licence</w:t>
      </w:r>
      <w:proofErr w:type="spellEnd"/>
      <w:r w:rsidRPr="00E54E95">
        <w:rPr>
          <w:rFonts w:ascii="Arial" w:eastAsia="Arial" w:hAnsi="Arial" w:cs="Arial"/>
          <w:sz w:val="24"/>
          <w:szCs w:val="24"/>
        </w:rPr>
        <w:t>. Employment law compliance (right-to-work checks, minimum wage, working time regulations) applies once staff are recruited (Section 7). Menu and branding materials will be checked to avoid infringing existing trademarks or copyrighted material, and any original branding, logo and menu design will be registered where appropriate to protect the business's own intellectual property as its reputation develops.</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t>6.9 Insurance Requirements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 xml:space="preserve">Standard hospitality insurance will be required at launch, including public liability insurance (covering customer injury on premises), employer's liability insurance (a legal requirement once staff are employed), product/food liability insurance (covering illness or allergic reaction claims — particularly important given the allergen risk inherent in a diverse, spice-heavy regional menu), and buildings/contents insurance covering the premises, kitchen equipment and fit-out investment. </w:t>
      </w:r>
      <w:r w:rsidR="00AE2F45">
        <w:rPr>
          <w:rFonts w:ascii="Arial" w:eastAsia="Arial" w:hAnsi="Arial" w:cs="Arial"/>
          <w:b/>
          <w:bCs/>
          <w:sz w:val="24"/>
          <w:szCs w:val="24"/>
        </w:rPr>
        <w:t>(</w:t>
      </w:r>
      <w:r w:rsidRPr="00E54E95">
        <w:rPr>
          <w:rFonts w:ascii="Arial" w:eastAsia="Arial" w:hAnsi="Arial" w:cs="Arial"/>
          <w:b/>
          <w:bCs/>
          <w:sz w:val="24"/>
          <w:szCs w:val="24"/>
        </w:rPr>
        <w:t>Assumption — actual insurance provider and premium costs to be confirmed and reflecte</w:t>
      </w:r>
      <w:r w:rsidR="00AE2F45">
        <w:rPr>
          <w:rFonts w:ascii="Arial" w:eastAsia="Arial" w:hAnsi="Arial" w:cs="Arial"/>
          <w:b/>
          <w:bCs/>
          <w:sz w:val="24"/>
          <w:szCs w:val="24"/>
        </w:rPr>
        <w:t>d in Section 9, Financial Plan.)</w:t>
      </w:r>
    </w:p>
    <w:p w:rsidR="00E54E95" w:rsidRPr="00E54E95" w:rsidRDefault="00E54E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54E95">
        <w:rPr>
          <w:rFonts w:ascii="Arial" w:eastAsia="Arial" w:hAnsi="Arial" w:cs="Arial"/>
          <w:b/>
          <w:bCs/>
          <w:sz w:val="27"/>
          <w:szCs w:val="27"/>
        </w:rPr>
        <w:lastRenderedPageBreak/>
        <w:t>6.10 Key Operational Milestones</w:t>
      </w:r>
    </w:p>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Building on the 8-month launch timeline introduced in the original project outline, key operational milestones are:</w:t>
      </w:r>
    </w:p>
    <w:p w:rsidR="001B5210" w:rsidRPr="001B5210" w:rsidRDefault="001B5210" w:rsidP="00AF4B2A">
      <w:pPr>
        <w:spacing w:before="160" w:after="80" w:line="360" w:lineRule="auto"/>
        <w:jc w:val="both"/>
        <w:rPr>
          <w:rFonts w:ascii="Times New Roman" w:hAnsi="Times New Roman" w:cs="Times New Roman"/>
          <w:sz w:val="24"/>
          <w:szCs w:val="24"/>
        </w:rPr>
      </w:pPr>
      <w:r w:rsidRPr="001B5210">
        <w:rPr>
          <w:rFonts w:ascii="Arial" w:eastAsia="Arial" w:hAnsi="Arial" w:cs="Arial"/>
          <w:b/>
          <w:bCs/>
          <w:sz w:val="24"/>
          <w:szCs w:val="24"/>
        </w:rPr>
        <w:t>Table 6: Key operational milestones and target timing</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600"/>
        <w:gridCol w:w="2800"/>
      </w:tblGrid>
      <w:tr w:rsidR="001B5210" w:rsidRPr="001B5210" w:rsidTr="001B5210">
        <w:trPr>
          <w:tblHeader/>
        </w:trPr>
        <w:tc>
          <w:tcPr>
            <w:tcW w:w="66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Milestone</w:t>
            </w:r>
          </w:p>
        </w:tc>
        <w:tc>
          <w:tcPr>
            <w:tcW w:w="2800" w:type="dxa"/>
            <w:shd w:val="clear" w:color="auto" w:fill="D9D9D9"/>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b/>
                <w:bCs/>
                <w:sz w:val="24"/>
                <w:szCs w:val="24"/>
              </w:rPr>
              <w:t>Target Timing</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Premises secured and lease signed</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1-2</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Kitchen fit-out and equipment installation</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2-4</w:t>
            </w:r>
          </w:p>
        </w:tc>
      </w:tr>
      <w:tr w:rsidR="001B5210" w:rsidRPr="001B5210" w:rsidTr="001B5210">
        <w:tc>
          <w:tcPr>
            <w:tcW w:w="6600" w:type="dxa"/>
            <w:tcMar>
              <w:top w:w="80" w:type="dxa"/>
              <w:left w:w="100" w:type="dxa"/>
              <w:bottom w:w="80" w:type="dxa"/>
              <w:right w:w="100" w:type="dxa"/>
            </w:tcMar>
            <w:vAlign w:val="center"/>
          </w:tcPr>
          <w:p w:rsidR="001B5210" w:rsidRPr="001B5210" w:rsidRDefault="003460A0" w:rsidP="00AF4B2A">
            <w:pPr>
              <w:spacing w:line="240" w:lineRule="auto"/>
              <w:jc w:val="both"/>
              <w:rPr>
                <w:rFonts w:ascii="Times New Roman" w:hAnsi="Times New Roman" w:cs="Times New Roman"/>
                <w:sz w:val="24"/>
                <w:szCs w:val="24"/>
              </w:rPr>
            </w:pPr>
            <w:r>
              <w:rPr>
                <w:rFonts w:ascii="Arial" w:eastAsia="Arial" w:hAnsi="Arial" w:cs="Arial"/>
                <w:sz w:val="24"/>
                <w:szCs w:val="24"/>
              </w:rPr>
              <w:t>Supplier agreements finaliz</w:t>
            </w:r>
            <w:r w:rsidR="001B5210" w:rsidRPr="001B5210">
              <w:rPr>
                <w:rFonts w:ascii="Arial" w:eastAsia="Arial" w:hAnsi="Arial" w:cs="Arial"/>
                <w:sz w:val="24"/>
                <w:szCs w:val="24"/>
              </w:rPr>
              <w:t>ed</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3-4</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Core chef and kitchen staff recruited</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4-5</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Food hygiene registration, licensing and insurance in place</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4-6</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EPOS, reservation and delivery platform systems live</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5-6</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Staff training and menu trial period</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6-7</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Soft launch (press, community, review generation)</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7</w:t>
            </w:r>
          </w:p>
        </w:tc>
      </w:tr>
      <w:tr w:rsidR="001B5210" w:rsidRPr="001B5210" w:rsidTr="001B5210">
        <w:tc>
          <w:tcPr>
            <w:tcW w:w="66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Full public launch</w:t>
            </w:r>
          </w:p>
        </w:tc>
        <w:tc>
          <w:tcPr>
            <w:tcW w:w="2800" w:type="dxa"/>
            <w:tcMar>
              <w:top w:w="80" w:type="dxa"/>
              <w:left w:w="100" w:type="dxa"/>
              <w:bottom w:w="80" w:type="dxa"/>
              <w:right w:w="100" w:type="dxa"/>
            </w:tcMar>
            <w:vAlign w:val="center"/>
          </w:tcPr>
          <w:p w:rsidR="001B5210" w:rsidRPr="001B5210" w:rsidRDefault="001B5210" w:rsidP="00AF4B2A">
            <w:pPr>
              <w:spacing w:line="240" w:lineRule="auto"/>
              <w:jc w:val="both"/>
              <w:rPr>
                <w:rFonts w:ascii="Times New Roman" w:hAnsi="Times New Roman" w:cs="Times New Roman"/>
                <w:sz w:val="24"/>
                <w:szCs w:val="24"/>
              </w:rPr>
            </w:pPr>
            <w:r w:rsidRPr="001B5210">
              <w:rPr>
                <w:rFonts w:ascii="Arial" w:eastAsia="Arial" w:hAnsi="Arial" w:cs="Arial"/>
                <w:sz w:val="24"/>
                <w:szCs w:val="24"/>
              </w:rPr>
              <w:t>Month 8</w:t>
            </w:r>
          </w:p>
        </w:tc>
      </w:tr>
    </w:tbl>
    <w:p w:rsidR="00E54E95" w:rsidRPr="00E54E95" w:rsidRDefault="00E54E95" w:rsidP="00AF4B2A">
      <w:pPr>
        <w:spacing w:before="100" w:beforeAutospacing="1" w:after="100" w:afterAutospacing="1" w:line="360" w:lineRule="auto"/>
        <w:jc w:val="both"/>
        <w:rPr>
          <w:rFonts w:ascii="Times New Roman" w:eastAsia="Times New Roman" w:hAnsi="Times New Roman" w:cs="Times New Roman"/>
          <w:sz w:val="24"/>
          <w:szCs w:val="24"/>
        </w:rPr>
      </w:pPr>
      <w:r w:rsidRPr="00E54E95">
        <w:rPr>
          <w:rFonts w:ascii="Arial" w:eastAsia="Arial" w:hAnsi="Arial" w:cs="Arial"/>
          <w:sz w:val="24"/>
          <w:szCs w:val="24"/>
        </w:rPr>
        <w:t>This sequencing ensures that dependent activities (e.g. staff training cannot begin meaningfully before recruitment; licensing must be confirmed before soft launch) are ordered correctly, and mirrors the operational logic already established across the Business Model Canvas (Section 4) and Marketing Strategy (Section 5): the value proposition, staffing and marketing readiness must all converge at the same launch point rather than arriving piecemeal.</w:t>
      </w:r>
    </w:p>
    <w:p w:rsidR="00EB500F" w:rsidRPr="00EB500F" w:rsidRDefault="00EB500F"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EB500F">
        <w:rPr>
          <w:rFonts w:ascii="Arial" w:eastAsia="Arial" w:hAnsi="Arial" w:cs="Arial"/>
          <w:b/>
          <w:bCs/>
          <w:sz w:val="36"/>
          <w:szCs w:val="36"/>
        </w:rPr>
        <w:lastRenderedPageBreak/>
        <w:t>7. Human Resource Capital Allocation</w:t>
      </w: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7.1 Founder/Owner Role</w:t>
      </w:r>
    </w:p>
    <w:p w:rsidR="001B5210" w:rsidRPr="001B5210" w:rsidRDefault="001B5210" w:rsidP="00AF4B2A">
      <w:pPr>
        <w:spacing w:before="100" w:beforeAutospacing="1" w:after="100" w:afterAutospacing="1" w:line="360" w:lineRule="auto"/>
        <w:jc w:val="both"/>
        <w:outlineLvl w:val="2"/>
        <w:rPr>
          <w:rFonts w:ascii="Times New Roman" w:eastAsia="Times New Roman" w:hAnsi="Times New Roman" w:cs="Times New Roman"/>
          <w:sz w:val="24"/>
          <w:szCs w:val="24"/>
        </w:rPr>
      </w:pPr>
      <w:r w:rsidRPr="001B5210">
        <w:rPr>
          <w:rFonts w:ascii="Arial" w:eastAsia="Arial" w:hAnsi="Arial" w:cs="Arial"/>
          <w:sz w:val="24"/>
          <w:szCs w:val="24"/>
        </w:rPr>
        <w:t>As sole director and founder (Section 2.6), the owner will hold overall responsibility for strategic direction, financial oversight, supplier and landlord relationships, and initial recruitment. During the pre-launch period and the early trading phase, the founder is also expected to take an active front-of-house role, overseeing service quality and gathering direct customer feedback. This serves two purposes. It helps control costs during the highest-risk early trading period, and it allows the founder to maintain close oversight of the authenticity and consistency standards that are central to the brand (Section 5.4, Section 6.6).</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7.2 Staffing at Launch (Month 0–6)</w:t>
      </w:r>
    </w:p>
    <w:p w:rsidR="00EB500F" w:rsidRPr="00EB500F" w:rsidRDefault="00EB500F" w:rsidP="00AF4B2A">
      <w:p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At launch, the team will be deliberately lean, reflecting the cost discipline required given thin sector margins (Section 4.9):</w:t>
      </w:r>
    </w:p>
    <w:p w:rsidR="009D3FCB" w:rsidRPr="009D3FCB" w:rsidRDefault="009D3FCB" w:rsidP="00AF4B2A">
      <w:pPr>
        <w:spacing w:before="160" w:after="80" w:line="360" w:lineRule="auto"/>
        <w:jc w:val="both"/>
        <w:rPr>
          <w:rFonts w:ascii="Times New Roman" w:hAnsi="Times New Roman" w:cs="Times New Roman"/>
          <w:sz w:val="24"/>
          <w:szCs w:val="24"/>
        </w:rPr>
      </w:pPr>
      <w:r w:rsidRPr="009D3FCB">
        <w:rPr>
          <w:rFonts w:ascii="Arial" w:eastAsia="Arial" w:hAnsi="Arial" w:cs="Arial"/>
          <w:b/>
          <w:bCs/>
          <w:sz w:val="24"/>
          <w:szCs w:val="24"/>
        </w:rPr>
        <w:t>Table 7: Staffing plan at launch</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1800"/>
        <w:gridCol w:w="4800"/>
      </w:tblGrid>
      <w:tr w:rsidR="009D3FCB" w:rsidRPr="009D3FCB" w:rsidTr="00FC60F1">
        <w:trPr>
          <w:tblHeader/>
        </w:trPr>
        <w:tc>
          <w:tcPr>
            <w:tcW w:w="3400" w:type="dxa"/>
            <w:shd w:val="clear" w:color="auto" w:fill="D9D9D9"/>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b/>
                <w:bCs/>
                <w:sz w:val="24"/>
                <w:szCs w:val="24"/>
              </w:rPr>
              <w:t>Role</w:t>
            </w:r>
          </w:p>
        </w:tc>
        <w:tc>
          <w:tcPr>
            <w:tcW w:w="1800" w:type="dxa"/>
            <w:shd w:val="clear" w:color="auto" w:fill="D9D9D9"/>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b/>
                <w:bCs/>
                <w:sz w:val="24"/>
                <w:szCs w:val="24"/>
              </w:rPr>
              <w:t>Number</w:t>
            </w:r>
          </w:p>
        </w:tc>
        <w:tc>
          <w:tcPr>
            <w:tcW w:w="4800" w:type="dxa"/>
            <w:shd w:val="clear" w:color="auto" w:fill="D9D9D9"/>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b/>
                <w:bCs/>
                <w:sz w:val="24"/>
                <w:szCs w:val="24"/>
              </w:rPr>
              <w:t>Core Responsibilities</w:t>
            </w:r>
          </w:p>
        </w:tc>
      </w:tr>
      <w:tr w:rsidR="009D3FCB" w:rsidRPr="009D3FCB" w:rsidTr="00FC60F1">
        <w:tc>
          <w:tcPr>
            <w:tcW w:w="3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Head Chef (regional specialist)</w:t>
            </w:r>
          </w:p>
        </w:tc>
        <w:tc>
          <w:tcPr>
            <w:tcW w:w="1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1</w:t>
            </w:r>
          </w:p>
        </w:tc>
        <w:tc>
          <w:tcPr>
            <w:tcW w:w="4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 xml:space="preserve">Menu execution, recipe </w:t>
            </w:r>
            <w:proofErr w:type="spellStart"/>
            <w:r w:rsidRPr="009D3FCB">
              <w:rPr>
                <w:rFonts w:ascii="Arial" w:eastAsia="Arial" w:hAnsi="Arial" w:cs="Arial"/>
                <w:sz w:val="24"/>
                <w:szCs w:val="24"/>
              </w:rPr>
              <w:t>standardisation</w:t>
            </w:r>
            <w:proofErr w:type="spellEnd"/>
            <w:r w:rsidRPr="009D3FCB">
              <w:rPr>
                <w:rFonts w:ascii="Arial" w:eastAsia="Arial" w:hAnsi="Arial" w:cs="Arial"/>
                <w:sz w:val="24"/>
                <w:szCs w:val="24"/>
              </w:rPr>
              <w:t>, kitchen leadership</w:t>
            </w:r>
          </w:p>
        </w:tc>
      </w:tr>
      <w:tr w:rsidR="009D3FCB" w:rsidRPr="009D3FCB" w:rsidTr="00FC60F1">
        <w:tc>
          <w:tcPr>
            <w:tcW w:w="3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Sous/Line Chefs</w:t>
            </w:r>
          </w:p>
        </w:tc>
        <w:tc>
          <w:tcPr>
            <w:tcW w:w="1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2</w:t>
            </w:r>
          </w:p>
        </w:tc>
        <w:tc>
          <w:tcPr>
            <w:tcW w:w="4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Food preparation across regional dishes</w:t>
            </w:r>
          </w:p>
        </w:tc>
      </w:tr>
      <w:tr w:rsidR="009D3FCB" w:rsidRPr="009D3FCB" w:rsidTr="00FC60F1">
        <w:tc>
          <w:tcPr>
            <w:tcW w:w="3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Kitchen Porter</w:t>
            </w:r>
          </w:p>
        </w:tc>
        <w:tc>
          <w:tcPr>
            <w:tcW w:w="1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1</w:t>
            </w:r>
          </w:p>
        </w:tc>
        <w:tc>
          <w:tcPr>
            <w:tcW w:w="4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Food prep support, cleaning, stock rotation</w:t>
            </w:r>
          </w:p>
        </w:tc>
      </w:tr>
      <w:tr w:rsidR="009D3FCB" w:rsidRPr="009D3FCB" w:rsidTr="00FC60F1">
        <w:tc>
          <w:tcPr>
            <w:tcW w:w="3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lastRenderedPageBreak/>
              <w:t>Front-of-House Manager</w:t>
            </w:r>
          </w:p>
        </w:tc>
        <w:tc>
          <w:tcPr>
            <w:tcW w:w="1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1</w:t>
            </w:r>
          </w:p>
        </w:tc>
        <w:tc>
          <w:tcPr>
            <w:tcW w:w="4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Service standards, reservations, staff scheduling</w:t>
            </w:r>
          </w:p>
        </w:tc>
      </w:tr>
      <w:tr w:rsidR="009D3FCB" w:rsidRPr="009D3FCB" w:rsidTr="00FC60F1">
        <w:tc>
          <w:tcPr>
            <w:tcW w:w="3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Waiting Staff</w:t>
            </w:r>
          </w:p>
        </w:tc>
        <w:tc>
          <w:tcPr>
            <w:tcW w:w="1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2-3 (part-time)</w:t>
            </w:r>
          </w:p>
        </w:tc>
        <w:tc>
          <w:tcPr>
            <w:tcW w:w="4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Table service, customer interaction</w:t>
            </w:r>
          </w:p>
        </w:tc>
      </w:tr>
      <w:tr w:rsidR="009D3FCB" w:rsidRPr="009D3FCB" w:rsidTr="00FC60F1">
        <w:tc>
          <w:tcPr>
            <w:tcW w:w="3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Takeaway/Delivery Coordinator</w:t>
            </w:r>
          </w:p>
        </w:tc>
        <w:tc>
          <w:tcPr>
            <w:tcW w:w="1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1 (part-time)</w:t>
            </w:r>
          </w:p>
        </w:tc>
        <w:tc>
          <w:tcPr>
            <w:tcW w:w="48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Order accuracy, platform management</w:t>
            </w:r>
          </w:p>
        </w:tc>
      </w:tr>
    </w:tbl>
    <w:p w:rsidR="009D3FCB" w:rsidRDefault="009D3FCB" w:rsidP="00AF4B2A">
      <w:pPr>
        <w:spacing w:before="100" w:beforeAutospacing="1" w:after="100" w:afterAutospacing="1" w:line="360" w:lineRule="auto"/>
        <w:jc w:val="both"/>
        <w:rPr>
          <w:rFonts w:ascii="Times New Roman" w:eastAsia="Times New Roman" w:hAnsi="Times New Roman" w:cs="Times New Roman"/>
          <w:sz w:val="24"/>
          <w:szCs w:val="24"/>
        </w:rPr>
      </w:pPr>
    </w:p>
    <w:p w:rsidR="00EB500F" w:rsidRPr="00EB500F" w:rsidRDefault="00EB500F" w:rsidP="00AF4B2A">
      <w:p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This gives a launch headcount of approximately 8–9 people (several part-time), sized to the premises and expected early covers rather than to full projected capacity, consistent with the phased sales targets in Section 5.10.</w:t>
      </w:r>
    </w:p>
    <w:p w:rsidR="009D3FCB" w:rsidRDefault="009D3FCB"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7.3 Staffing Growth at 6 Months</w:t>
      </w:r>
    </w:p>
    <w:p w:rsidR="00EB500F" w:rsidRPr="00EB500F" w:rsidRDefault="00AE2F45" w:rsidP="00AF4B2A">
      <w:pPr>
        <w:spacing w:before="100" w:beforeAutospacing="1" w:after="100" w:afterAutospacing="1" w:line="360" w:lineRule="auto"/>
        <w:jc w:val="both"/>
        <w:rPr>
          <w:rFonts w:ascii="Times New Roman" w:eastAsia="Times New Roman" w:hAnsi="Times New Roman" w:cs="Times New Roman"/>
          <w:sz w:val="24"/>
          <w:szCs w:val="24"/>
        </w:rPr>
      </w:pPr>
      <w:r>
        <w:rPr>
          <w:rFonts w:ascii="Arial" w:eastAsia="Arial" w:hAnsi="Arial" w:cs="Arial"/>
          <w:b/>
          <w:bCs/>
          <w:sz w:val="24"/>
          <w:szCs w:val="24"/>
        </w:rPr>
        <w:t>(</w:t>
      </w:r>
      <w:r w:rsidR="00EB500F" w:rsidRPr="00EB500F">
        <w:rPr>
          <w:rFonts w:ascii="Arial" w:eastAsia="Arial" w:hAnsi="Arial" w:cs="Arial"/>
          <w:b/>
          <w:bCs/>
          <w:sz w:val="24"/>
          <w:szCs w:val="24"/>
        </w:rPr>
        <w:t>Assumption — to be reconciled against actual tra</w:t>
      </w:r>
      <w:r>
        <w:rPr>
          <w:rFonts w:ascii="Arial" w:eastAsia="Arial" w:hAnsi="Arial" w:cs="Arial"/>
          <w:b/>
          <w:bCs/>
          <w:sz w:val="24"/>
          <w:szCs w:val="24"/>
        </w:rPr>
        <w:t>ding performance once available)</w:t>
      </w:r>
      <w:r w:rsidR="00EB500F" w:rsidRPr="00EB500F">
        <w:rPr>
          <w:rFonts w:ascii="Arial" w:eastAsia="Arial" w:hAnsi="Arial" w:cs="Arial"/>
          <w:sz w:val="24"/>
          <w:szCs w:val="24"/>
        </w:rPr>
        <w:t xml:space="preserve"> Assuming trading tracks toward the 60%-of-capacity target set for month 6 (Section 5.10), staffing will expand modestly:</w:t>
      </w:r>
    </w:p>
    <w:p w:rsidR="00EB500F" w:rsidRPr="00EB500F" w:rsidRDefault="00EB500F" w:rsidP="00AF4B2A">
      <w:pPr>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An additional line chef to support increased volume without compromising food quality (Section 6.6)</w:t>
      </w:r>
    </w:p>
    <w:p w:rsidR="00EB500F" w:rsidRPr="00EB500F" w:rsidRDefault="00EB500F" w:rsidP="00AF4B2A">
      <w:pPr>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Additional part-time waiting staff to support weekend/evening peak service</w:t>
      </w:r>
    </w:p>
    <w:p w:rsidR="00EB500F" w:rsidRPr="00EB500F" w:rsidRDefault="00EB500F" w:rsidP="00AF4B2A">
      <w:pPr>
        <w:numPr>
          <w:ilvl w:val="0"/>
          <w:numId w:val="10"/>
        </w:num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A part-time bookkeeper or administrative assistant to support the founder as transaction volume grows</w:t>
      </w:r>
    </w:p>
    <w:p w:rsidR="00EB500F" w:rsidRPr="00EB500F" w:rsidRDefault="00EB500F" w:rsidP="00AF4B2A">
      <w:p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This brings headcount to approximately 11–12 people by month 6, growth weighted toward kitchen capacity first, since food quality consistency is the business's core differentiator and the most fragile element of scaling (Section 4.6, Section 4.10).</w:t>
      </w: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lastRenderedPageBreak/>
        <w:t>7.4 Staffing Growth at 12 Months</w:t>
      </w:r>
    </w:p>
    <w:p w:rsidR="00EB500F" w:rsidRPr="00EB500F" w:rsidRDefault="00F77BAB" w:rsidP="00AF4B2A">
      <w:pPr>
        <w:spacing w:before="100" w:beforeAutospacing="1" w:after="100" w:afterAutospacing="1" w:line="360" w:lineRule="auto"/>
        <w:jc w:val="both"/>
        <w:rPr>
          <w:rFonts w:ascii="Times New Roman" w:eastAsia="Times New Roman" w:hAnsi="Times New Roman" w:cs="Times New Roman"/>
          <w:sz w:val="24"/>
          <w:szCs w:val="24"/>
        </w:rPr>
      </w:pPr>
      <w:r>
        <w:rPr>
          <w:rFonts w:ascii="Arial" w:eastAsia="Arial" w:hAnsi="Arial" w:cs="Arial"/>
          <w:b/>
          <w:bCs/>
          <w:sz w:val="24"/>
          <w:szCs w:val="24"/>
        </w:rPr>
        <w:t>(Assumption)</w:t>
      </w:r>
      <w:r w:rsidR="00EB500F" w:rsidRPr="00EB500F">
        <w:rPr>
          <w:rFonts w:ascii="Arial" w:eastAsia="Arial" w:hAnsi="Arial" w:cs="Arial"/>
          <w:sz w:val="24"/>
          <w:szCs w:val="24"/>
        </w:rPr>
        <w:t xml:space="preserve"> By month 12, assuming the 85%-of-capacity target is broadly met, the team is expected to reach approximately 14–15 people, with the addition of:</w:t>
      </w:r>
    </w:p>
    <w:p w:rsidR="00EB500F" w:rsidRPr="00EB500F" w:rsidRDefault="00EB500F" w:rsidP="00AF4B2A">
      <w:pPr>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A second regionally trained chef, allowing menu rotation across a wider range of regional cuisines without over-relying on a single individual — directly addressing the key-resource dependency risk flagged in Section 4.10</w:t>
      </w:r>
    </w:p>
    <w:p w:rsidR="00EB500F" w:rsidRPr="00EB500F" w:rsidRDefault="00EB500F" w:rsidP="00AF4B2A">
      <w:pPr>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Further front-of-house and delivery coordination support to sustain service quality as volume grows</w:t>
      </w:r>
    </w:p>
    <w:p w:rsidR="00EB500F" w:rsidRPr="00EB500F" w:rsidRDefault="00EB500F" w:rsidP="00AF4B2A">
      <w:pPr>
        <w:numPr>
          <w:ilvl w:val="0"/>
          <w:numId w:val="11"/>
        </w:num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Potential introduction of an assistant manager role, allowing the founder to shift focus from daily operations toward strategic growth activity (e.g. evaluating expansion, Section 2.5's longer-term vision)</w:t>
      </w:r>
    </w:p>
    <w:p w:rsidR="00EB500F" w:rsidRPr="00EB500F" w:rsidRDefault="00AE2F4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Pr>
          <w:rFonts w:ascii="Arial" w:eastAsia="Arial" w:hAnsi="Arial" w:cs="Arial"/>
          <w:b/>
          <w:bCs/>
          <w:sz w:val="27"/>
          <w:szCs w:val="27"/>
        </w:rPr>
        <w:br/>
      </w:r>
      <w:r w:rsidR="00EB500F" w:rsidRPr="00EB500F">
        <w:rPr>
          <w:rFonts w:ascii="Arial" w:eastAsia="Arial" w:hAnsi="Arial" w:cs="Arial"/>
          <w:b/>
          <w:bCs/>
          <w:sz w:val="27"/>
          <w:szCs w:val="27"/>
        </w:rPr>
        <w:t>7.5 Responsibilities and Skills Needed</w:t>
      </w:r>
    </w:p>
    <w:p w:rsidR="00EB500F" w:rsidRPr="00EB500F" w:rsidRDefault="00EB500F" w:rsidP="00AF4B2A">
      <w:p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Beyond the role descriptions above, two skill areas are treated as critical rather than generic: genuine regional culinary training (the core differentiator identified throughout this proposal, Section 4.6) and food safety/allergen management competency, given the allergen risk inherent in a spice-heavy, diverse regional menu (Section 6.9). Front-of-house staff require sufficient product knowledge to explain regional dishes to customers, directly supporting the brand storytelling strategy (Section 5.4) rather than functioning as a purely transactional service role.</w:t>
      </w:r>
    </w:p>
    <w:p w:rsidR="00B9185B" w:rsidRDefault="00B9185B"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7.6 Skills Gaps</w:t>
      </w:r>
    </w:p>
    <w:p w:rsidR="00EB500F" w:rsidRPr="00EB500F" w:rsidRDefault="00EB500F" w:rsidP="00AF4B2A">
      <w:p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 xml:space="preserve">The most significant identified skills gap is the founder's own limited direct hands-on hospitality operations experience </w:t>
      </w:r>
      <w:r w:rsidR="00F77BAB">
        <w:rPr>
          <w:rFonts w:ascii="Arial" w:eastAsia="Arial" w:hAnsi="Arial" w:cs="Arial"/>
          <w:b/>
          <w:bCs/>
          <w:sz w:val="24"/>
          <w:szCs w:val="24"/>
        </w:rPr>
        <w:t>(</w:t>
      </w:r>
      <w:r w:rsidRPr="00EB500F">
        <w:rPr>
          <w:rFonts w:ascii="Arial" w:eastAsia="Arial" w:hAnsi="Arial" w:cs="Arial"/>
          <w:b/>
          <w:bCs/>
          <w:sz w:val="24"/>
          <w:szCs w:val="24"/>
        </w:rPr>
        <w:t>assumption — to be adjusted based on founder's actual background, per Section 2.2</w:t>
      </w:r>
      <w:r w:rsidR="00F77BAB">
        <w:rPr>
          <w:rFonts w:ascii="Arial" w:eastAsia="Arial" w:hAnsi="Arial" w:cs="Arial"/>
          <w:b/>
          <w:bCs/>
          <w:sz w:val="24"/>
          <w:szCs w:val="24"/>
        </w:rPr>
        <w:t>)</w:t>
      </w:r>
      <w:r w:rsidRPr="00EB500F">
        <w:rPr>
          <w:rFonts w:ascii="Arial" w:eastAsia="Arial" w:hAnsi="Arial" w:cs="Arial"/>
          <w:sz w:val="24"/>
          <w:szCs w:val="24"/>
        </w:rPr>
        <w:t xml:space="preserve"> which is addressed through the Front-of-House Manager </w:t>
      </w:r>
      <w:r w:rsidRPr="00EB500F">
        <w:rPr>
          <w:rFonts w:ascii="Arial" w:eastAsia="Arial" w:hAnsi="Arial" w:cs="Arial"/>
          <w:sz w:val="24"/>
          <w:szCs w:val="24"/>
        </w:rPr>
        <w:lastRenderedPageBreak/>
        <w:t>role (Section 7.2) and outsourced professional support (Section 7.8). A secondary gap is the limited local talent pool for chefs with deep, specific regional (rather than generalist "Indian cuisine") training — this is treated as a recruitment risk requiring a deliberate sourcing strategy (Section 7.7) rather than assumed to resolve through standard local hiring channels.</w:t>
      </w:r>
      <w:r w:rsidRPr="00AE2F45">
        <w:rPr>
          <w:rFonts w:ascii="Arial" w:eastAsia="Arial" w:hAnsi="Arial" w:cs="Arial"/>
          <w:sz w:val="24"/>
        </w:rPr>
        <w:t xml:space="preserve"> This challenge is consistent with wider hospitality and tourism workforce research, which identifies recruitment, retention and skills shortages as persistent, sector-wide human resource issues rather than problems unique to a single new business (Baum, 2015).</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7.7 Recruitment</w:t>
      </w:r>
    </w:p>
    <w:p w:rsidR="00EB500F" w:rsidRPr="00EB500F" w:rsidRDefault="00EB500F" w:rsidP="00AF4B2A">
      <w:pPr>
        <w:spacing w:before="100" w:beforeAutospacing="1" w:after="100" w:afterAutospacing="1" w:line="360" w:lineRule="auto"/>
        <w:jc w:val="both"/>
        <w:rPr>
          <w:rFonts w:ascii="Times New Roman" w:eastAsia="Times New Roman" w:hAnsi="Times New Roman" w:cs="Times New Roman"/>
          <w:sz w:val="24"/>
          <w:szCs w:val="24"/>
        </w:rPr>
      </w:pPr>
      <w:r w:rsidRPr="00EB500F">
        <w:rPr>
          <w:rFonts w:ascii="Arial" w:eastAsia="Arial" w:hAnsi="Arial" w:cs="Arial"/>
          <w:sz w:val="24"/>
          <w:szCs w:val="24"/>
        </w:rPr>
        <w:t xml:space="preserve">Recruitment for specialist regional chef roles will draw on wider UK and, where necessary, international hospitality recruitment channels and industry/community networks, rather than relying solely on local job listings, given the specific and scarce skill set required (Section 4.6). General front-of-house and kitchen support roles will be recruited locally, drawing on Leicester's hospitality </w:t>
      </w:r>
      <w:proofErr w:type="spellStart"/>
      <w:r w:rsidRPr="00EB500F">
        <w:rPr>
          <w:rFonts w:ascii="Arial" w:eastAsia="Arial" w:hAnsi="Arial" w:cs="Arial"/>
          <w:sz w:val="24"/>
          <w:szCs w:val="24"/>
        </w:rPr>
        <w:t>labour</w:t>
      </w:r>
      <w:proofErr w:type="spellEnd"/>
      <w:r w:rsidRPr="00EB500F">
        <w:rPr>
          <w:rFonts w:ascii="Arial" w:eastAsia="Arial" w:hAnsi="Arial" w:cs="Arial"/>
          <w:sz w:val="24"/>
          <w:szCs w:val="24"/>
        </w:rPr>
        <w:t xml:space="preserve"> market and its student population (Section 3.3) as a flexible, part-time </w:t>
      </w:r>
      <w:proofErr w:type="spellStart"/>
      <w:r w:rsidRPr="00EB500F">
        <w:rPr>
          <w:rFonts w:ascii="Arial" w:eastAsia="Arial" w:hAnsi="Arial" w:cs="Arial"/>
          <w:sz w:val="24"/>
          <w:szCs w:val="24"/>
        </w:rPr>
        <w:t>labour</w:t>
      </w:r>
      <w:proofErr w:type="spellEnd"/>
      <w:r w:rsidRPr="00EB500F">
        <w:rPr>
          <w:rFonts w:ascii="Arial" w:eastAsia="Arial" w:hAnsi="Arial" w:cs="Arial"/>
          <w:sz w:val="24"/>
          <w:szCs w:val="24"/>
        </w:rPr>
        <w:t xml:space="preserve"> source. Right-to-work checks and standard UK employment compliance will apply to all hires (Section 6.8).</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7.8 Training</w:t>
      </w:r>
    </w:p>
    <w:p w:rsidR="009D3FCB" w:rsidRPr="009D3FCB" w:rsidRDefault="009D3FCB" w:rsidP="00AF4B2A">
      <w:pPr>
        <w:spacing w:after="200" w:line="360" w:lineRule="auto"/>
        <w:jc w:val="both"/>
        <w:rPr>
          <w:rFonts w:ascii="Times New Roman" w:hAnsi="Times New Roman" w:cs="Times New Roman"/>
          <w:sz w:val="24"/>
          <w:szCs w:val="24"/>
        </w:rPr>
      </w:pPr>
      <w:r w:rsidRPr="009D3FCB">
        <w:rPr>
          <w:rFonts w:ascii="Arial" w:eastAsia="Arial" w:hAnsi="Arial" w:cs="Arial"/>
          <w:sz w:val="24"/>
          <w:szCs w:val="24"/>
        </w:rPr>
        <w:t xml:space="preserve">New staff will undergo structured onboarding covering </w:t>
      </w:r>
      <w:proofErr w:type="spellStart"/>
      <w:r w:rsidRPr="009D3FCB">
        <w:rPr>
          <w:rFonts w:ascii="Arial" w:eastAsia="Arial" w:hAnsi="Arial" w:cs="Arial"/>
          <w:sz w:val="24"/>
          <w:szCs w:val="24"/>
        </w:rPr>
        <w:t>standardised</w:t>
      </w:r>
      <w:proofErr w:type="spellEnd"/>
      <w:r w:rsidRPr="009D3FCB">
        <w:rPr>
          <w:rFonts w:ascii="Arial" w:eastAsia="Arial" w:hAnsi="Arial" w:cs="Arial"/>
          <w:sz w:val="24"/>
          <w:szCs w:val="24"/>
        </w:rPr>
        <w:t xml:space="preserve"> recipes and preparation procedures (Section 6.4), food hygiene and allergen protocols, and brand/service standards (Section 6.7), ensuring consistency is maintained even as headcount grows across the 12-month period. Ongoing training will include periodic refreshers on new menu items as regional rotation is introduced (Section 4.5).</w:t>
      </w:r>
    </w:p>
    <w:p w:rsidR="00EB500F" w:rsidRPr="00EB500F" w:rsidRDefault="009D3FCB" w:rsidP="00AF4B2A">
      <w:pPr>
        <w:spacing w:before="100" w:beforeAutospacing="1" w:after="100" w:afterAutospacing="1" w:line="360" w:lineRule="auto"/>
        <w:jc w:val="both"/>
        <w:rPr>
          <w:rFonts w:ascii="Times New Roman" w:eastAsia="Times New Roman" w:hAnsi="Times New Roman" w:cs="Times New Roman"/>
          <w:sz w:val="24"/>
          <w:szCs w:val="24"/>
        </w:rPr>
      </w:pPr>
      <w:r w:rsidRPr="009D3FCB">
        <w:rPr>
          <w:rFonts w:ascii="Arial" w:eastAsia="Arial" w:hAnsi="Arial" w:cs="Arial"/>
          <w:sz w:val="24"/>
          <w:szCs w:val="24"/>
        </w:rPr>
        <w:t xml:space="preserve">The legal duty to train food handlers in the UK derives from the Food Safety Act 1990, the Food Safety and Hygiene (England) Regulations 2013, and the retained UK version of Regulation (EC) No 852/2004 (Annex II, Chapter XII), which together require food business operators </w:t>
      </w:r>
      <w:r w:rsidRPr="009D3FCB">
        <w:rPr>
          <w:rFonts w:ascii="Arial" w:eastAsia="Arial" w:hAnsi="Arial" w:cs="Arial"/>
          <w:sz w:val="24"/>
          <w:szCs w:val="24"/>
        </w:rPr>
        <w:lastRenderedPageBreak/>
        <w:t xml:space="preserve">to ensure staff are supervised, instructed and trained in food hygiene matters commensurate with their role. No single certificate is named in law, but Taste of India will require all food handlers to hold a Level 2 Food Hygiene and Safety Certificate as the </w:t>
      </w:r>
      <w:proofErr w:type="spellStart"/>
      <w:r w:rsidRPr="009D3FCB">
        <w:rPr>
          <w:rFonts w:ascii="Arial" w:eastAsia="Arial" w:hAnsi="Arial" w:cs="Arial"/>
          <w:sz w:val="24"/>
          <w:szCs w:val="24"/>
        </w:rPr>
        <w:t>recognised</w:t>
      </w:r>
      <w:proofErr w:type="spellEnd"/>
      <w:r w:rsidRPr="009D3FCB">
        <w:rPr>
          <w:rFonts w:ascii="Arial" w:eastAsia="Arial" w:hAnsi="Arial" w:cs="Arial"/>
          <w:sz w:val="24"/>
          <w:szCs w:val="24"/>
        </w:rPr>
        <w:t xml:space="preserve"> industry standard for demonstrating compliance, with recertification every three years in line with Food Standards Agency guidance and local Environmental Health Officer expectations.</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EB500F" w:rsidRPr="00EB500F" w:rsidRDefault="00EB500F"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EB500F">
        <w:rPr>
          <w:rFonts w:ascii="Arial" w:eastAsia="Arial" w:hAnsi="Arial" w:cs="Arial"/>
          <w:b/>
          <w:bCs/>
          <w:sz w:val="27"/>
          <w:szCs w:val="27"/>
        </w:rPr>
        <w:t>7.9 Outsourced Professional Support</w:t>
      </w:r>
    </w:p>
    <w:p w:rsidR="00AE2F45" w:rsidRPr="00A41A1C" w:rsidRDefault="008A6671" w:rsidP="00A41A1C">
      <w:pPr>
        <w:spacing w:before="100" w:beforeAutospacing="1" w:after="100" w:afterAutospacing="1" w:line="360" w:lineRule="auto"/>
        <w:jc w:val="both"/>
        <w:rPr>
          <w:rFonts w:ascii="Times New Roman" w:eastAsia="Times New Roman" w:hAnsi="Times New Roman" w:cs="Times New Roman"/>
          <w:sz w:val="24"/>
          <w:szCs w:val="24"/>
        </w:rPr>
      </w:pPr>
      <w:r w:rsidRPr="008A6671">
        <w:rPr>
          <w:rFonts w:ascii="Arial" w:eastAsia="Arial" w:hAnsi="Arial" w:cs="Arial"/>
          <w:sz w:val="24"/>
          <w:szCs w:val="24"/>
        </w:rPr>
        <w:t xml:space="preserve">Unlike the professional functions in Section 7.10, ingredient procurement is deliberately kept in-house rather than outsourced. Because sourcing quality and consistency underpin the authenticity value proposition (Section 4.6, Section 6.2, Section 6.6), day-to-day ordering, supplier quality-checking and stock management sit with the </w:t>
      </w:r>
      <w:r w:rsidRPr="008A6671">
        <w:rPr>
          <w:rFonts w:ascii="Arial" w:eastAsia="Arial" w:hAnsi="Arial" w:cs="Arial"/>
          <w:b/>
          <w:bCs/>
          <w:sz w:val="24"/>
          <w:szCs w:val="24"/>
        </w:rPr>
        <w:t>Head Chef</w:t>
      </w:r>
      <w:r w:rsidRPr="008A6671">
        <w:rPr>
          <w:rFonts w:ascii="Arial" w:eastAsia="Arial" w:hAnsi="Arial" w:cs="Arial"/>
          <w:sz w:val="24"/>
          <w:szCs w:val="24"/>
        </w:rPr>
        <w:t xml:space="preserve">, who is best placed to judge whether incoming ingredients meet the standard the regional menu depends on. The </w:t>
      </w:r>
      <w:r w:rsidRPr="008A6671">
        <w:rPr>
          <w:rFonts w:ascii="Arial" w:eastAsia="Arial" w:hAnsi="Arial" w:cs="Arial"/>
          <w:b/>
          <w:bCs/>
          <w:sz w:val="24"/>
          <w:szCs w:val="24"/>
        </w:rPr>
        <w:t>Founder</w:t>
      </w:r>
      <w:r w:rsidRPr="008A6671">
        <w:rPr>
          <w:rFonts w:ascii="Arial" w:eastAsia="Arial" w:hAnsi="Arial" w:cs="Arial"/>
          <w:sz w:val="24"/>
          <w:szCs w:val="24"/>
        </w:rPr>
        <w:t xml:space="preserve"> retains oversight of the</w:t>
      </w:r>
      <w:r w:rsidR="00C64C6D">
        <w:rPr>
          <w:rFonts w:ascii="Arial" w:eastAsia="Arial" w:hAnsi="Arial" w:cs="Arial"/>
          <w:sz w:val="24"/>
          <w:szCs w:val="24"/>
        </w:rPr>
        <w:t xml:space="preserve"> supplier contracts themselves </w:t>
      </w:r>
      <w:r w:rsidR="00C64C6D" w:rsidRPr="008A6671">
        <w:rPr>
          <w:rFonts w:ascii="Arial" w:eastAsia="Arial" w:hAnsi="Arial" w:cs="Arial"/>
          <w:sz w:val="24"/>
          <w:szCs w:val="24"/>
        </w:rPr>
        <w:t>negotiating</w:t>
      </w:r>
      <w:r w:rsidRPr="008A6671">
        <w:rPr>
          <w:rFonts w:ascii="Arial" w:eastAsia="Arial" w:hAnsi="Arial" w:cs="Arial"/>
          <w:sz w:val="24"/>
          <w:szCs w:val="24"/>
        </w:rPr>
        <w:t xml:space="preserve"> terms with the wholesale, ethnic-specialist and local suppliers identified in Section 6.2, and rev</w:t>
      </w:r>
      <w:r w:rsidR="00C64C6D">
        <w:rPr>
          <w:rFonts w:ascii="Arial" w:eastAsia="Arial" w:hAnsi="Arial" w:cs="Arial"/>
          <w:sz w:val="24"/>
          <w:szCs w:val="24"/>
        </w:rPr>
        <w:t xml:space="preserve">iewing pricing and </w:t>
      </w:r>
      <w:proofErr w:type="gramStart"/>
      <w:r w:rsidR="00C64C6D">
        <w:rPr>
          <w:rFonts w:ascii="Arial" w:eastAsia="Arial" w:hAnsi="Arial" w:cs="Arial"/>
          <w:sz w:val="24"/>
          <w:szCs w:val="24"/>
        </w:rPr>
        <w:t xml:space="preserve">reliability </w:t>
      </w:r>
      <w:r w:rsidRPr="008A6671">
        <w:rPr>
          <w:rFonts w:ascii="Arial" w:eastAsia="Arial" w:hAnsi="Arial" w:cs="Arial"/>
          <w:sz w:val="24"/>
          <w:szCs w:val="24"/>
        </w:rPr>
        <w:t xml:space="preserve"> particularly</w:t>
      </w:r>
      <w:proofErr w:type="gramEnd"/>
      <w:r w:rsidRPr="008A6671">
        <w:rPr>
          <w:rFonts w:ascii="Arial" w:eastAsia="Arial" w:hAnsi="Arial" w:cs="Arial"/>
          <w:sz w:val="24"/>
          <w:szCs w:val="24"/>
        </w:rPr>
        <w:t xml:space="preserve"> during the first six months of trading, before this responsibility is potentially delegated further as the team grows (Section 7.4). This division of </w:t>
      </w:r>
      <w:proofErr w:type="spellStart"/>
      <w:r w:rsidRPr="008A6671">
        <w:rPr>
          <w:rFonts w:ascii="Arial" w:eastAsia="Arial" w:hAnsi="Arial" w:cs="Arial"/>
          <w:sz w:val="24"/>
          <w:szCs w:val="24"/>
        </w:rPr>
        <w:t>labour</w:t>
      </w:r>
      <w:proofErr w:type="spellEnd"/>
      <w:r w:rsidRPr="008A6671">
        <w:rPr>
          <w:rFonts w:ascii="Arial" w:eastAsia="Arial" w:hAnsi="Arial" w:cs="Arial"/>
          <w:sz w:val="24"/>
          <w:szCs w:val="24"/>
        </w:rPr>
        <w:t xml:space="preserve"> is intended to</w:t>
      </w:r>
      <w:r w:rsidR="00C64C6D">
        <w:rPr>
          <w:rFonts w:ascii="Arial" w:eastAsia="Arial" w:hAnsi="Arial" w:cs="Arial"/>
          <w:sz w:val="24"/>
          <w:szCs w:val="24"/>
        </w:rPr>
        <w:t xml:space="preserve"> protect the core differentiate</w:t>
      </w:r>
      <w:r w:rsidRPr="008A6671">
        <w:rPr>
          <w:rFonts w:ascii="Arial" w:eastAsia="Arial" w:hAnsi="Arial" w:cs="Arial"/>
          <w:sz w:val="24"/>
          <w:szCs w:val="24"/>
        </w:rPr>
        <w:t xml:space="preserve"> (regional authenticity) by keeping sourcing judgement with the person most qualified to exercise it, while keeping commercial supplier relationships under founder-level oversight while the business is still establishing trading history and nego</w:t>
      </w:r>
      <w:bookmarkStart w:id="2" w:name="_Toc237864345"/>
      <w:r w:rsidR="00A41A1C">
        <w:rPr>
          <w:rFonts w:ascii="Arial" w:eastAsia="Arial" w:hAnsi="Arial" w:cs="Arial"/>
          <w:sz w:val="24"/>
          <w:szCs w:val="24"/>
        </w:rPr>
        <w:t>tiating leverage with suppliers</w:t>
      </w:r>
    </w:p>
    <w:p w:rsidR="00AE2F45" w:rsidRDefault="00AE2F45" w:rsidP="00AF4B2A">
      <w:pPr>
        <w:spacing w:before="160" w:after="80" w:line="360" w:lineRule="auto"/>
        <w:jc w:val="both"/>
        <w:rPr>
          <w:rFonts w:ascii="Arial" w:eastAsia="Arial" w:hAnsi="Arial" w:cs="Arial"/>
          <w:b/>
          <w:sz w:val="27"/>
          <w:szCs w:val="27"/>
        </w:rPr>
      </w:pPr>
    </w:p>
    <w:p w:rsidR="00C64C6D" w:rsidRPr="003460A0" w:rsidRDefault="009D3FCB" w:rsidP="00AF4B2A">
      <w:pPr>
        <w:spacing w:before="160" w:after="80" w:line="360" w:lineRule="auto"/>
        <w:jc w:val="both"/>
        <w:rPr>
          <w:rFonts w:ascii="Times New Roman" w:hAnsi="Times New Roman" w:cs="Times New Roman"/>
          <w:b/>
          <w:sz w:val="27"/>
          <w:szCs w:val="27"/>
        </w:rPr>
      </w:pPr>
      <w:r w:rsidRPr="009D3FCB">
        <w:rPr>
          <w:rFonts w:ascii="Arial" w:eastAsia="Arial" w:hAnsi="Arial" w:cs="Arial"/>
          <w:b/>
          <w:sz w:val="27"/>
          <w:szCs w:val="27"/>
        </w:rPr>
        <w:t>7.10 Outsourced Professional Support</w:t>
      </w:r>
      <w:bookmarkEnd w:id="2"/>
    </w:p>
    <w:p w:rsidR="009D3FCB" w:rsidRPr="009D3FCB" w:rsidRDefault="009D3FCB" w:rsidP="00AF4B2A">
      <w:pPr>
        <w:spacing w:before="160" w:after="80" w:line="360" w:lineRule="auto"/>
        <w:jc w:val="both"/>
        <w:rPr>
          <w:rFonts w:ascii="Times New Roman" w:hAnsi="Times New Roman" w:cs="Times New Roman"/>
          <w:sz w:val="24"/>
          <w:szCs w:val="24"/>
        </w:rPr>
      </w:pPr>
      <w:r w:rsidRPr="009D3FCB">
        <w:rPr>
          <w:rFonts w:ascii="Arial" w:eastAsia="Arial" w:hAnsi="Arial" w:cs="Arial"/>
          <w:b/>
          <w:bCs/>
          <w:sz w:val="24"/>
          <w:szCs w:val="24"/>
        </w:rPr>
        <w:t>Table 8: Outsourced professional support functions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400"/>
      </w:tblGrid>
      <w:tr w:rsidR="009D3FCB" w:rsidRPr="009D3FCB" w:rsidTr="00FC60F1">
        <w:trPr>
          <w:tblHeader/>
        </w:trPr>
        <w:tc>
          <w:tcPr>
            <w:tcW w:w="3000" w:type="dxa"/>
            <w:shd w:val="clear" w:color="auto" w:fill="D9D9D9"/>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b/>
                <w:bCs/>
                <w:sz w:val="24"/>
                <w:szCs w:val="24"/>
              </w:rPr>
              <w:lastRenderedPageBreak/>
              <w:t>Function</w:t>
            </w:r>
          </w:p>
        </w:tc>
        <w:tc>
          <w:tcPr>
            <w:tcW w:w="6400" w:type="dxa"/>
            <w:shd w:val="clear" w:color="auto" w:fill="D9D9D9"/>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b/>
                <w:bCs/>
                <w:sz w:val="24"/>
                <w:szCs w:val="24"/>
              </w:rPr>
              <w:t>Outsourced Role</w:t>
            </w:r>
          </w:p>
        </w:tc>
      </w:tr>
      <w:tr w:rsidR="009D3FCB" w:rsidRPr="009D3FCB" w:rsidTr="00FC60F1">
        <w:tc>
          <w:tcPr>
            <w:tcW w:w="30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Accounting/bookkeeping</w:t>
            </w:r>
          </w:p>
        </w:tc>
        <w:tc>
          <w:tcPr>
            <w:tcW w:w="6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Qualified accountant for statutory accounts, VAT and payroll compliance</w:t>
            </w:r>
          </w:p>
        </w:tc>
      </w:tr>
      <w:tr w:rsidR="009D3FCB" w:rsidRPr="009D3FCB" w:rsidTr="00FC60F1">
        <w:tc>
          <w:tcPr>
            <w:tcW w:w="30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Legal</w:t>
            </w:r>
          </w:p>
        </w:tc>
        <w:tc>
          <w:tcPr>
            <w:tcW w:w="6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Legal adviser for lease negotiation, licensing applications and employment contracts</w:t>
            </w:r>
          </w:p>
        </w:tc>
      </w:tr>
      <w:tr w:rsidR="009D3FCB" w:rsidRPr="009D3FCB" w:rsidTr="00FC60F1">
        <w:tc>
          <w:tcPr>
            <w:tcW w:w="30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Website/digital</w:t>
            </w:r>
          </w:p>
        </w:tc>
        <w:tc>
          <w:tcPr>
            <w:tcW w:w="6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Website developer/freelancer supporting the digital marketing strategy</w:t>
            </w:r>
          </w:p>
        </w:tc>
      </w:tr>
      <w:tr w:rsidR="009D3FCB" w:rsidRPr="009D3FCB" w:rsidTr="00FC60F1">
        <w:tc>
          <w:tcPr>
            <w:tcW w:w="30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Insurance</w:t>
            </w:r>
          </w:p>
        </w:tc>
        <w:tc>
          <w:tcPr>
            <w:tcW w:w="6400" w:type="dxa"/>
            <w:tcMar>
              <w:top w:w="80" w:type="dxa"/>
              <w:left w:w="100" w:type="dxa"/>
              <w:bottom w:w="80" w:type="dxa"/>
              <w:right w:w="100" w:type="dxa"/>
            </w:tcMar>
            <w:vAlign w:val="center"/>
          </w:tcPr>
          <w:p w:rsidR="009D3FCB" w:rsidRPr="009D3FCB" w:rsidRDefault="009D3FCB" w:rsidP="00AF4B2A">
            <w:pPr>
              <w:spacing w:line="240" w:lineRule="auto"/>
              <w:jc w:val="both"/>
              <w:rPr>
                <w:rFonts w:ascii="Times New Roman" w:hAnsi="Times New Roman" w:cs="Times New Roman"/>
                <w:sz w:val="24"/>
                <w:szCs w:val="24"/>
              </w:rPr>
            </w:pPr>
            <w:r w:rsidRPr="009D3FCB">
              <w:rPr>
                <w:rFonts w:ascii="Arial" w:eastAsia="Arial" w:hAnsi="Arial" w:cs="Arial"/>
                <w:sz w:val="24"/>
                <w:szCs w:val="24"/>
              </w:rPr>
              <w:t>Insurance broker to arrange required cover</w:t>
            </w:r>
          </w:p>
        </w:tc>
      </w:tr>
    </w:tbl>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A41A1C" w:rsidRDefault="00A41A1C" w:rsidP="00AF4B2A">
      <w:pPr>
        <w:spacing w:before="100" w:beforeAutospacing="1" w:after="100" w:afterAutospacing="1" w:line="360" w:lineRule="auto"/>
        <w:jc w:val="both"/>
        <w:outlineLvl w:val="1"/>
        <w:rPr>
          <w:rFonts w:ascii="Arial" w:eastAsia="Arial" w:hAnsi="Arial" w:cs="Arial"/>
          <w:b/>
          <w:bCs/>
          <w:sz w:val="36"/>
          <w:szCs w:val="36"/>
        </w:rPr>
      </w:pPr>
    </w:p>
    <w:p w:rsidR="00541B95" w:rsidRPr="00541B95" w:rsidRDefault="00541B95"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541B95">
        <w:rPr>
          <w:rFonts w:ascii="Arial" w:eastAsia="Arial" w:hAnsi="Arial" w:cs="Arial"/>
          <w:b/>
          <w:bCs/>
          <w:sz w:val="36"/>
          <w:szCs w:val="36"/>
        </w:rPr>
        <w:lastRenderedPageBreak/>
        <w:t>8. Business Analysis Models</w:t>
      </w:r>
    </w:p>
    <w:p w:rsidR="00B9185B"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 xml:space="preserve">This section applies five established strategic frameworks — PESTLE, SWOT, Competitor Analysis, Porter's Five Forces, and the </w:t>
      </w:r>
      <w:proofErr w:type="spellStart"/>
      <w:r w:rsidRPr="00541B95">
        <w:rPr>
          <w:rFonts w:ascii="Arial" w:eastAsia="Arial" w:hAnsi="Arial" w:cs="Arial"/>
          <w:sz w:val="24"/>
          <w:szCs w:val="24"/>
        </w:rPr>
        <w:t>Ansoff</w:t>
      </w:r>
      <w:proofErr w:type="spellEnd"/>
      <w:r w:rsidRPr="00541B95">
        <w:rPr>
          <w:rFonts w:ascii="Arial" w:eastAsia="Arial" w:hAnsi="Arial" w:cs="Arial"/>
          <w:sz w:val="24"/>
          <w:szCs w:val="24"/>
        </w:rPr>
        <w:t xml:space="preserve"> Matrix — to critically evaluate the viability of Taste of India. Applying multiple complementary models, rather than a single framework, allows internal factors (capabilities, resources) to be assessed alongside external factors (macro-environment, competitive structure) and strategic growth options, producing a more rigorous and triangulated assessment than any one model could provide in isolation.</w:t>
      </w:r>
    </w:p>
    <w:p w:rsidR="00B9185B" w:rsidRPr="00B9185B" w:rsidRDefault="00B9185B" w:rsidP="00B9185B">
      <w:pPr>
        <w:spacing w:line="360" w:lineRule="auto"/>
        <w:rPr>
          <w:rFonts w:ascii="Times New Roman" w:eastAsia="Times New Roman" w:hAnsi="Times New Roman" w:cs="Times New Roman"/>
          <w:sz w:val="24"/>
          <w:szCs w:val="24"/>
        </w:rPr>
      </w:pPr>
    </w:p>
    <w:p w:rsidR="00B9185B" w:rsidRPr="00B9185B" w:rsidRDefault="00B9185B" w:rsidP="00B9185B">
      <w:pPr>
        <w:spacing w:line="360" w:lineRule="auto"/>
        <w:rPr>
          <w:rFonts w:ascii="Times New Roman" w:eastAsia="Times New Roman" w:hAnsi="Times New Roman" w:cs="Times New Roman"/>
          <w:sz w:val="24"/>
          <w:szCs w:val="24"/>
        </w:rPr>
      </w:pPr>
      <w:r w:rsidRPr="00C864F0">
        <w:rPr>
          <w:rFonts w:ascii="Arial" w:eastAsia="Arial" w:hAnsi="Arial" w:cs="Arial"/>
          <w:noProof/>
          <w:sz w:val="24"/>
          <w:szCs w:val="24"/>
        </w:rPr>
        <w:drawing>
          <wp:inline distT="0" distB="0" distL="0" distR="0" wp14:anchorId="21B93548" wp14:editId="737579D8">
            <wp:extent cx="8193640" cy="3038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208643" cy="3044039"/>
                    </a:xfrm>
                    <a:prstGeom prst="rect">
                      <a:avLst/>
                    </a:prstGeom>
                  </pic:spPr>
                </pic:pic>
              </a:graphicData>
            </a:graphic>
          </wp:inline>
        </w:drawing>
      </w:r>
    </w:p>
    <w:p w:rsidR="00B9185B" w:rsidRDefault="00B9185B" w:rsidP="00B9185B">
      <w:pPr>
        <w:spacing w:line="360" w:lineRule="auto"/>
        <w:rPr>
          <w:rFonts w:ascii="Times New Roman" w:eastAsia="Times New Roman" w:hAnsi="Times New Roman" w:cs="Times New Roman"/>
          <w:sz w:val="24"/>
          <w:szCs w:val="24"/>
        </w:rPr>
      </w:pPr>
    </w:p>
    <w:p w:rsidR="00C864F0" w:rsidRPr="00B9185B" w:rsidRDefault="00B9185B" w:rsidP="00B9185B">
      <w:pPr>
        <w:tabs>
          <w:tab w:val="left" w:pos="4890"/>
        </w:tabs>
        <w:spacing w:line="360" w:lineRule="auto"/>
        <w:rPr>
          <w:rFonts w:ascii="Times New Roman" w:eastAsia="Times New Roman" w:hAnsi="Times New Roman" w:cs="Times New Roman"/>
          <w:sz w:val="24"/>
          <w:szCs w:val="24"/>
        </w:rPr>
      </w:pPr>
      <w:r>
        <w:rPr>
          <w:rFonts w:ascii="Arial" w:eastAsia="Arial" w:hAnsi="Arial" w:cs="Arial"/>
          <w:sz w:val="24"/>
          <w:szCs w:val="24"/>
        </w:rPr>
        <w:tab/>
      </w:r>
    </w:p>
    <w:p w:rsid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9C6C2C">
        <w:rPr>
          <w:rFonts w:ascii="Arial" w:eastAsia="Arial" w:hAnsi="Arial" w:cs="Arial"/>
          <w:noProof/>
          <w:sz w:val="24"/>
          <w:szCs w:val="24"/>
        </w:rPr>
        <w:lastRenderedPageBreak/>
        <w:drawing>
          <wp:inline distT="0" distB="0" distL="0" distR="0" wp14:anchorId="2E3069EA" wp14:editId="7354A6D8">
            <wp:extent cx="7591425" cy="4410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591425" cy="4410075"/>
                    </a:xfrm>
                    <a:prstGeom prst="rect">
                      <a:avLst/>
                    </a:prstGeom>
                  </pic:spPr>
                </pic:pic>
              </a:graphicData>
            </a:graphic>
          </wp:inline>
        </w:drawing>
      </w:r>
    </w:p>
    <w:p w:rsidR="00B9185B" w:rsidRDefault="00B9185B" w:rsidP="00AF4B2A">
      <w:pPr>
        <w:spacing w:before="100" w:beforeAutospacing="1" w:after="100" w:afterAutospacing="1" w:line="360" w:lineRule="auto"/>
        <w:jc w:val="both"/>
        <w:rPr>
          <w:rFonts w:ascii="Times New Roman" w:eastAsia="Times New Roman" w:hAnsi="Times New Roman" w:cs="Times New Roman"/>
          <w:b/>
          <w:bCs/>
          <w:sz w:val="27"/>
          <w:szCs w:val="27"/>
        </w:rPr>
      </w:pPr>
    </w:p>
    <w:p w:rsidR="00541B95" w:rsidRPr="00227A2D"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7"/>
          <w:szCs w:val="27"/>
        </w:rPr>
        <w:t>8.1 PESTLE Analysis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PESTLE examines six categories of macro-environmental factors — Political, Economic, Social, Technological, Legal, and Environmental — that sit outside the business's direct control but shape the conditions it must operate within.</w:t>
      </w:r>
    </w:p>
    <w:p w:rsidR="00B9185B" w:rsidRDefault="00B9185B" w:rsidP="00AF4B2A">
      <w:pPr>
        <w:spacing w:before="160" w:after="80" w:line="360" w:lineRule="auto"/>
        <w:jc w:val="both"/>
        <w:rPr>
          <w:rFonts w:ascii="Times New Roman" w:hAnsi="Times New Roman" w:cs="Times New Roman"/>
          <w:b/>
          <w:bCs/>
          <w:sz w:val="24"/>
          <w:szCs w:val="24"/>
        </w:rPr>
      </w:pPr>
    </w:p>
    <w:p w:rsidR="008A6671" w:rsidRPr="008A6671" w:rsidRDefault="008A6671" w:rsidP="00AF4B2A">
      <w:pPr>
        <w:spacing w:before="160" w:after="80" w:line="360" w:lineRule="auto"/>
        <w:jc w:val="both"/>
        <w:rPr>
          <w:rFonts w:ascii="Times New Roman" w:hAnsi="Times New Roman" w:cs="Times New Roman"/>
          <w:sz w:val="24"/>
          <w:szCs w:val="24"/>
        </w:rPr>
      </w:pPr>
      <w:r w:rsidRPr="008A6671">
        <w:rPr>
          <w:rFonts w:ascii="Arial" w:eastAsia="Arial" w:hAnsi="Arial" w:cs="Arial"/>
          <w:b/>
          <w:bCs/>
          <w:sz w:val="24"/>
          <w:szCs w:val="24"/>
        </w:rPr>
        <w:t>Table 9: PESTLE analysis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35"/>
        <w:gridCol w:w="4311"/>
        <w:gridCol w:w="3354"/>
      </w:tblGrid>
      <w:tr w:rsidR="008A6671" w:rsidRPr="008A6671" w:rsidTr="00FC60F1">
        <w:trPr>
          <w:tblHeader/>
        </w:trPr>
        <w:tc>
          <w:tcPr>
            <w:tcW w:w="16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Factor</w:t>
            </w:r>
          </w:p>
        </w:tc>
        <w:tc>
          <w:tcPr>
            <w:tcW w:w="44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Analysis</w:t>
            </w:r>
          </w:p>
        </w:tc>
        <w:tc>
          <w:tcPr>
            <w:tcW w:w="34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Implication</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Political</w:t>
            </w:r>
          </w:p>
        </w:tc>
        <w:tc>
          <w:tcPr>
            <w:tcW w:w="4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UK hospitality policy broadly stable; business rates and minimum wage subject to periodic review; Leicester City Council supports SME growth</w:t>
            </w:r>
          </w:p>
        </w:tc>
        <w:tc>
          <w:tcPr>
            <w:tcW w:w="3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Monitor cost changes closely; explore council SME grant eligibility</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Economic</w:t>
            </w:r>
          </w:p>
        </w:tc>
        <w:tc>
          <w:tcPr>
            <w:tcW w:w="4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UK eating-out market growing modestly (+1.8% in 2026) but inflation-led; full-service margins thin (3-5%)</w:t>
            </w:r>
          </w:p>
        </w:tc>
        <w:tc>
          <w:tcPr>
            <w:tcW w:w="3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Reinforces disciplined cost control and targeting the resilient 25-34 demographic</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Social</w:t>
            </w:r>
          </w:p>
        </w:tc>
        <w:tc>
          <w:tcPr>
            <w:tcW w:w="4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Leicester's diversity creates deep cultural affinity for Indian cuisine; rising demand for authentic, health-conscious dining</w:t>
            </w:r>
          </w:p>
        </w:tc>
        <w:tc>
          <w:tcPr>
            <w:tcW w:w="3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Validates the core value proposition; menu should continue to accommodate health-conscious choice</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Technological</w:t>
            </w:r>
          </w:p>
        </w:tc>
        <w:tc>
          <w:tcPr>
            <w:tcW w:w="4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Growth of delivery platforms and review-platform reliance</w:t>
            </w:r>
          </w:p>
        </w:tc>
        <w:tc>
          <w:tcPr>
            <w:tcW w:w="3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Confirms necessity of digital marketing and delivery-channel investment</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Legal</w:t>
            </w:r>
          </w:p>
        </w:tc>
        <w:tc>
          <w:tcPr>
            <w:tcW w:w="4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Food hygiene, allergen labelling, licensing, employment law requirements apply</w:t>
            </w:r>
          </w:p>
        </w:tc>
        <w:tc>
          <w:tcPr>
            <w:tcW w:w="3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Legal milestones built into launch timeline; early regulator engagement reduces delay risk</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Environmental</w:t>
            </w:r>
          </w:p>
        </w:tc>
        <w:tc>
          <w:tcPr>
            <w:tcW w:w="4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Growing attention to sourcing sustainability and packaging waste</w:t>
            </w:r>
          </w:p>
        </w:tc>
        <w:tc>
          <w:tcPr>
            <w:tcW w:w="3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Supports local/sustainable sourcing and sustainable delivery packaging choices</w:t>
            </w:r>
          </w:p>
        </w:tc>
      </w:tr>
    </w:tbl>
    <w:p w:rsidR="008A6671" w:rsidRDefault="008A6671" w:rsidP="00AF4B2A">
      <w:pPr>
        <w:spacing w:before="100" w:beforeAutospacing="1" w:after="100" w:afterAutospacing="1" w:line="360" w:lineRule="auto"/>
        <w:jc w:val="both"/>
        <w:rPr>
          <w:rFonts w:ascii="Times New Roman" w:eastAsia="Times New Roman" w:hAnsi="Times New Roman" w:cs="Times New Roman"/>
          <w:b/>
          <w:bCs/>
          <w:sz w:val="24"/>
          <w:szCs w:val="24"/>
        </w:rPr>
      </w:pP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lastRenderedPageBreak/>
        <w:t>Interpretation.</w:t>
      </w:r>
      <w:r w:rsidRPr="00541B95">
        <w:rPr>
          <w:rFonts w:ascii="Arial" w:eastAsia="Arial" w:hAnsi="Arial" w:cs="Arial"/>
          <w:sz w:val="24"/>
          <w:szCs w:val="24"/>
        </w:rPr>
        <w:t xml:space="preserve"> The PESTLE analysis shows that Taste of India's core concept is well aligned with prevailing social and technological trends (authenticity, digital discovery, health-conscious dining), but is operating within an economically challenging macro-environment (thin margins, inflation-led rather than volume-led market growth). This reinforces a theme already established in Sections 4 and 6: execution discipline — particularly around cost control and digital visibility — matters more to viability here than the underlying demand case, which is comparatively strong.</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541B95" w:rsidRPr="00541B95" w:rsidRDefault="00541B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541B95">
        <w:rPr>
          <w:rFonts w:ascii="Arial" w:eastAsia="Arial" w:hAnsi="Arial" w:cs="Arial"/>
          <w:b/>
          <w:bCs/>
          <w:sz w:val="27"/>
          <w:szCs w:val="27"/>
        </w:rPr>
        <w:t>8.2 SWOT Analysis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 xml:space="preserve">The SWOT analysis (shown above) </w:t>
      </w:r>
      <w:proofErr w:type="spellStart"/>
      <w:r w:rsidRPr="00541B95">
        <w:rPr>
          <w:rFonts w:ascii="Arial" w:eastAsia="Arial" w:hAnsi="Arial" w:cs="Arial"/>
          <w:sz w:val="24"/>
          <w:szCs w:val="24"/>
        </w:rPr>
        <w:t>synthesises</w:t>
      </w:r>
      <w:proofErr w:type="spellEnd"/>
      <w:r w:rsidRPr="00541B95">
        <w:rPr>
          <w:rFonts w:ascii="Arial" w:eastAsia="Arial" w:hAnsi="Arial" w:cs="Arial"/>
          <w:sz w:val="24"/>
          <w:szCs w:val="24"/>
        </w:rPr>
        <w:t xml:space="preserve"> internal capabilities against external conditions.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Strengths.</w:t>
      </w:r>
      <w:r w:rsidRPr="00541B95">
        <w:rPr>
          <w:rFonts w:ascii="Arial" w:eastAsia="Arial" w:hAnsi="Arial" w:cs="Arial"/>
          <w:sz w:val="24"/>
          <w:szCs w:val="24"/>
        </w:rPr>
        <w:t xml:space="preserve"> Taste of India's core strength is genuine regional culinary authenticity delivered by specialist chefs — a differentiator that is difficult for competitors to replicate quickly (Section 4.6), combined with a clearly evidenced pricing gap in the local market (Section 3.6) and menu inclusivity (vegetarian/halal) that broadens addressable demand.</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Weaknesses.</w:t>
      </w:r>
      <w:r w:rsidRPr="00541B95">
        <w:rPr>
          <w:rFonts w:ascii="Arial" w:eastAsia="Arial" w:hAnsi="Arial" w:cs="Arial"/>
          <w:sz w:val="24"/>
          <w:szCs w:val="24"/>
        </w:rPr>
        <w:t xml:space="preserve"> As a new entrant, the business has no existing brand recognition or customer base, and depends heavily on a scarce, specific skill set (regionally trained chefs) that is not easily substitutable if recruitment proves difficult (Section 7.6). The founder's comparatively limited direct hospitality operations experience (Section 7.6) is a further internal constraint, partially mitigated through the Front-of-House Manager role and outsourced professional support (Section 7.9).</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Opportunities.</w:t>
      </w:r>
      <w:r w:rsidRPr="00541B95">
        <w:rPr>
          <w:rFonts w:ascii="Arial" w:eastAsia="Arial" w:hAnsi="Arial" w:cs="Arial"/>
          <w:sz w:val="24"/>
          <w:szCs w:val="24"/>
        </w:rPr>
        <w:t xml:space="preserve"> External conditions </w:t>
      </w:r>
      <w:proofErr w:type="spellStart"/>
      <w:r w:rsidRPr="00541B95">
        <w:rPr>
          <w:rFonts w:ascii="Arial" w:eastAsia="Arial" w:hAnsi="Arial" w:cs="Arial"/>
          <w:sz w:val="24"/>
          <w:szCs w:val="24"/>
        </w:rPr>
        <w:t>favour</w:t>
      </w:r>
      <w:proofErr w:type="spellEnd"/>
      <w:r w:rsidRPr="00541B95">
        <w:rPr>
          <w:rFonts w:ascii="Arial" w:eastAsia="Arial" w:hAnsi="Arial" w:cs="Arial"/>
          <w:sz w:val="24"/>
          <w:szCs w:val="24"/>
        </w:rPr>
        <w:t xml:space="preserve"> the concept: the UK ethnic food market is growing at 8.4% CAGR (Credence Research, 2025), Leicester's visitor economy is expanding (Leicestershire County Council, 2026), and no existing competitor combines multi-regional authenticity with mid-market pricing (Section 3.6) — a genuine, evidenced market gap rather than an assumed one.</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lastRenderedPageBreak/>
        <w:t>Threats.</w:t>
      </w:r>
      <w:r w:rsidRPr="00541B95">
        <w:rPr>
          <w:rFonts w:ascii="Arial" w:eastAsia="Arial" w:hAnsi="Arial" w:cs="Arial"/>
          <w:sz w:val="24"/>
          <w:szCs w:val="24"/>
        </w:rPr>
        <w:t xml:space="preserve"> The local competitive landscape is dense (Section 3.4), sector-wide margins are thin, and structural market consolidation is increasingly </w:t>
      </w:r>
      <w:proofErr w:type="spellStart"/>
      <w:r w:rsidRPr="00541B95">
        <w:rPr>
          <w:rFonts w:ascii="Arial" w:eastAsia="Arial" w:hAnsi="Arial" w:cs="Arial"/>
          <w:sz w:val="24"/>
          <w:szCs w:val="24"/>
        </w:rPr>
        <w:t>favouring</w:t>
      </w:r>
      <w:proofErr w:type="spellEnd"/>
      <w:r w:rsidRPr="00541B95">
        <w:rPr>
          <w:rFonts w:ascii="Arial" w:eastAsia="Arial" w:hAnsi="Arial" w:cs="Arial"/>
          <w:sz w:val="24"/>
          <w:szCs w:val="24"/>
        </w:rPr>
        <w:t xml:space="preserve"> larger branded operators over independents (Lumina Intelligence, 2026), while </w:t>
      </w:r>
      <w:proofErr w:type="spellStart"/>
      <w:r w:rsidRPr="00541B95">
        <w:rPr>
          <w:rFonts w:ascii="Arial" w:eastAsia="Arial" w:hAnsi="Arial" w:cs="Arial"/>
          <w:sz w:val="24"/>
          <w:szCs w:val="24"/>
        </w:rPr>
        <w:t>labour</w:t>
      </w:r>
      <w:proofErr w:type="spellEnd"/>
      <w:r w:rsidRPr="00541B95">
        <w:rPr>
          <w:rFonts w:ascii="Arial" w:eastAsia="Arial" w:hAnsi="Arial" w:cs="Arial"/>
          <w:sz w:val="24"/>
          <w:szCs w:val="24"/>
        </w:rPr>
        <w:t xml:space="preserve"> and ingredient cost inflation continues to pressure service-led restaurants specifically.</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Interpretation (TOWS-style synthesis).</w:t>
      </w:r>
      <w:r w:rsidRPr="00541B95">
        <w:rPr>
          <w:rFonts w:ascii="Arial" w:eastAsia="Arial" w:hAnsi="Arial" w:cs="Arial"/>
          <w:sz w:val="24"/>
          <w:szCs w:val="24"/>
        </w:rPr>
        <w:t xml:space="preserve"> The most actionable strategic insight from the SWOT is that Taste of India's core strength (authenticity) is precisely what is needed to convert the identified opportunity (the mid-market regional gap) into sustainable advantage — but only if the associated weakness (chef-recruitment dependency) is actively managed, since failure here would simultaneously undermine the strength and leave the business exposed to the competitive threat of larger, better-resourced operators.</w:t>
      </w:r>
      <w:r w:rsidRPr="00AE2F45">
        <w:rPr>
          <w:rFonts w:ascii="Arial" w:eastAsia="Arial" w:hAnsi="Arial" w:cs="Arial"/>
          <w:sz w:val="24"/>
        </w:rPr>
        <w:t xml:space="preserve"> This form of synthesis draws on the TOWS matrix approach, which extends basic SWOT analysis by systematically pairing internal strengths and weaknesses against external opportunities and threats to generate actionable strategic options, rather than treating the four SWOT categories as a static description (</w:t>
      </w:r>
      <w:proofErr w:type="spellStart"/>
      <w:r w:rsidRPr="00AE2F45">
        <w:rPr>
          <w:rFonts w:ascii="Arial" w:eastAsia="Arial" w:hAnsi="Arial" w:cs="Arial"/>
          <w:sz w:val="24"/>
        </w:rPr>
        <w:t>Weihrich</w:t>
      </w:r>
      <w:proofErr w:type="spellEnd"/>
      <w:r w:rsidRPr="00AE2F45">
        <w:rPr>
          <w:rFonts w:ascii="Arial" w:eastAsia="Arial" w:hAnsi="Arial" w:cs="Arial"/>
          <w:sz w:val="24"/>
        </w:rPr>
        <w:t>, 1982).</w:t>
      </w:r>
    </w:p>
    <w:p w:rsidR="00D94BA6" w:rsidRDefault="00D94BA6"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p>
    <w:p w:rsidR="00541B95" w:rsidRPr="00541B95" w:rsidRDefault="00541B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541B95">
        <w:rPr>
          <w:rFonts w:ascii="Arial" w:eastAsia="Arial" w:hAnsi="Arial" w:cs="Arial"/>
          <w:b/>
          <w:bCs/>
          <w:sz w:val="27"/>
          <w:szCs w:val="27"/>
        </w:rPr>
        <w:t>8.3 Competitor Analysis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Building on the competitor profiling introduced in Section 3.4, this analysis assesses each competitor's relative strategic position rather than simply listing their offerings.</w:t>
      </w:r>
    </w:p>
    <w:p w:rsidR="008A6671" w:rsidRPr="008A6671" w:rsidRDefault="008A6671" w:rsidP="00AF4B2A">
      <w:pPr>
        <w:spacing w:before="160" w:after="80" w:line="360" w:lineRule="auto"/>
        <w:jc w:val="both"/>
        <w:rPr>
          <w:rFonts w:ascii="Times New Roman" w:hAnsi="Times New Roman" w:cs="Times New Roman"/>
          <w:sz w:val="24"/>
          <w:szCs w:val="24"/>
        </w:rPr>
      </w:pPr>
      <w:r w:rsidRPr="008A6671">
        <w:rPr>
          <w:rFonts w:ascii="Arial" w:eastAsia="Arial" w:hAnsi="Arial" w:cs="Arial"/>
          <w:b/>
          <w:bCs/>
          <w:sz w:val="24"/>
          <w:szCs w:val="24"/>
        </w:rPr>
        <w:t>Table 11: Competitor strategic positioning</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2400"/>
        <w:gridCol w:w="2800"/>
        <w:gridCol w:w="2800"/>
      </w:tblGrid>
      <w:tr w:rsidR="008A6671" w:rsidRPr="008A6671" w:rsidTr="00FC60F1">
        <w:trPr>
          <w:tblHeader/>
        </w:trPr>
        <w:tc>
          <w:tcPr>
            <w:tcW w:w="16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Competitor</w:t>
            </w:r>
          </w:p>
        </w:tc>
        <w:tc>
          <w:tcPr>
            <w:tcW w:w="24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Positioning</w:t>
            </w:r>
          </w:p>
        </w:tc>
        <w:tc>
          <w:tcPr>
            <w:tcW w:w="28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Key Strength</w:t>
            </w:r>
          </w:p>
        </w:tc>
        <w:tc>
          <w:tcPr>
            <w:tcW w:w="28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Key Vulnerability</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Chutney Ivy</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Premium fine-dining</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Strong brand reputation, high average spend</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High price point excludes casual/repeat local trade</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proofErr w:type="spellStart"/>
            <w:r w:rsidRPr="008A6671">
              <w:rPr>
                <w:rFonts w:ascii="Arial" w:eastAsia="Arial" w:hAnsi="Arial" w:cs="Arial"/>
                <w:sz w:val="24"/>
                <w:szCs w:val="24"/>
              </w:rPr>
              <w:lastRenderedPageBreak/>
              <w:t>Kayal</w:t>
            </w:r>
            <w:proofErr w:type="spellEnd"/>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Specialist Keralan/vegetarian</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Strong niche authenticity credibility</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Narrow regional focus limits broader appeal</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Herb</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Vegetarian-only, health-focused</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Loyal niche following</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Excludes the substantial non-vegetarian customer base</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 xml:space="preserve">Spice </w:t>
            </w:r>
            <w:proofErr w:type="spellStart"/>
            <w:r w:rsidRPr="008A6671">
              <w:rPr>
                <w:rFonts w:ascii="Arial" w:eastAsia="Arial" w:hAnsi="Arial" w:cs="Arial"/>
                <w:sz w:val="24"/>
                <w:szCs w:val="24"/>
              </w:rPr>
              <w:t>Bazzar</w:t>
            </w:r>
            <w:proofErr w:type="spellEnd"/>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Budget, all-purpose curry house</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Low prices, high accessibility</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Limited differentiation; competes on price</w:t>
            </w:r>
          </w:p>
        </w:tc>
      </w:tr>
      <w:tr w:rsidR="008A6671" w:rsidRPr="008A6671" w:rsidTr="00FC60F1">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proofErr w:type="spellStart"/>
            <w:r w:rsidRPr="008A6671">
              <w:rPr>
                <w:rFonts w:ascii="Arial" w:eastAsia="Arial" w:hAnsi="Arial" w:cs="Arial"/>
                <w:sz w:val="24"/>
                <w:szCs w:val="24"/>
              </w:rPr>
              <w:t>Tamatanga</w:t>
            </w:r>
            <w:proofErr w:type="spellEnd"/>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Mid-market chain</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Brand consistency, marketing resource</w:t>
            </w:r>
          </w:p>
        </w:tc>
        <w:tc>
          <w:tcPr>
            <w:tcW w:w="2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proofErr w:type="spellStart"/>
            <w:r w:rsidRPr="008A6671">
              <w:rPr>
                <w:rFonts w:ascii="Arial" w:eastAsia="Arial" w:hAnsi="Arial" w:cs="Arial"/>
                <w:sz w:val="24"/>
                <w:szCs w:val="24"/>
              </w:rPr>
              <w:t>Standardised</w:t>
            </w:r>
            <w:proofErr w:type="spellEnd"/>
            <w:r w:rsidRPr="008A6671">
              <w:rPr>
                <w:rFonts w:ascii="Arial" w:eastAsia="Arial" w:hAnsi="Arial" w:cs="Arial"/>
                <w:sz w:val="24"/>
                <w:szCs w:val="24"/>
              </w:rPr>
              <w:t xml:space="preserve"> menu lacks genuine regional depth</w:t>
            </w:r>
          </w:p>
        </w:tc>
      </w:tr>
    </w:tbl>
    <w:p w:rsidR="008A6671" w:rsidRDefault="008A6671" w:rsidP="00AF4B2A">
      <w:pPr>
        <w:spacing w:before="100" w:beforeAutospacing="1" w:after="100" w:afterAutospacing="1" w:line="360" w:lineRule="auto"/>
        <w:jc w:val="both"/>
        <w:rPr>
          <w:rFonts w:ascii="Times New Roman" w:eastAsia="Times New Roman" w:hAnsi="Times New Roman" w:cs="Times New Roman"/>
          <w:b/>
          <w:bCs/>
          <w:sz w:val="24"/>
          <w:szCs w:val="24"/>
        </w:rPr>
      </w:pP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Strategic gap analysis.</w:t>
      </w:r>
      <w:r w:rsidRPr="00541B95">
        <w:rPr>
          <w:rFonts w:ascii="Arial" w:eastAsia="Arial" w:hAnsi="Arial" w:cs="Arial"/>
          <w:sz w:val="24"/>
          <w:szCs w:val="24"/>
        </w:rPr>
        <w:t xml:space="preserve"> No competitor combines Chutney Ivy's authenticity credibility, </w:t>
      </w:r>
      <w:proofErr w:type="spellStart"/>
      <w:r w:rsidRPr="00541B95">
        <w:rPr>
          <w:rFonts w:ascii="Arial" w:eastAsia="Arial" w:hAnsi="Arial" w:cs="Arial"/>
          <w:sz w:val="24"/>
          <w:szCs w:val="24"/>
        </w:rPr>
        <w:t>Kayal</w:t>
      </w:r>
      <w:proofErr w:type="spellEnd"/>
      <w:r w:rsidRPr="00541B95">
        <w:rPr>
          <w:rFonts w:ascii="Arial" w:eastAsia="Arial" w:hAnsi="Arial" w:cs="Arial"/>
          <w:sz w:val="24"/>
          <w:szCs w:val="24"/>
        </w:rPr>
        <w:t xml:space="preserve">/Herb's specialist regional focus, and </w:t>
      </w:r>
      <w:proofErr w:type="spellStart"/>
      <w:r w:rsidRPr="00541B95">
        <w:rPr>
          <w:rFonts w:ascii="Arial" w:eastAsia="Arial" w:hAnsi="Arial" w:cs="Arial"/>
          <w:sz w:val="24"/>
          <w:szCs w:val="24"/>
        </w:rPr>
        <w:t>Tamatanga's</w:t>
      </w:r>
      <w:proofErr w:type="spellEnd"/>
      <w:r w:rsidRPr="00541B95">
        <w:rPr>
          <w:rFonts w:ascii="Arial" w:eastAsia="Arial" w:hAnsi="Arial" w:cs="Arial"/>
          <w:sz w:val="24"/>
          <w:szCs w:val="24"/>
        </w:rPr>
        <w:t xml:space="preserve"> mid-market accessibility in a single independent offering. Taste of India's competitive strategy is therefore not to out-compete any single rival directly, but to occupy the specific combination none of them currently hold — multi-regional (not single-region) authenticity, independent (not chain-</w:t>
      </w:r>
      <w:proofErr w:type="spellStart"/>
      <w:r w:rsidRPr="00541B95">
        <w:rPr>
          <w:rFonts w:ascii="Arial" w:eastAsia="Arial" w:hAnsi="Arial" w:cs="Arial"/>
          <w:sz w:val="24"/>
          <w:szCs w:val="24"/>
        </w:rPr>
        <w:t>standardised</w:t>
      </w:r>
      <w:proofErr w:type="spellEnd"/>
      <w:r w:rsidRPr="00541B95">
        <w:rPr>
          <w:rFonts w:ascii="Arial" w:eastAsia="Arial" w:hAnsi="Arial" w:cs="Arial"/>
          <w:sz w:val="24"/>
          <w:szCs w:val="24"/>
        </w:rPr>
        <w:t>) storytelling, at accessible (not premium) pricing. This is consistent with, and provides further evidence for, the positioning statement set out in Section 5.2.</w:t>
      </w:r>
    </w:p>
    <w:p w:rsidR="008A6671" w:rsidRPr="008A6671"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Competitive response risk.</w:t>
      </w:r>
      <w:r w:rsidRPr="00541B95">
        <w:rPr>
          <w:rFonts w:ascii="Arial" w:eastAsia="Arial" w:hAnsi="Arial" w:cs="Arial"/>
          <w:sz w:val="24"/>
          <w:szCs w:val="24"/>
        </w:rPr>
        <w:t xml:space="preserve"> It should be noted that this gap may not remain unaddressed indefinitely — an existing competitor (particularly a well-resourced chain such as </w:t>
      </w:r>
      <w:proofErr w:type="spellStart"/>
      <w:r w:rsidRPr="00541B95">
        <w:rPr>
          <w:rFonts w:ascii="Arial" w:eastAsia="Arial" w:hAnsi="Arial" w:cs="Arial"/>
          <w:sz w:val="24"/>
          <w:szCs w:val="24"/>
        </w:rPr>
        <w:t>Tamatanga</w:t>
      </w:r>
      <w:proofErr w:type="spellEnd"/>
      <w:r w:rsidRPr="00541B95">
        <w:rPr>
          <w:rFonts w:ascii="Arial" w:eastAsia="Arial" w:hAnsi="Arial" w:cs="Arial"/>
          <w:sz w:val="24"/>
          <w:szCs w:val="24"/>
        </w:rPr>
        <w:t>) could plausibly respond by broadening regional menu offerings. This risk is addressed in the mitigation strategies originally identified (Section 3, Risks and Mitigation) through continuous competitor monitoring and reinforced by treating chef-led authenticity, not just menu breadth, as the harder-to-replicate core differentiator (Section 4.6</w:t>
      </w:r>
      <w:r w:rsidR="008A6671">
        <w:rPr>
          <w:rFonts w:ascii="Arial" w:eastAsia="Arial" w:hAnsi="Arial" w:cs="Arial"/>
          <w:sz w:val="24"/>
          <w:szCs w:val="24"/>
        </w:rPr>
        <w:t>).</w:t>
      </w:r>
    </w:p>
    <w:p w:rsidR="00541B95" w:rsidRPr="00541B95" w:rsidRDefault="00541B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541B95">
        <w:rPr>
          <w:rFonts w:ascii="Arial" w:eastAsia="Arial" w:hAnsi="Arial" w:cs="Arial"/>
          <w:b/>
          <w:bCs/>
          <w:sz w:val="27"/>
          <w:szCs w:val="27"/>
        </w:rPr>
        <w:lastRenderedPageBreak/>
        <w:t>8.4 Porter's Five Forces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The Porter's Five Forces framework (Porter, 1980) assesses the competitive intensity and attractiveness of the industry structure Taste of India is entering, shown in the diagram above.</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Threat of new entrants — Moderate.</w:t>
      </w:r>
      <w:r w:rsidRPr="00541B95">
        <w:rPr>
          <w:rFonts w:ascii="Arial" w:eastAsia="Arial" w:hAnsi="Arial" w:cs="Arial"/>
          <w:sz w:val="24"/>
          <w:szCs w:val="24"/>
        </w:rPr>
        <w:t xml:space="preserve"> Capital requirements for fit-out and equipment (Section 6, Section 9) and the need for food hygiene/licensing compliance create a moderate barrier, but these are not prohibitively high for a well-funded entrant, meaning the market remains genuinely contestable.</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Bargaining power of suppliers — Moderate to low.</w:t>
      </w:r>
      <w:r w:rsidRPr="00541B95">
        <w:rPr>
          <w:rFonts w:ascii="Arial" w:eastAsia="Arial" w:hAnsi="Arial" w:cs="Arial"/>
          <w:sz w:val="24"/>
          <w:szCs w:val="24"/>
        </w:rPr>
        <w:t xml:space="preserve"> The diversified supplier strategy (wholesale, ethnic-specialist, and local suppliers — Section 6.2) deliberately reduces dependency on any single supplier, keeping supplier bargaining power manageable, though specialist regional ingredient suppliers may hold somewhat more leverage than generic wholesale suppliers.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Bargaining power of buyers — High.</w:t>
      </w:r>
      <w:r w:rsidRPr="00541B95">
        <w:rPr>
          <w:rFonts w:ascii="Arial" w:eastAsia="Arial" w:hAnsi="Arial" w:cs="Arial"/>
          <w:sz w:val="24"/>
          <w:szCs w:val="24"/>
        </w:rPr>
        <w:t xml:space="preserve"> Leicester's dense competitive landscape (Section 3.4, Section 8.3) gives customers many alternative dining options, and switching costs for the customer are effectively zero. This is the most significant force acting on the business, and is precisely why differentiation (authenticity, storytelling, mid-market pricing) rather than price competition has been chosen as the core strategy throughout this proposal.</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Threat of substitutes — High.</w:t>
      </w:r>
      <w:r w:rsidRPr="00541B95">
        <w:rPr>
          <w:rFonts w:ascii="Arial" w:eastAsia="Arial" w:hAnsi="Arial" w:cs="Arial"/>
          <w:sz w:val="24"/>
          <w:szCs w:val="24"/>
        </w:rPr>
        <w:t xml:space="preserve"> Substitutes include not only other cuisines and other Indian restaurants, but home cooking (particularly significant given Leicester's strong South Asian home-cooking culture) and food delivery of pre-packaged ethnic ready meals from retail. This reinforces the importance of the in-restaurant cultural/experiential element (Section 4.2, Section 6.7) as something home cooking and retail substitutes cannot replicate.</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t>Industry rivalry — High.</w:t>
      </w:r>
      <w:r w:rsidRPr="00541B95">
        <w:rPr>
          <w:rFonts w:ascii="Arial" w:eastAsia="Arial" w:hAnsi="Arial" w:cs="Arial"/>
          <w:sz w:val="24"/>
          <w:szCs w:val="24"/>
        </w:rPr>
        <w:t xml:space="preserve"> As established throughout Section 3 and Section 8.3, Leicester's Indian restaurant market is dense and competitive, and the wider UK eating-out sector is undergoing structural consolidation that disadvantages weaker independents (Lumina Intelligence, 2026).</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lastRenderedPageBreak/>
        <w:t>Interpretation.</w:t>
      </w:r>
      <w:r w:rsidRPr="00541B95">
        <w:rPr>
          <w:rFonts w:ascii="Arial" w:eastAsia="Arial" w:hAnsi="Arial" w:cs="Arial"/>
          <w:sz w:val="24"/>
          <w:szCs w:val="24"/>
        </w:rPr>
        <w:t xml:space="preserve"> Overall, the Five Forces analysis indicates a structurally challenging industry — high buyer power, high substitute threat, and high rivalry — consistent with the thin-margin economics noted throughout this proposal. This is not a reason to abandon the concept, but it does confirm that generic "me-too" positioning would be commercially unviable; the analysis strongly reinforces, rather than undermines, the differentiation-led strategy this proposal has consistently argued for.</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541B95" w:rsidRPr="00541B95" w:rsidRDefault="00541B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541B95">
        <w:rPr>
          <w:rFonts w:ascii="Arial" w:eastAsia="Arial" w:hAnsi="Arial" w:cs="Arial"/>
          <w:b/>
          <w:bCs/>
          <w:sz w:val="27"/>
          <w:szCs w:val="27"/>
        </w:rPr>
        <w:t xml:space="preserve">8.5 </w:t>
      </w:r>
      <w:proofErr w:type="spellStart"/>
      <w:r w:rsidRPr="00541B95">
        <w:rPr>
          <w:rFonts w:ascii="Arial" w:eastAsia="Arial" w:hAnsi="Arial" w:cs="Arial"/>
          <w:b/>
          <w:bCs/>
          <w:sz w:val="27"/>
          <w:szCs w:val="27"/>
        </w:rPr>
        <w:t>Ansoff</w:t>
      </w:r>
      <w:proofErr w:type="spellEnd"/>
      <w:r w:rsidRPr="00541B95">
        <w:rPr>
          <w:rFonts w:ascii="Arial" w:eastAsia="Arial" w:hAnsi="Arial" w:cs="Arial"/>
          <w:b/>
          <w:bCs/>
          <w:sz w:val="27"/>
          <w:szCs w:val="27"/>
        </w:rPr>
        <w:t xml:space="preserve"> Matrix</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 xml:space="preserve">The </w:t>
      </w:r>
      <w:proofErr w:type="spellStart"/>
      <w:r w:rsidRPr="00541B95">
        <w:rPr>
          <w:rFonts w:ascii="Arial" w:eastAsia="Arial" w:hAnsi="Arial" w:cs="Arial"/>
          <w:sz w:val="24"/>
          <w:szCs w:val="24"/>
        </w:rPr>
        <w:t>Ansoff</w:t>
      </w:r>
      <w:proofErr w:type="spellEnd"/>
      <w:r w:rsidRPr="00541B95">
        <w:rPr>
          <w:rFonts w:ascii="Arial" w:eastAsia="Arial" w:hAnsi="Arial" w:cs="Arial"/>
          <w:sz w:val="24"/>
          <w:szCs w:val="24"/>
        </w:rPr>
        <w:t xml:space="preserve"> Matrix (</w:t>
      </w:r>
      <w:proofErr w:type="spellStart"/>
      <w:r w:rsidRPr="00541B95">
        <w:rPr>
          <w:rFonts w:ascii="Arial" w:eastAsia="Arial" w:hAnsi="Arial" w:cs="Arial"/>
          <w:sz w:val="24"/>
          <w:szCs w:val="24"/>
        </w:rPr>
        <w:t>Ansoff</w:t>
      </w:r>
      <w:proofErr w:type="spellEnd"/>
      <w:r w:rsidRPr="00541B95">
        <w:rPr>
          <w:rFonts w:ascii="Arial" w:eastAsia="Arial" w:hAnsi="Arial" w:cs="Arial"/>
          <w:sz w:val="24"/>
          <w:szCs w:val="24"/>
        </w:rPr>
        <w:t>, 1957) is used here to evaluate the strategic growth options available to Taste of India, both at launch and as the business matures beyond its first 12 months.</w:t>
      </w:r>
    </w:p>
    <w:p w:rsidR="00B9185B" w:rsidRDefault="00B9185B" w:rsidP="00AF4B2A">
      <w:pPr>
        <w:spacing w:before="160" w:after="80" w:line="360" w:lineRule="auto"/>
        <w:jc w:val="both"/>
        <w:rPr>
          <w:rFonts w:ascii="Times New Roman" w:hAnsi="Times New Roman" w:cs="Times New Roman"/>
          <w:b/>
          <w:bCs/>
          <w:sz w:val="24"/>
          <w:szCs w:val="24"/>
        </w:rPr>
      </w:pPr>
    </w:p>
    <w:p w:rsidR="008A6671" w:rsidRPr="008A6671" w:rsidRDefault="008A6671" w:rsidP="00AF4B2A">
      <w:pPr>
        <w:spacing w:before="160" w:after="80" w:line="360" w:lineRule="auto"/>
        <w:jc w:val="both"/>
        <w:rPr>
          <w:rFonts w:ascii="Times New Roman" w:hAnsi="Times New Roman" w:cs="Times New Roman"/>
          <w:sz w:val="24"/>
          <w:szCs w:val="24"/>
        </w:rPr>
      </w:pPr>
      <w:r w:rsidRPr="008A6671">
        <w:rPr>
          <w:rFonts w:ascii="Arial" w:eastAsia="Arial" w:hAnsi="Arial" w:cs="Arial"/>
          <w:b/>
          <w:bCs/>
          <w:sz w:val="24"/>
          <w:szCs w:val="24"/>
        </w:rPr>
        <w:t xml:space="preserve">Table 13: </w:t>
      </w:r>
      <w:proofErr w:type="spellStart"/>
      <w:r w:rsidRPr="008A6671">
        <w:rPr>
          <w:rFonts w:ascii="Arial" w:eastAsia="Arial" w:hAnsi="Arial" w:cs="Arial"/>
          <w:b/>
          <w:bCs/>
          <w:sz w:val="24"/>
          <w:szCs w:val="24"/>
        </w:rPr>
        <w:t>Ansoff</w:t>
      </w:r>
      <w:proofErr w:type="spellEnd"/>
      <w:r w:rsidRPr="008A6671">
        <w:rPr>
          <w:rFonts w:ascii="Arial" w:eastAsia="Arial" w:hAnsi="Arial" w:cs="Arial"/>
          <w:b/>
          <w:bCs/>
          <w:sz w:val="24"/>
          <w:szCs w:val="24"/>
        </w:rPr>
        <w:t xml:space="preserve"> Matrix — strategic growth options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800"/>
        <w:gridCol w:w="3800"/>
      </w:tblGrid>
      <w:tr w:rsidR="008A6671" w:rsidRPr="008A6671" w:rsidTr="00FC60F1">
        <w:trPr>
          <w:tblHeader/>
        </w:trPr>
        <w:tc>
          <w:tcPr>
            <w:tcW w:w="18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p>
        </w:tc>
        <w:tc>
          <w:tcPr>
            <w:tcW w:w="38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Existing Products</w:t>
            </w:r>
          </w:p>
        </w:tc>
        <w:tc>
          <w:tcPr>
            <w:tcW w:w="38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New Products</w:t>
            </w:r>
          </w:p>
        </w:tc>
      </w:tr>
      <w:tr w:rsidR="008A6671" w:rsidRPr="008A6671" w:rsidTr="00FC60F1">
        <w:tc>
          <w:tcPr>
            <w:tcW w:w="1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Existing Markets</w:t>
            </w:r>
          </w:p>
        </w:tc>
        <w:tc>
          <w:tcPr>
            <w:tcW w:w="3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Market Penetration — deepen share among Leicester's core segments through loyalty schemes and targeted promotion. Primary Year 1 strategy.</w:t>
            </w:r>
          </w:p>
        </w:tc>
        <w:tc>
          <w:tcPr>
            <w:tcW w:w="3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Product Development — new regional menus/rotations, seasonal specials, expanded catering/events offering.</w:t>
            </w:r>
          </w:p>
        </w:tc>
      </w:tr>
      <w:tr w:rsidR="008A6671" w:rsidRPr="008A6671" w:rsidTr="00FC60F1">
        <w:tc>
          <w:tcPr>
            <w:tcW w:w="1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New Markets</w:t>
            </w:r>
          </w:p>
        </w:tc>
        <w:tc>
          <w:tcPr>
            <w:tcW w:w="3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Market Development — extending delivery reach to surrounding towns, or a second Leicester-area site, once the core concept is proven.</w:t>
            </w:r>
          </w:p>
        </w:tc>
        <w:tc>
          <w:tcPr>
            <w:tcW w:w="38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Diversification — e.g. packaged/retail products or franchising. Not recommended within the 12-month horizon.</w:t>
            </w:r>
          </w:p>
        </w:tc>
      </w:tr>
    </w:tbl>
    <w:p w:rsidR="008A6671" w:rsidRDefault="008A6671" w:rsidP="00AF4B2A">
      <w:pPr>
        <w:spacing w:before="100" w:beforeAutospacing="1" w:after="100" w:afterAutospacing="1" w:line="360" w:lineRule="auto"/>
        <w:jc w:val="both"/>
        <w:rPr>
          <w:rFonts w:ascii="Times New Roman" w:eastAsia="Times New Roman" w:hAnsi="Times New Roman" w:cs="Times New Roman"/>
          <w:b/>
          <w:bCs/>
          <w:sz w:val="24"/>
          <w:szCs w:val="24"/>
        </w:rPr>
      </w:pP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b/>
          <w:bCs/>
          <w:sz w:val="24"/>
          <w:szCs w:val="24"/>
        </w:rPr>
        <w:lastRenderedPageBreak/>
        <w:t>Recommended pathway.</w:t>
      </w:r>
      <w:r w:rsidRPr="00541B95">
        <w:rPr>
          <w:rFonts w:ascii="Arial" w:eastAsia="Arial" w:hAnsi="Arial" w:cs="Arial"/>
          <w:sz w:val="24"/>
          <w:szCs w:val="24"/>
        </w:rPr>
        <w:t xml:space="preserve"> Consistent with standard strategic sequencing, this proposal recommends </w:t>
      </w:r>
      <w:r w:rsidRPr="00541B95">
        <w:rPr>
          <w:rFonts w:ascii="Arial" w:eastAsia="Arial" w:hAnsi="Arial" w:cs="Arial"/>
          <w:b/>
          <w:bCs/>
          <w:sz w:val="24"/>
          <w:szCs w:val="24"/>
        </w:rPr>
        <w:t>market penetration</w:t>
      </w:r>
      <w:r w:rsidRPr="00541B95">
        <w:rPr>
          <w:rFonts w:ascii="Arial" w:eastAsia="Arial" w:hAnsi="Arial" w:cs="Arial"/>
          <w:sz w:val="24"/>
          <w:szCs w:val="24"/>
        </w:rPr>
        <w:t xml:space="preserve"> as the primary strategy for the first 12 months, since it carries the lowest risk and directly builds on the differentiated value proposition and customer base already validated in Sections 3–5. </w:t>
      </w:r>
      <w:r w:rsidRPr="00541B95">
        <w:rPr>
          <w:rFonts w:ascii="Arial" w:eastAsia="Arial" w:hAnsi="Arial" w:cs="Arial"/>
          <w:b/>
          <w:bCs/>
          <w:sz w:val="24"/>
          <w:szCs w:val="24"/>
        </w:rPr>
        <w:t>Product development</w:t>
      </w:r>
      <w:r w:rsidRPr="00541B95">
        <w:rPr>
          <w:rFonts w:ascii="Arial" w:eastAsia="Arial" w:hAnsi="Arial" w:cs="Arial"/>
          <w:sz w:val="24"/>
          <w:szCs w:val="24"/>
        </w:rPr>
        <w:t xml:space="preserve"> (regional menu rotation, event catering) is recommended as a secondary, lower-risk complement, already partially built into the marketing and revenue strategy (Section 4.5, Section 5.5). </w:t>
      </w:r>
      <w:r w:rsidRPr="00541B95">
        <w:rPr>
          <w:rFonts w:ascii="Arial" w:eastAsia="Arial" w:hAnsi="Arial" w:cs="Arial"/>
          <w:b/>
          <w:bCs/>
          <w:sz w:val="24"/>
          <w:szCs w:val="24"/>
        </w:rPr>
        <w:t>Market development</w:t>
      </w:r>
      <w:r w:rsidRPr="00541B95">
        <w:rPr>
          <w:rFonts w:ascii="Arial" w:eastAsia="Arial" w:hAnsi="Arial" w:cs="Arial"/>
          <w:sz w:val="24"/>
          <w:szCs w:val="24"/>
        </w:rPr>
        <w:t xml:space="preserve"> (a second site or wider delivery radius) is appropriately treated as a future consideration only once the single-site model has demonstrated 12 months of sustained profitability (Section 9), consistent with the founder's stated longer-term vision (Section 2.5). </w:t>
      </w:r>
      <w:r w:rsidRPr="00541B95">
        <w:rPr>
          <w:rFonts w:ascii="Arial" w:eastAsia="Arial" w:hAnsi="Arial" w:cs="Arial"/>
          <w:b/>
          <w:bCs/>
          <w:sz w:val="24"/>
          <w:szCs w:val="24"/>
        </w:rPr>
        <w:t>Diversification</w:t>
      </w:r>
      <w:r w:rsidRPr="00541B95">
        <w:rPr>
          <w:rFonts w:ascii="Arial" w:eastAsia="Arial" w:hAnsi="Arial" w:cs="Arial"/>
          <w:sz w:val="24"/>
          <w:szCs w:val="24"/>
        </w:rPr>
        <w:t xml:space="preserve"> is explicitly not recommended within this proposal's timeframe, as it would introduce risks unrelated to the core competency (regional culinary authenticity and restaurant operations) this plan has been built around, and would be premature ahead of proven single-site viability.</w:t>
      </w:r>
    </w:p>
    <w:p w:rsidR="00AE2F45" w:rsidRDefault="00AE2F45" w:rsidP="00AF4B2A">
      <w:pPr>
        <w:spacing w:before="100" w:beforeAutospacing="1" w:after="100" w:afterAutospacing="1" w:line="360" w:lineRule="auto"/>
        <w:jc w:val="both"/>
        <w:outlineLvl w:val="2"/>
        <w:rPr>
          <w:rFonts w:ascii="Arial" w:eastAsia="Arial" w:hAnsi="Arial" w:cs="Arial"/>
          <w:b/>
          <w:bCs/>
          <w:sz w:val="27"/>
          <w:szCs w:val="27"/>
        </w:rPr>
      </w:pPr>
    </w:p>
    <w:p w:rsidR="00541B95" w:rsidRPr="00541B95" w:rsidRDefault="00541B95"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541B95">
        <w:rPr>
          <w:rFonts w:ascii="Arial" w:eastAsia="Arial" w:hAnsi="Arial" w:cs="Arial"/>
          <w:b/>
          <w:bCs/>
          <w:sz w:val="27"/>
          <w:szCs w:val="27"/>
        </w:rPr>
        <w:t>8.6 Synthesis Across the Five Models</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 xml:space="preserve">Taken together, the five frameworks converge on a consistent strategic narrative rather than five disconnected analyses. The PESTLE analysis confirms Taste of India's alignment with </w:t>
      </w:r>
      <w:proofErr w:type="spellStart"/>
      <w:r w:rsidRPr="00541B95">
        <w:rPr>
          <w:rFonts w:ascii="Arial" w:eastAsia="Arial" w:hAnsi="Arial" w:cs="Arial"/>
          <w:sz w:val="24"/>
          <w:szCs w:val="24"/>
        </w:rPr>
        <w:t>favourable</w:t>
      </w:r>
      <w:proofErr w:type="spellEnd"/>
      <w:r w:rsidRPr="00541B95">
        <w:rPr>
          <w:rFonts w:ascii="Arial" w:eastAsia="Arial" w:hAnsi="Arial" w:cs="Arial"/>
          <w:sz w:val="24"/>
          <w:szCs w:val="24"/>
        </w:rPr>
        <w:t xml:space="preserve"> social and technological trends, tempered by a genuinely difficult economic backdrop. The SWOT analysis identifies chef-led authenticity as the pivotal strength that must be protected to capture the identified market opportunity. The Competitor Analysis and Porter's Five Forces both confirm that the local industry structure is intensely competitive, with high buyer power and rivalry — meaning that a generic, non-differentiated entrant would very likely fail, but a genuinely differentiated one has a credible, evidenced gap to occupy. The </w:t>
      </w:r>
      <w:proofErr w:type="spellStart"/>
      <w:r w:rsidRPr="00541B95">
        <w:rPr>
          <w:rFonts w:ascii="Arial" w:eastAsia="Arial" w:hAnsi="Arial" w:cs="Arial"/>
          <w:sz w:val="24"/>
          <w:szCs w:val="24"/>
        </w:rPr>
        <w:t>Ansoff</w:t>
      </w:r>
      <w:proofErr w:type="spellEnd"/>
      <w:r w:rsidRPr="00541B95">
        <w:rPr>
          <w:rFonts w:ascii="Arial" w:eastAsia="Arial" w:hAnsi="Arial" w:cs="Arial"/>
          <w:sz w:val="24"/>
          <w:szCs w:val="24"/>
        </w:rPr>
        <w:t xml:space="preserve"> Matrix then translates this into a disciplined, low-risk-first growth sequence (market penetration before product development, well before market development or diversification), avoiding the temptation to over-expand before the core concept is proven.</w:t>
      </w:r>
    </w:p>
    <w:p w:rsidR="00541B95" w:rsidRP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r w:rsidRPr="00541B95">
        <w:rPr>
          <w:rFonts w:ascii="Arial" w:eastAsia="Arial" w:hAnsi="Arial" w:cs="Arial"/>
          <w:sz w:val="24"/>
          <w:szCs w:val="24"/>
        </w:rPr>
        <w:t xml:space="preserve">The consistent conclusion across all five models is that Taste of India's viability depends less on whether sufficient customer demand exists — which the evidence supports fairly strongly — and more on whether the business can protect and consistently execute its core </w:t>
      </w:r>
      <w:r w:rsidRPr="00541B95">
        <w:rPr>
          <w:rFonts w:ascii="Arial" w:eastAsia="Arial" w:hAnsi="Arial" w:cs="Arial"/>
          <w:sz w:val="24"/>
          <w:szCs w:val="24"/>
        </w:rPr>
        <w:lastRenderedPageBreak/>
        <w:t>differentiator (regional authenticity, delivered by scarce specialist chefs) under real competitive and economic pressure. This finding directly shapes the priorities carried into the Financial Plan (Section 9) and the Reflection (Section 10).</w:t>
      </w:r>
    </w:p>
    <w:p w:rsidR="00541B95" w:rsidRDefault="00541B95" w:rsidP="00AF4B2A">
      <w:pPr>
        <w:spacing w:before="100" w:beforeAutospacing="1" w:after="100" w:afterAutospacing="1" w:line="360" w:lineRule="auto"/>
        <w:jc w:val="both"/>
        <w:rPr>
          <w:rFonts w:ascii="Times New Roman" w:eastAsia="Times New Roman" w:hAnsi="Times New Roman" w:cs="Times New Roman"/>
          <w:sz w:val="24"/>
          <w:szCs w:val="24"/>
        </w:rPr>
      </w:pPr>
    </w:p>
    <w:p w:rsidR="008A6671" w:rsidRDefault="008A6671"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AF4B2A" w:rsidRDefault="00AF4B2A"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7A6D02" w:rsidRDefault="007A6D02"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7A6D02" w:rsidRDefault="007A6D02"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AF4B2A" w:rsidRDefault="00AF4B2A"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AF4B2A" w:rsidRDefault="00AF4B2A" w:rsidP="00AF4B2A">
      <w:pPr>
        <w:spacing w:before="100" w:beforeAutospacing="1" w:after="100" w:afterAutospacing="1" w:line="360" w:lineRule="auto"/>
        <w:jc w:val="both"/>
        <w:outlineLvl w:val="1"/>
        <w:rPr>
          <w:rFonts w:ascii="Times New Roman" w:eastAsia="Times New Roman" w:hAnsi="Times New Roman" w:cs="Times New Roman"/>
          <w:sz w:val="24"/>
          <w:szCs w:val="24"/>
        </w:rPr>
      </w:pPr>
    </w:p>
    <w:p w:rsidR="00DA437C" w:rsidRPr="00DA437C" w:rsidRDefault="00DA437C"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DA437C">
        <w:rPr>
          <w:rFonts w:ascii="Arial" w:eastAsia="Arial" w:hAnsi="Arial" w:cs="Arial"/>
          <w:b/>
          <w:bCs/>
          <w:sz w:val="36"/>
          <w:szCs w:val="36"/>
        </w:rPr>
        <w:lastRenderedPageBreak/>
        <w:t>9. Financial Plan</w:t>
      </w:r>
    </w:p>
    <w:p w:rsidR="00DA437C" w:rsidRPr="00DA437C"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t>9.1 Start-Up Costs</w:t>
      </w:r>
    </w:p>
    <w:p w:rsidR="008A6671" w:rsidRPr="008A6671" w:rsidRDefault="008A6671" w:rsidP="00AF4B2A">
      <w:pPr>
        <w:spacing w:before="160" w:after="80" w:line="360" w:lineRule="auto"/>
        <w:jc w:val="both"/>
        <w:rPr>
          <w:rFonts w:ascii="Times New Roman" w:hAnsi="Times New Roman" w:cs="Times New Roman"/>
          <w:sz w:val="24"/>
          <w:szCs w:val="24"/>
        </w:rPr>
      </w:pPr>
      <w:r w:rsidRPr="008A6671">
        <w:rPr>
          <w:rFonts w:ascii="Arial" w:eastAsia="Arial" w:hAnsi="Arial" w:cs="Arial"/>
          <w:b/>
          <w:bCs/>
          <w:sz w:val="24"/>
          <w:szCs w:val="24"/>
        </w:rPr>
        <w:t>Table 14: Estimated start-up costs (illustrative)</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0"/>
        <w:gridCol w:w="2400"/>
      </w:tblGrid>
      <w:tr w:rsidR="008A6671" w:rsidRPr="008A6671" w:rsidTr="00FC60F1">
        <w:trPr>
          <w:tblHeader/>
        </w:trPr>
        <w:tc>
          <w:tcPr>
            <w:tcW w:w="70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Item</w:t>
            </w:r>
          </w:p>
        </w:tc>
        <w:tc>
          <w:tcPr>
            <w:tcW w:w="24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Estimated Cost</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Lease deposit and rent (first 3 months)</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£15,000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Kitchen fit-out and equipment</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£45,000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Furniture, fixtures and interior design</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£15,000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Initial stock and ingredients</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£5,000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Licensing, legal fees and insurance</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£5,000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EPOS, reservation and delivery integration systems</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£3,000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Pre-launch marketing</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£4,000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Contingency (approx. 15%)</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£14,000</w:t>
            </w:r>
          </w:p>
        </w:tc>
      </w:tr>
      <w:tr w:rsidR="008A6671" w:rsidRPr="008A6671" w:rsidTr="00FC60F1">
        <w:tc>
          <w:tcPr>
            <w:tcW w:w="70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Total start-up capital required</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£106,000</w:t>
            </w:r>
          </w:p>
        </w:tc>
      </w:tr>
    </w:tbl>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The 15% contingency reflects standard advice to build in a buffer against underestimated fit-out or equipment costs, consistent with the financial risk mitigation identified earlier in the proposal.</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DA437C" w:rsidRPr="00DA437C"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lastRenderedPageBreak/>
        <w:t>9.2 Sources of Funding</w:t>
      </w:r>
    </w:p>
    <w:p w:rsidR="00DA437C" w:rsidRPr="00DA437C" w:rsidRDefault="008A6671" w:rsidP="00AF4B2A">
      <w:pPr>
        <w:spacing w:before="100" w:beforeAutospacing="1" w:after="100" w:afterAutospacing="1" w:line="360" w:lineRule="auto"/>
        <w:jc w:val="both"/>
        <w:rPr>
          <w:rFonts w:ascii="Times New Roman" w:eastAsia="Times New Roman" w:hAnsi="Times New Roman" w:cs="Times New Roman"/>
          <w:sz w:val="24"/>
          <w:szCs w:val="24"/>
        </w:rPr>
      </w:pPr>
      <w:r>
        <w:rPr>
          <w:rFonts w:ascii="Arial" w:eastAsia="Arial" w:hAnsi="Arial" w:cs="Arial"/>
          <w:b/>
          <w:bCs/>
          <w:sz w:val="24"/>
          <w:szCs w:val="24"/>
        </w:rPr>
        <w:t>(</w:t>
      </w:r>
      <w:r w:rsidR="00DA437C" w:rsidRPr="00DA437C">
        <w:rPr>
          <w:rFonts w:ascii="Arial" w:eastAsia="Arial" w:hAnsi="Arial" w:cs="Arial"/>
          <w:b/>
          <w:bCs/>
          <w:sz w:val="24"/>
          <w:szCs w:val="24"/>
        </w:rPr>
        <w:t>Illustrative</w:t>
      </w:r>
      <w:r>
        <w:rPr>
          <w:rFonts w:ascii="Arial" w:eastAsia="Arial" w:hAnsi="Arial" w:cs="Arial"/>
          <w:b/>
          <w:bCs/>
          <w:sz w:val="24"/>
          <w:szCs w:val="24"/>
        </w:rPr>
        <w:t xml:space="preserve"> — actual split to be confirmed)</w:t>
      </w:r>
    </w:p>
    <w:p w:rsidR="008A6671" w:rsidRPr="008A6671" w:rsidRDefault="008A6671" w:rsidP="00AF4B2A">
      <w:pPr>
        <w:spacing w:before="160" w:after="80" w:line="360" w:lineRule="auto"/>
        <w:jc w:val="both"/>
        <w:rPr>
          <w:rFonts w:ascii="Times New Roman" w:hAnsi="Times New Roman" w:cs="Times New Roman"/>
          <w:sz w:val="24"/>
          <w:szCs w:val="24"/>
        </w:rPr>
      </w:pPr>
      <w:r w:rsidRPr="008A6671">
        <w:rPr>
          <w:rFonts w:ascii="Arial" w:eastAsia="Arial" w:hAnsi="Arial" w:cs="Arial"/>
          <w:b/>
          <w:bCs/>
          <w:sz w:val="24"/>
          <w:szCs w:val="24"/>
        </w:rPr>
        <w:t>Table 15: Sources of funding (illustrative)</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400"/>
        <w:gridCol w:w="2400"/>
        <w:gridCol w:w="1600"/>
      </w:tblGrid>
      <w:tr w:rsidR="008A6671" w:rsidRPr="008A6671" w:rsidTr="00FC60F1">
        <w:trPr>
          <w:tblHeader/>
        </w:trPr>
        <w:tc>
          <w:tcPr>
            <w:tcW w:w="54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Source</w:t>
            </w:r>
          </w:p>
        </w:tc>
        <w:tc>
          <w:tcPr>
            <w:tcW w:w="24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Amount</w:t>
            </w:r>
          </w:p>
        </w:tc>
        <w:tc>
          <w:tcPr>
            <w:tcW w:w="1600" w:type="dxa"/>
            <w:shd w:val="clear" w:color="auto" w:fill="D9D9D9"/>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b/>
                <w:bCs/>
                <w:sz w:val="24"/>
                <w:szCs w:val="24"/>
              </w:rPr>
              <w:t>% of Total</w:t>
            </w:r>
          </w:p>
        </w:tc>
      </w:tr>
      <w:tr w:rsidR="008A6671" w:rsidRPr="008A6671" w:rsidTr="00FC60F1">
        <w:tc>
          <w:tcPr>
            <w:tcW w:w="5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Founder's personal savings</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£30,000</w:t>
            </w:r>
          </w:p>
        </w:tc>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28%</w:t>
            </w:r>
          </w:p>
        </w:tc>
      </w:tr>
      <w:tr w:rsidR="008A6671" w:rsidRPr="008A6671" w:rsidTr="00FC60F1">
        <w:tc>
          <w:tcPr>
            <w:tcW w:w="5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Start Up Loans Company / commercial bank loan</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£50,000</w:t>
            </w:r>
          </w:p>
        </w:tc>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47%</w:t>
            </w:r>
          </w:p>
        </w:tc>
      </w:tr>
      <w:tr w:rsidR="008A6671" w:rsidRPr="008A6671" w:rsidTr="00FC60F1">
        <w:tc>
          <w:tcPr>
            <w:tcW w:w="5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Family or private investor contribution</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£26,000</w:t>
            </w:r>
          </w:p>
        </w:tc>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25%</w:t>
            </w:r>
          </w:p>
        </w:tc>
      </w:tr>
      <w:tr w:rsidR="008A6671" w:rsidRPr="008A6671" w:rsidTr="00FC60F1">
        <w:tc>
          <w:tcPr>
            <w:tcW w:w="5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Total</w:t>
            </w:r>
          </w:p>
        </w:tc>
        <w:tc>
          <w:tcPr>
            <w:tcW w:w="24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£106,000</w:t>
            </w:r>
          </w:p>
        </w:tc>
        <w:tc>
          <w:tcPr>
            <w:tcW w:w="1600" w:type="dxa"/>
            <w:tcMar>
              <w:top w:w="80" w:type="dxa"/>
              <w:left w:w="100" w:type="dxa"/>
              <w:bottom w:w="80" w:type="dxa"/>
              <w:right w:w="100" w:type="dxa"/>
            </w:tcMar>
            <w:vAlign w:val="center"/>
          </w:tcPr>
          <w:p w:rsidR="008A6671" w:rsidRPr="008A6671" w:rsidRDefault="008A6671" w:rsidP="00AF4B2A">
            <w:pPr>
              <w:spacing w:line="240" w:lineRule="auto"/>
              <w:jc w:val="both"/>
              <w:rPr>
                <w:rFonts w:ascii="Times New Roman" w:hAnsi="Times New Roman" w:cs="Times New Roman"/>
                <w:sz w:val="24"/>
                <w:szCs w:val="24"/>
              </w:rPr>
            </w:pPr>
            <w:r w:rsidRPr="008A6671">
              <w:rPr>
                <w:rFonts w:ascii="Arial" w:eastAsia="Arial" w:hAnsi="Arial" w:cs="Arial"/>
                <w:sz w:val="24"/>
                <w:szCs w:val="24"/>
              </w:rPr>
              <w:t>100%</w:t>
            </w:r>
          </w:p>
        </w:tc>
      </w:tr>
    </w:tbl>
    <w:p w:rsidR="008A6671" w:rsidRDefault="008A6671" w:rsidP="00AF4B2A">
      <w:pPr>
        <w:spacing w:before="100" w:beforeAutospacing="1" w:after="100" w:afterAutospacing="1" w:line="360" w:lineRule="auto"/>
        <w:jc w:val="both"/>
        <w:rPr>
          <w:rFonts w:ascii="Times New Roman" w:eastAsia="Times New Roman" w:hAnsi="Times New Roman" w:cs="Times New Roman"/>
          <w:sz w:val="24"/>
          <w:szCs w:val="24"/>
        </w:rPr>
      </w:pPr>
    </w:p>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 xml:space="preserve">This structure avoids over-reliance on debt alone, which would increase fixed monthly repayment obligations during the highest-risk early trading months, while also avoiding excessive dilution of ownership through investor equity (consistent with the private limited company structure set out in Section 2.6, where the founder retains full initial ownership). </w:t>
      </w:r>
      <w:r w:rsidR="008A6671">
        <w:rPr>
          <w:rFonts w:ascii="Arial" w:eastAsia="Arial" w:hAnsi="Arial" w:cs="Arial"/>
          <w:b/>
          <w:bCs/>
          <w:sz w:val="24"/>
          <w:szCs w:val="24"/>
        </w:rPr>
        <w:t>(</w:t>
      </w:r>
      <w:r w:rsidRPr="00DA437C">
        <w:rPr>
          <w:rFonts w:ascii="Arial" w:eastAsia="Arial" w:hAnsi="Arial" w:cs="Arial"/>
          <w:b/>
          <w:bCs/>
          <w:sz w:val="24"/>
          <w:szCs w:val="24"/>
        </w:rPr>
        <w:t>Assumption — actual lender, loan terms and any investor agreement to be confirmed and, if an investor is involved, reflected back into the owne</w:t>
      </w:r>
      <w:r w:rsidR="008A6671">
        <w:rPr>
          <w:rFonts w:ascii="Arial" w:eastAsia="Arial" w:hAnsi="Arial" w:cs="Arial"/>
          <w:b/>
          <w:bCs/>
          <w:sz w:val="24"/>
          <w:szCs w:val="24"/>
        </w:rPr>
        <w:t>rship structure in Section 2.6.)</w:t>
      </w:r>
      <w:r>
        <w:rPr>
          <w:rFonts w:ascii="Arial" w:eastAsia="Arial" w:hAnsi="Arial" w:cs="Arial"/>
          <w:sz w:val="24"/>
          <w:highlight w:val="yellow"/>
        </w:rPr>
        <w:t xml:space="preserve"> </w:t>
      </w:r>
      <w:r w:rsidRPr="00613214">
        <w:rPr>
          <w:rFonts w:ascii="Arial" w:eastAsia="Arial" w:hAnsi="Arial" w:cs="Arial"/>
          <w:sz w:val="24"/>
        </w:rPr>
        <w:t>This caution is consistent with wider small-business research, which finds that working capital and cash flow management is one of the most critical, and most frequently under-managed, aspects of small firm financial practice, reinforcing why the assumptions underlying this model should be tested against real figures before being relied upon (Peel and Wilson, 1996).</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DA437C" w:rsidRPr="00DA437C"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t>9.3 Key Assumptions</w:t>
      </w:r>
    </w:p>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lastRenderedPageBreak/>
        <w:t>To build a 12-month cash flow, the following operating assumptions are used, all clearly flagged as illustrative:</w:t>
      </w:r>
    </w:p>
    <w:p w:rsidR="00DA437C" w:rsidRPr="00DA437C" w:rsidRDefault="00DA437C" w:rsidP="00AF4B2A">
      <w:pPr>
        <w:numPr>
          <w:ilvl w:val="0"/>
          <w:numId w:val="14"/>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 xml:space="preserve">Maximum sustainable monthly revenue at full capacity: </w:t>
      </w:r>
      <w:r w:rsidRPr="00DA437C">
        <w:rPr>
          <w:rFonts w:ascii="Arial" w:eastAsia="Arial" w:hAnsi="Arial" w:cs="Arial"/>
          <w:b/>
          <w:bCs/>
          <w:sz w:val="24"/>
          <w:szCs w:val="24"/>
        </w:rPr>
        <w:t>£85,000</w:t>
      </w:r>
      <w:r w:rsidRPr="00DA437C">
        <w:rPr>
          <w:rFonts w:ascii="Arial" w:eastAsia="Arial" w:hAnsi="Arial" w:cs="Arial"/>
          <w:sz w:val="24"/>
          <w:szCs w:val="24"/>
        </w:rPr>
        <w:t>, based on an assumed average spend per customer of £22 (blended across dine-in, takeaway and delivery — consistent with the pricing set out in Section 5.3) and an estimated maximum weekly cover volume the premises can support.</w:t>
      </w:r>
    </w:p>
    <w:p w:rsidR="00DA437C" w:rsidRPr="00DA437C" w:rsidRDefault="00DA437C" w:rsidP="00AF4B2A">
      <w:pPr>
        <w:numPr>
          <w:ilvl w:val="0"/>
          <w:numId w:val="14"/>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Revenue ramps gradually from 25% of maximum capacity in Month 1 to 85% by Month 12, broadly consistent with the sales targets set in Section 5.10 (60% by month 6, 85% by month 12), but starting from a more cautious early-trading assumption than that section implied, to reflect realistic customer-base building time.</w:t>
      </w:r>
    </w:p>
    <w:p w:rsidR="00DA437C" w:rsidRPr="00DA437C" w:rsidRDefault="00DA437C" w:rsidP="00AF4B2A">
      <w:pPr>
        <w:numPr>
          <w:ilvl w:val="0"/>
          <w:numId w:val="14"/>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 xml:space="preserve">Cost of sales (food and drink cost) is assumed at </w:t>
      </w:r>
      <w:r w:rsidRPr="00DA437C">
        <w:rPr>
          <w:rFonts w:ascii="Arial" w:eastAsia="Arial" w:hAnsi="Arial" w:cs="Arial"/>
          <w:b/>
          <w:bCs/>
          <w:sz w:val="24"/>
          <w:szCs w:val="24"/>
        </w:rPr>
        <w:t>30% of revenue</w:t>
      </w:r>
      <w:r w:rsidRPr="00DA437C">
        <w:rPr>
          <w:rFonts w:ascii="Arial" w:eastAsia="Arial" w:hAnsi="Arial" w:cs="Arial"/>
          <w:sz w:val="24"/>
          <w:szCs w:val="24"/>
        </w:rPr>
        <w:t>, a standard hospitality benchmark.</w:t>
      </w:r>
    </w:p>
    <w:p w:rsidR="00DA437C" w:rsidRPr="00DA437C" w:rsidRDefault="00DA437C" w:rsidP="00AF4B2A">
      <w:pPr>
        <w:numPr>
          <w:ilvl w:val="0"/>
          <w:numId w:val="14"/>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Staffing costs scale with the headcount growth plan in Section 7: approximately £14,000/month (months 1–5), rising to £18,000/month (months 6–11) and £21,000/month (month 12).</w:t>
      </w:r>
    </w:p>
    <w:p w:rsidR="00DA437C" w:rsidRPr="00DA437C" w:rsidRDefault="00DA437C" w:rsidP="00AF4B2A">
      <w:pPr>
        <w:numPr>
          <w:ilvl w:val="0"/>
          <w:numId w:val="14"/>
        </w:numPr>
        <w:spacing w:before="100" w:beforeAutospacing="1" w:after="100" w:afterAutospacing="1" w:line="360" w:lineRule="auto"/>
        <w:ind w:left="0"/>
        <w:jc w:val="both"/>
        <w:rPr>
          <w:rFonts w:ascii="Times New Roman" w:eastAsia="Times New Roman" w:hAnsi="Times New Roman" w:cs="Times New Roman"/>
          <w:sz w:val="24"/>
          <w:szCs w:val="24"/>
        </w:rPr>
      </w:pPr>
      <w:r w:rsidRPr="00DA437C">
        <w:rPr>
          <w:rFonts w:ascii="Arial" w:eastAsia="Arial" w:hAnsi="Arial" w:cs="Arial"/>
          <w:sz w:val="24"/>
          <w:szCs w:val="24"/>
        </w:rPr>
        <w:t>Fixed monthly costs: rent and rates £4,500, utilities £1,200, insurance £400, admin/bookkeeping support (Section 7.9) £600.</w:t>
      </w:r>
    </w:p>
    <w:p w:rsidR="00840A94" w:rsidRPr="00D94BA6" w:rsidRDefault="00DA437C" w:rsidP="00AF4B2A">
      <w:pPr>
        <w:numPr>
          <w:ilvl w:val="0"/>
          <w:numId w:val="14"/>
        </w:numPr>
        <w:spacing w:before="100" w:beforeAutospacing="1" w:after="100" w:afterAutospacing="1" w:line="360" w:lineRule="auto"/>
        <w:ind w:left="0"/>
        <w:jc w:val="both"/>
        <w:rPr>
          <w:rFonts w:ascii="Times New Roman" w:eastAsia="Times New Roman" w:hAnsi="Times New Roman" w:cs="Times New Roman"/>
          <w:sz w:val="24"/>
          <w:szCs w:val="24"/>
        </w:rPr>
      </w:pPr>
      <w:r w:rsidRPr="00DA437C">
        <w:rPr>
          <w:rFonts w:ascii="Arial" w:eastAsia="Arial" w:hAnsi="Arial" w:cs="Arial"/>
          <w:sz w:val="24"/>
          <w:szCs w:val="24"/>
        </w:rPr>
        <w:t>Marketing spend is higher at launch (£2,500/month, months 1–3) and reduces to a steady-state £1,500/month from month 4, consistent with the acquisition-to-retention shift described in Section 5.8–5.9.</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0645AB" w:rsidRPr="00D94BA6"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t>9.4 12-Month Cash Flow Statement</w:t>
      </w:r>
    </w:p>
    <w:p w:rsidR="008266D2" w:rsidRDefault="000645AB" w:rsidP="00AF4B2A">
      <w:pPr>
        <w:spacing w:before="100" w:beforeAutospacing="1" w:after="100" w:afterAutospacing="1" w:line="360" w:lineRule="auto"/>
        <w:ind w:left="-432"/>
        <w:jc w:val="both"/>
        <w:outlineLvl w:val="2"/>
        <w:rPr>
          <w:rFonts w:ascii="Times New Roman" w:eastAsia="Times New Roman" w:hAnsi="Times New Roman" w:cs="Times New Roman"/>
          <w:b/>
          <w:bCs/>
          <w:sz w:val="27"/>
          <w:szCs w:val="27"/>
        </w:rPr>
      </w:pPr>
      <w:r>
        <w:rPr>
          <w:rFonts w:ascii="Arial" w:eastAsia="Arial" w:hAnsi="Arial" w:cs="Arial"/>
        </w:rPr>
        <w:lastRenderedPageBreak/>
        <w:br w:type="textWrapping" w:clear="all"/>
      </w:r>
      <w:r w:rsidR="00DF24F0" w:rsidRPr="00DF24F0">
        <w:rPr>
          <w:rFonts w:ascii="Arial" w:eastAsia="Arial" w:hAnsi="Arial" w:cs="Arial"/>
          <w:noProof/>
        </w:rPr>
        <w:drawing>
          <wp:inline distT="0" distB="0" distL="0" distR="0" wp14:anchorId="7B1F8C6C" wp14:editId="6133C938">
            <wp:extent cx="9606915" cy="5433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649192" cy="5456969"/>
                    </a:xfrm>
                    <a:prstGeom prst="rect">
                      <a:avLst/>
                    </a:prstGeom>
                    <a:noFill/>
                    <a:ln>
                      <a:noFill/>
                    </a:ln>
                  </pic:spPr>
                </pic:pic>
              </a:graphicData>
            </a:graphic>
          </wp:inline>
        </w:drawing>
      </w:r>
    </w:p>
    <w:p w:rsidR="00DA437C" w:rsidRPr="00DA437C"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t>9.5 Break-Even Analysis</w:t>
      </w:r>
    </w:p>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lastRenderedPageBreak/>
        <w:t xml:space="preserve">Under this model, the business moves from monthly cash-flow negative to monthly cash-flow positive in </w:t>
      </w:r>
      <w:r w:rsidRPr="00DA437C">
        <w:rPr>
          <w:rFonts w:ascii="Arial" w:eastAsia="Arial" w:hAnsi="Arial" w:cs="Arial"/>
          <w:b/>
          <w:bCs/>
          <w:sz w:val="24"/>
          <w:szCs w:val="24"/>
        </w:rPr>
        <w:t>Month 3</w:t>
      </w:r>
      <w:r w:rsidRPr="00DA437C">
        <w:rPr>
          <w:rFonts w:ascii="Arial" w:eastAsia="Arial" w:hAnsi="Arial" w:cs="Arial"/>
          <w:sz w:val="24"/>
          <w:szCs w:val="24"/>
        </w:rPr>
        <w:t xml:space="preserve">, and cumulative cash flow (i.e. having recovered the negative early-trading dip) turns positive in </w:t>
      </w:r>
      <w:r w:rsidRPr="00DA437C">
        <w:rPr>
          <w:rFonts w:ascii="Arial" w:eastAsia="Arial" w:hAnsi="Arial" w:cs="Arial"/>
          <w:b/>
          <w:bCs/>
          <w:sz w:val="24"/>
          <w:szCs w:val="24"/>
        </w:rPr>
        <w:t>Month 5</w:t>
      </w:r>
      <w:r w:rsidRPr="00DA437C">
        <w:rPr>
          <w:rFonts w:ascii="Arial" w:eastAsia="Arial" w:hAnsi="Arial" w:cs="Arial"/>
          <w:sz w:val="24"/>
          <w:szCs w:val="24"/>
        </w:rPr>
        <w:t xml:space="preserve">. The maximum cumulative deficit reached is approximately </w:t>
      </w:r>
      <w:r w:rsidRPr="00DA437C">
        <w:rPr>
          <w:rFonts w:ascii="Arial" w:eastAsia="Arial" w:hAnsi="Arial" w:cs="Arial"/>
          <w:b/>
          <w:bCs/>
          <w:sz w:val="24"/>
          <w:szCs w:val="24"/>
        </w:rPr>
        <w:t>£12,485 (Month 2)</w:t>
      </w:r>
      <w:r w:rsidRPr="00DA437C">
        <w:rPr>
          <w:rFonts w:ascii="Arial" w:eastAsia="Arial" w:hAnsi="Arial" w:cs="Arial"/>
          <w:sz w:val="24"/>
          <w:szCs w:val="24"/>
        </w:rPr>
        <w:t>, comfortably within the £106,000 raised at start-up (Section 9.2), meaning the business is not expected to require additional emergency funding during Year 1 under these assumptions.</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DA437C" w:rsidRPr="00DA437C"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t>9.6 Reconciling with Sector Margin Benchmarks</w:t>
      </w:r>
    </w:p>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It is important to flag a limitation of this simplified model directly, rather than let it pass unexamined, in line with the critical evaluation expected at this level. Section 3 noted that full-service UK restaurants typically operate on net profit margins of only 3–5%. The Month 12 figures above show a gross profit margin of approximately 70% and a net cash flow margin of approximately 30% — considerably higher than that sector benchmark. This gap exists because the cash flow above excludes two significant costs:</w:t>
      </w:r>
    </w:p>
    <w:p w:rsidR="00DA437C" w:rsidRPr="00DA437C" w:rsidRDefault="00DA437C" w:rsidP="00AF4B2A">
      <w:pPr>
        <w:numPr>
          <w:ilvl w:val="0"/>
          <w:numId w:val="15"/>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b/>
          <w:bCs/>
          <w:sz w:val="24"/>
          <w:szCs w:val="24"/>
        </w:rPr>
        <w:t>Loan repayments</w:t>
      </w:r>
      <w:r w:rsidRPr="00DA437C">
        <w:rPr>
          <w:rFonts w:ascii="Arial" w:eastAsia="Arial" w:hAnsi="Arial" w:cs="Arial"/>
          <w:sz w:val="24"/>
          <w:szCs w:val="24"/>
        </w:rPr>
        <w:t xml:space="preserve">: assuming the £50,000 loan (Section 9.2) is repaid over 5 years at an illustrative 8% APR, this adds approximately </w:t>
      </w:r>
      <w:r w:rsidRPr="00DA437C">
        <w:rPr>
          <w:rFonts w:ascii="Arial" w:eastAsia="Arial" w:hAnsi="Arial" w:cs="Arial"/>
          <w:b/>
          <w:bCs/>
          <w:sz w:val="24"/>
          <w:szCs w:val="24"/>
        </w:rPr>
        <w:t>£1,015/month</w:t>
      </w:r>
      <w:r w:rsidRPr="00DA437C">
        <w:rPr>
          <w:rFonts w:ascii="Arial" w:eastAsia="Arial" w:hAnsi="Arial" w:cs="Arial"/>
          <w:sz w:val="24"/>
          <w:szCs w:val="24"/>
        </w:rPr>
        <w:t xml:space="preserve"> (~£12,180/year) not yet deducted above.</w:t>
      </w:r>
    </w:p>
    <w:p w:rsidR="00DA437C" w:rsidRPr="00DA437C" w:rsidRDefault="00DA437C" w:rsidP="00AF4B2A">
      <w:pPr>
        <w:numPr>
          <w:ilvl w:val="0"/>
          <w:numId w:val="15"/>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b/>
          <w:bCs/>
          <w:sz w:val="24"/>
          <w:szCs w:val="24"/>
        </w:rPr>
        <w:t>Corporation tax and depreciation</w:t>
      </w:r>
      <w:r w:rsidRPr="00DA437C">
        <w:rPr>
          <w:rFonts w:ascii="Arial" w:eastAsia="Arial" w:hAnsi="Arial" w:cs="Arial"/>
          <w:sz w:val="24"/>
          <w:szCs w:val="24"/>
        </w:rPr>
        <w:t>: not modelled here, and typically material once the business is consistently profitable.</w:t>
      </w:r>
    </w:p>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 xml:space="preserve">Even after these deductions, Year 1 remains solidly cash-flow positive (approximately £111,000 net of loan repayments, before tax). However, the </w:t>
      </w:r>
      <w:r w:rsidRPr="00DA437C">
        <w:rPr>
          <w:rFonts w:ascii="Arial" w:eastAsia="Arial" w:hAnsi="Arial" w:cs="Arial"/>
          <w:b/>
          <w:bCs/>
          <w:sz w:val="24"/>
          <w:szCs w:val="24"/>
        </w:rPr>
        <w:t>3–5% sector benchmark should be understood as a longer-run, steady-state figure</w:t>
      </w:r>
      <w:r w:rsidRPr="00DA437C">
        <w:rPr>
          <w:rFonts w:ascii="Arial" w:eastAsia="Arial" w:hAnsi="Arial" w:cs="Arial"/>
          <w:sz w:val="24"/>
          <w:szCs w:val="24"/>
        </w:rPr>
        <w:t xml:space="preserve"> once ongoing capital reinvestment, full tax liability, and normal cost inflation are accounted for — Year 1 performance in a ramp-up model like this will typically look stronger than steady-state performance, precisely because it isn't yet carrying those longer-run costs. This is flagged here so the figures aren't read as more conclusively </w:t>
      </w:r>
      <w:proofErr w:type="spellStart"/>
      <w:r w:rsidRPr="00DA437C">
        <w:rPr>
          <w:rFonts w:ascii="Arial" w:eastAsia="Arial" w:hAnsi="Arial" w:cs="Arial"/>
          <w:sz w:val="24"/>
          <w:szCs w:val="24"/>
        </w:rPr>
        <w:t>favourable</w:t>
      </w:r>
      <w:proofErr w:type="spellEnd"/>
      <w:r w:rsidRPr="00DA437C">
        <w:rPr>
          <w:rFonts w:ascii="Arial" w:eastAsia="Arial" w:hAnsi="Arial" w:cs="Arial"/>
          <w:sz w:val="24"/>
          <w:szCs w:val="24"/>
        </w:rPr>
        <w:t xml:space="preserve"> than they should be.</w:t>
      </w:r>
    </w:p>
    <w:p w:rsidR="00DA437C" w:rsidRPr="00DA437C" w:rsidRDefault="00DA437C"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DA437C">
        <w:rPr>
          <w:rFonts w:ascii="Arial" w:eastAsia="Arial" w:hAnsi="Arial" w:cs="Arial"/>
          <w:b/>
          <w:bCs/>
          <w:sz w:val="27"/>
          <w:szCs w:val="27"/>
        </w:rPr>
        <w:t>9.7 Is the Business Financially Realistic?</w:t>
      </w:r>
    </w:p>
    <w:p w:rsidR="00DA437C" w:rsidRPr="00DA437C"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lastRenderedPageBreak/>
        <w:t>Based on this illustrative model: the concept appears financially plausible, with a manageable early-trading deficit relative to the funding raised, and a credible path to sustained positive cash flow within the first 12 months — supporting the objective set out in Section 2.10 (positive monthly cash flow within 12 months). However, this conclusion is only as strong as the assumptions behind it, and three are worth flagging as the most sensitive:</w:t>
      </w:r>
    </w:p>
    <w:p w:rsidR="00DA437C" w:rsidRPr="00DA437C" w:rsidRDefault="00DA437C" w:rsidP="00AF4B2A">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b/>
          <w:bCs/>
          <w:sz w:val="24"/>
          <w:szCs w:val="24"/>
        </w:rPr>
        <w:t>The revenue ramp-up curve</w:t>
      </w:r>
      <w:r w:rsidRPr="00DA437C">
        <w:rPr>
          <w:rFonts w:ascii="Arial" w:eastAsia="Arial" w:hAnsi="Arial" w:cs="Arial"/>
          <w:sz w:val="24"/>
          <w:szCs w:val="24"/>
        </w:rPr>
        <w:t xml:space="preserve"> (25% to 85% of capacity) is the single largest driver of the entire model. A slower ramp — plausible given the competitive intensity identified in Section 8.4 — would extend the break-even period and increase the maximum funding deficit materially.</w:t>
      </w:r>
    </w:p>
    <w:p w:rsidR="00DA437C" w:rsidRPr="00DA437C" w:rsidRDefault="00DA437C" w:rsidP="00AF4B2A">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b/>
          <w:bCs/>
          <w:sz w:val="24"/>
          <w:szCs w:val="24"/>
        </w:rPr>
        <w:t>The £22 average spend assumption</w:t>
      </w:r>
      <w:r w:rsidRPr="00DA437C">
        <w:rPr>
          <w:rFonts w:ascii="Arial" w:eastAsia="Arial" w:hAnsi="Arial" w:cs="Arial"/>
          <w:sz w:val="24"/>
          <w:szCs w:val="24"/>
        </w:rPr>
        <w:t xml:space="preserve"> is not yet benchmarked against actual competitor transaction data; if genuine average spend is lower (e.g. closer to Herb's or Spice </w:t>
      </w:r>
      <w:proofErr w:type="spellStart"/>
      <w:r w:rsidRPr="00DA437C">
        <w:rPr>
          <w:rFonts w:ascii="Arial" w:eastAsia="Arial" w:hAnsi="Arial" w:cs="Arial"/>
          <w:sz w:val="24"/>
          <w:szCs w:val="24"/>
        </w:rPr>
        <w:t>Bazzar's</w:t>
      </w:r>
      <w:proofErr w:type="spellEnd"/>
      <w:r w:rsidRPr="00DA437C">
        <w:rPr>
          <w:rFonts w:ascii="Arial" w:eastAsia="Arial" w:hAnsi="Arial" w:cs="Arial"/>
          <w:sz w:val="24"/>
          <w:szCs w:val="24"/>
        </w:rPr>
        <w:t xml:space="preserve"> price points — Section 3.5), maximum monthly revenue and every figure derived from it would fall proportionally.</w:t>
      </w:r>
    </w:p>
    <w:p w:rsidR="00DA437C" w:rsidRPr="00DA437C" w:rsidRDefault="00DA437C" w:rsidP="00AF4B2A">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b/>
          <w:bCs/>
          <w:sz w:val="24"/>
          <w:szCs w:val="24"/>
        </w:rPr>
        <w:t>Staffing costs</w:t>
      </w:r>
      <w:r w:rsidRPr="00DA437C">
        <w:rPr>
          <w:rFonts w:ascii="Arial" w:eastAsia="Arial" w:hAnsi="Arial" w:cs="Arial"/>
          <w:sz w:val="24"/>
          <w:szCs w:val="24"/>
        </w:rPr>
        <w:t xml:space="preserve"> are estimated, not quoted; actual Leicester hospitality wage rates and required headcount (Section 7) should be verified against current market rates before this model is relied upon.</w:t>
      </w:r>
    </w:p>
    <w:p w:rsidR="00227A2D" w:rsidRDefault="00DA437C" w:rsidP="00AF4B2A">
      <w:pPr>
        <w:spacing w:before="100" w:beforeAutospacing="1" w:after="100" w:afterAutospacing="1" w:line="360" w:lineRule="auto"/>
        <w:jc w:val="both"/>
        <w:rPr>
          <w:rFonts w:ascii="Times New Roman" w:eastAsia="Times New Roman" w:hAnsi="Times New Roman" w:cs="Times New Roman"/>
          <w:sz w:val="24"/>
          <w:szCs w:val="24"/>
        </w:rPr>
      </w:pPr>
      <w:r w:rsidRPr="00DA437C">
        <w:rPr>
          <w:rFonts w:ascii="Arial" w:eastAsia="Arial" w:hAnsi="Arial" w:cs="Arial"/>
          <w:sz w:val="24"/>
          <w:szCs w:val="24"/>
        </w:rPr>
        <w:t>This section should therefore be read as a structurally sound illustration of what viability could look like, not as a validated financial forecast — a distinction I'd recommend stating explicitly in your Reflection (Section 10) as well.</w:t>
      </w: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7A6D02" w:rsidRDefault="007A6D02"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D94BA6" w:rsidRDefault="00D94BA6"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p>
    <w:p w:rsidR="00227A2D" w:rsidRPr="00227A2D" w:rsidRDefault="00227A2D" w:rsidP="00AF4B2A">
      <w:pPr>
        <w:spacing w:before="100" w:beforeAutospacing="1" w:after="100" w:afterAutospacing="1" w:line="360" w:lineRule="auto"/>
        <w:jc w:val="both"/>
        <w:outlineLvl w:val="1"/>
        <w:rPr>
          <w:rFonts w:ascii="Times New Roman" w:eastAsia="Times New Roman" w:hAnsi="Times New Roman" w:cs="Times New Roman"/>
          <w:b/>
          <w:bCs/>
          <w:sz w:val="36"/>
          <w:szCs w:val="36"/>
        </w:rPr>
      </w:pPr>
      <w:r w:rsidRPr="00227A2D">
        <w:rPr>
          <w:rFonts w:ascii="Arial" w:eastAsia="Arial" w:hAnsi="Arial" w:cs="Arial"/>
          <w:b/>
          <w:bCs/>
          <w:sz w:val="36"/>
          <w:szCs w:val="36"/>
        </w:rPr>
        <w:lastRenderedPageBreak/>
        <w:t>10. Reflection</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227A2D" w:rsidRPr="00227A2D" w:rsidRDefault="00227A2D"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227A2D">
        <w:rPr>
          <w:rFonts w:ascii="Arial" w:eastAsia="Arial" w:hAnsi="Arial" w:cs="Arial"/>
          <w:b/>
          <w:bCs/>
          <w:sz w:val="27"/>
          <w:szCs w:val="27"/>
        </w:rPr>
        <w:t>10.1 Is the Idea Realistic?</w:t>
      </w:r>
    </w:p>
    <w:p w:rsidR="00227A2D" w:rsidRP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227A2D">
        <w:rPr>
          <w:rFonts w:ascii="Arial" w:eastAsia="Arial" w:hAnsi="Arial" w:cs="Arial"/>
          <w:sz w:val="24"/>
          <w:szCs w:val="24"/>
        </w:rPr>
        <w:t xml:space="preserve">Having worked through the market research, business model, operational plan, and business analysis models, I believe the core idea — a mid-market, multi-regional Indian restaurant in central Leicester — is realistic in principle, but its realism depends heavily on execution rather than concept. The evidence gathered in Section 3 and reinforced through the PESTLE and competitor analyses in Section 8 shows a genuine, evidenced gap in the local market: no existing competitor combines regional authenticity with accessible pricing. That gap is real, not assumed. What I am less certain about, on reflection, is whether I have been sufficiently critical of how </w:t>
      </w:r>
      <w:r w:rsidRPr="00227A2D">
        <w:rPr>
          <w:rFonts w:ascii="Arial" w:eastAsia="Arial" w:hAnsi="Arial" w:cs="Arial"/>
          <w:i/>
          <w:iCs/>
          <w:sz w:val="24"/>
          <w:szCs w:val="24"/>
        </w:rPr>
        <w:t>difficult</w:t>
      </w:r>
      <w:r w:rsidRPr="00227A2D">
        <w:rPr>
          <w:rFonts w:ascii="Arial" w:eastAsia="Arial" w:hAnsi="Arial" w:cs="Arial"/>
          <w:sz w:val="24"/>
          <w:szCs w:val="24"/>
        </w:rPr>
        <w:t xml:space="preserve"> it will be to occupy that gap consistently. The Porter's Five Forces analysis (Section 8.4) was, if anything, the most sobering part of this proposal to write: high buyer power, high threat of substitutes, and high industry rivalry are not conditions that reward a merely "good" restaurant — they reward one that is genuinely, consistently differentiated from day one. I don't think I fully appreciated that pressure until building that framework out in detail.</w:t>
      </w:r>
      <w:r w:rsidRPr="00616D14">
        <w:rPr>
          <w:rFonts w:ascii="Arial" w:eastAsia="Arial" w:hAnsi="Arial" w:cs="Arial"/>
          <w:sz w:val="24"/>
        </w:rPr>
        <w:t xml:space="preserve"> This is worth grounding in the wider evidence on restaurant survival: a study of US independent restaurants found a first-year failure rate of approximately 26%, notably lower than the 60–90% figure often assumed in popular commentary, but still a meaningful risk that reinforces why the validation phase proposed in Section 10.6 matters before any lease is signed (</w:t>
      </w:r>
      <w:proofErr w:type="spellStart"/>
      <w:r w:rsidRPr="00616D14">
        <w:rPr>
          <w:rFonts w:ascii="Arial" w:eastAsia="Arial" w:hAnsi="Arial" w:cs="Arial"/>
          <w:sz w:val="24"/>
        </w:rPr>
        <w:t>Parsa</w:t>
      </w:r>
      <w:proofErr w:type="spellEnd"/>
      <w:r w:rsidRPr="00616D14">
        <w:rPr>
          <w:rFonts w:ascii="Arial" w:eastAsia="Arial" w:hAnsi="Arial" w:cs="Arial"/>
          <w:sz w:val="24"/>
        </w:rPr>
        <w:t xml:space="preserve"> et al., 2005).</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227A2D" w:rsidRPr="00227A2D" w:rsidRDefault="00227A2D"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227A2D">
        <w:rPr>
          <w:rFonts w:ascii="Arial" w:eastAsia="Arial" w:hAnsi="Arial" w:cs="Arial"/>
          <w:b/>
          <w:bCs/>
          <w:sz w:val="27"/>
          <w:szCs w:val="27"/>
        </w:rPr>
        <w:t>10.2 Is There Enough Demand?</w:t>
      </w:r>
    </w:p>
    <w:p w:rsidR="00227A2D" w:rsidRP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227A2D">
        <w:rPr>
          <w:rFonts w:ascii="Arial" w:eastAsia="Arial" w:hAnsi="Arial" w:cs="Arial"/>
          <w:sz w:val="24"/>
          <w:szCs w:val="24"/>
        </w:rPr>
        <w:t xml:space="preserve">The demand evidence — Leicester's large and culturally aligned population, a growing UK ethnic food market (Credence Research, 2025), and an expanding local visitor economy (Leicestershire County Council, 2026) — is genuinely strong, and I don't think this is the weakest part of the plan. If anything, the risk sits less in whether enough people </w:t>
      </w:r>
      <w:r w:rsidRPr="00227A2D">
        <w:rPr>
          <w:rFonts w:ascii="Arial" w:eastAsia="Arial" w:hAnsi="Arial" w:cs="Arial"/>
          <w:i/>
          <w:iCs/>
          <w:sz w:val="24"/>
          <w:szCs w:val="24"/>
        </w:rPr>
        <w:t>could</w:t>
      </w:r>
      <w:r w:rsidRPr="00227A2D">
        <w:rPr>
          <w:rFonts w:ascii="Arial" w:eastAsia="Arial" w:hAnsi="Arial" w:cs="Arial"/>
          <w:sz w:val="24"/>
          <w:szCs w:val="24"/>
        </w:rPr>
        <w:t xml:space="preserve"> want this restaurant, and more in whether enough </w:t>
      </w:r>
      <w:r w:rsidRPr="00227A2D">
        <w:rPr>
          <w:rFonts w:ascii="Arial" w:eastAsia="Arial" w:hAnsi="Arial" w:cs="Arial"/>
          <w:sz w:val="24"/>
          <w:szCs w:val="24"/>
        </w:rPr>
        <w:lastRenderedPageBreak/>
        <w:t xml:space="preserve">of them will </w:t>
      </w:r>
      <w:r w:rsidRPr="00227A2D">
        <w:rPr>
          <w:rFonts w:ascii="Arial" w:eastAsia="Arial" w:hAnsi="Arial" w:cs="Arial"/>
          <w:i/>
          <w:iCs/>
          <w:sz w:val="24"/>
          <w:szCs w:val="24"/>
        </w:rPr>
        <w:t>choose</w:t>
      </w:r>
      <w:r w:rsidRPr="00227A2D">
        <w:rPr>
          <w:rFonts w:ascii="Arial" w:eastAsia="Arial" w:hAnsi="Arial" w:cs="Arial"/>
          <w:sz w:val="24"/>
          <w:szCs w:val="24"/>
        </w:rPr>
        <w:t xml:space="preserve"> it over five established competitors in the early months, before Taste of India has any brand recognition or review history of its own (Section 8.2, Weaknesses). Demand at the market level and demand at the level of an unknown new entrant's covers in month one are two different things, and I think earlier drafts of this proposal occasionally blurred that distinction more than they should have.</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227A2D" w:rsidRPr="00227A2D" w:rsidRDefault="00227A2D"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227A2D">
        <w:rPr>
          <w:rFonts w:ascii="Arial" w:eastAsia="Arial" w:hAnsi="Arial" w:cs="Arial"/>
          <w:b/>
          <w:bCs/>
          <w:sz w:val="27"/>
          <w:szCs w:val="27"/>
        </w:rPr>
        <w:t>10.3 Are the Financial Assumptions Achievable?</w:t>
      </w:r>
    </w:p>
    <w:p w:rsidR="00227A2D" w:rsidRP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227A2D">
        <w:rPr>
          <w:rFonts w:ascii="Arial" w:eastAsia="Arial" w:hAnsi="Arial" w:cs="Arial"/>
          <w:sz w:val="24"/>
          <w:szCs w:val="24"/>
        </w:rPr>
        <w:t xml:space="preserve">This is where I want to be most honest in this reflection, because Section 9 was explicitly built as an illustrative model with flagged assumptions rather than validated figures, and I think that distinction matters enormously here. The revenue ramp-up curve, the £22 average spend, and the staffing cost estimates are all plausible, but none of them are yet grounded in a real supplier quote, a real lease, or a real wage benchmark specific to Leicester's current hospitality </w:t>
      </w:r>
      <w:proofErr w:type="spellStart"/>
      <w:r w:rsidRPr="00227A2D">
        <w:rPr>
          <w:rFonts w:ascii="Arial" w:eastAsia="Arial" w:hAnsi="Arial" w:cs="Arial"/>
          <w:sz w:val="24"/>
          <w:szCs w:val="24"/>
        </w:rPr>
        <w:t>labour</w:t>
      </w:r>
      <w:proofErr w:type="spellEnd"/>
      <w:r w:rsidRPr="00227A2D">
        <w:rPr>
          <w:rFonts w:ascii="Arial" w:eastAsia="Arial" w:hAnsi="Arial" w:cs="Arial"/>
          <w:sz w:val="24"/>
          <w:szCs w:val="24"/>
        </w:rPr>
        <w:t xml:space="preserve"> market. Section 9.6 showed that even my own illustrative Year 1 net margin (~30%) sits well above the sector's typical steady-state 3–5% net margin — and while I gave a reasonable explanation for that gap (ramp-up years look better than steady-state years), I </w:t>
      </w:r>
      <w:proofErr w:type="spellStart"/>
      <w:r w:rsidRPr="00227A2D">
        <w:rPr>
          <w:rFonts w:ascii="Arial" w:eastAsia="Arial" w:hAnsi="Arial" w:cs="Arial"/>
          <w:sz w:val="24"/>
          <w:szCs w:val="24"/>
        </w:rPr>
        <w:t>recognise</w:t>
      </w:r>
      <w:proofErr w:type="spellEnd"/>
      <w:r w:rsidRPr="00227A2D">
        <w:rPr>
          <w:rFonts w:ascii="Arial" w:eastAsia="Arial" w:hAnsi="Arial" w:cs="Arial"/>
          <w:sz w:val="24"/>
          <w:szCs w:val="24"/>
        </w:rPr>
        <w:t xml:space="preserve"> that a more skeptical reader could reasonably ask whether my assumptions were simply optimistic rather than realistic. If I were taking this forward in practice, I would not commit real capital on the strength of this model alone; I would need at least three real supplier/contractor quotes and a proper accountant-reviewed cash flow before this could be called achievable rather than merely plausible.</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227A2D" w:rsidRPr="00227A2D" w:rsidRDefault="00227A2D"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227A2D">
        <w:rPr>
          <w:rFonts w:ascii="Arial" w:eastAsia="Arial" w:hAnsi="Arial" w:cs="Arial"/>
          <w:b/>
          <w:bCs/>
          <w:sz w:val="27"/>
          <w:szCs w:val="27"/>
        </w:rPr>
        <w:t>10.4 Do I Have the Skills and Resources? What Is Missing?</w:t>
      </w:r>
    </w:p>
    <w:p w:rsidR="00227A2D" w:rsidRP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227A2D">
        <w:rPr>
          <w:rFonts w:ascii="Arial" w:eastAsia="Arial" w:hAnsi="Arial" w:cs="Arial"/>
          <w:sz w:val="24"/>
          <w:szCs w:val="24"/>
        </w:rPr>
        <w:t xml:space="preserve">Section 7.6 already flagged my own limited direct hospitality operations experience as a genuine skills gap, and I think that's the single most important honest admission in this entire proposal. I have built a plan that depends, at its core, on a resource I do not personally possess and cannot fully control: access to chefs with genuine regional culinary training (Section 4.6, Section 4.10). I have proposed </w:t>
      </w:r>
      <w:r w:rsidRPr="00227A2D">
        <w:rPr>
          <w:rFonts w:ascii="Arial" w:eastAsia="Arial" w:hAnsi="Arial" w:cs="Arial"/>
          <w:sz w:val="24"/>
          <w:szCs w:val="24"/>
        </w:rPr>
        <w:lastRenderedPageBreak/>
        <w:t xml:space="preserve">mitigations — a Front-of-House Manager, outsourced professional support, wider recruitment channels (Section 7.7–7.9) — but on reflection, this is a dependency risk I would want to test </w:t>
      </w:r>
      <w:r w:rsidRPr="00227A2D">
        <w:rPr>
          <w:rFonts w:ascii="Arial" w:eastAsia="Arial" w:hAnsi="Arial" w:cs="Arial"/>
          <w:i/>
          <w:iCs/>
          <w:sz w:val="24"/>
          <w:szCs w:val="24"/>
        </w:rPr>
        <w:t>before</w:t>
      </w:r>
      <w:r w:rsidRPr="00227A2D">
        <w:rPr>
          <w:rFonts w:ascii="Arial" w:eastAsia="Arial" w:hAnsi="Arial" w:cs="Arial"/>
          <w:sz w:val="24"/>
          <w:szCs w:val="24"/>
        </w:rPr>
        <w:t xml:space="preserve"> committing capital, not after. Practically, that would mean speaking to potential chefs, or even a trial supper-club or pop-up event, before signing a lease, to validate whether this key resource is genuinely accessible at the price and quality level the business model assumes. That is a gap between the plan as written and where I currently am personally, and I think it is the most material one.</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227A2D" w:rsidRPr="00227A2D" w:rsidRDefault="00227A2D"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227A2D">
        <w:rPr>
          <w:rFonts w:ascii="Arial" w:eastAsia="Arial" w:hAnsi="Arial" w:cs="Arial"/>
          <w:b/>
          <w:bCs/>
          <w:sz w:val="27"/>
          <w:szCs w:val="27"/>
        </w:rPr>
        <w:t>10.5 What Would I Improve?</w:t>
      </w:r>
    </w:p>
    <w:p w:rsidR="00227A2D" w:rsidRP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227A2D">
        <w:rPr>
          <w:rFonts w:ascii="Arial" w:eastAsia="Arial" w:hAnsi="Arial" w:cs="Arial"/>
          <w:sz w:val="24"/>
          <w:szCs w:val="24"/>
        </w:rPr>
        <w:t xml:space="preserve">If I were to revise this proposal further, I would </w:t>
      </w:r>
      <w:proofErr w:type="spellStart"/>
      <w:r w:rsidRPr="00227A2D">
        <w:rPr>
          <w:rFonts w:ascii="Arial" w:eastAsia="Arial" w:hAnsi="Arial" w:cs="Arial"/>
          <w:sz w:val="24"/>
          <w:szCs w:val="24"/>
        </w:rPr>
        <w:t>prioritise</w:t>
      </w:r>
      <w:proofErr w:type="spellEnd"/>
      <w:r w:rsidRPr="00227A2D">
        <w:rPr>
          <w:rFonts w:ascii="Arial" w:eastAsia="Arial" w:hAnsi="Arial" w:cs="Arial"/>
          <w:sz w:val="24"/>
          <w:szCs w:val="24"/>
        </w:rPr>
        <w:t xml:space="preserve"> three things: first, replacing the illustrative financial model in Section 9 with figures grounded in real quotes and a real funding conversation; second, validating the chef-recruitment assumption directly, since so much of the differentiation strategy rests on it; and third, doing some lightweight primary validation of the £22 average-spend assumption — even informal conversations with a handful of prospective customers from the target segments identified in Section 3.3 would meaningfully strengthen a figure that is currently just an estimate. I would also want to stress-test the model under a slower revenue ramp-up scenario, since Section 9.7 already flagged this as the single most sensitive assumption in the whole plan, and I have not yet actually modelled what a more pessimistic version looks like.</w:t>
      </w:r>
    </w:p>
    <w:p w:rsidR="00613214" w:rsidRDefault="00613214" w:rsidP="00AF4B2A">
      <w:pPr>
        <w:spacing w:before="100" w:beforeAutospacing="1" w:after="100" w:afterAutospacing="1" w:line="360" w:lineRule="auto"/>
        <w:jc w:val="both"/>
        <w:outlineLvl w:val="2"/>
        <w:rPr>
          <w:rFonts w:ascii="Arial" w:eastAsia="Arial" w:hAnsi="Arial" w:cs="Arial"/>
          <w:b/>
          <w:bCs/>
          <w:sz w:val="27"/>
          <w:szCs w:val="27"/>
        </w:rPr>
      </w:pPr>
    </w:p>
    <w:p w:rsidR="00227A2D" w:rsidRPr="00227A2D" w:rsidRDefault="00227A2D" w:rsidP="00AF4B2A">
      <w:pPr>
        <w:spacing w:before="100" w:beforeAutospacing="1" w:after="100" w:afterAutospacing="1" w:line="360" w:lineRule="auto"/>
        <w:jc w:val="both"/>
        <w:outlineLvl w:val="2"/>
        <w:rPr>
          <w:rFonts w:ascii="Times New Roman" w:eastAsia="Times New Roman" w:hAnsi="Times New Roman" w:cs="Times New Roman"/>
          <w:b/>
          <w:bCs/>
          <w:sz w:val="27"/>
          <w:szCs w:val="27"/>
        </w:rPr>
      </w:pPr>
      <w:r w:rsidRPr="00227A2D">
        <w:rPr>
          <w:rFonts w:ascii="Arial" w:eastAsia="Arial" w:hAnsi="Arial" w:cs="Arial"/>
          <w:b/>
          <w:bCs/>
          <w:sz w:val="27"/>
          <w:szCs w:val="27"/>
        </w:rPr>
        <w:t>10.6 Would I Launch, Delay, Change, or Not Start?</w:t>
      </w:r>
    </w:p>
    <w:p w:rsidR="00227A2D"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r w:rsidRPr="00227A2D">
        <w:rPr>
          <w:rFonts w:ascii="Arial" w:eastAsia="Arial" w:hAnsi="Arial" w:cs="Arial"/>
          <w:sz w:val="24"/>
          <w:szCs w:val="24"/>
        </w:rPr>
        <w:t xml:space="preserve">Taking all of this together, my honest conclusion is that I would </w:t>
      </w:r>
      <w:r w:rsidRPr="00227A2D">
        <w:rPr>
          <w:rFonts w:ascii="Arial" w:eastAsia="Arial" w:hAnsi="Arial" w:cs="Arial"/>
          <w:b/>
          <w:bCs/>
          <w:sz w:val="24"/>
          <w:szCs w:val="24"/>
        </w:rPr>
        <w:t>delay, not abandon</w:t>
      </w:r>
      <w:r w:rsidRPr="00227A2D">
        <w:rPr>
          <w:rFonts w:ascii="Arial" w:eastAsia="Arial" w:hAnsi="Arial" w:cs="Arial"/>
          <w:sz w:val="24"/>
          <w:szCs w:val="24"/>
        </w:rPr>
        <w:t xml:space="preserve">, this idea. I don't think the analysis in this proposal gives me reason to believe the underlying concept is flawed — the market evidence, the competitive gap, and the illustrative financial model all point toward genuine viability. But I also don't think I currently have enough validated, real-world confidence in the two areas that matter most — chef recruitment and the financial assumptions — to commit £106,000 of borrowed and personal capital on the </w:t>
      </w:r>
      <w:r w:rsidRPr="00227A2D">
        <w:rPr>
          <w:rFonts w:ascii="Arial" w:eastAsia="Arial" w:hAnsi="Arial" w:cs="Arial"/>
          <w:sz w:val="24"/>
          <w:szCs w:val="24"/>
        </w:rPr>
        <w:lastRenderedPageBreak/>
        <w:t>strength of this document alone. If I were to take this forward, the next step would not be signing a lease; it would be a short, low-cost validation phase: informal conversations with potential regional chefs, at least outline conversations with a lender or accountant about realistic financing terms, and some direct engagement with prospective customers in the target segments. Only once those three things had moved from assumption to evidence would I feel the plan had genuinely earned the confidence this proposal currently only argues for on paper.</w:t>
      </w:r>
    </w:p>
    <w:p w:rsidR="001637CA" w:rsidRDefault="001637CA" w:rsidP="00AF4B2A">
      <w:pPr>
        <w:spacing w:before="100" w:beforeAutospacing="1" w:after="100" w:afterAutospacing="1" w:line="360" w:lineRule="auto"/>
        <w:jc w:val="both"/>
        <w:rPr>
          <w:rFonts w:ascii="Times New Roman" w:eastAsia="Times New Roman" w:hAnsi="Times New Roman" w:cs="Times New Roman"/>
          <w:sz w:val="24"/>
          <w:szCs w:val="24"/>
        </w:rPr>
      </w:pPr>
    </w:p>
    <w:p w:rsidR="001637CA" w:rsidRDefault="001637CA" w:rsidP="00AF4B2A">
      <w:pPr>
        <w:spacing w:before="100" w:beforeAutospacing="1" w:after="100" w:afterAutospacing="1" w:line="360" w:lineRule="auto"/>
        <w:jc w:val="both"/>
        <w:rPr>
          <w:rFonts w:ascii="Times New Roman" w:eastAsia="Times New Roman" w:hAnsi="Times New Roman" w:cs="Times New Roman"/>
          <w:sz w:val="24"/>
          <w:szCs w:val="24"/>
        </w:rPr>
      </w:pPr>
    </w:p>
    <w:p w:rsidR="001637CA" w:rsidRPr="001637CA" w:rsidRDefault="001637CA" w:rsidP="00AF4B2A">
      <w:pPr>
        <w:pStyle w:val="Heading1"/>
        <w:pageBreakBefore/>
        <w:jc w:val="both"/>
        <w:rPr>
          <w:rFonts w:ascii="Times New Roman" w:hAnsi="Times New Roman" w:cs="Times New Roman"/>
          <w:b/>
          <w:sz w:val="27"/>
          <w:szCs w:val="27"/>
        </w:rPr>
      </w:pPr>
      <w:bookmarkStart w:id="3" w:name="_Toc237864368"/>
      <w:r w:rsidRPr="001637CA">
        <w:rPr>
          <w:rFonts w:ascii="Arial" w:eastAsia="Arial" w:hAnsi="Arial" w:cs="Arial"/>
          <w:b/>
          <w:color w:val="auto"/>
          <w:sz w:val="27"/>
          <w:szCs w:val="27"/>
        </w:rPr>
        <w:lastRenderedPageBreak/>
        <w:t>11. References</w:t>
      </w:r>
      <w:bookmarkEnd w:id="3"/>
    </w:p>
    <w:p w:rsidR="001637CA" w:rsidRPr="001637CA" w:rsidRDefault="001637CA" w:rsidP="00AF4B2A">
      <w:pPr>
        <w:spacing w:line="360" w:lineRule="auto"/>
        <w:jc w:val="both"/>
      </w:pPr>
    </w:p>
    <w:p w:rsidR="001637CA" w:rsidRPr="001637CA" w:rsidRDefault="001637CA" w:rsidP="00AF4B2A">
      <w:pPr>
        <w:spacing w:after="200" w:line="360" w:lineRule="auto"/>
        <w:ind w:left="720" w:hanging="720"/>
        <w:jc w:val="both"/>
        <w:rPr>
          <w:rFonts w:ascii="Times New Roman" w:hAnsi="Times New Roman" w:cs="Times New Roman"/>
          <w:sz w:val="24"/>
          <w:szCs w:val="24"/>
        </w:rPr>
      </w:pPr>
      <w:proofErr w:type="spellStart"/>
      <w:r w:rsidRPr="001637CA">
        <w:rPr>
          <w:rFonts w:ascii="Arial" w:eastAsia="Arial" w:hAnsi="Arial" w:cs="Arial"/>
          <w:sz w:val="24"/>
          <w:szCs w:val="24"/>
        </w:rPr>
        <w:t>Ansoff</w:t>
      </w:r>
      <w:proofErr w:type="spellEnd"/>
      <w:r w:rsidRPr="001637CA">
        <w:rPr>
          <w:rFonts w:ascii="Arial" w:eastAsia="Arial" w:hAnsi="Arial" w:cs="Arial"/>
          <w:sz w:val="24"/>
          <w:szCs w:val="24"/>
        </w:rPr>
        <w:t>, H.I. (1957) 'Strategies for diversification', Harvard Business Review, 35(5), pp. 113-124.</w:t>
      </w:r>
    </w:p>
    <w:p w:rsidR="00C20105" w:rsidRDefault="006E1197">
      <w:pPr>
        <w:spacing w:after="200" w:line="360" w:lineRule="auto"/>
        <w:ind w:left="720" w:hanging="720"/>
      </w:pPr>
      <w:r w:rsidRPr="00613214">
        <w:rPr>
          <w:rFonts w:ascii="Arial" w:eastAsia="Arial" w:hAnsi="Arial" w:cs="Arial"/>
          <w:sz w:val="24"/>
        </w:rPr>
        <w:t>Baum, T. (2015) 'Human resources in tourism: still waiting for change? A 2015 reprise', Tourism Management, 50, pp. 204-212.</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BBC News (2022) Thousands attend Diwali lights switch-on event in Leicester. Available at: https://feeds.bbci.co.uk/news/uk-england-leicestershire-63198709 (Accessed: 30 July 2026).</w:t>
      </w:r>
    </w:p>
    <w:p w:rsidR="001637CA" w:rsidRPr="001637CA" w:rsidRDefault="001637CA" w:rsidP="00AF4B2A">
      <w:pPr>
        <w:spacing w:after="200" w:line="360" w:lineRule="auto"/>
        <w:ind w:left="720" w:hanging="720"/>
        <w:jc w:val="both"/>
        <w:rPr>
          <w:rFonts w:ascii="Times New Roman" w:hAnsi="Times New Roman" w:cs="Times New Roman"/>
          <w:sz w:val="24"/>
          <w:szCs w:val="24"/>
        </w:rPr>
      </w:pPr>
      <w:proofErr w:type="spellStart"/>
      <w:r w:rsidRPr="001637CA">
        <w:rPr>
          <w:rFonts w:ascii="Arial" w:eastAsia="Arial" w:hAnsi="Arial" w:cs="Arial"/>
          <w:sz w:val="24"/>
          <w:szCs w:val="24"/>
        </w:rPr>
        <w:t>Bryman</w:t>
      </w:r>
      <w:proofErr w:type="spellEnd"/>
      <w:r w:rsidRPr="001637CA">
        <w:rPr>
          <w:rFonts w:ascii="Arial" w:eastAsia="Arial" w:hAnsi="Arial" w:cs="Arial"/>
          <w:sz w:val="24"/>
          <w:szCs w:val="24"/>
        </w:rPr>
        <w:t>, A. and Bell, E. (2011) Business Research Methods. Oxford: Oxford University Press.</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 xml:space="preserve">Cornelius, P., Van de </w:t>
      </w:r>
      <w:proofErr w:type="spellStart"/>
      <w:r w:rsidRPr="001637CA">
        <w:rPr>
          <w:rFonts w:ascii="Arial" w:eastAsia="Arial" w:hAnsi="Arial" w:cs="Arial"/>
          <w:sz w:val="24"/>
          <w:szCs w:val="24"/>
        </w:rPr>
        <w:t>Putte</w:t>
      </w:r>
      <w:proofErr w:type="spellEnd"/>
      <w:r w:rsidRPr="001637CA">
        <w:rPr>
          <w:rFonts w:ascii="Arial" w:eastAsia="Arial" w:hAnsi="Arial" w:cs="Arial"/>
          <w:sz w:val="24"/>
          <w:szCs w:val="24"/>
        </w:rPr>
        <w:t>, A. and Romani, M. (2005) 'Three decades of scenario planning in Shell', California Management Review, 48(1), pp. 92-109.</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Credence Research (2025) UK Ethnic Food Market Size, Share, Trends and Forecast 2032. Available at: https://www.credenceresearch.com/report/united-kingdom-ethnic-food-market (Accessed: 30 July 2026).</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Leicestershire County Council (2026) Positive Growth for Leicester and Leicestershire Visitor Economy. Available at: https://www.leicestershire.gov.uk/news/positive-growth-for-leicester-and-leicestershire-visitor-economy-0 (Accessed: 30 July 2026).</w:t>
      </w:r>
    </w:p>
    <w:p w:rsidR="001637CA" w:rsidRPr="001637CA" w:rsidRDefault="001637CA" w:rsidP="00AF4B2A">
      <w:pPr>
        <w:spacing w:after="200" w:line="360" w:lineRule="auto"/>
        <w:ind w:left="720" w:hanging="720"/>
        <w:jc w:val="both"/>
        <w:rPr>
          <w:rFonts w:ascii="Times New Roman" w:hAnsi="Times New Roman" w:cs="Times New Roman"/>
          <w:sz w:val="24"/>
          <w:szCs w:val="24"/>
        </w:rPr>
      </w:pPr>
      <w:proofErr w:type="spellStart"/>
      <w:r w:rsidRPr="001637CA">
        <w:rPr>
          <w:rFonts w:ascii="Arial" w:eastAsia="Arial" w:hAnsi="Arial" w:cs="Arial"/>
          <w:sz w:val="24"/>
          <w:szCs w:val="24"/>
        </w:rPr>
        <w:t>Leicester.news</w:t>
      </w:r>
      <w:proofErr w:type="spellEnd"/>
      <w:r w:rsidRPr="001637CA">
        <w:rPr>
          <w:rFonts w:ascii="Arial" w:eastAsia="Arial" w:hAnsi="Arial" w:cs="Arial"/>
          <w:sz w:val="24"/>
          <w:szCs w:val="24"/>
        </w:rPr>
        <w:t xml:space="preserve"> (2025) What's Going On With Diwali in </w:t>
      </w:r>
      <w:proofErr w:type="gramStart"/>
      <w:r w:rsidRPr="001637CA">
        <w:rPr>
          <w:rFonts w:ascii="Arial" w:eastAsia="Arial" w:hAnsi="Arial" w:cs="Arial"/>
          <w:sz w:val="24"/>
          <w:szCs w:val="24"/>
        </w:rPr>
        <w:t>Leicester?.</w:t>
      </w:r>
      <w:proofErr w:type="gramEnd"/>
      <w:r w:rsidRPr="001637CA">
        <w:rPr>
          <w:rFonts w:ascii="Arial" w:eastAsia="Arial" w:hAnsi="Arial" w:cs="Arial"/>
          <w:sz w:val="24"/>
          <w:szCs w:val="24"/>
        </w:rPr>
        <w:t xml:space="preserve"> Available at: https://www.leicester.news/whats-going-on-with-diwali-heres-everything-you-need-to-know/ (Accessed: 30 July 2026).</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 xml:space="preserve">Lindgren, M. and </w:t>
      </w:r>
      <w:proofErr w:type="spellStart"/>
      <w:r w:rsidRPr="001637CA">
        <w:rPr>
          <w:rFonts w:ascii="Arial" w:eastAsia="Arial" w:hAnsi="Arial" w:cs="Arial"/>
          <w:sz w:val="24"/>
          <w:szCs w:val="24"/>
        </w:rPr>
        <w:t>Bandhold</w:t>
      </w:r>
      <w:proofErr w:type="spellEnd"/>
      <w:r w:rsidRPr="001637CA">
        <w:rPr>
          <w:rFonts w:ascii="Arial" w:eastAsia="Arial" w:hAnsi="Arial" w:cs="Arial"/>
          <w:sz w:val="24"/>
          <w:szCs w:val="24"/>
        </w:rPr>
        <w:t>, H. (2002) Scenario Planning: The Link Between Future and Strategy. Basingstoke: Palgrave Macmillan.</w:t>
      </w:r>
    </w:p>
    <w:p w:rsidR="00C20105" w:rsidRDefault="006E1197">
      <w:pPr>
        <w:spacing w:after="200" w:line="360" w:lineRule="auto"/>
        <w:ind w:left="720" w:hanging="720"/>
      </w:pPr>
      <w:r w:rsidRPr="00613214">
        <w:rPr>
          <w:rFonts w:ascii="Arial" w:eastAsia="Arial" w:hAnsi="Arial" w:cs="Arial"/>
          <w:sz w:val="24"/>
        </w:rPr>
        <w:t>Lu, S. and Fine, G.A. (1995) 'The presentation of ethnic authenticity: Chinese food as a social accomplishment', The Sociological Quarterly, 36(3), pp. 535-553.</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lastRenderedPageBreak/>
        <w:t>Lumina Intelligence (2026) UK Eating Out Market Report 2026. Available at: https://store.lumina-intelligence.com/product/uk-eating-out-market-report-2026/ (Accessed: 30 July 2026).</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Mullins, J. (2006) The New Business Road Test: What Entrepreneurs and Executives Should Do Before Writing a Business Plan. Harlow: Financial Times/Prentice Hall.</w:t>
      </w:r>
    </w:p>
    <w:p w:rsidR="001637CA" w:rsidRPr="001637CA" w:rsidRDefault="001637CA" w:rsidP="00AF4B2A">
      <w:pPr>
        <w:spacing w:after="200" w:line="360" w:lineRule="auto"/>
        <w:ind w:left="720" w:hanging="720"/>
        <w:jc w:val="both"/>
        <w:rPr>
          <w:rFonts w:ascii="Times New Roman" w:hAnsi="Times New Roman" w:cs="Times New Roman"/>
          <w:sz w:val="24"/>
          <w:szCs w:val="24"/>
        </w:rPr>
      </w:pPr>
      <w:proofErr w:type="spellStart"/>
      <w:r w:rsidRPr="001637CA">
        <w:rPr>
          <w:rFonts w:ascii="Arial" w:eastAsia="Arial" w:hAnsi="Arial" w:cs="Arial"/>
          <w:sz w:val="24"/>
          <w:szCs w:val="24"/>
        </w:rPr>
        <w:t>Osterwalder</w:t>
      </w:r>
      <w:proofErr w:type="spellEnd"/>
      <w:r w:rsidRPr="001637CA">
        <w:rPr>
          <w:rFonts w:ascii="Arial" w:eastAsia="Arial" w:hAnsi="Arial" w:cs="Arial"/>
          <w:sz w:val="24"/>
          <w:szCs w:val="24"/>
        </w:rPr>
        <w:t xml:space="preserve">, A. and </w:t>
      </w:r>
      <w:proofErr w:type="spellStart"/>
      <w:r w:rsidRPr="001637CA">
        <w:rPr>
          <w:rFonts w:ascii="Arial" w:eastAsia="Arial" w:hAnsi="Arial" w:cs="Arial"/>
          <w:sz w:val="24"/>
          <w:szCs w:val="24"/>
        </w:rPr>
        <w:t>Pigneur</w:t>
      </w:r>
      <w:proofErr w:type="spellEnd"/>
      <w:r w:rsidRPr="001637CA">
        <w:rPr>
          <w:rFonts w:ascii="Arial" w:eastAsia="Arial" w:hAnsi="Arial" w:cs="Arial"/>
          <w:sz w:val="24"/>
          <w:szCs w:val="24"/>
        </w:rPr>
        <w:t>, Y. (2010) Business Model Generation: A Handbook for Visionaries, Game Changers, and Challengers. Hoboken, NJ: Wiley.</w:t>
      </w:r>
    </w:p>
    <w:p w:rsidR="00C20105" w:rsidRPr="00613214" w:rsidRDefault="006E1197">
      <w:pPr>
        <w:spacing w:after="200" w:line="360" w:lineRule="auto"/>
        <w:ind w:left="720" w:hanging="720"/>
      </w:pPr>
      <w:proofErr w:type="spellStart"/>
      <w:r w:rsidRPr="00613214">
        <w:rPr>
          <w:rFonts w:ascii="Arial" w:eastAsia="Arial" w:hAnsi="Arial" w:cs="Arial"/>
          <w:sz w:val="24"/>
        </w:rPr>
        <w:t>Parsa</w:t>
      </w:r>
      <w:proofErr w:type="spellEnd"/>
      <w:r w:rsidRPr="00613214">
        <w:rPr>
          <w:rFonts w:ascii="Arial" w:eastAsia="Arial" w:hAnsi="Arial" w:cs="Arial"/>
          <w:sz w:val="24"/>
        </w:rPr>
        <w:t xml:space="preserve">, H.G., Self, J.T., </w:t>
      </w:r>
      <w:proofErr w:type="spellStart"/>
      <w:r w:rsidRPr="00613214">
        <w:rPr>
          <w:rFonts w:ascii="Arial" w:eastAsia="Arial" w:hAnsi="Arial" w:cs="Arial"/>
          <w:sz w:val="24"/>
        </w:rPr>
        <w:t>Njite</w:t>
      </w:r>
      <w:proofErr w:type="spellEnd"/>
      <w:r w:rsidRPr="00613214">
        <w:rPr>
          <w:rFonts w:ascii="Arial" w:eastAsia="Arial" w:hAnsi="Arial" w:cs="Arial"/>
          <w:sz w:val="24"/>
        </w:rPr>
        <w:t>, D. and King, T. (2005) 'Why restaurants fail', Cornell Hotel and Restaurant Administration Quarterly, 46(3), pp. 304-322.</w:t>
      </w:r>
    </w:p>
    <w:p w:rsidR="00C20105" w:rsidRDefault="006E1197">
      <w:pPr>
        <w:spacing w:after="200" w:line="360" w:lineRule="auto"/>
        <w:ind w:left="720" w:hanging="720"/>
      </w:pPr>
      <w:r w:rsidRPr="00613214">
        <w:rPr>
          <w:rFonts w:ascii="Arial" w:eastAsia="Arial" w:hAnsi="Arial" w:cs="Arial"/>
          <w:sz w:val="24"/>
        </w:rPr>
        <w:t>Peel, M.J. and Wilson, N. (1996) 'Working capital and financial management practices in the small firm sector', International Small Business Journal, 14(2), pp. 52-68.</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 xml:space="preserve">Phelps, R., Adams, R. and Bessant, J. (2007) 'Lifecycles of growing </w:t>
      </w:r>
      <w:proofErr w:type="spellStart"/>
      <w:r w:rsidRPr="001637CA">
        <w:rPr>
          <w:rFonts w:ascii="Arial" w:eastAsia="Arial" w:hAnsi="Arial" w:cs="Arial"/>
          <w:sz w:val="24"/>
          <w:szCs w:val="24"/>
        </w:rPr>
        <w:t>organisations</w:t>
      </w:r>
      <w:proofErr w:type="spellEnd"/>
      <w:r w:rsidRPr="001637CA">
        <w:rPr>
          <w:rFonts w:ascii="Arial" w:eastAsia="Arial" w:hAnsi="Arial" w:cs="Arial"/>
          <w:sz w:val="24"/>
          <w:szCs w:val="24"/>
        </w:rPr>
        <w:t>: A review with implications for knowledge and learning', International Journal of Management Reviews, 9(1), pp. 1-30.</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Porter, M.E. (1980) Competitive Strategy: Techniques for Analyzing Industries and Competitors. New York: Free Press.</w:t>
      </w:r>
    </w:p>
    <w:p w:rsidR="00C20105" w:rsidRDefault="006E1197">
      <w:pPr>
        <w:spacing w:after="200" w:line="360" w:lineRule="auto"/>
        <w:ind w:left="720" w:hanging="720"/>
      </w:pPr>
      <w:r w:rsidRPr="00613214">
        <w:rPr>
          <w:rFonts w:ascii="Arial" w:eastAsia="Arial" w:hAnsi="Arial" w:cs="Arial"/>
          <w:sz w:val="24"/>
        </w:rPr>
        <w:t>Ram, M. and Jones, T. (2008) 'Ethnic-minority businesses in the UK: a review of research and policy developments', Environment and Planning C: Government and Policy, 26(2), pp. 352-374.</w:t>
      </w:r>
    </w:p>
    <w:p w:rsidR="001637CA" w:rsidRPr="001637CA" w:rsidRDefault="001637CA" w:rsidP="00AF4B2A">
      <w:pPr>
        <w:spacing w:after="200" w:line="360" w:lineRule="auto"/>
        <w:ind w:left="720" w:hanging="720"/>
        <w:jc w:val="both"/>
        <w:rPr>
          <w:rFonts w:ascii="Times New Roman" w:hAnsi="Times New Roman" w:cs="Times New Roman"/>
          <w:sz w:val="24"/>
          <w:szCs w:val="24"/>
        </w:rPr>
      </w:pPr>
      <w:r w:rsidRPr="001637CA">
        <w:rPr>
          <w:rFonts w:ascii="Arial" w:eastAsia="Arial" w:hAnsi="Arial" w:cs="Arial"/>
          <w:sz w:val="24"/>
          <w:szCs w:val="24"/>
        </w:rPr>
        <w:t>Saunders, M.N.K., Lewis, P. and Thornhill, A. (2009) Research Methods for Business Students. Harlow: FT Prentice Hall.</w:t>
      </w:r>
    </w:p>
    <w:p w:rsidR="001637CA" w:rsidRPr="001637CA" w:rsidRDefault="001637CA" w:rsidP="00AF4B2A">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1637CA">
        <w:rPr>
          <w:rFonts w:ascii="Arial" w:eastAsia="Arial" w:hAnsi="Arial" w:cs="Arial"/>
          <w:sz w:val="24"/>
          <w:szCs w:val="24"/>
        </w:rPr>
        <w:t>Tripadvisor</w:t>
      </w:r>
      <w:proofErr w:type="spellEnd"/>
      <w:r w:rsidRPr="001637CA">
        <w:rPr>
          <w:rFonts w:ascii="Arial" w:eastAsia="Arial" w:hAnsi="Arial" w:cs="Arial"/>
          <w:sz w:val="24"/>
          <w:szCs w:val="24"/>
        </w:rPr>
        <w:t xml:space="preserve"> (2026) </w:t>
      </w:r>
      <w:proofErr w:type="spellStart"/>
      <w:r w:rsidRPr="001637CA">
        <w:rPr>
          <w:rFonts w:ascii="Arial" w:eastAsia="Arial" w:hAnsi="Arial" w:cs="Arial"/>
          <w:sz w:val="24"/>
          <w:szCs w:val="24"/>
        </w:rPr>
        <w:t>Kayal</w:t>
      </w:r>
      <w:proofErr w:type="spellEnd"/>
      <w:r w:rsidRPr="001637CA">
        <w:rPr>
          <w:rFonts w:ascii="Arial" w:eastAsia="Arial" w:hAnsi="Arial" w:cs="Arial"/>
          <w:sz w:val="24"/>
          <w:szCs w:val="24"/>
        </w:rPr>
        <w:t>, Leicester - Reviews and Information. Available at: https://www.tripadvisor.co.uk/Restaurant_Review-g186334-d1214620-Reviews-Kayal-Leicester_Leicestershire_England.html (Accessed: 30 July 2026).</w:t>
      </w:r>
    </w:p>
    <w:p w:rsidR="001637CA" w:rsidRPr="001637CA" w:rsidRDefault="001637CA" w:rsidP="00AF4B2A">
      <w:pPr>
        <w:spacing w:after="200" w:line="360" w:lineRule="auto"/>
        <w:ind w:left="720" w:hanging="720"/>
      </w:pPr>
      <w:proofErr w:type="spellStart"/>
      <w:r w:rsidRPr="00613214">
        <w:rPr>
          <w:rFonts w:ascii="Arial" w:eastAsia="Arial" w:hAnsi="Arial" w:cs="Arial"/>
          <w:sz w:val="24"/>
        </w:rPr>
        <w:t>Weihrich</w:t>
      </w:r>
      <w:proofErr w:type="spellEnd"/>
      <w:r w:rsidRPr="00613214">
        <w:rPr>
          <w:rFonts w:ascii="Arial" w:eastAsia="Arial" w:hAnsi="Arial" w:cs="Arial"/>
          <w:sz w:val="24"/>
        </w:rPr>
        <w:t>, H. (1982) 'The TOWS matrix: a tool for situational analysis', Long Range Planning, 15(2), pp. 54-66.</w:t>
      </w:r>
    </w:p>
    <w:p w:rsidR="00227A2D" w:rsidRPr="00A0798A" w:rsidRDefault="00227A2D" w:rsidP="00AF4B2A">
      <w:pPr>
        <w:spacing w:before="100" w:beforeAutospacing="1" w:after="100" w:afterAutospacing="1" w:line="360" w:lineRule="auto"/>
        <w:jc w:val="both"/>
        <w:rPr>
          <w:rFonts w:ascii="Times New Roman" w:eastAsia="Times New Roman" w:hAnsi="Times New Roman" w:cs="Times New Roman"/>
          <w:sz w:val="24"/>
          <w:szCs w:val="24"/>
        </w:rPr>
      </w:pPr>
    </w:p>
    <w:sectPr w:rsidR="00227A2D" w:rsidRPr="00A0798A" w:rsidSect="00D94BA6">
      <w:footerReference w:type="default" r:id="rId12"/>
      <w:pgSz w:w="15840" w:h="12240" w:orient="landscape"/>
      <w:pgMar w:top="720" w:right="720" w:bottom="720" w:left="72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F3D7AC4" w16cex:dateUtc="2026-07-30T20:15:00Z"/>
  <w16cex:commentExtensible w16cex:durableId="0FB91A33" w16cex:dateUtc="2026-07-30T20:13:00Z"/>
  <w16cex:commentExtensible w16cex:durableId="6C6790E2" w16cex:dateUtc="2026-07-30T20:12:00Z"/>
  <w16cex:commentExtensible w16cex:durableId="0EE27F64" w16cex:dateUtc="2026-07-30T20:11:00Z"/>
  <w16cex:commentExtensible w16cex:durableId="36359CAE" w16cex:dateUtc="2026-07-30T19: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F95F08A" w16cid:durableId="3F3D7AC4"/>
  <w16cid:commentId w16cid:paraId="4C336017" w16cid:durableId="0FB91A33"/>
  <w16cid:commentId w16cid:paraId="0F6B9FC7" w16cid:durableId="6C6790E2"/>
  <w16cid:commentId w16cid:paraId="36CF8791" w16cid:durableId="0EE27F64"/>
  <w16cid:commentId w16cid:paraId="3022987E" w16cid:durableId="36359CAE"/>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0045" w:rsidRDefault="009F0045" w:rsidP="00FC60F1">
      <w:pPr>
        <w:spacing w:after="0" w:line="240" w:lineRule="auto"/>
      </w:pPr>
      <w:r>
        <w:separator/>
      </w:r>
    </w:p>
  </w:endnote>
  <w:endnote w:type="continuationSeparator" w:id="0">
    <w:p w:rsidR="009F0045" w:rsidRDefault="009F0045" w:rsidP="00FC6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7091792"/>
      <w:docPartObj>
        <w:docPartGallery w:val="Page Numbers (Bottom of Page)"/>
        <w:docPartUnique/>
      </w:docPartObj>
    </w:sdtPr>
    <w:sdtEndPr>
      <w:rPr>
        <w:color w:val="7F7F7F" w:themeColor="background1" w:themeShade="7F"/>
        <w:spacing w:val="60"/>
      </w:rPr>
    </w:sdtEndPr>
    <w:sdtContent>
      <w:p w:rsidR="006E1197" w:rsidRDefault="006E1197">
        <w:pPr>
          <w:pStyle w:val="Footer"/>
          <w:pBdr>
            <w:top w:val="single" w:sz="4" w:space="1" w:color="D9D9D9" w:themeColor="background1" w:themeShade="D9"/>
          </w:pBdr>
          <w:jc w:val="right"/>
        </w:pPr>
        <w:r>
          <w:fldChar w:fldCharType="begin"/>
        </w:r>
        <w:r>
          <w:instrText xml:space="preserve"> PAGE   \* MERGEFORMAT </w:instrText>
        </w:r>
        <w:r>
          <w:fldChar w:fldCharType="separate"/>
        </w:r>
        <w:r w:rsidR="0060107E">
          <w:rPr>
            <w:noProof/>
          </w:rPr>
          <w:t>10</w:t>
        </w:r>
        <w:r>
          <w:rPr>
            <w:noProof/>
          </w:rPr>
          <w:fldChar w:fldCharType="end"/>
        </w:r>
        <w:r>
          <w:t xml:space="preserve"> | </w:t>
        </w:r>
        <w:r>
          <w:rPr>
            <w:color w:val="7F7F7F" w:themeColor="background1" w:themeShade="7F"/>
            <w:spacing w:val="60"/>
          </w:rPr>
          <w:t>Page</w:t>
        </w:r>
      </w:p>
    </w:sdtContent>
  </w:sdt>
  <w:p w:rsidR="006E1197" w:rsidRPr="00067045" w:rsidRDefault="006E1197">
    <w:pPr>
      <w:pStyle w:val="Footer"/>
      <w:rPr>
        <w: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0045" w:rsidRDefault="009F0045" w:rsidP="00FC60F1">
      <w:pPr>
        <w:spacing w:after="0" w:line="240" w:lineRule="auto"/>
      </w:pPr>
      <w:r>
        <w:separator/>
      </w:r>
    </w:p>
  </w:footnote>
  <w:footnote w:type="continuationSeparator" w:id="0">
    <w:p w:rsidR="009F0045" w:rsidRDefault="009F0045" w:rsidP="00FC60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267D6"/>
    <w:multiLevelType w:val="multilevel"/>
    <w:tmpl w:val="917A7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A1546"/>
    <w:multiLevelType w:val="multilevel"/>
    <w:tmpl w:val="C380A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9C014C"/>
    <w:multiLevelType w:val="hybridMultilevel"/>
    <w:tmpl w:val="D8B05F44"/>
    <w:lvl w:ilvl="0" w:tplc="4F780D08">
      <w:start w:val="1"/>
      <w:numFmt w:val="bullet"/>
      <w:lvlText w:val="●"/>
      <w:lvlJc w:val="left"/>
      <w:pPr>
        <w:ind w:left="720" w:hanging="360"/>
      </w:pPr>
    </w:lvl>
    <w:lvl w:ilvl="1" w:tplc="4E604930">
      <w:start w:val="1"/>
      <w:numFmt w:val="bullet"/>
      <w:lvlText w:val="○"/>
      <w:lvlJc w:val="left"/>
      <w:pPr>
        <w:ind w:left="1440" w:hanging="360"/>
      </w:pPr>
    </w:lvl>
    <w:lvl w:ilvl="2" w:tplc="1EDEB05C">
      <w:start w:val="1"/>
      <w:numFmt w:val="bullet"/>
      <w:lvlText w:val="■"/>
      <w:lvlJc w:val="left"/>
      <w:pPr>
        <w:ind w:left="2160" w:hanging="360"/>
      </w:pPr>
    </w:lvl>
    <w:lvl w:ilvl="3" w:tplc="260046D8">
      <w:start w:val="1"/>
      <w:numFmt w:val="bullet"/>
      <w:lvlText w:val="●"/>
      <w:lvlJc w:val="left"/>
      <w:pPr>
        <w:ind w:left="2880" w:hanging="360"/>
      </w:pPr>
    </w:lvl>
    <w:lvl w:ilvl="4" w:tplc="622A3AC4">
      <w:start w:val="1"/>
      <w:numFmt w:val="bullet"/>
      <w:lvlText w:val="○"/>
      <w:lvlJc w:val="left"/>
      <w:pPr>
        <w:ind w:left="3600" w:hanging="360"/>
      </w:pPr>
    </w:lvl>
    <w:lvl w:ilvl="5" w:tplc="EAA0A32A">
      <w:start w:val="1"/>
      <w:numFmt w:val="bullet"/>
      <w:lvlText w:val="■"/>
      <w:lvlJc w:val="left"/>
      <w:pPr>
        <w:ind w:left="4320" w:hanging="360"/>
      </w:pPr>
    </w:lvl>
    <w:lvl w:ilvl="6" w:tplc="122A1D00">
      <w:start w:val="1"/>
      <w:numFmt w:val="bullet"/>
      <w:lvlText w:val="●"/>
      <w:lvlJc w:val="left"/>
      <w:pPr>
        <w:ind w:left="5040" w:hanging="360"/>
      </w:pPr>
    </w:lvl>
    <w:lvl w:ilvl="7" w:tplc="DDC46498">
      <w:start w:val="1"/>
      <w:numFmt w:val="bullet"/>
      <w:lvlText w:val="●"/>
      <w:lvlJc w:val="left"/>
      <w:pPr>
        <w:ind w:left="5760" w:hanging="360"/>
      </w:pPr>
    </w:lvl>
    <w:lvl w:ilvl="8" w:tplc="B5D65CB4">
      <w:start w:val="1"/>
      <w:numFmt w:val="bullet"/>
      <w:lvlText w:val="●"/>
      <w:lvlJc w:val="left"/>
      <w:pPr>
        <w:ind w:left="6480" w:hanging="360"/>
      </w:pPr>
    </w:lvl>
  </w:abstractNum>
  <w:abstractNum w:abstractNumId="3" w15:restartNumberingAfterBreak="0">
    <w:nsid w:val="10A710E1"/>
    <w:multiLevelType w:val="multilevel"/>
    <w:tmpl w:val="7E9A7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FB6231"/>
    <w:multiLevelType w:val="multilevel"/>
    <w:tmpl w:val="A008F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711497"/>
    <w:multiLevelType w:val="multilevel"/>
    <w:tmpl w:val="42A0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447DC"/>
    <w:multiLevelType w:val="multilevel"/>
    <w:tmpl w:val="0A3E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CA5432"/>
    <w:multiLevelType w:val="multilevel"/>
    <w:tmpl w:val="980A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1D5754"/>
    <w:multiLevelType w:val="multilevel"/>
    <w:tmpl w:val="02C8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FC221B"/>
    <w:multiLevelType w:val="multilevel"/>
    <w:tmpl w:val="18281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9E41B3"/>
    <w:multiLevelType w:val="multilevel"/>
    <w:tmpl w:val="4EA47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B01877"/>
    <w:multiLevelType w:val="multilevel"/>
    <w:tmpl w:val="63845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F20E3"/>
    <w:multiLevelType w:val="multilevel"/>
    <w:tmpl w:val="D4A45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F616EB"/>
    <w:multiLevelType w:val="multilevel"/>
    <w:tmpl w:val="D2720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533E1B"/>
    <w:multiLevelType w:val="multilevel"/>
    <w:tmpl w:val="A346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966C48"/>
    <w:multiLevelType w:val="multilevel"/>
    <w:tmpl w:val="B8F04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11207B"/>
    <w:multiLevelType w:val="multilevel"/>
    <w:tmpl w:val="8F1A3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CF39F5"/>
    <w:multiLevelType w:val="hybridMultilevel"/>
    <w:tmpl w:val="5BE241E0"/>
    <w:lvl w:ilvl="0" w:tplc="BBE27758">
      <w:start w:val="1"/>
      <w:numFmt w:val="bullet"/>
      <w:lvlText w:val="•"/>
      <w:lvlJc w:val="left"/>
      <w:pPr>
        <w:ind w:left="720" w:hanging="360"/>
      </w:pPr>
    </w:lvl>
    <w:lvl w:ilvl="1" w:tplc="DF8EEED4">
      <w:numFmt w:val="decimal"/>
      <w:lvlText w:val=""/>
      <w:lvlJc w:val="left"/>
    </w:lvl>
    <w:lvl w:ilvl="2" w:tplc="EDBE2FEA">
      <w:numFmt w:val="decimal"/>
      <w:lvlText w:val=""/>
      <w:lvlJc w:val="left"/>
    </w:lvl>
    <w:lvl w:ilvl="3" w:tplc="8FE27E8A">
      <w:numFmt w:val="decimal"/>
      <w:lvlText w:val=""/>
      <w:lvlJc w:val="left"/>
    </w:lvl>
    <w:lvl w:ilvl="4" w:tplc="15D4D4CE">
      <w:numFmt w:val="decimal"/>
      <w:lvlText w:val=""/>
      <w:lvlJc w:val="left"/>
    </w:lvl>
    <w:lvl w:ilvl="5" w:tplc="737828F8">
      <w:numFmt w:val="decimal"/>
      <w:lvlText w:val=""/>
      <w:lvlJc w:val="left"/>
    </w:lvl>
    <w:lvl w:ilvl="6" w:tplc="1D602AEA">
      <w:numFmt w:val="decimal"/>
      <w:lvlText w:val=""/>
      <w:lvlJc w:val="left"/>
    </w:lvl>
    <w:lvl w:ilvl="7" w:tplc="A1049278">
      <w:numFmt w:val="decimal"/>
      <w:lvlText w:val=""/>
      <w:lvlJc w:val="left"/>
    </w:lvl>
    <w:lvl w:ilvl="8" w:tplc="87FA0B86">
      <w:numFmt w:val="decimal"/>
      <w:lvlText w:val=""/>
      <w:lvlJc w:val="left"/>
    </w:lvl>
  </w:abstractNum>
  <w:abstractNum w:abstractNumId="18" w15:restartNumberingAfterBreak="0">
    <w:nsid w:val="7A9F7308"/>
    <w:multiLevelType w:val="multilevel"/>
    <w:tmpl w:val="99F0F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331BF3"/>
    <w:multiLevelType w:val="multilevel"/>
    <w:tmpl w:val="D110D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782FD3"/>
    <w:multiLevelType w:val="multilevel"/>
    <w:tmpl w:val="CFE6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6"/>
  </w:num>
  <w:num w:numId="3">
    <w:abstractNumId w:val="7"/>
  </w:num>
  <w:num w:numId="4">
    <w:abstractNumId w:val="18"/>
  </w:num>
  <w:num w:numId="5">
    <w:abstractNumId w:val="4"/>
  </w:num>
  <w:num w:numId="6">
    <w:abstractNumId w:val="0"/>
  </w:num>
  <w:num w:numId="7">
    <w:abstractNumId w:val="19"/>
  </w:num>
  <w:num w:numId="8">
    <w:abstractNumId w:val="13"/>
  </w:num>
  <w:num w:numId="9">
    <w:abstractNumId w:val="14"/>
  </w:num>
  <w:num w:numId="10">
    <w:abstractNumId w:val="8"/>
  </w:num>
  <w:num w:numId="11">
    <w:abstractNumId w:val="5"/>
  </w:num>
  <w:num w:numId="12">
    <w:abstractNumId w:val="10"/>
  </w:num>
  <w:num w:numId="13">
    <w:abstractNumId w:val="9"/>
  </w:num>
  <w:num w:numId="14">
    <w:abstractNumId w:val="6"/>
  </w:num>
  <w:num w:numId="15">
    <w:abstractNumId w:val="20"/>
  </w:num>
  <w:num w:numId="16">
    <w:abstractNumId w:val="1"/>
  </w:num>
  <w:num w:numId="17">
    <w:abstractNumId w:val="15"/>
  </w:num>
  <w:num w:numId="18">
    <w:abstractNumId w:val="2"/>
    <w:lvlOverride w:ilvl="0">
      <w:startOverride w:val="1"/>
    </w:lvlOverride>
  </w:num>
  <w:num w:numId="19">
    <w:abstractNumId w:val="17"/>
    <w:lvlOverride w:ilvl="0">
      <w:startOverride w:val="1"/>
    </w:lvlOverride>
  </w:num>
  <w:num w:numId="20">
    <w:abstractNumId w:val="12"/>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24F"/>
    <w:rsid w:val="000419EE"/>
    <w:rsid w:val="000645AB"/>
    <w:rsid w:val="00067045"/>
    <w:rsid w:val="000D2462"/>
    <w:rsid w:val="000F3207"/>
    <w:rsid w:val="000F4FBF"/>
    <w:rsid w:val="00142CB6"/>
    <w:rsid w:val="001637CA"/>
    <w:rsid w:val="001B5210"/>
    <w:rsid w:val="001B76A8"/>
    <w:rsid w:val="001C3BB9"/>
    <w:rsid w:val="001F1ED1"/>
    <w:rsid w:val="00227A2D"/>
    <w:rsid w:val="002C7272"/>
    <w:rsid w:val="002E1A8B"/>
    <w:rsid w:val="00314B27"/>
    <w:rsid w:val="003460A0"/>
    <w:rsid w:val="00391254"/>
    <w:rsid w:val="003D3B2D"/>
    <w:rsid w:val="003F324F"/>
    <w:rsid w:val="00475A7E"/>
    <w:rsid w:val="004B5F98"/>
    <w:rsid w:val="004C67C1"/>
    <w:rsid w:val="004D3995"/>
    <w:rsid w:val="00541B95"/>
    <w:rsid w:val="0060107E"/>
    <w:rsid w:val="00613214"/>
    <w:rsid w:val="00613EEC"/>
    <w:rsid w:val="00616D14"/>
    <w:rsid w:val="006365B8"/>
    <w:rsid w:val="006D596F"/>
    <w:rsid w:val="006E1197"/>
    <w:rsid w:val="007013B1"/>
    <w:rsid w:val="007145A1"/>
    <w:rsid w:val="00793587"/>
    <w:rsid w:val="00793E2E"/>
    <w:rsid w:val="007A6D02"/>
    <w:rsid w:val="007E105E"/>
    <w:rsid w:val="008266D2"/>
    <w:rsid w:val="00840A94"/>
    <w:rsid w:val="008A6671"/>
    <w:rsid w:val="008A79E2"/>
    <w:rsid w:val="00940623"/>
    <w:rsid w:val="00985C89"/>
    <w:rsid w:val="009C6C2C"/>
    <w:rsid w:val="009D3FCB"/>
    <w:rsid w:val="009F0045"/>
    <w:rsid w:val="00A04826"/>
    <w:rsid w:val="00A0798A"/>
    <w:rsid w:val="00A41A1C"/>
    <w:rsid w:val="00A61053"/>
    <w:rsid w:val="00A63DE6"/>
    <w:rsid w:val="00AB26A4"/>
    <w:rsid w:val="00AB3283"/>
    <w:rsid w:val="00AC5B15"/>
    <w:rsid w:val="00AE2F45"/>
    <w:rsid w:val="00AF4B2A"/>
    <w:rsid w:val="00B6631A"/>
    <w:rsid w:val="00B7517F"/>
    <w:rsid w:val="00B9185B"/>
    <w:rsid w:val="00C20105"/>
    <w:rsid w:val="00C64C6D"/>
    <w:rsid w:val="00C85E01"/>
    <w:rsid w:val="00C864F0"/>
    <w:rsid w:val="00CC0725"/>
    <w:rsid w:val="00D25547"/>
    <w:rsid w:val="00D65BB3"/>
    <w:rsid w:val="00D802EE"/>
    <w:rsid w:val="00D91923"/>
    <w:rsid w:val="00D94BA6"/>
    <w:rsid w:val="00D976D3"/>
    <w:rsid w:val="00DA437C"/>
    <w:rsid w:val="00DF24F0"/>
    <w:rsid w:val="00E05AA2"/>
    <w:rsid w:val="00E54E95"/>
    <w:rsid w:val="00E67BA3"/>
    <w:rsid w:val="00E80B6D"/>
    <w:rsid w:val="00E94238"/>
    <w:rsid w:val="00EB500F"/>
    <w:rsid w:val="00F656A9"/>
    <w:rsid w:val="00F77BAB"/>
    <w:rsid w:val="00FB5DCA"/>
    <w:rsid w:val="00FC60F1"/>
    <w:rsid w:val="00FC6DDF"/>
    <w:rsid w:val="00FC7943"/>
    <w:rsid w:val="00FD5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54FEB"/>
  <w15:chartTrackingRefBased/>
  <w15:docId w15:val="{A1330691-EF5F-4766-951D-97519D447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D24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qFormat/>
    <w:rsid w:val="003F324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qFormat/>
    <w:rsid w:val="003F324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link w:val="Heading4Char"/>
    <w:qFormat/>
    <w:rsid w:val="001B5210"/>
    <w:pPr>
      <w:spacing w:after="0" w:line="240" w:lineRule="auto"/>
      <w:outlineLvl w:val="3"/>
    </w:pPr>
    <w:rPr>
      <w:rFonts w:ascii="Arial" w:eastAsia="Arial" w:hAnsi="Arial" w:cs="Arial"/>
      <w:i/>
      <w:iCs/>
      <w:color w:val="2E74B5"/>
      <w:sz w:val="24"/>
      <w:szCs w:val="24"/>
    </w:rPr>
  </w:style>
  <w:style w:type="paragraph" w:styleId="Heading5">
    <w:name w:val="heading 5"/>
    <w:link w:val="Heading5Char"/>
    <w:qFormat/>
    <w:rsid w:val="001B5210"/>
    <w:pPr>
      <w:spacing w:after="0" w:line="240" w:lineRule="auto"/>
      <w:outlineLvl w:val="4"/>
    </w:pPr>
    <w:rPr>
      <w:rFonts w:ascii="Arial" w:eastAsia="Arial" w:hAnsi="Arial" w:cs="Arial"/>
      <w:color w:val="2E74B5"/>
      <w:sz w:val="24"/>
      <w:szCs w:val="24"/>
    </w:rPr>
  </w:style>
  <w:style w:type="paragraph" w:styleId="Heading6">
    <w:name w:val="heading 6"/>
    <w:link w:val="Heading6Char"/>
    <w:qFormat/>
    <w:rsid w:val="001B5210"/>
    <w:pPr>
      <w:spacing w:after="0" w:line="240" w:lineRule="auto"/>
      <w:outlineLvl w:val="5"/>
    </w:pPr>
    <w:rPr>
      <w:rFonts w:ascii="Arial" w:eastAsia="Arial" w:hAnsi="Arial" w:cs="Arial"/>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46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F324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F324F"/>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rsid w:val="001B5210"/>
    <w:rPr>
      <w:rFonts w:ascii="Arial" w:eastAsia="Arial" w:hAnsi="Arial" w:cs="Arial"/>
      <w:i/>
      <w:iCs/>
      <w:color w:val="2E74B5"/>
      <w:sz w:val="24"/>
      <w:szCs w:val="24"/>
    </w:rPr>
  </w:style>
  <w:style w:type="character" w:customStyle="1" w:styleId="Heading5Char">
    <w:name w:val="Heading 5 Char"/>
    <w:basedOn w:val="DefaultParagraphFont"/>
    <w:link w:val="Heading5"/>
    <w:rsid w:val="001B5210"/>
    <w:rPr>
      <w:rFonts w:ascii="Arial" w:eastAsia="Arial" w:hAnsi="Arial" w:cs="Arial"/>
      <w:color w:val="2E74B5"/>
      <w:sz w:val="24"/>
      <w:szCs w:val="24"/>
    </w:rPr>
  </w:style>
  <w:style w:type="character" w:customStyle="1" w:styleId="Heading6Char">
    <w:name w:val="Heading 6 Char"/>
    <w:basedOn w:val="DefaultParagraphFont"/>
    <w:link w:val="Heading6"/>
    <w:rsid w:val="001B5210"/>
    <w:rPr>
      <w:rFonts w:ascii="Arial" w:eastAsia="Arial" w:hAnsi="Arial" w:cs="Arial"/>
      <w:color w:val="1F4D78"/>
      <w:sz w:val="24"/>
      <w:szCs w:val="24"/>
    </w:rPr>
  </w:style>
  <w:style w:type="paragraph" w:styleId="NormalWeb">
    <w:name w:val="Normal (Web)"/>
    <w:basedOn w:val="Normal"/>
    <w:uiPriority w:val="99"/>
    <w:semiHidden/>
    <w:unhideWhenUsed/>
    <w:rsid w:val="003F324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F324F"/>
    <w:rPr>
      <w:b/>
      <w:bCs/>
    </w:rPr>
  </w:style>
  <w:style w:type="character" w:styleId="Emphasis">
    <w:name w:val="Emphasis"/>
    <w:basedOn w:val="DefaultParagraphFont"/>
    <w:uiPriority w:val="20"/>
    <w:qFormat/>
    <w:rsid w:val="00E54E95"/>
    <w:rPr>
      <w:i/>
      <w:iCs/>
    </w:rPr>
  </w:style>
  <w:style w:type="character" w:styleId="CommentReference">
    <w:name w:val="annotation reference"/>
    <w:basedOn w:val="DefaultParagraphFont"/>
    <w:uiPriority w:val="99"/>
    <w:semiHidden/>
    <w:unhideWhenUsed/>
    <w:rsid w:val="000F4FBF"/>
    <w:rPr>
      <w:sz w:val="16"/>
      <w:szCs w:val="16"/>
    </w:rPr>
  </w:style>
  <w:style w:type="paragraph" w:styleId="CommentText">
    <w:name w:val="annotation text"/>
    <w:basedOn w:val="Normal"/>
    <w:link w:val="CommentTextChar"/>
    <w:uiPriority w:val="99"/>
    <w:unhideWhenUsed/>
    <w:rsid w:val="000F4FBF"/>
    <w:pPr>
      <w:spacing w:line="240" w:lineRule="auto"/>
    </w:pPr>
    <w:rPr>
      <w:sz w:val="20"/>
      <w:szCs w:val="20"/>
    </w:rPr>
  </w:style>
  <w:style w:type="character" w:customStyle="1" w:styleId="CommentTextChar">
    <w:name w:val="Comment Text Char"/>
    <w:basedOn w:val="DefaultParagraphFont"/>
    <w:link w:val="CommentText"/>
    <w:uiPriority w:val="99"/>
    <w:rsid w:val="000F4FBF"/>
    <w:rPr>
      <w:sz w:val="20"/>
      <w:szCs w:val="20"/>
    </w:rPr>
  </w:style>
  <w:style w:type="paragraph" w:styleId="CommentSubject">
    <w:name w:val="annotation subject"/>
    <w:basedOn w:val="CommentText"/>
    <w:next w:val="CommentText"/>
    <w:link w:val="CommentSubjectChar"/>
    <w:uiPriority w:val="99"/>
    <w:semiHidden/>
    <w:unhideWhenUsed/>
    <w:rsid w:val="000F4FBF"/>
    <w:rPr>
      <w:b/>
      <w:bCs/>
    </w:rPr>
  </w:style>
  <w:style w:type="character" w:customStyle="1" w:styleId="CommentSubjectChar">
    <w:name w:val="Comment Subject Char"/>
    <w:basedOn w:val="CommentTextChar"/>
    <w:link w:val="CommentSubject"/>
    <w:uiPriority w:val="99"/>
    <w:semiHidden/>
    <w:rsid w:val="000F4FBF"/>
    <w:rPr>
      <w:b/>
      <w:bCs/>
      <w:sz w:val="20"/>
      <w:szCs w:val="20"/>
    </w:rPr>
  </w:style>
  <w:style w:type="paragraph" w:styleId="BalloonText">
    <w:name w:val="Balloon Text"/>
    <w:basedOn w:val="Normal"/>
    <w:link w:val="BalloonTextChar"/>
    <w:uiPriority w:val="99"/>
    <w:semiHidden/>
    <w:unhideWhenUsed/>
    <w:rsid w:val="00F77B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7BAB"/>
    <w:rPr>
      <w:rFonts w:ascii="Segoe UI" w:hAnsi="Segoe UI" w:cs="Segoe UI"/>
      <w:sz w:val="18"/>
      <w:szCs w:val="18"/>
    </w:rPr>
  </w:style>
  <w:style w:type="paragraph" w:styleId="Title">
    <w:name w:val="Title"/>
    <w:link w:val="TitleChar"/>
    <w:qFormat/>
    <w:rsid w:val="001B5210"/>
    <w:pPr>
      <w:spacing w:after="0" w:line="240" w:lineRule="auto"/>
    </w:pPr>
    <w:rPr>
      <w:rFonts w:ascii="Arial" w:eastAsia="Arial" w:hAnsi="Arial" w:cs="Arial"/>
      <w:sz w:val="56"/>
      <w:szCs w:val="56"/>
    </w:rPr>
  </w:style>
  <w:style w:type="character" w:customStyle="1" w:styleId="TitleChar">
    <w:name w:val="Title Char"/>
    <w:basedOn w:val="DefaultParagraphFont"/>
    <w:link w:val="Title"/>
    <w:rsid w:val="001B5210"/>
    <w:rPr>
      <w:rFonts w:ascii="Arial" w:eastAsia="Arial" w:hAnsi="Arial" w:cs="Arial"/>
      <w:sz w:val="56"/>
      <w:szCs w:val="56"/>
    </w:rPr>
  </w:style>
  <w:style w:type="paragraph" w:customStyle="1" w:styleId="Strong1">
    <w:name w:val="Strong1"/>
    <w:qFormat/>
    <w:rsid w:val="001B5210"/>
    <w:pPr>
      <w:spacing w:after="0" w:line="240" w:lineRule="auto"/>
    </w:pPr>
    <w:rPr>
      <w:rFonts w:ascii="Arial" w:eastAsia="Arial" w:hAnsi="Arial" w:cs="Arial"/>
      <w:b/>
      <w:bCs/>
      <w:sz w:val="24"/>
      <w:szCs w:val="24"/>
    </w:rPr>
  </w:style>
  <w:style w:type="paragraph" w:styleId="ListParagraph">
    <w:name w:val="List Paragraph"/>
    <w:qFormat/>
    <w:rsid w:val="001B5210"/>
    <w:pPr>
      <w:spacing w:after="0" w:line="240" w:lineRule="auto"/>
    </w:pPr>
    <w:rPr>
      <w:rFonts w:ascii="Arial" w:eastAsia="Arial" w:hAnsi="Arial" w:cs="Arial"/>
      <w:sz w:val="24"/>
      <w:szCs w:val="24"/>
    </w:rPr>
  </w:style>
  <w:style w:type="character" w:styleId="Hyperlink">
    <w:name w:val="Hyperlink"/>
    <w:uiPriority w:val="99"/>
    <w:unhideWhenUsed/>
    <w:rsid w:val="001B5210"/>
    <w:rPr>
      <w:color w:val="0563C1"/>
      <w:u w:val="single"/>
    </w:rPr>
  </w:style>
  <w:style w:type="paragraph" w:styleId="FootnoteText">
    <w:name w:val="footnote text"/>
    <w:link w:val="FootnoteTextChar"/>
    <w:uiPriority w:val="99"/>
    <w:semiHidden/>
    <w:unhideWhenUsed/>
    <w:rsid w:val="001B5210"/>
    <w:pPr>
      <w:spacing w:after="0" w:line="240" w:lineRule="auto"/>
    </w:pPr>
    <w:rPr>
      <w:rFonts w:ascii="Arial" w:eastAsia="Arial" w:hAnsi="Arial" w:cs="Arial"/>
      <w:sz w:val="20"/>
      <w:szCs w:val="20"/>
    </w:rPr>
  </w:style>
  <w:style w:type="character" w:customStyle="1" w:styleId="FootnoteTextChar">
    <w:name w:val="Footnote Text Char"/>
    <w:basedOn w:val="DefaultParagraphFont"/>
    <w:link w:val="FootnoteText"/>
    <w:uiPriority w:val="99"/>
    <w:semiHidden/>
    <w:rsid w:val="001B5210"/>
    <w:rPr>
      <w:rFonts w:ascii="Arial" w:eastAsia="Arial" w:hAnsi="Arial" w:cs="Arial"/>
      <w:sz w:val="20"/>
      <w:szCs w:val="20"/>
    </w:rPr>
  </w:style>
  <w:style w:type="character" w:customStyle="1" w:styleId="EndnoteTextChar">
    <w:name w:val="Endnote Text Char"/>
    <w:basedOn w:val="DefaultParagraphFont"/>
    <w:link w:val="EndnoteText"/>
    <w:uiPriority w:val="99"/>
    <w:semiHidden/>
    <w:rsid w:val="001B5210"/>
    <w:rPr>
      <w:rFonts w:ascii="Arial" w:eastAsia="Arial" w:hAnsi="Arial" w:cs="Arial"/>
      <w:sz w:val="20"/>
      <w:szCs w:val="20"/>
    </w:rPr>
  </w:style>
  <w:style w:type="paragraph" w:styleId="EndnoteText">
    <w:name w:val="endnote text"/>
    <w:link w:val="EndnoteTextChar"/>
    <w:uiPriority w:val="99"/>
    <w:semiHidden/>
    <w:unhideWhenUsed/>
    <w:rsid w:val="001B5210"/>
    <w:pPr>
      <w:spacing w:after="0" w:line="240" w:lineRule="auto"/>
    </w:pPr>
    <w:rPr>
      <w:rFonts w:ascii="Arial" w:eastAsia="Arial" w:hAnsi="Arial" w:cs="Arial"/>
      <w:sz w:val="20"/>
      <w:szCs w:val="20"/>
    </w:rPr>
  </w:style>
  <w:style w:type="paragraph" w:styleId="TOC1">
    <w:name w:val="toc 1"/>
    <w:basedOn w:val="Normal"/>
    <w:next w:val="Normal"/>
    <w:autoRedefine/>
    <w:uiPriority w:val="39"/>
    <w:unhideWhenUsed/>
    <w:rsid w:val="001B5210"/>
    <w:pPr>
      <w:spacing w:after="100" w:line="240" w:lineRule="auto"/>
    </w:pPr>
    <w:rPr>
      <w:rFonts w:ascii="Arial" w:eastAsia="Arial" w:hAnsi="Arial" w:cs="Arial"/>
      <w:sz w:val="24"/>
      <w:szCs w:val="24"/>
    </w:rPr>
  </w:style>
  <w:style w:type="paragraph" w:styleId="TOC2">
    <w:name w:val="toc 2"/>
    <w:basedOn w:val="Normal"/>
    <w:next w:val="Normal"/>
    <w:autoRedefine/>
    <w:uiPriority w:val="39"/>
    <w:unhideWhenUsed/>
    <w:rsid w:val="001B5210"/>
    <w:pPr>
      <w:spacing w:after="100" w:line="240" w:lineRule="auto"/>
      <w:ind w:left="240"/>
    </w:pPr>
    <w:rPr>
      <w:rFonts w:ascii="Arial" w:eastAsia="Arial" w:hAnsi="Arial" w:cs="Arial"/>
      <w:sz w:val="24"/>
      <w:szCs w:val="24"/>
    </w:rPr>
  </w:style>
  <w:style w:type="paragraph" w:styleId="Header">
    <w:name w:val="header"/>
    <w:basedOn w:val="Normal"/>
    <w:link w:val="HeaderChar"/>
    <w:uiPriority w:val="99"/>
    <w:unhideWhenUsed/>
    <w:rsid w:val="00FC60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60F1"/>
  </w:style>
  <w:style w:type="paragraph" w:styleId="Footer">
    <w:name w:val="footer"/>
    <w:basedOn w:val="Normal"/>
    <w:link w:val="FooterChar"/>
    <w:uiPriority w:val="99"/>
    <w:unhideWhenUsed/>
    <w:rsid w:val="00FC60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60F1"/>
  </w:style>
  <w:style w:type="character" w:styleId="FollowedHyperlink">
    <w:name w:val="FollowedHyperlink"/>
    <w:basedOn w:val="DefaultParagraphFont"/>
    <w:uiPriority w:val="99"/>
    <w:semiHidden/>
    <w:unhideWhenUsed/>
    <w:rsid w:val="00616D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028641">
      <w:bodyDiv w:val="1"/>
      <w:marLeft w:val="0"/>
      <w:marRight w:val="0"/>
      <w:marTop w:val="0"/>
      <w:marBottom w:val="0"/>
      <w:divBdr>
        <w:top w:val="none" w:sz="0" w:space="0" w:color="auto"/>
        <w:left w:val="none" w:sz="0" w:space="0" w:color="auto"/>
        <w:bottom w:val="none" w:sz="0" w:space="0" w:color="auto"/>
        <w:right w:val="none" w:sz="0" w:space="0" w:color="auto"/>
      </w:divBdr>
    </w:div>
    <w:div w:id="152454278">
      <w:bodyDiv w:val="1"/>
      <w:marLeft w:val="0"/>
      <w:marRight w:val="0"/>
      <w:marTop w:val="0"/>
      <w:marBottom w:val="0"/>
      <w:divBdr>
        <w:top w:val="none" w:sz="0" w:space="0" w:color="auto"/>
        <w:left w:val="none" w:sz="0" w:space="0" w:color="auto"/>
        <w:bottom w:val="none" w:sz="0" w:space="0" w:color="auto"/>
        <w:right w:val="none" w:sz="0" w:space="0" w:color="auto"/>
      </w:divBdr>
    </w:div>
    <w:div w:id="171144599">
      <w:bodyDiv w:val="1"/>
      <w:marLeft w:val="0"/>
      <w:marRight w:val="0"/>
      <w:marTop w:val="0"/>
      <w:marBottom w:val="0"/>
      <w:divBdr>
        <w:top w:val="none" w:sz="0" w:space="0" w:color="auto"/>
        <w:left w:val="none" w:sz="0" w:space="0" w:color="auto"/>
        <w:bottom w:val="none" w:sz="0" w:space="0" w:color="auto"/>
        <w:right w:val="none" w:sz="0" w:space="0" w:color="auto"/>
      </w:divBdr>
    </w:div>
    <w:div w:id="188959367">
      <w:bodyDiv w:val="1"/>
      <w:marLeft w:val="0"/>
      <w:marRight w:val="0"/>
      <w:marTop w:val="0"/>
      <w:marBottom w:val="0"/>
      <w:divBdr>
        <w:top w:val="none" w:sz="0" w:space="0" w:color="auto"/>
        <w:left w:val="none" w:sz="0" w:space="0" w:color="auto"/>
        <w:bottom w:val="none" w:sz="0" w:space="0" w:color="auto"/>
        <w:right w:val="none" w:sz="0" w:space="0" w:color="auto"/>
      </w:divBdr>
    </w:div>
    <w:div w:id="214896988">
      <w:bodyDiv w:val="1"/>
      <w:marLeft w:val="0"/>
      <w:marRight w:val="0"/>
      <w:marTop w:val="0"/>
      <w:marBottom w:val="0"/>
      <w:divBdr>
        <w:top w:val="none" w:sz="0" w:space="0" w:color="auto"/>
        <w:left w:val="none" w:sz="0" w:space="0" w:color="auto"/>
        <w:bottom w:val="none" w:sz="0" w:space="0" w:color="auto"/>
        <w:right w:val="none" w:sz="0" w:space="0" w:color="auto"/>
      </w:divBdr>
    </w:div>
    <w:div w:id="367216662">
      <w:bodyDiv w:val="1"/>
      <w:marLeft w:val="0"/>
      <w:marRight w:val="0"/>
      <w:marTop w:val="0"/>
      <w:marBottom w:val="0"/>
      <w:divBdr>
        <w:top w:val="none" w:sz="0" w:space="0" w:color="auto"/>
        <w:left w:val="none" w:sz="0" w:space="0" w:color="auto"/>
        <w:bottom w:val="none" w:sz="0" w:space="0" w:color="auto"/>
        <w:right w:val="none" w:sz="0" w:space="0" w:color="auto"/>
      </w:divBdr>
    </w:div>
    <w:div w:id="412623836">
      <w:bodyDiv w:val="1"/>
      <w:marLeft w:val="0"/>
      <w:marRight w:val="0"/>
      <w:marTop w:val="0"/>
      <w:marBottom w:val="0"/>
      <w:divBdr>
        <w:top w:val="none" w:sz="0" w:space="0" w:color="auto"/>
        <w:left w:val="none" w:sz="0" w:space="0" w:color="auto"/>
        <w:bottom w:val="none" w:sz="0" w:space="0" w:color="auto"/>
        <w:right w:val="none" w:sz="0" w:space="0" w:color="auto"/>
      </w:divBdr>
    </w:div>
    <w:div w:id="547183676">
      <w:bodyDiv w:val="1"/>
      <w:marLeft w:val="0"/>
      <w:marRight w:val="0"/>
      <w:marTop w:val="0"/>
      <w:marBottom w:val="0"/>
      <w:divBdr>
        <w:top w:val="none" w:sz="0" w:space="0" w:color="auto"/>
        <w:left w:val="none" w:sz="0" w:space="0" w:color="auto"/>
        <w:bottom w:val="none" w:sz="0" w:space="0" w:color="auto"/>
        <w:right w:val="none" w:sz="0" w:space="0" w:color="auto"/>
      </w:divBdr>
    </w:div>
    <w:div w:id="579828466">
      <w:bodyDiv w:val="1"/>
      <w:marLeft w:val="0"/>
      <w:marRight w:val="0"/>
      <w:marTop w:val="0"/>
      <w:marBottom w:val="0"/>
      <w:divBdr>
        <w:top w:val="none" w:sz="0" w:space="0" w:color="auto"/>
        <w:left w:val="none" w:sz="0" w:space="0" w:color="auto"/>
        <w:bottom w:val="none" w:sz="0" w:space="0" w:color="auto"/>
        <w:right w:val="none" w:sz="0" w:space="0" w:color="auto"/>
      </w:divBdr>
    </w:div>
    <w:div w:id="720205005">
      <w:bodyDiv w:val="1"/>
      <w:marLeft w:val="0"/>
      <w:marRight w:val="0"/>
      <w:marTop w:val="0"/>
      <w:marBottom w:val="0"/>
      <w:divBdr>
        <w:top w:val="none" w:sz="0" w:space="0" w:color="auto"/>
        <w:left w:val="none" w:sz="0" w:space="0" w:color="auto"/>
        <w:bottom w:val="none" w:sz="0" w:space="0" w:color="auto"/>
        <w:right w:val="none" w:sz="0" w:space="0" w:color="auto"/>
      </w:divBdr>
    </w:div>
    <w:div w:id="903300638">
      <w:bodyDiv w:val="1"/>
      <w:marLeft w:val="0"/>
      <w:marRight w:val="0"/>
      <w:marTop w:val="0"/>
      <w:marBottom w:val="0"/>
      <w:divBdr>
        <w:top w:val="none" w:sz="0" w:space="0" w:color="auto"/>
        <w:left w:val="none" w:sz="0" w:space="0" w:color="auto"/>
        <w:bottom w:val="none" w:sz="0" w:space="0" w:color="auto"/>
        <w:right w:val="none" w:sz="0" w:space="0" w:color="auto"/>
      </w:divBdr>
    </w:div>
    <w:div w:id="955332516">
      <w:bodyDiv w:val="1"/>
      <w:marLeft w:val="0"/>
      <w:marRight w:val="0"/>
      <w:marTop w:val="0"/>
      <w:marBottom w:val="0"/>
      <w:divBdr>
        <w:top w:val="none" w:sz="0" w:space="0" w:color="auto"/>
        <w:left w:val="none" w:sz="0" w:space="0" w:color="auto"/>
        <w:bottom w:val="none" w:sz="0" w:space="0" w:color="auto"/>
        <w:right w:val="none" w:sz="0" w:space="0" w:color="auto"/>
      </w:divBdr>
    </w:div>
    <w:div w:id="978269233">
      <w:bodyDiv w:val="1"/>
      <w:marLeft w:val="0"/>
      <w:marRight w:val="0"/>
      <w:marTop w:val="0"/>
      <w:marBottom w:val="0"/>
      <w:divBdr>
        <w:top w:val="none" w:sz="0" w:space="0" w:color="auto"/>
        <w:left w:val="none" w:sz="0" w:space="0" w:color="auto"/>
        <w:bottom w:val="none" w:sz="0" w:space="0" w:color="auto"/>
        <w:right w:val="none" w:sz="0" w:space="0" w:color="auto"/>
      </w:divBdr>
    </w:div>
    <w:div w:id="989594554">
      <w:bodyDiv w:val="1"/>
      <w:marLeft w:val="0"/>
      <w:marRight w:val="0"/>
      <w:marTop w:val="0"/>
      <w:marBottom w:val="0"/>
      <w:divBdr>
        <w:top w:val="none" w:sz="0" w:space="0" w:color="auto"/>
        <w:left w:val="none" w:sz="0" w:space="0" w:color="auto"/>
        <w:bottom w:val="none" w:sz="0" w:space="0" w:color="auto"/>
        <w:right w:val="none" w:sz="0" w:space="0" w:color="auto"/>
      </w:divBdr>
    </w:div>
    <w:div w:id="1013921717">
      <w:bodyDiv w:val="1"/>
      <w:marLeft w:val="0"/>
      <w:marRight w:val="0"/>
      <w:marTop w:val="0"/>
      <w:marBottom w:val="0"/>
      <w:divBdr>
        <w:top w:val="none" w:sz="0" w:space="0" w:color="auto"/>
        <w:left w:val="none" w:sz="0" w:space="0" w:color="auto"/>
        <w:bottom w:val="none" w:sz="0" w:space="0" w:color="auto"/>
        <w:right w:val="none" w:sz="0" w:space="0" w:color="auto"/>
      </w:divBdr>
    </w:div>
    <w:div w:id="1198547218">
      <w:bodyDiv w:val="1"/>
      <w:marLeft w:val="0"/>
      <w:marRight w:val="0"/>
      <w:marTop w:val="0"/>
      <w:marBottom w:val="0"/>
      <w:divBdr>
        <w:top w:val="none" w:sz="0" w:space="0" w:color="auto"/>
        <w:left w:val="none" w:sz="0" w:space="0" w:color="auto"/>
        <w:bottom w:val="none" w:sz="0" w:space="0" w:color="auto"/>
        <w:right w:val="none" w:sz="0" w:space="0" w:color="auto"/>
      </w:divBdr>
    </w:div>
    <w:div w:id="1287814357">
      <w:bodyDiv w:val="1"/>
      <w:marLeft w:val="0"/>
      <w:marRight w:val="0"/>
      <w:marTop w:val="0"/>
      <w:marBottom w:val="0"/>
      <w:divBdr>
        <w:top w:val="none" w:sz="0" w:space="0" w:color="auto"/>
        <w:left w:val="none" w:sz="0" w:space="0" w:color="auto"/>
        <w:bottom w:val="none" w:sz="0" w:space="0" w:color="auto"/>
        <w:right w:val="none" w:sz="0" w:space="0" w:color="auto"/>
      </w:divBdr>
    </w:div>
    <w:div w:id="1355959012">
      <w:bodyDiv w:val="1"/>
      <w:marLeft w:val="0"/>
      <w:marRight w:val="0"/>
      <w:marTop w:val="0"/>
      <w:marBottom w:val="0"/>
      <w:divBdr>
        <w:top w:val="none" w:sz="0" w:space="0" w:color="auto"/>
        <w:left w:val="none" w:sz="0" w:space="0" w:color="auto"/>
        <w:bottom w:val="none" w:sz="0" w:space="0" w:color="auto"/>
        <w:right w:val="none" w:sz="0" w:space="0" w:color="auto"/>
      </w:divBdr>
    </w:div>
    <w:div w:id="1439595396">
      <w:bodyDiv w:val="1"/>
      <w:marLeft w:val="0"/>
      <w:marRight w:val="0"/>
      <w:marTop w:val="0"/>
      <w:marBottom w:val="0"/>
      <w:divBdr>
        <w:top w:val="none" w:sz="0" w:space="0" w:color="auto"/>
        <w:left w:val="none" w:sz="0" w:space="0" w:color="auto"/>
        <w:bottom w:val="none" w:sz="0" w:space="0" w:color="auto"/>
        <w:right w:val="none" w:sz="0" w:space="0" w:color="auto"/>
      </w:divBdr>
    </w:div>
    <w:div w:id="1451433246">
      <w:bodyDiv w:val="1"/>
      <w:marLeft w:val="0"/>
      <w:marRight w:val="0"/>
      <w:marTop w:val="0"/>
      <w:marBottom w:val="0"/>
      <w:divBdr>
        <w:top w:val="none" w:sz="0" w:space="0" w:color="auto"/>
        <w:left w:val="none" w:sz="0" w:space="0" w:color="auto"/>
        <w:bottom w:val="none" w:sz="0" w:space="0" w:color="auto"/>
        <w:right w:val="none" w:sz="0" w:space="0" w:color="auto"/>
      </w:divBdr>
    </w:div>
    <w:div w:id="1764953051">
      <w:bodyDiv w:val="1"/>
      <w:marLeft w:val="0"/>
      <w:marRight w:val="0"/>
      <w:marTop w:val="0"/>
      <w:marBottom w:val="0"/>
      <w:divBdr>
        <w:top w:val="none" w:sz="0" w:space="0" w:color="auto"/>
        <w:left w:val="none" w:sz="0" w:space="0" w:color="auto"/>
        <w:bottom w:val="none" w:sz="0" w:space="0" w:color="auto"/>
        <w:right w:val="none" w:sz="0" w:space="0" w:color="auto"/>
      </w:divBdr>
    </w:div>
    <w:div w:id="1803687352">
      <w:bodyDiv w:val="1"/>
      <w:marLeft w:val="0"/>
      <w:marRight w:val="0"/>
      <w:marTop w:val="0"/>
      <w:marBottom w:val="0"/>
      <w:divBdr>
        <w:top w:val="none" w:sz="0" w:space="0" w:color="auto"/>
        <w:left w:val="none" w:sz="0" w:space="0" w:color="auto"/>
        <w:bottom w:val="none" w:sz="0" w:space="0" w:color="auto"/>
        <w:right w:val="none" w:sz="0" w:space="0" w:color="auto"/>
      </w:divBdr>
    </w:div>
    <w:div w:id="1807310277">
      <w:bodyDiv w:val="1"/>
      <w:marLeft w:val="0"/>
      <w:marRight w:val="0"/>
      <w:marTop w:val="0"/>
      <w:marBottom w:val="0"/>
      <w:divBdr>
        <w:top w:val="none" w:sz="0" w:space="0" w:color="auto"/>
        <w:left w:val="none" w:sz="0" w:space="0" w:color="auto"/>
        <w:bottom w:val="none" w:sz="0" w:space="0" w:color="auto"/>
        <w:right w:val="none" w:sz="0" w:space="0" w:color="auto"/>
      </w:divBdr>
    </w:div>
    <w:div w:id="1838156859">
      <w:bodyDiv w:val="1"/>
      <w:marLeft w:val="0"/>
      <w:marRight w:val="0"/>
      <w:marTop w:val="0"/>
      <w:marBottom w:val="0"/>
      <w:divBdr>
        <w:top w:val="none" w:sz="0" w:space="0" w:color="auto"/>
        <w:left w:val="none" w:sz="0" w:space="0" w:color="auto"/>
        <w:bottom w:val="none" w:sz="0" w:space="0" w:color="auto"/>
        <w:right w:val="none" w:sz="0" w:space="0" w:color="auto"/>
      </w:divBdr>
    </w:div>
    <w:div w:id="1919560205">
      <w:bodyDiv w:val="1"/>
      <w:marLeft w:val="0"/>
      <w:marRight w:val="0"/>
      <w:marTop w:val="0"/>
      <w:marBottom w:val="0"/>
      <w:divBdr>
        <w:top w:val="none" w:sz="0" w:space="0" w:color="auto"/>
        <w:left w:val="none" w:sz="0" w:space="0" w:color="auto"/>
        <w:bottom w:val="none" w:sz="0" w:space="0" w:color="auto"/>
        <w:right w:val="none" w:sz="0" w:space="0" w:color="auto"/>
      </w:divBdr>
    </w:div>
    <w:div w:id="1962153308">
      <w:bodyDiv w:val="1"/>
      <w:marLeft w:val="0"/>
      <w:marRight w:val="0"/>
      <w:marTop w:val="0"/>
      <w:marBottom w:val="0"/>
      <w:divBdr>
        <w:top w:val="none" w:sz="0" w:space="0" w:color="auto"/>
        <w:left w:val="none" w:sz="0" w:space="0" w:color="auto"/>
        <w:bottom w:val="none" w:sz="0" w:space="0" w:color="auto"/>
        <w:right w:val="none" w:sz="0" w:space="0" w:color="auto"/>
      </w:divBdr>
    </w:div>
    <w:div w:id="2058040462">
      <w:bodyDiv w:val="1"/>
      <w:marLeft w:val="0"/>
      <w:marRight w:val="0"/>
      <w:marTop w:val="0"/>
      <w:marBottom w:val="0"/>
      <w:divBdr>
        <w:top w:val="none" w:sz="0" w:space="0" w:color="auto"/>
        <w:left w:val="none" w:sz="0" w:space="0" w:color="auto"/>
        <w:bottom w:val="none" w:sz="0" w:space="0" w:color="auto"/>
        <w:right w:val="none" w:sz="0" w:space="0" w:color="auto"/>
      </w:divBdr>
    </w:div>
    <w:div w:id="214697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18"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microsoft.com/office/2016/09/relationships/commentsIds" Target="commentsId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E2D67-C5D8-4C26-9DCA-E1F6DCC8F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1575</TotalTime>
  <Pages>62</Pages>
  <Words>14355</Words>
  <Characters>81827</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dc:creator>
  <cp:keywords/>
  <dc:description/>
  <cp:lastModifiedBy>DHRUV</cp:lastModifiedBy>
  <cp:revision>20</cp:revision>
  <dcterms:created xsi:type="dcterms:W3CDTF">2026-08-20T15:04:00Z</dcterms:created>
  <dcterms:modified xsi:type="dcterms:W3CDTF">2026-08-28T11:54:00Z</dcterms:modified>
</cp:coreProperties>
</file>