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chart2.xml" ContentType="application/vnd.openxmlformats-officedocument.drawingml.chart+xml"/>
  <Override PartName="/word/charts/chart3.xml" ContentType="application/vnd.openxmlformats-officedocument.drawingml.chart+xml"/>
  <Override PartName="/word/charts/chart4.xml" ContentType="application/vnd.openxmlformats-officedocument.drawingml.chart+xml"/>
  <Override PartName="/word/charts/chart5.xml" ContentType="application/vnd.openxmlformats-officedocument.drawingml.chart+xml"/>
  <Override PartName="/word/charts/chart6.xml" ContentType="application/vnd.openxmlformats-officedocument.drawingml.chart+xml"/>
  <Override PartName="/word/charts/chart7.xml" ContentType="application/vnd.openxmlformats-officedocument.drawingml.chart+xml"/>
  <Override PartName="/word/charts/chart8.xml" ContentType="application/vnd.openxmlformats-officedocument.drawingml.chart+xml"/>
  <Override PartName="/word/charts/chart9.xml" ContentType="application/vnd.openxmlformats-officedocument.drawingml.chart+xml"/>
  <Override PartName="/word/charts/chart10.xml" ContentType="application/vnd.openxmlformats-officedocument.drawingml.chart+xml"/>
  <Override PartName="/word/charts/chart11.xml" ContentType="application/vnd.openxmlformats-officedocument.drawingml.chart+xml"/>
  <Override PartName="/word/charts/chart12.xml" ContentType="application/vnd.openxmlformats-officedocument.drawingml.chart+xml"/>
  <Override PartName="/word/charts/style1.xml" ContentType="application/vnd.ms-office.chartstyle+xml"/>
  <Override PartName="/word/charts/colors1.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rsidR="00C1053A" w:rsidRPr="00C1053A" w:rsidRDefault="00C1053A" w:rsidP="000C0496">
      <w:pPr>
        <w:ind w:left="-426" w:right="-477"/>
        <w:rPr>
          <w:b/>
          <w:bCs/>
        </w:rPr>
      </w:pPr>
      <w:r w:rsidRPr="00C1053A">
        <w:rPr>
          <w:b/>
          <w:bCs/>
        </w:rPr>
        <w:t>Eleanor Hodgson (2304415)</w:t>
      </w:r>
    </w:p>
    <w:p w:rsidR="00C1053A" w:rsidRDefault="00C1053A" w:rsidP="000C0496">
      <w:pPr>
        <w:ind w:left="-426" w:right="-477"/>
        <w:rPr>
          <w:b/>
          <w:bCs/>
          <w:sz w:val="28"/>
          <w:szCs w:val="28"/>
        </w:rPr>
      </w:pPr>
    </w:p>
    <w:p w:rsidR="00205C1D" w:rsidRPr="00C1053A" w:rsidRDefault="000C0496" w:rsidP="00C1053A">
      <w:pPr>
        <w:ind w:left="-426" w:right="-477"/>
        <w:jc w:val="center"/>
        <w:rPr>
          <w:b/>
          <w:bCs/>
          <w:sz w:val="32"/>
          <w:szCs w:val="32"/>
        </w:rPr>
      </w:pPr>
      <w:r w:rsidRPr="00C1053A">
        <w:rPr>
          <w:b/>
          <w:bCs/>
          <w:sz w:val="32"/>
          <w:szCs w:val="32"/>
        </w:rPr>
        <w:t xml:space="preserve">To what extent does </w:t>
      </w:r>
      <w:r w:rsidR="00C1053A">
        <w:rPr>
          <w:b/>
          <w:bCs/>
          <w:sz w:val="32"/>
          <w:szCs w:val="32"/>
        </w:rPr>
        <w:t xml:space="preserve">the </w:t>
      </w:r>
      <w:r w:rsidRPr="00C1053A">
        <w:rPr>
          <w:b/>
          <w:bCs/>
          <w:sz w:val="32"/>
          <w:szCs w:val="32"/>
        </w:rPr>
        <w:t>position of Year 8 students in a maths classroom effect engagement?</w:t>
      </w:r>
    </w:p>
    <w:p w:rsidR="00C1053A" w:rsidRPr="00C1053A" w:rsidRDefault="00C1053A" w:rsidP="00C1053A">
      <w:pPr>
        <w:ind w:left="-426" w:right="-477"/>
        <w:jc w:val="center"/>
      </w:pPr>
      <w:r w:rsidRPr="00C1053A">
        <w:t>4322 Words</w:t>
      </w:r>
    </w:p>
    <w:p w:rsidR="000C0496" w:rsidRDefault="000C0496" w:rsidP="000C0496">
      <w:pPr>
        <w:ind w:left="-426" w:right="-477"/>
        <w:rPr>
          <w:b/>
          <w:bCs/>
          <w:sz w:val="28"/>
          <w:szCs w:val="28"/>
        </w:rPr>
      </w:pPr>
    </w:p>
    <w:p w:rsidR="00447788" w:rsidRDefault="00447788" w:rsidP="000C0496">
      <w:pPr>
        <w:ind w:left="-426" w:right="-477"/>
        <w:rPr>
          <w:b/>
          <w:bCs/>
          <w:sz w:val="28"/>
          <w:szCs w:val="28"/>
        </w:rPr>
      </w:pPr>
      <w:r>
        <w:rPr>
          <w:b/>
          <w:bCs/>
          <w:sz w:val="28"/>
          <w:szCs w:val="28"/>
        </w:rPr>
        <w:t xml:space="preserve">Introduction </w:t>
      </w:r>
    </w:p>
    <w:p w:rsidR="00447788" w:rsidRDefault="00447788" w:rsidP="000C0496">
      <w:pPr>
        <w:ind w:left="-426" w:right="-477"/>
        <w:rPr>
          <w:b/>
          <w:bCs/>
          <w:sz w:val="28"/>
          <w:szCs w:val="28"/>
        </w:rPr>
      </w:pPr>
    </w:p>
    <w:p w:rsidR="000C0496" w:rsidRDefault="000C0496" w:rsidP="000C0496">
      <w:pPr>
        <w:ind w:left="-426" w:right="-477"/>
        <w:rPr>
          <w:sz w:val="28"/>
          <w:szCs w:val="28"/>
        </w:rPr>
      </w:pPr>
      <w:r>
        <w:rPr>
          <w:sz w:val="28"/>
          <w:szCs w:val="28"/>
        </w:rPr>
        <w:t xml:space="preserve">The aim of this research is to delve into the effect that seating plans have on engagement in the classroom. Looking at the effect of positionality in the classroom and which location in the classroom has the most positive effect on engagement and which location has the most negative effect. This research will influence future practice in regard to classroom management and ensuring an effective seating plan is in place which benefits all students.  </w:t>
      </w:r>
    </w:p>
    <w:p w:rsidR="000C0496" w:rsidRDefault="000C0496" w:rsidP="000C0496">
      <w:pPr>
        <w:ind w:left="-426" w:right="-477"/>
        <w:rPr>
          <w:sz w:val="28"/>
          <w:szCs w:val="28"/>
        </w:rPr>
      </w:pPr>
    </w:p>
    <w:p w:rsidR="000C0496" w:rsidRDefault="000C0496" w:rsidP="000C0496">
      <w:pPr>
        <w:ind w:left="-426" w:right="-477"/>
        <w:rPr>
          <w:sz w:val="28"/>
          <w:szCs w:val="28"/>
        </w:rPr>
      </w:pPr>
      <w:r>
        <w:rPr>
          <w:sz w:val="28"/>
          <w:szCs w:val="28"/>
        </w:rPr>
        <w:t>In line with BERA guidelines (2018), the school where the research is taking place will be known as school X and participants of the research will be known as child A, B</w:t>
      </w:r>
      <w:r w:rsidR="00C1053A">
        <w:rPr>
          <w:sz w:val="28"/>
          <w:szCs w:val="28"/>
        </w:rPr>
        <w:t>,</w:t>
      </w:r>
      <w:r>
        <w:rPr>
          <w:sz w:val="28"/>
          <w:szCs w:val="28"/>
        </w:rPr>
        <w:t xml:space="preserve"> ectara. School X is an 11-16 comprehensive school based in a deprived area of South Wales. Roughly 27% of pupils live in the 20% most deprived area in Wales and with that, 23% of students are eligible for free school meals (</w:t>
      </w:r>
      <w:proofErr w:type="spellStart"/>
      <w:r>
        <w:rPr>
          <w:sz w:val="28"/>
          <w:szCs w:val="28"/>
        </w:rPr>
        <w:t>eFSM</w:t>
      </w:r>
      <w:proofErr w:type="spellEnd"/>
      <w:r>
        <w:rPr>
          <w:sz w:val="28"/>
          <w:szCs w:val="28"/>
        </w:rPr>
        <w:t>) (Estyn, 2017). After the most recent Estyn inspection, recommendations were made to improve pupil behaviour and attitudes to learning (Estyn, 2017).</w:t>
      </w:r>
    </w:p>
    <w:p w:rsidR="000C0496" w:rsidRDefault="000C0496" w:rsidP="000C0496">
      <w:pPr>
        <w:ind w:left="-426" w:right="-477"/>
        <w:rPr>
          <w:sz w:val="28"/>
          <w:szCs w:val="28"/>
        </w:rPr>
      </w:pPr>
    </w:p>
    <w:p w:rsidR="000C0496" w:rsidRDefault="000C0496" w:rsidP="000C0496">
      <w:pPr>
        <w:ind w:left="-426" w:right="-477"/>
        <w:rPr>
          <w:sz w:val="28"/>
          <w:szCs w:val="28"/>
        </w:rPr>
      </w:pPr>
      <w:r>
        <w:rPr>
          <w:sz w:val="28"/>
          <w:szCs w:val="28"/>
        </w:rPr>
        <w:t xml:space="preserve">The class is currently arranged in a seating plan put in place by the class teacher. The students are sat in rows and some on individual tables. There are 34 pupils in the year 8 class and they are set 1. The boy girl split is 21 to 13 so nearly two thirds of the class are boys. 11 students in the class are identified as being more able and talent (MAT) and 5 are identified as haven a special educational need (SEN). </w:t>
      </w:r>
    </w:p>
    <w:p w:rsidR="000C0496" w:rsidRDefault="000C0496" w:rsidP="000C0496">
      <w:pPr>
        <w:ind w:left="-426" w:right="-477"/>
        <w:rPr>
          <w:sz w:val="28"/>
          <w:szCs w:val="28"/>
        </w:rPr>
      </w:pPr>
    </w:p>
    <w:p w:rsidR="000C0496" w:rsidRDefault="00447788" w:rsidP="000C0496">
      <w:pPr>
        <w:ind w:left="-426" w:right="-477"/>
        <w:rPr>
          <w:sz w:val="28"/>
          <w:szCs w:val="28"/>
        </w:rPr>
      </w:pPr>
      <w:r>
        <w:rPr>
          <w:sz w:val="28"/>
          <w:szCs w:val="28"/>
        </w:rPr>
        <w:t>This research project’s objectives are to analyse the extent to which position of students in class affect engagement in a maths lesson.</w:t>
      </w:r>
    </w:p>
    <w:p w:rsidR="00447788" w:rsidRDefault="00447788" w:rsidP="000C0496">
      <w:pPr>
        <w:ind w:left="-426" w:right="-477"/>
        <w:rPr>
          <w:sz w:val="28"/>
          <w:szCs w:val="28"/>
        </w:rPr>
      </w:pPr>
    </w:p>
    <w:p w:rsidR="00447788" w:rsidRDefault="00447788" w:rsidP="000C0496">
      <w:pPr>
        <w:ind w:left="-426" w:right="-477"/>
        <w:rPr>
          <w:b/>
          <w:bCs/>
          <w:sz w:val="28"/>
          <w:szCs w:val="28"/>
        </w:rPr>
      </w:pPr>
      <w:r w:rsidRPr="00447788">
        <w:rPr>
          <w:b/>
          <w:bCs/>
          <w:sz w:val="28"/>
          <w:szCs w:val="28"/>
        </w:rPr>
        <w:t>Overview of current literature</w:t>
      </w:r>
    </w:p>
    <w:p w:rsidR="00447788" w:rsidRDefault="00447788" w:rsidP="000C0496">
      <w:pPr>
        <w:ind w:left="-426" w:right="-477"/>
        <w:rPr>
          <w:b/>
          <w:bCs/>
          <w:sz w:val="28"/>
          <w:szCs w:val="28"/>
        </w:rPr>
      </w:pPr>
    </w:p>
    <w:p w:rsidR="00447788" w:rsidRDefault="00447788" w:rsidP="000C0496">
      <w:pPr>
        <w:ind w:left="-426" w:right="-477"/>
        <w:rPr>
          <w:sz w:val="28"/>
          <w:szCs w:val="28"/>
        </w:rPr>
      </w:pPr>
      <w:r>
        <w:rPr>
          <w:sz w:val="28"/>
          <w:szCs w:val="28"/>
        </w:rPr>
        <w:t xml:space="preserve">As this research is looking at engagement it is important we define what student engagement looks like in school. In previous generations, teachers may have said silent classrooms with rote learning showed the epitome of student engagement. However, in modern teaching this is far from what we perceive engagement to be. </w:t>
      </w:r>
    </w:p>
    <w:p w:rsidR="00447788" w:rsidRDefault="00447788" w:rsidP="000C0496">
      <w:pPr>
        <w:ind w:left="-426" w:right="-477"/>
        <w:rPr>
          <w:sz w:val="28"/>
          <w:szCs w:val="28"/>
        </w:rPr>
      </w:pPr>
    </w:p>
    <w:p w:rsidR="00447788" w:rsidRDefault="00447788" w:rsidP="000C0496">
      <w:pPr>
        <w:ind w:left="-426" w:right="-477"/>
        <w:rPr>
          <w:sz w:val="28"/>
          <w:szCs w:val="28"/>
        </w:rPr>
      </w:pPr>
      <w:r>
        <w:rPr>
          <w:sz w:val="28"/>
          <w:szCs w:val="28"/>
        </w:rPr>
        <w:t xml:space="preserve">According to </w:t>
      </w:r>
      <w:proofErr w:type="spellStart"/>
      <w:r>
        <w:rPr>
          <w:sz w:val="28"/>
          <w:szCs w:val="28"/>
        </w:rPr>
        <w:t>Kahu</w:t>
      </w:r>
      <w:proofErr w:type="spellEnd"/>
      <w:r>
        <w:rPr>
          <w:sz w:val="28"/>
          <w:szCs w:val="28"/>
        </w:rPr>
        <w:t xml:space="preserve"> (2011), the most common perception of engagement is good student behaviour. Work by Fredricks, et al., (2004) divides engagement up into three subcategories which are behavioural, emotional and cognitive engagement. According to Fredricks, et al., (2004), cognitive engagement is defined as students taking ownership of their own learning, emotional engagement is the product of the student’s enjoyment of a subject and being </w:t>
      </w:r>
      <w:r>
        <w:rPr>
          <w:sz w:val="28"/>
          <w:szCs w:val="28"/>
        </w:rPr>
        <w:lastRenderedPageBreak/>
        <w:t xml:space="preserve">interested in the content. Finally, behavioural engagement which involves a student’s ability to complete tasks with good effort and focus (Fredricks et al., 2004). Although this research is 20 years old, it is still used </w:t>
      </w:r>
      <w:r w:rsidR="005F4D34">
        <w:rPr>
          <w:sz w:val="28"/>
          <w:szCs w:val="28"/>
        </w:rPr>
        <w:t xml:space="preserve">today </w:t>
      </w:r>
      <w:r>
        <w:rPr>
          <w:sz w:val="28"/>
          <w:szCs w:val="28"/>
        </w:rPr>
        <w:t xml:space="preserve">as the three pillars of engagement </w:t>
      </w:r>
      <w:r w:rsidR="005F4D34">
        <w:rPr>
          <w:sz w:val="28"/>
          <w:szCs w:val="28"/>
        </w:rPr>
        <w:t xml:space="preserve">in </w:t>
      </w:r>
      <w:r>
        <w:rPr>
          <w:sz w:val="28"/>
          <w:szCs w:val="28"/>
        </w:rPr>
        <w:t>research projects. More recent work by Jansen, et al., (2023) refer back to these three subcategories to underpin their own research and their findings which support the work of Fredrick</w:t>
      </w:r>
      <w:r w:rsidR="005F4D34">
        <w:rPr>
          <w:sz w:val="28"/>
          <w:szCs w:val="28"/>
        </w:rPr>
        <w:t>,</w:t>
      </w:r>
      <w:r>
        <w:rPr>
          <w:sz w:val="28"/>
          <w:szCs w:val="28"/>
        </w:rPr>
        <w:t xml:space="preserve"> et al</w:t>
      </w:r>
      <w:r w:rsidR="005F4D34">
        <w:rPr>
          <w:sz w:val="28"/>
          <w:szCs w:val="28"/>
        </w:rPr>
        <w:t>., (2004).</w:t>
      </w:r>
    </w:p>
    <w:p w:rsidR="005F4D34" w:rsidRDefault="005F4D34" w:rsidP="000C0496">
      <w:pPr>
        <w:ind w:left="-426" w:right="-477"/>
        <w:rPr>
          <w:sz w:val="28"/>
          <w:szCs w:val="28"/>
        </w:rPr>
      </w:pPr>
    </w:p>
    <w:p w:rsidR="005F4D34" w:rsidRDefault="005F4D34" w:rsidP="000C0496">
      <w:pPr>
        <w:ind w:left="-426" w:right="-477"/>
        <w:rPr>
          <w:sz w:val="28"/>
          <w:szCs w:val="28"/>
        </w:rPr>
      </w:pPr>
      <w:r>
        <w:rPr>
          <w:sz w:val="28"/>
          <w:szCs w:val="28"/>
        </w:rPr>
        <w:t xml:space="preserve">There are many factors for a teacher to consider when creating an effective seating plan. A teacher could choose to seat students next to a partner who is MAT in order to positively influence the less able student. A teacher may decide that pairing high energy students with calmer students can enable the higher energy student to become more focussed. This section of the report will analyse different studies and opinions on the various ways a classroom can be organised. </w:t>
      </w:r>
    </w:p>
    <w:p w:rsidR="005F4D34" w:rsidRDefault="005F4D34" w:rsidP="000C0496">
      <w:pPr>
        <w:ind w:left="-426" w:right="-477"/>
        <w:rPr>
          <w:sz w:val="28"/>
          <w:szCs w:val="28"/>
        </w:rPr>
      </w:pPr>
    </w:p>
    <w:p w:rsidR="005F4D34" w:rsidRDefault="005F4D34" w:rsidP="000C0496">
      <w:pPr>
        <w:ind w:left="-426" w:right="-477"/>
        <w:rPr>
          <w:sz w:val="28"/>
          <w:szCs w:val="28"/>
        </w:rPr>
      </w:pPr>
      <w:r>
        <w:rPr>
          <w:sz w:val="28"/>
          <w:szCs w:val="28"/>
        </w:rPr>
        <w:t xml:space="preserve">When it comes to pairing less able students with MAT students we can take into account Vygotsky’s theory of the zone of proximal development (ZPD) whereby the concept of a more knowledgeable other (MKO) comes from. When arranging seating plans in the classroom it is important to note the effect a MKO can have on the classroom dynamics. Neugebauer, et al., (2016) mention that an increase in motivation can be seen when another peer succeeds as it provides other students with a view into their own personal potential. Huong (2006) conducted an experiment with a MKO and found that the knowledgeable peer was able to facilitate discussion, encouraged opinions and assisted other peers when necessary. This was found to increase the engagement of the less knowledgeable students. </w:t>
      </w:r>
    </w:p>
    <w:p w:rsidR="005F4D34" w:rsidRDefault="005F4D34" w:rsidP="000C0496">
      <w:pPr>
        <w:ind w:left="-426" w:right="-477"/>
        <w:rPr>
          <w:sz w:val="28"/>
          <w:szCs w:val="28"/>
        </w:rPr>
      </w:pPr>
    </w:p>
    <w:p w:rsidR="005F4D34" w:rsidRDefault="005F4D34" w:rsidP="000C0496">
      <w:pPr>
        <w:ind w:left="-426" w:right="-477"/>
        <w:rPr>
          <w:sz w:val="28"/>
          <w:szCs w:val="28"/>
        </w:rPr>
      </w:pPr>
      <w:r>
        <w:rPr>
          <w:sz w:val="28"/>
          <w:szCs w:val="28"/>
        </w:rPr>
        <w:t xml:space="preserve">Although some literature states that a MKO can have a positive impact on other students, it is important to realise the potential negative effects a MKO can have. </w:t>
      </w:r>
      <w:r w:rsidR="00C85D15">
        <w:rPr>
          <w:sz w:val="28"/>
          <w:szCs w:val="28"/>
        </w:rPr>
        <w:t xml:space="preserve">Neugebauer, et al., (2016) state that the less knowledgeable peer can engage in upward comparison. This means they compare themselves to the MKO and this highlights their own lack in knowledge, this can cause problems like a decline in self-esteem and self-worth although </w:t>
      </w:r>
      <w:proofErr w:type="spellStart"/>
      <w:r w:rsidR="00C85D15">
        <w:rPr>
          <w:sz w:val="28"/>
          <w:szCs w:val="28"/>
        </w:rPr>
        <w:t>Buchs</w:t>
      </w:r>
      <w:proofErr w:type="spellEnd"/>
      <w:r w:rsidR="00C85D15">
        <w:rPr>
          <w:sz w:val="28"/>
          <w:szCs w:val="28"/>
        </w:rPr>
        <w:t xml:space="preserve"> and Butera (2009) say that this isn’t always a bad thing. Huong (2007) mention that there are gaps in Vygotsky’s ZPD when it comes to the MKO and stating just how much more knowledgeable the “other” should be. Abtahi, et al., (2017) agrees with this and says that there is missing information in Vygotsky’s ZPD as it is not clear who the MKO should be. Huong and Abtahi both specialise in education and classroom interactions and are well-established, respected professors in their field. </w:t>
      </w:r>
    </w:p>
    <w:p w:rsidR="00C85D15" w:rsidRDefault="00C85D15" w:rsidP="000C0496">
      <w:pPr>
        <w:ind w:left="-426" w:right="-477"/>
        <w:rPr>
          <w:sz w:val="28"/>
          <w:szCs w:val="28"/>
        </w:rPr>
      </w:pPr>
    </w:p>
    <w:p w:rsidR="00C85D15" w:rsidRDefault="00C85D15" w:rsidP="000C0496">
      <w:pPr>
        <w:ind w:left="-426" w:right="-477"/>
        <w:rPr>
          <w:sz w:val="28"/>
          <w:szCs w:val="28"/>
        </w:rPr>
      </w:pPr>
      <w:r>
        <w:rPr>
          <w:sz w:val="28"/>
          <w:szCs w:val="28"/>
        </w:rPr>
        <w:t xml:space="preserve">There is also evidence to suggest that a student’s positionality in a classroom impacts their learning outcome and engagement. According to studies completed by </w:t>
      </w:r>
      <w:proofErr w:type="spellStart"/>
      <w:r>
        <w:rPr>
          <w:sz w:val="28"/>
          <w:szCs w:val="28"/>
        </w:rPr>
        <w:t>Wasendorf</w:t>
      </w:r>
      <w:proofErr w:type="spellEnd"/>
      <w:r>
        <w:rPr>
          <w:sz w:val="28"/>
          <w:szCs w:val="28"/>
        </w:rPr>
        <w:t>, et al., (2023), students who made their own decision to sit at the back of the classroom had lower attendance rates and lower performance rates than their peers in the middle or front of the class. Interestingly, when students were asked for their reasoning as to why they wanted to sit where they did, students at the back of the class reported they wanted to avoid interactions with the teacher and that they engaged with the lesson material less than those in the middle or front of the class (</w:t>
      </w:r>
      <w:proofErr w:type="spellStart"/>
      <w:r>
        <w:rPr>
          <w:sz w:val="28"/>
          <w:szCs w:val="28"/>
        </w:rPr>
        <w:t>Wasendorf</w:t>
      </w:r>
      <w:proofErr w:type="spellEnd"/>
      <w:r>
        <w:rPr>
          <w:sz w:val="28"/>
          <w:szCs w:val="28"/>
        </w:rPr>
        <w:t xml:space="preserve">, et al., 2023). The impact of this is that teachers interact and </w:t>
      </w:r>
      <w:r>
        <w:rPr>
          <w:sz w:val="28"/>
          <w:szCs w:val="28"/>
        </w:rPr>
        <w:lastRenderedPageBreak/>
        <w:t>support those who are engaged more than those who are not (Dong, et al., 2021). Those at the front reported they could see and hear the teacher more clearly and were able to ask more questions (</w:t>
      </w:r>
      <w:proofErr w:type="spellStart"/>
      <w:r>
        <w:rPr>
          <w:sz w:val="28"/>
          <w:szCs w:val="28"/>
        </w:rPr>
        <w:t>Wasendorf</w:t>
      </w:r>
      <w:proofErr w:type="spellEnd"/>
      <w:r>
        <w:rPr>
          <w:sz w:val="28"/>
          <w:szCs w:val="28"/>
        </w:rPr>
        <w:t xml:space="preserve">, et al., 2023). Studies completed by Sanders (2013) found that when classrooms were designed in rows, students were more focussed on the content as they didn’t have as many distractions as when tables were grouped and facing each other. </w:t>
      </w:r>
    </w:p>
    <w:p w:rsidR="00C85D15" w:rsidRDefault="00C85D15" w:rsidP="000C0496">
      <w:pPr>
        <w:ind w:left="-426" w:right="-477"/>
        <w:rPr>
          <w:sz w:val="28"/>
          <w:szCs w:val="28"/>
        </w:rPr>
      </w:pPr>
    </w:p>
    <w:p w:rsidR="00C85D15" w:rsidRDefault="00C85D15" w:rsidP="000C0496">
      <w:pPr>
        <w:ind w:left="-426" w:right="-477"/>
        <w:rPr>
          <w:sz w:val="28"/>
          <w:szCs w:val="28"/>
        </w:rPr>
      </w:pPr>
      <w:r>
        <w:rPr>
          <w:sz w:val="28"/>
          <w:szCs w:val="28"/>
        </w:rPr>
        <w:t xml:space="preserve">The extent to which location of students in a classroom effects engagement has not yet been widely researched. </w:t>
      </w:r>
      <w:r w:rsidR="006E7A2A">
        <w:rPr>
          <w:sz w:val="28"/>
          <w:szCs w:val="28"/>
        </w:rPr>
        <w:t xml:space="preserve">The objective of this research is to gain more knowledge on engagement of students and fill gaps in current literature. </w:t>
      </w:r>
    </w:p>
    <w:p w:rsidR="006E7A2A" w:rsidRDefault="006E7A2A" w:rsidP="000C0496">
      <w:pPr>
        <w:ind w:left="-426" w:right="-477"/>
        <w:rPr>
          <w:sz w:val="28"/>
          <w:szCs w:val="28"/>
        </w:rPr>
      </w:pPr>
    </w:p>
    <w:p w:rsidR="006E7A2A" w:rsidRDefault="006E7A2A" w:rsidP="000C0496">
      <w:pPr>
        <w:ind w:left="-426" w:right="-477"/>
        <w:rPr>
          <w:b/>
          <w:bCs/>
          <w:sz w:val="28"/>
          <w:szCs w:val="28"/>
        </w:rPr>
      </w:pPr>
      <w:r w:rsidRPr="006E7A2A">
        <w:rPr>
          <w:b/>
          <w:bCs/>
          <w:sz w:val="28"/>
          <w:szCs w:val="28"/>
        </w:rPr>
        <w:t>Case study</w:t>
      </w:r>
    </w:p>
    <w:p w:rsidR="006E7A2A" w:rsidRDefault="006E7A2A" w:rsidP="000C0496">
      <w:pPr>
        <w:ind w:left="-426" w:right="-477"/>
        <w:rPr>
          <w:b/>
          <w:bCs/>
          <w:sz w:val="28"/>
          <w:szCs w:val="28"/>
        </w:rPr>
      </w:pPr>
    </w:p>
    <w:p w:rsidR="006E7A2A" w:rsidRDefault="006E7A2A" w:rsidP="000C0496">
      <w:pPr>
        <w:ind w:left="-426" w:right="-477"/>
        <w:rPr>
          <w:sz w:val="28"/>
          <w:szCs w:val="28"/>
        </w:rPr>
      </w:pPr>
      <w:r>
        <w:rPr>
          <w:sz w:val="28"/>
          <w:szCs w:val="28"/>
        </w:rPr>
        <w:t xml:space="preserve">The term ‘case study’ is rather broad in its’ definition and there are three main types of case study. An evaluative case study, exploratory case study and an explanatory case study. For the purpose of this research, an exploratory case study will be used to consider the effect positionality of students has on engagement. An exploratory case study is developed when a minimal amount is known about the topic and the aim is to gain a deeper understanding about the topic. In an exploratory case study we have the need for understanding and feel quizzical about a certain question around a topic. Therefore, studying a case gives us insight into our research question (Stake, 1995). Exploratory case studies have one main research question and the case study’s main objective is to focus upon that question in order to bring more clarity around the topic. Although case studies are used extensively in research, they do not have the reputation as being a legitimate research strategy. Consequently, there are several interpretations of what the term ‘case study’ means (Yazan, 2015). </w:t>
      </w:r>
    </w:p>
    <w:p w:rsidR="006E7A2A" w:rsidRDefault="006E7A2A" w:rsidP="000C0496">
      <w:pPr>
        <w:ind w:left="-426" w:right="-477"/>
        <w:rPr>
          <w:sz w:val="28"/>
          <w:szCs w:val="28"/>
        </w:rPr>
      </w:pPr>
    </w:p>
    <w:p w:rsidR="006E7A2A" w:rsidRDefault="006E7A2A" w:rsidP="000C0496">
      <w:pPr>
        <w:ind w:left="-426" w:right="-477"/>
        <w:rPr>
          <w:sz w:val="28"/>
          <w:szCs w:val="28"/>
        </w:rPr>
      </w:pPr>
      <w:r>
        <w:rPr>
          <w:sz w:val="28"/>
          <w:szCs w:val="28"/>
        </w:rPr>
        <w:t xml:space="preserve">Stake (1995) highlights the importance of awareness that a ‘case study’ is an individual researcher’s interpretation of events and that the researcher has the freedom to report on what they find significant during their inquiries. The ability and willingness to present other views and potential interpretations is the starting point of a good case study (Stake, 1998). Yazan (2015) explains that a </w:t>
      </w:r>
      <w:proofErr w:type="spellStart"/>
      <w:r>
        <w:rPr>
          <w:sz w:val="28"/>
          <w:szCs w:val="28"/>
        </w:rPr>
        <w:t>Stakian</w:t>
      </w:r>
      <w:proofErr w:type="spellEnd"/>
      <w:r>
        <w:rPr>
          <w:sz w:val="28"/>
          <w:szCs w:val="28"/>
        </w:rPr>
        <w:t xml:space="preserve"> perspective of case st</w:t>
      </w:r>
      <w:r w:rsidR="00D653A6">
        <w:rPr>
          <w:sz w:val="28"/>
          <w:szCs w:val="28"/>
        </w:rPr>
        <w:t xml:space="preserve">udies says that the researcher should always be aware of the other realities of the reader and that knowledge presented from a case study could be interpreted differently to readers. </w:t>
      </w:r>
    </w:p>
    <w:p w:rsidR="00F57032" w:rsidRDefault="00F57032" w:rsidP="000C0496">
      <w:pPr>
        <w:ind w:left="-426" w:right="-477"/>
        <w:rPr>
          <w:sz w:val="28"/>
          <w:szCs w:val="28"/>
        </w:rPr>
      </w:pPr>
    </w:p>
    <w:p w:rsidR="00F57032" w:rsidRDefault="00F57032" w:rsidP="000C0496">
      <w:pPr>
        <w:ind w:left="-426" w:right="-477"/>
        <w:rPr>
          <w:sz w:val="28"/>
          <w:szCs w:val="28"/>
        </w:rPr>
      </w:pPr>
      <w:r>
        <w:rPr>
          <w:sz w:val="28"/>
          <w:szCs w:val="28"/>
        </w:rPr>
        <w:t xml:space="preserve">Merriam’s (1998) view of case studies links closely with Stake’s (1998) when taking into account the realisation of other interpretations of research. However, she believes that the research being conducted and report written should not be influenced by the readers’ involvement in the literature and should be a true reflection of the researcher’s interpretation of results (Yazan, 2015). </w:t>
      </w:r>
    </w:p>
    <w:p w:rsidR="00F57032" w:rsidRDefault="00F57032" w:rsidP="000C0496">
      <w:pPr>
        <w:ind w:left="-426" w:right="-477"/>
        <w:rPr>
          <w:sz w:val="28"/>
          <w:szCs w:val="28"/>
        </w:rPr>
      </w:pPr>
    </w:p>
    <w:p w:rsidR="00F57032" w:rsidRDefault="00F57032" w:rsidP="000C0496">
      <w:pPr>
        <w:ind w:left="-426" w:right="-477"/>
        <w:rPr>
          <w:sz w:val="28"/>
          <w:szCs w:val="28"/>
        </w:rPr>
      </w:pPr>
      <w:r>
        <w:rPr>
          <w:sz w:val="28"/>
          <w:szCs w:val="28"/>
        </w:rPr>
        <w:t xml:space="preserve">Yin (2003) believes that in order to develop a successful case study, quality control is essential. Including internal validity, external validity, construct validity and finally reliability. This is important in research in order to create a strong rational for the outcome of the research. He recommends developing two case studies in order to strengthen the argument. However, due </w:t>
      </w:r>
      <w:r>
        <w:rPr>
          <w:sz w:val="28"/>
          <w:szCs w:val="28"/>
        </w:rPr>
        <w:lastRenderedPageBreak/>
        <w:t xml:space="preserve">to the nature of this research project there will only be resources available to complete one case study. </w:t>
      </w:r>
    </w:p>
    <w:p w:rsidR="00F57032" w:rsidRDefault="00F57032" w:rsidP="000C0496">
      <w:pPr>
        <w:ind w:left="-426" w:right="-477"/>
        <w:rPr>
          <w:sz w:val="28"/>
          <w:szCs w:val="28"/>
        </w:rPr>
      </w:pPr>
    </w:p>
    <w:p w:rsidR="00F57032" w:rsidRDefault="00F57032" w:rsidP="000C0496">
      <w:pPr>
        <w:ind w:left="-426" w:right="-477"/>
        <w:rPr>
          <w:sz w:val="28"/>
          <w:szCs w:val="28"/>
        </w:rPr>
      </w:pPr>
      <w:r>
        <w:rPr>
          <w:sz w:val="28"/>
          <w:szCs w:val="28"/>
        </w:rPr>
        <w:t xml:space="preserve">As a case study is built around the individual researcher’s perspective, it is worth noting that the way in way one person may interpret data and results may not be the same for another person and could therefore result in contrasting views amongst readers. However, a case study is an essential part of research and gives the opportunity to create a reality in which participants can be observed and questioned with the objective to define a research question further. </w:t>
      </w:r>
    </w:p>
    <w:p w:rsidR="00F57032" w:rsidRDefault="00F57032" w:rsidP="000C0496">
      <w:pPr>
        <w:ind w:left="-426" w:right="-477"/>
        <w:rPr>
          <w:sz w:val="28"/>
          <w:szCs w:val="28"/>
        </w:rPr>
      </w:pPr>
    </w:p>
    <w:p w:rsidR="00F57032" w:rsidRDefault="00F57032" w:rsidP="000C0496">
      <w:pPr>
        <w:ind w:left="-426" w:right="-477"/>
        <w:rPr>
          <w:sz w:val="28"/>
          <w:szCs w:val="28"/>
        </w:rPr>
      </w:pPr>
      <w:r>
        <w:rPr>
          <w:sz w:val="28"/>
          <w:szCs w:val="28"/>
        </w:rPr>
        <w:t xml:space="preserve">The participants in this case study will be 12/13 year old school children. The year 8 class that will be used is boy dominant and has a girl to boy ratio of roughly 1:3. After receiving consent forms, the sample size became even less diverse in terms of gender. To secure a representative sample participants were chosen via convenience sampling and gained a sample of 8 participants, 7 boys and 1 girl. Convenience sampling was chosen to ensure a wide spread sample across the classroom to analyse the participants across the front, middle and back of the room. </w:t>
      </w:r>
    </w:p>
    <w:p w:rsidR="00F57032" w:rsidRDefault="00F57032" w:rsidP="000C0496">
      <w:pPr>
        <w:ind w:left="-426" w:right="-477"/>
        <w:rPr>
          <w:sz w:val="28"/>
          <w:szCs w:val="28"/>
        </w:rPr>
      </w:pPr>
    </w:p>
    <w:p w:rsidR="00F57032" w:rsidRDefault="00F57032" w:rsidP="000C0496">
      <w:pPr>
        <w:ind w:left="-426" w:right="-477"/>
        <w:rPr>
          <w:b/>
          <w:bCs/>
          <w:sz w:val="28"/>
          <w:szCs w:val="28"/>
        </w:rPr>
      </w:pPr>
      <w:r w:rsidRPr="00F57032">
        <w:rPr>
          <w:b/>
          <w:bCs/>
          <w:sz w:val="28"/>
          <w:szCs w:val="28"/>
        </w:rPr>
        <w:t>Research Methods</w:t>
      </w:r>
    </w:p>
    <w:p w:rsidR="00F57032" w:rsidRDefault="00F57032" w:rsidP="000C0496">
      <w:pPr>
        <w:ind w:left="-426" w:right="-477"/>
        <w:rPr>
          <w:b/>
          <w:bCs/>
          <w:sz w:val="28"/>
          <w:szCs w:val="28"/>
        </w:rPr>
      </w:pPr>
    </w:p>
    <w:p w:rsidR="00F57032" w:rsidRDefault="00F57032" w:rsidP="000C0496">
      <w:pPr>
        <w:ind w:left="-426" w:right="-477"/>
        <w:rPr>
          <w:sz w:val="28"/>
          <w:szCs w:val="28"/>
        </w:rPr>
      </w:pPr>
      <w:r>
        <w:rPr>
          <w:sz w:val="28"/>
          <w:szCs w:val="28"/>
        </w:rPr>
        <w:t xml:space="preserve">In order to provide a comprehensive report on the effects positionality has on students in regards to engagement, a mixture of questionnaires and observations will be used (See appendix A and B). </w:t>
      </w:r>
    </w:p>
    <w:p w:rsidR="00F57032" w:rsidRDefault="00F57032" w:rsidP="000C0496">
      <w:pPr>
        <w:ind w:left="-426" w:right="-477"/>
        <w:rPr>
          <w:sz w:val="28"/>
          <w:szCs w:val="28"/>
        </w:rPr>
      </w:pPr>
    </w:p>
    <w:p w:rsidR="00F57032" w:rsidRDefault="00F57032" w:rsidP="000C0496">
      <w:pPr>
        <w:ind w:left="-426" w:right="-477"/>
        <w:rPr>
          <w:b/>
          <w:bCs/>
          <w:sz w:val="28"/>
          <w:szCs w:val="28"/>
        </w:rPr>
      </w:pPr>
      <w:r w:rsidRPr="00F57032">
        <w:rPr>
          <w:b/>
          <w:bCs/>
          <w:sz w:val="28"/>
          <w:szCs w:val="28"/>
        </w:rPr>
        <w:t>Questionnaires</w:t>
      </w:r>
    </w:p>
    <w:p w:rsidR="00F57032" w:rsidRDefault="00F57032" w:rsidP="000C0496">
      <w:pPr>
        <w:ind w:left="-426" w:right="-477"/>
        <w:rPr>
          <w:b/>
          <w:bCs/>
          <w:sz w:val="28"/>
          <w:szCs w:val="28"/>
        </w:rPr>
      </w:pPr>
    </w:p>
    <w:p w:rsidR="00F57032" w:rsidRDefault="00F57032" w:rsidP="000C0496">
      <w:pPr>
        <w:ind w:left="-426" w:right="-477"/>
        <w:rPr>
          <w:sz w:val="28"/>
          <w:szCs w:val="28"/>
        </w:rPr>
      </w:pPr>
      <w:r>
        <w:rPr>
          <w:sz w:val="28"/>
          <w:szCs w:val="28"/>
        </w:rPr>
        <w:t xml:space="preserve">The use of questionnaires as a research method has increased in line with the rise in web-based technology over the past 20 years (Lund, 2020). There are many ways in which questionnaires can be used to collect data. Multiple choice answers, open ended questions, tick boxes, scales and more. The Likert scale is a popular choice when constructing a questionnaire and one which will be used when carrying out questionnaires during the research period. </w:t>
      </w:r>
      <w:r w:rsidR="00B325E3">
        <w:rPr>
          <w:sz w:val="28"/>
          <w:szCs w:val="28"/>
        </w:rPr>
        <w:t xml:space="preserve">Questionnaires are a quick way of obtaining information about participant’s opinions and views about the lesson and will therefore be more accessible to participants in this case as time is scare. </w:t>
      </w:r>
    </w:p>
    <w:p w:rsidR="00B325E3" w:rsidRDefault="00B325E3" w:rsidP="000C0496">
      <w:pPr>
        <w:ind w:left="-426" w:right="-477"/>
        <w:rPr>
          <w:sz w:val="28"/>
          <w:szCs w:val="28"/>
        </w:rPr>
      </w:pPr>
    </w:p>
    <w:p w:rsidR="00B325E3" w:rsidRDefault="00B325E3" w:rsidP="000C0496">
      <w:pPr>
        <w:ind w:left="-426" w:right="-477"/>
        <w:rPr>
          <w:sz w:val="28"/>
          <w:szCs w:val="28"/>
        </w:rPr>
      </w:pPr>
      <w:proofErr w:type="spellStart"/>
      <w:r>
        <w:rPr>
          <w:sz w:val="28"/>
          <w:szCs w:val="28"/>
        </w:rPr>
        <w:t>Eckerdal</w:t>
      </w:r>
      <w:proofErr w:type="spellEnd"/>
      <w:r>
        <w:rPr>
          <w:sz w:val="28"/>
          <w:szCs w:val="28"/>
        </w:rPr>
        <w:t xml:space="preserve"> and </w:t>
      </w:r>
      <w:proofErr w:type="spellStart"/>
      <w:r>
        <w:rPr>
          <w:sz w:val="28"/>
          <w:szCs w:val="28"/>
        </w:rPr>
        <w:t>Hagstrom</w:t>
      </w:r>
      <w:proofErr w:type="spellEnd"/>
      <w:r>
        <w:rPr>
          <w:sz w:val="28"/>
          <w:szCs w:val="28"/>
        </w:rPr>
        <w:t xml:space="preserve"> (2016) state the importance of ensuring the questions within a questionnaire are self-explanatory and the participant is able to deduce what is asked of them. Questionnaires require careful thought and process to ensure that the respondent is able to formulate, transmit and articulate their answers soundly (Stone, 1993). Stone (1993) states that in order for responses to be valid they should be coded and analysed avoiding bias or misrepresentation of the respondents views and opinions. The importance of questions being unbiased is vital in gaining quality data, questions should be neutral and not lead the respondent to answer the question in a certain way (Stone, 1993). Although Stone’s (1993) </w:t>
      </w:r>
      <w:r>
        <w:rPr>
          <w:sz w:val="28"/>
          <w:szCs w:val="28"/>
        </w:rPr>
        <w:lastRenderedPageBreak/>
        <w:t xml:space="preserve">paper on how to design a questionnaire is over 30 years old, the content remains relevant to the modern era. Stone has written several papers on research within the medical field, however his thoughts on questionnaires can be modified for education purposes too. </w:t>
      </w:r>
    </w:p>
    <w:p w:rsidR="00B325E3" w:rsidRDefault="00B325E3" w:rsidP="000C0496">
      <w:pPr>
        <w:ind w:left="-426" w:right="-477"/>
        <w:rPr>
          <w:sz w:val="28"/>
          <w:szCs w:val="28"/>
        </w:rPr>
      </w:pPr>
    </w:p>
    <w:p w:rsidR="00B325E3" w:rsidRDefault="00B325E3" w:rsidP="000C0496">
      <w:pPr>
        <w:ind w:left="-426" w:right="-477"/>
        <w:rPr>
          <w:sz w:val="28"/>
          <w:szCs w:val="28"/>
        </w:rPr>
      </w:pPr>
      <w:r>
        <w:rPr>
          <w:sz w:val="28"/>
          <w:szCs w:val="28"/>
        </w:rPr>
        <w:t xml:space="preserve">Questionnaires are chosen because they can be a quick and easy way to obtain data from the participants. A Likert scale will be used to track the participants views and opinions. The scale, when asking participants about their experience, will be from 0 (being low) and 5 (being high). The scale will be labelled so participants cannot interpret the scale differently to one another (Singh, 2017). Not giving the option of a middle score is purposeful so as to encourage the participants to think about whether they felt more or less strongly about the question. The length of the Likert scale can influence the participant’s process where they map their view onto the scale, one may interpret the scale differently to another causing a skew in the data (Krosnick and Presser, 2010). </w:t>
      </w:r>
    </w:p>
    <w:p w:rsidR="00B325E3" w:rsidRDefault="00B325E3" w:rsidP="000C0496">
      <w:pPr>
        <w:ind w:left="-426" w:right="-477"/>
        <w:rPr>
          <w:sz w:val="28"/>
          <w:szCs w:val="28"/>
        </w:rPr>
      </w:pPr>
    </w:p>
    <w:p w:rsidR="00B325E3" w:rsidRDefault="00B325E3" w:rsidP="000C0496">
      <w:pPr>
        <w:ind w:left="-426" w:right="-477"/>
        <w:rPr>
          <w:sz w:val="28"/>
          <w:szCs w:val="28"/>
        </w:rPr>
      </w:pPr>
      <w:r>
        <w:rPr>
          <w:sz w:val="28"/>
          <w:szCs w:val="28"/>
        </w:rPr>
        <w:t>The questionnaires will require participant’s names and this could cause some negative impact on the data. Participants may feel they cannot answer questions honestly so as to not affect their relationship between themselves and the teacher/researcher. They may feel answering negatively could impact on their outcome as a student, this is also known as social desirability bias (</w:t>
      </w:r>
      <w:proofErr w:type="spellStart"/>
      <w:r>
        <w:rPr>
          <w:sz w:val="28"/>
          <w:szCs w:val="28"/>
        </w:rPr>
        <w:t>Kreitchmann</w:t>
      </w:r>
      <w:proofErr w:type="spellEnd"/>
      <w:r>
        <w:rPr>
          <w:sz w:val="28"/>
          <w:szCs w:val="28"/>
        </w:rPr>
        <w:t xml:space="preserve">, et al., 2019). Names are required in this specific research so the location of the participants in the class is known when interpreting the data. </w:t>
      </w:r>
    </w:p>
    <w:p w:rsidR="007A652B" w:rsidRDefault="007A652B" w:rsidP="000C0496">
      <w:pPr>
        <w:ind w:left="-426" w:right="-477"/>
        <w:rPr>
          <w:sz w:val="28"/>
          <w:szCs w:val="28"/>
        </w:rPr>
      </w:pPr>
    </w:p>
    <w:p w:rsidR="007A652B" w:rsidRDefault="007A652B" w:rsidP="000C0496">
      <w:pPr>
        <w:ind w:left="-426" w:right="-477"/>
        <w:rPr>
          <w:b/>
          <w:bCs/>
          <w:sz w:val="28"/>
          <w:szCs w:val="28"/>
        </w:rPr>
      </w:pPr>
      <w:r w:rsidRPr="007A652B">
        <w:rPr>
          <w:b/>
          <w:bCs/>
          <w:sz w:val="28"/>
          <w:szCs w:val="28"/>
        </w:rPr>
        <w:t>Observations</w:t>
      </w:r>
    </w:p>
    <w:p w:rsidR="007A652B" w:rsidRDefault="007A652B" w:rsidP="000C0496">
      <w:pPr>
        <w:ind w:left="-426" w:right="-477"/>
        <w:rPr>
          <w:b/>
          <w:bCs/>
          <w:sz w:val="28"/>
          <w:szCs w:val="28"/>
        </w:rPr>
      </w:pPr>
    </w:p>
    <w:p w:rsidR="007A652B" w:rsidRDefault="007A652B" w:rsidP="000C0496">
      <w:pPr>
        <w:ind w:left="-426" w:right="-477"/>
        <w:rPr>
          <w:sz w:val="28"/>
          <w:szCs w:val="28"/>
        </w:rPr>
      </w:pPr>
      <w:r>
        <w:rPr>
          <w:sz w:val="28"/>
          <w:szCs w:val="28"/>
        </w:rPr>
        <w:t>Observing activity within a classroom is a fantastic way to gain insight into how they respond to a lesson in a non-verbal way (West Sussex County Council, 2015). After comprising an observation schedule, observations of the participants will take place within the class. One of the limitations of observations of the class as a research method lie in the inability of the teacher to have full attention on the participants at all time. This is confirmed by Baker (2006) who says that observations can be a complex way to gain data in research as it is necessary for the researcher to take on multiple roles. In the case of this research, the teacher will have the role of teaching the class while also being the observer. This is known as being a ‘participant observer’.</w:t>
      </w:r>
    </w:p>
    <w:p w:rsidR="007A652B" w:rsidRDefault="007A652B" w:rsidP="000C0496">
      <w:pPr>
        <w:ind w:left="-426" w:right="-477"/>
        <w:rPr>
          <w:sz w:val="28"/>
          <w:szCs w:val="28"/>
        </w:rPr>
      </w:pPr>
    </w:p>
    <w:p w:rsidR="007A652B" w:rsidRDefault="007A652B" w:rsidP="000C0496">
      <w:pPr>
        <w:ind w:left="-426" w:right="-477"/>
        <w:rPr>
          <w:sz w:val="28"/>
          <w:szCs w:val="28"/>
        </w:rPr>
      </w:pPr>
      <w:r>
        <w:rPr>
          <w:sz w:val="28"/>
          <w:szCs w:val="28"/>
        </w:rPr>
        <w:t>Observing the participants will take place via an observation schedule. The observation schedule has been developed with the objective of seeing how the pupils interact with the lesson throughout the hour. Using the Leuven scale to track the participants throughout the lesson and ticking when each of the section of the observation schedule is seen. This will mitigate the problem of having two roles as an observer and teacher. It decreases the time needed to be making continuous notes as the lesson progresses, maintaining detached yet involved at the same time (Baker, 2006). If participants know they are being observed, it must be considered that they may change their behaviour to appear more engaged than normal. This again links back to social desirability (</w:t>
      </w:r>
      <w:proofErr w:type="spellStart"/>
      <w:r>
        <w:rPr>
          <w:sz w:val="28"/>
          <w:szCs w:val="28"/>
        </w:rPr>
        <w:t>Kreitchmann</w:t>
      </w:r>
      <w:proofErr w:type="spellEnd"/>
      <w:r>
        <w:rPr>
          <w:sz w:val="28"/>
          <w:szCs w:val="28"/>
        </w:rPr>
        <w:t xml:space="preserve">, et al., 2019).When observing, it is also </w:t>
      </w:r>
      <w:r>
        <w:rPr>
          <w:sz w:val="28"/>
          <w:szCs w:val="28"/>
        </w:rPr>
        <w:lastRenderedPageBreak/>
        <w:t xml:space="preserve">vital to highlight that observations of a child’s activity in the classroom could be interpreted differently by another person. </w:t>
      </w:r>
    </w:p>
    <w:p w:rsidR="007A652B" w:rsidRDefault="007A652B" w:rsidP="000C0496">
      <w:pPr>
        <w:ind w:left="-426" w:right="-477"/>
        <w:rPr>
          <w:sz w:val="28"/>
          <w:szCs w:val="28"/>
        </w:rPr>
      </w:pPr>
    </w:p>
    <w:p w:rsidR="007A652B" w:rsidRDefault="007A652B" w:rsidP="000C0496">
      <w:pPr>
        <w:ind w:left="-426" w:right="-477"/>
        <w:rPr>
          <w:sz w:val="28"/>
          <w:szCs w:val="28"/>
        </w:rPr>
      </w:pPr>
      <w:r>
        <w:rPr>
          <w:sz w:val="28"/>
          <w:szCs w:val="28"/>
        </w:rPr>
        <w:t xml:space="preserve">Having already established an informal relationship with the participants gives them a more natural environment in which the research is taking place, this increases the validity of the data being collected (Cohen, et al., 2016). </w:t>
      </w:r>
    </w:p>
    <w:p w:rsidR="007A652B" w:rsidRDefault="007A652B" w:rsidP="000C0496">
      <w:pPr>
        <w:ind w:left="-426" w:right="-477"/>
        <w:rPr>
          <w:sz w:val="28"/>
          <w:szCs w:val="28"/>
        </w:rPr>
      </w:pPr>
    </w:p>
    <w:p w:rsidR="007A652B" w:rsidRDefault="007A652B" w:rsidP="000C0496">
      <w:pPr>
        <w:ind w:left="-426" w:right="-477"/>
        <w:rPr>
          <w:sz w:val="28"/>
          <w:szCs w:val="28"/>
        </w:rPr>
      </w:pPr>
      <w:r>
        <w:rPr>
          <w:sz w:val="28"/>
          <w:szCs w:val="28"/>
        </w:rPr>
        <w:t xml:space="preserve">The choice to use questionnaires and observations is a tactful one. Due to the nature of the class and school where the research is being conducted, time is a limited factor. </w:t>
      </w:r>
    </w:p>
    <w:p w:rsidR="007A652B" w:rsidRDefault="007A652B" w:rsidP="000C0496">
      <w:pPr>
        <w:ind w:left="-426" w:right="-477"/>
        <w:rPr>
          <w:sz w:val="28"/>
          <w:szCs w:val="28"/>
        </w:rPr>
      </w:pPr>
    </w:p>
    <w:p w:rsidR="007A652B" w:rsidRDefault="007A652B" w:rsidP="007A652B">
      <w:pPr>
        <w:ind w:left="-426" w:right="-477"/>
        <w:rPr>
          <w:b/>
          <w:bCs/>
          <w:sz w:val="28"/>
          <w:szCs w:val="28"/>
        </w:rPr>
      </w:pPr>
      <w:r w:rsidRPr="007A652B">
        <w:rPr>
          <w:b/>
          <w:bCs/>
          <w:sz w:val="28"/>
          <w:szCs w:val="28"/>
        </w:rPr>
        <w:t>Data Presentation and Analysis</w:t>
      </w:r>
    </w:p>
    <w:p w:rsidR="007A652B" w:rsidRDefault="007A652B" w:rsidP="007A652B">
      <w:pPr>
        <w:ind w:left="-426" w:right="-477"/>
        <w:rPr>
          <w:b/>
          <w:bCs/>
          <w:sz w:val="28"/>
          <w:szCs w:val="28"/>
        </w:rPr>
      </w:pPr>
    </w:p>
    <w:p w:rsidR="007A652B" w:rsidRDefault="007A652B" w:rsidP="007A652B">
      <w:pPr>
        <w:ind w:left="-426" w:right="-477"/>
        <w:rPr>
          <w:sz w:val="28"/>
          <w:szCs w:val="28"/>
        </w:rPr>
      </w:pPr>
      <w:r w:rsidRPr="008917F0">
        <w:rPr>
          <w:sz w:val="28"/>
          <w:szCs w:val="28"/>
        </w:rPr>
        <w:t xml:space="preserve">The use of questionnaires serve as a quantitative method of collecting data in this instance and will therefore be presented in bar charts. Although observations can be both quantitative and qualitative, the way in which the observations for this research will take place will warrant the collection of quantitative data which will also be presented in a bar chart. </w:t>
      </w:r>
    </w:p>
    <w:p w:rsidR="007A652B" w:rsidRDefault="007A652B" w:rsidP="007A652B">
      <w:pPr>
        <w:ind w:left="-426" w:right="-477"/>
        <w:rPr>
          <w:sz w:val="28"/>
          <w:szCs w:val="28"/>
        </w:rPr>
      </w:pPr>
    </w:p>
    <w:p w:rsidR="007A652B" w:rsidRDefault="007A652B" w:rsidP="007A652B">
      <w:pPr>
        <w:ind w:left="-426" w:right="-477"/>
        <w:rPr>
          <w:sz w:val="28"/>
          <w:szCs w:val="28"/>
        </w:rPr>
      </w:pPr>
      <w:r w:rsidRPr="008917F0">
        <w:rPr>
          <w:sz w:val="28"/>
          <w:szCs w:val="28"/>
        </w:rPr>
        <w:t xml:space="preserve">The data collected for each question of the questionnaire will be presented in a bar chart and compared by groups from the front, middle and back of the classroom. As all questions in the questionnaire are indications of engagement, an average score for each question and the total questionnaire will be taken for the groups: front, (FG) middle (MG) and back (BG). These will be compared to each other to give an overall view of the engagement for each section of the classroom. </w:t>
      </w:r>
    </w:p>
    <w:p w:rsidR="007A652B" w:rsidRDefault="007A652B" w:rsidP="007A652B">
      <w:pPr>
        <w:ind w:left="-426" w:right="-477"/>
        <w:rPr>
          <w:sz w:val="28"/>
          <w:szCs w:val="28"/>
        </w:rPr>
      </w:pPr>
    </w:p>
    <w:p w:rsidR="007A652B" w:rsidRDefault="007A652B" w:rsidP="007A652B">
      <w:pPr>
        <w:ind w:left="-426" w:right="-477"/>
        <w:rPr>
          <w:sz w:val="28"/>
          <w:szCs w:val="28"/>
        </w:rPr>
      </w:pPr>
      <w:r w:rsidRPr="008917F0">
        <w:rPr>
          <w:sz w:val="28"/>
          <w:szCs w:val="28"/>
        </w:rPr>
        <w:t xml:space="preserve">Averages are useful in seeing the overall trends when comparing the data as just comparing individuals may not give a clear result. A descriptive analysis will be used to explain what is happening for each question given in the questionnaire. </w:t>
      </w:r>
    </w:p>
    <w:p w:rsidR="007A652B" w:rsidRDefault="007A652B" w:rsidP="007A652B">
      <w:pPr>
        <w:ind w:left="-426" w:right="-477"/>
        <w:rPr>
          <w:sz w:val="28"/>
          <w:szCs w:val="28"/>
        </w:rPr>
      </w:pPr>
    </w:p>
    <w:p w:rsidR="007949AF" w:rsidRDefault="007A652B" w:rsidP="007949AF">
      <w:pPr>
        <w:ind w:left="-426" w:right="-477"/>
        <w:rPr>
          <w:sz w:val="28"/>
          <w:szCs w:val="28"/>
        </w:rPr>
      </w:pPr>
      <w:r w:rsidRPr="008917F0">
        <w:rPr>
          <w:sz w:val="28"/>
          <w:szCs w:val="28"/>
        </w:rPr>
        <w:t xml:space="preserve">The data collected from observations will also be presented in a bar chart using a scale of 1-5 where 1 is low engagement and 5 is </w:t>
      </w:r>
      <w:r w:rsidRPr="008917F0">
        <w:rPr>
          <w:rFonts w:cstheme="minorHAnsi"/>
          <w:sz w:val="28"/>
          <w:szCs w:val="28"/>
        </w:rPr>
        <w:t xml:space="preserve">sustained intense activity. </w:t>
      </w:r>
    </w:p>
    <w:p w:rsidR="007949AF" w:rsidRDefault="007949AF" w:rsidP="007949AF">
      <w:pPr>
        <w:ind w:left="-426" w:right="-477"/>
        <w:rPr>
          <w:sz w:val="28"/>
          <w:szCs w:val="28"/>
        </w:rPr>
      </w:pPr>
    </w:p>
    <w:p w:rsidR="007949AF" w:rsidRDefault="007949AF" w:rsidP="007949AF">
      <w:pPr>
        <w:ind w:left="-426" w:right="-477"/>
        <w:rPr>
          <w:rFonts w:cstheme="minorHAnsi"/>
          <w:sz w:val="28"/>
          <w:szCs w:val="28"/>
        </w:rPr>
      </w:pPr>
      <w:r w:rsidRPr="008917F0">
        <w:rPr>
          <w:rFonts w:cstheme="minorHAnsi"/>
          <w:sz w:val="28"/>
          <w:szCs w:val="28"/>
        </w:rPr>
        <w:t>Bar charts are a useful tool in comparing results amongst categories and in this case, grouped data (He</w:t>
      </w:r>
      <w:r>
        <w:rPr>
          <w:rFonts w:cstheme="minorHAnsi"/>
          <w:sz w:val="28"/>
          <w:szCs w:val="28"/>
        </w:rPr>
        <w:t>,</w:t>
      </w:r>
      <w:r w:rsidRPr="008917F0">
        <w:rPr>
          <w:rFonts w:cstheme="minorHAnsi"/>
          <w:sz w:val="28"/>
          <w:szCs w:val="28"/>
        </w:rPr>
        <w:t xml:space="preserve"> et al</w:t>
      </w:r>
      <w:r>
        <w:rPr>
          <w:rFonts w:cstheme="minorHAnsi"/>
          <w:sz w:val="28"/>
          <w:szCs w:val="28"/>
        </w:rPr>
        <w:t>.</w:t>
      </w:r>
      <w:r w:rsidRPr="008917F0">
        <w:rPr>
          <w:rFonts w:cstheme="minorHAnsi"/>
          <w:sz w:val="28"/>
          <w:szCs w:val="28"/>
        </w:rPr>
        <w:t>, 2018). To ensure credible data, the questions in the questionnaire will be proof read so as to confirm no questions are leading questions (</w:t>
      </w:r>
      <w:proofErr w:type="spellStart"/>
      <w:r w:rsidRPr="008917F0">
        <w:rPr>
          <w:rFonts w:cstheme="minorHAnsi"/>
          <w:sz w:val="28"/>
          <w:szCs w:val="28"/>
        </w:rPr>
        <w:t>Forero</w:t>
      </w:r>
      <w:proofErr w:type="spellEnd"/>
      <w:r>
        <w:rPr>
          <w:rFonts w:cstheme="minorHAnsi"/>
          <w:sz w:val="28"/>
          <w:szCs w:val="28"/>
        </w:rPr>
        <w:t>,</w:t>
      </w:r>
      <w:r w:rsidRPr="008917F0">
        <w:rPr>
          <w:rFonts w:cstheme="minorHAnsi"/>
          <w:sz w:val="28"/>
          <w:szCs w:val="28"/>
        </w:rPr>
        <w:t xml:space="preserve"> et al</w:t>
      </w:r>
      <w:r>
        <w:rPr>
          <w:rFonts w:cstheme="minorHAnsi"/>
          <w:sz w:val="28"/>
          <w:szCs w:val="28"/>
        </w:rPr>
        <w:t>.</w:t>
      </w:r>
      <w:r w:rsidRPr="008917F0">
        <w:rPr>
          <w:rFonts w:cstheme="minorHAnsi"/>
          <w:sz w:val="28"/>
          <w:szCs w:val="28"/>
        </w:rPr>
        <w:t xml:space="preserve">, 2018). </w:t>
      </w:r>
    </w:p>
    <w:p w:rsidR="007949AF" w:rsidRDefault="007949AF" w:rsidP="007949AF">
      <w:pPr>
        <w:ind w:left="-426" w:right="-477"/>
        <w:rPr>
          <w:rFonts w:cstheme="minorHAnsi"/>
          <w:sz w:val="28"/>
          <w:szCs w:val="28"/>
        </w:rPr>
      </w:pPr>
    </w:p>
    <w:p w:rsidR="007949AF" w:rsidRDefault="007949AF" w:rsidP="007949AF">
      <w:pPr>
        <w:ind w:left="-426" w:right="-477"/>
        <w:rPr>
          <w:rFonts w:cstheme="minorHAnsi"/>
          <w:b/>
          <w:bCs/>
          <w:sz w:val="28"/>
          <w:szCs w:val="28"/>
        </w:rPr>
      </w:pPr>
      <w:r w:rsidRPr="007949AF">
        <w:rPr>
          <w:rFonts w:cstheme="minorHAnsi"/>
          <w:b/>
          <w:bCs/>
          <w:sz w:val="28"/>
          <w:szCs w:val="28"/>
        </w:rPr>
        <w:t>Ethi</w:t>
      </w:r>
      <w:r>
        <w:rPr>
          <w:rFonts w:cstheme="minorHAnsi"/>
          <w:b/>
          <w:bCs/>
          <w:sz w:val="28"/>
          <w:szCs w:val="28"/>
        </w:rPr>
        <w:t xml:space="preserve">cal </w:t>
      </w:r>
      <w:r w:rsidRPr="007949AF">
        <w:rPr>
          <w:rFonts w:cstheme="minorHAnsi"/>
          <w:b/>
          <w:bCs/>
          <w:sz w:val="28"/>
          <w:szCs w:val="28"/>
        </w:rPr>
        <w:t>Considerations</w:t>
      </w:r>
    </w:p>
    <w:p w:rsidR="007949AF" w:rsidRDefault="007949AF" w:rsidP="007949AF">
      <w:pPr>
        <w:ind w:left="-426" w:right="-477"/>
        <w:rPr>
          <w:rFonts w:cstheme="minorHAnsi"/>
          <w:b/>
          <w:bCs/>
          <w:sz w:val="28"/>
          <w:szCs w:val="28"/>
        </w:rPr>
      </w:pPr>
    </w:p>
    <w:p w:rsidR="007949AF" w:rsidRDefault="007949AF" w:rsidP="007949AF">
      <w:pPr>
        <w:ind w:left="-426" w:right="-477"/>
        <w:rPr>
          <w:sz w:val="28"/>
          <w:szCs w:val="28"/>
        </w:rPr>
      </w:pPr>
      <w:r w:rsidRPr="008917F0">
        <w:rPr>
          <w:sz w:val="28"/>
          <w:szCs w:val="28"/>
        </w:rPr>
        <w:t>It is important to consider the ethics of any research that is taking place</w:t>
      </w:r>
      <w:r>
        <w:rPr>
          <w:sz w:val="28"/>
          <w:szCs w:val="28"/>
        </w:rPr>
        <w:t xml:space="preserve"> (see appendix D)</w:t>
      </w:r>
      <w:r w:rsidRPr="008917F0">
        <w:rPr>
          <w:sz w:val="28"/>
          <w:szCs w:val="28"/>
        </w:rPr>
        <w:t>. During the research and writing the report</w:t>
      </w:r>
      <w:r>
        <w:rPr>
          <w:sz w:val="28"/>
          <w:szCs w:val="28"/>
        </w:rPr>
        <w:t>,</w:t>
      </w:r>
      <w:r w:rsidRPr="008917F0">
        <w:rPr>
          <w:sz w:val="28"/>
          <w:szCs w:val="28"/>
        </w:rPr>
        <w:t xml:space="preserve"> all notes, aside from requesting names on the questionnaires, will be anonymised at the source in line with BERA ethical guidelines (2018). This includes any participant’s names, the school’s names and anything else that could identify a participant or the school where the research is taking place. </w:t>
      </w:r>
    </w:p>
    <w:p w:rsidR="007949AF" w:rsidRDefault="007949AF" w:rsidP="007949AF">
      <w:pPr>
        <w:ind w:left="-426" w:right="-477"/>
        <w:rPr>
          <w:sz w:val="28"/>
          <w:szCs w:val="28"/>
        </w:rPr>
      </w:pPr>
    </w:p>
    <w:p w:rsidR="007949AF" w:rsidRDefault="007949AF" w:rsidP="007949AF">
      <w:pPr>
        <w:ind w:left="-426" w:right="-477"/>
        <w:rPr>
          <w:sz w:val="28"/>
          <w:szCs w:val="28"/>
        </w:rPr>
      </w:pPr>
      <w:r w:rsidRPr="008917F0">
        <w:rPr>
          <w:sz w:val="28"/>
          <w:szCs w:val="28"/>
        </w:rPr>
        <w:lastRenderedPageBreak/>
        <w:t>In order to gain pupil assent, parents will be contacted via an online form which details the information about the research and a form which they are to fill out if they are happy for their children to participate</w:t>
      </w:r>
      <w:r>
        <w:rPr>
          <w:sz w:val="28"/>
          <w:szCs w:val="28"/>
        </w:rPr>
        <w:t xml:space="preserve">. </w:t>
      </w:r>
      <w:r w:rsidRPr="008917F0">
        <w:rPr>
          <w:sz w:val="28"/>
          <w:szCs w:val="28"/>
        </w:rPr>
        <w:t xml:space="preserve">Once this is complete, pupils </w:t>
      </w:r>
      <w:r>
        <w:rPr>
          <w:sz w:val="28"/>
          <w:szCs w:val="28"/>
        </w:rPr>
        <w:t>will be</w:t>
      </w:r>
      <w:r w:rsidRPr="008917F0">
        <w:rPr>
          <w:sz w:val="28"/>
          <w:szCs w:val="28"/>
        </w:rPr>
        <w:t xml:space="preserve"> given an information sheet with simplified language to ensure they understand the nature of the research and requires them to sign if they are happy to participate. At the end of the online questionnaire, assent is required again via a tick box to signal that they are still happy to be involved in the research. Participants and parents </w:t>
      </w:r>
      <w:r>
        <w:rPr>
          <w:sz w:val="28"/>
          <w:szCs w:val="28"/>
        </w:rPr>
        <w:t>will be</w:t>
      </w:r>
      <w:r w:rsidRPr="008917F0">
        <w:rPr>
          <w:sz w:val="28"/>
          <w:szCs w:val="28"/>
        </w:rPr>
        <w:t xml:space="preserve"> aware of their rights to withdraw at any time without reason or repercussions.</w:t>
      </w:r>
    </w:p>
    <w:p w:rsidR="007949AF" w:rsidRDefault="007949AF" w:rsidP="007949AF">
      <w:pPr>
        <w:ind w:left="-426" w:right="-477"/>
        <w:rPr>
          <w:sz w:val="28"/>
          <w:szCs w:val="28"/>
        </w:rPr>
      </w:pPr>
    </w:p>
    <w:p w:rsidR="007949AF" w:rsidRDefault="007949AF" w:rsidP="007949AF">
      <w:pPr>
        <w:ind w:left="-426" w:right="-477"/>
        <w:rPr>
          <w:sz w:val="28"/>
          <w:szCs w:val="28"/>
        </w:rPr>
      </w:pPr>
      <w:r w:rsidRPr="008917F0">
        <w:rPr>
          <w:sz w:val="28"/>
          <w:szCs w:val="28"/>
        </w:rPr>
        <w:t>Questionnaires will not be</w:t>
      </w:r>
      <w:r>
        <w:rPr>
          <w:sz w:val="28"/>
          <w:szCs w:val="28"/>
        </w:rPr>
        <w:t xml:space="preserve"> anonymous because</w:t>
      </w:r>
      <w:r w:rsidRPr="008917F0">
        <w:rPr>
          <w:sz w:val="28"/>
          <w:szCs w:val="28"/>
        </w:rPr>
        <w:t xml:space="preserve"> in order to analyse results and data, the location of each participant in the room needs to be known. Observation schedule however will be anonymised at the source. </w:t>
      </w:r>
    </w:p>
    <w:p w:rsidR="007949AF" w:rsidRDefault="007949AF" w:rsidP="007949AF">
      <w:pPr>
        <w:ind w:left="-426" w:right="-477"/>
        <w:rPr>
          <w:sz w:val="28"/>
          <w:szCs w:val="28"/>
        </w:rPr>
      </w:pPr>
    </w:p>
    <w:p w:rsidR="007949AF" w:rsidRDefault="007949AF" w:rsidP="007949AF">
      <w:pPr>
        <w:ind w:left="-426" w:right="-477"/>
        <w:rPr>
          <w:sz w:val="28"/>
          <w:szCs w:val="28"/>
        </w:rPr>
      </w:pPr>
      <w:r w:rsidRPr="008917F0">
        <w:rPr>
          <w:sz w:val="28"/>
          <w:szCs w:val="28"/>
        </w:rPr>
        <w:t>Details of the potential risks to participants have been outlined in an ethics form</w:t>
      </w:r>
      <w:r>
        <w:rPr>
          <w:sz w:val="28"/>
          <w:szCs w:val="28"/>
        </w:rPr>
        <w:t xml:space="preserve"> (see appendix D)</w:t>
      </w:r>
      <w:r w:rsidRPr="008917F0">
        <w:rPr>
          <w:sz w:val="28"/>
          <w:szCs w:val="28"/>
        </w:rPr>
        <w:t>. Section H of the ethics form outlines the risks and the steps to be taken to ensure that any risk is mitigated. Safeguarding regulations and child protection policy will be followed throughout the research and will always take precedent</w:t>
      </w:r>
      <w:r>
        <w:rPr>
          <w:sz w:val="28"/>
          <w:szCs w:val="28"/>
        </w:rPr>
        <w:t xml:space="preserve"> over any research being conducted</w:t>
      </w:r>
      <w:r w:rsidRPr="008917F0">
        <w:rPr>
          <w:sz w:val="28"/>
          <w:szCs w:val="28"/>
        </w:rPr>
        <w:t>.</w:t>
      </w:r>
    </w:p>
    <w:p w:rsidR="007949AF" w:rsidRDefault="007949AF" w:rsidP="007949AF">
      <w:pPr>
        <w:ind w:left="-426" w:right="-477"/>
        <w:rPr>
          <w:sz w:val="28"/>
          <w:szCs w:val="28"/>
        </w:rPr>
      </w:pPr>
    </w:p>
    <w:p w:rsidR="007949AF" w:rsidRDefault="007949AF" w:rsidP="007949AF">
      <w:pPr>
        <w:ind w:left="-426" w:right="-477"/>
        <w:rPr>
          <w:sz w:val="28"/>
          <w:szCs w:val="28"/>
        </w:rPr>
      </w:pPr>
      <w:r w:rsidRPr="008917F0">
        <w:rPr>
          <w:b/>
          <w:bCs/>
          <w:sz w:val="32"/>
          <w:szCs w:val="32"/>
        </w:rPr>
        <w:t xml:space="preserve">Results and analysis </w:t>
      </w:r>
    </w:p>
    <w:p w:rsidR="007949AF" w:rsidRDefault="007949AF" w:rsidP="007949AF">
      <w:pPr>
        <w:ind w:left="-426" w:right="-477"/>
        <w:rPr>
          <w:sz w:val="28"/>
          <w:szCs w:val="28"/>
        </w:rPr>
      </w:pPr>
    </w:p>
    <w:p w:rsidR="007949AF" w:rsidRDefault="007949AF" w:rsidP="007949AF">
      <w:pPr>
        <w:ind w:left="-426" w:right="-477"/>
        <w:rPr>
          <w:sz w:val="28"/>
          <w:szCs w:val="28"/>
        </w:rPr>
      </w:pPr>
      <w:r w:rsidRPr="008917F0">
        <w:rPr>
          <w:sz w:val="28"/>
          <w:szCs w:val="28"/>
        </w:rPr>
        <w:t xml:space="preserve">Child A, B and C make up the participants at the back of the classroom which will be referred to as ‘BG’ in this section of the report. Child D and E make up the middle group, referred to as ‘MG’ in this section. Child F, G and H make up the group at the front of the classroom referred to as ‘FG’ in this section. </w:t>
      </w:r>
    </w:p>
    <w:p w:rsidR="007949AF" w:rsidRDefault="007949AF" w:rsidP="007949AF">
      <w:pPr>
        <w:ind w:left="-426" w:right="-477"/>
        <w:rPr>
          <w:sz w:val="28"/>
          <w:szCs w:val="28"/>
        </w:rPr>
      </w:pPr>
    </w:p>
    <w:p w:rsidR="007949AF" w:rsidRPr="008917F0" w:rsidRDefault="007949AF" w:rsidP="007949AF">
      <w:pPr>
        <w:ind w:left="-426" w:right="-477"/>
        <w:rPr>
          <w:sz w:val="28"/>
          <w:szCs w:val="28"/>
        </w:rPr>
      </w:pPr>
      <w:r w:rsidRPr="008917F0">
        <w:rPr>
          <w:sz w:val="28"/>
          <w:szCs w:val="28"/>
        </w:rPr>
        <w:t xml:space="preserve">Chart 1: </w:t>
      </w:r>
    </w:p>
    <w:p w:rsidR="007949AF" w:rsidRDefault="007949AF" w:rsidP="007949AF">
      <w:pPr>
        <w:rPr>
          <w:sz w:val="28"/>
          <w:szCs w:val="28"/>
        </w:rPr>
      </w:pPr>
      <w:r w:rsidRPr="008917F0">
        <w:rPr>
          <w:noProof/>
          <w:sz w:val="16"/>
          <w:szCs w:val="16"/>
        </w:rPr>
        <w:drawing>
          <wp:inline distT="0" distB="0" distL="0" distR="0" wp14:anchorId="4C842A62" wp14:editId="055AC8F9">
            <wp:extent cx="2341245" cy="2159635"/>
            <wp:effectExtent l="0" t="0" r="8255" b="12065"/>
            <wp:docPr id="1" name="Chart 1" title="Chart">
              <a:extLst xmlns:a="http://schemas.openxmlformats.org/drawingml/2006/main">
                <a:ext uri="{FF2B5EF4-FFF2-40B4-BE49-F238E27FC236}">
                  <a16:creationId xmlns:a16="http://schemas.microsoft.com/office/drawing/2014/main" id="{00000000-0008-0000-0000-00000200000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6"/>
              </a:graphicData>
            </a:graphic>
          </wp:inline>
        </w:drawing>
      </w:r>
    </w:p>
    <w:p w:rsidR="00C1053A" w:rsidRPr="00C1053A" w:rsidRDefault="007949AF" w:rsidP="007949AF">
      <w:pPr>
        <w:rPr>
          <w:b/>
          <w:bCs/>
          <w:sz w:val="32"/>
          <w:szCs w:val="32"/>
        </w:rPr>
      </w:pPr>
      <w:r w:rsidRPr="008917F0">
        <w:rPr>
          <w:sz w:val="28"/>
          <w:szCs w:val="28"/>
        </w:rPr>
        <w:t xml:space="preserve">Participants in group BG asked an average of 4.33 (2dp) questions in the lesson. Participants in MG asked an average of 3 questions during the lesson. Participants in FG asked an average of 2 questions during the lesson. According to literature by </w:t>
      </w:r>
      <w:proofErr w:type="spellStart"/>
      <w:r w:rsidRPr="008917F0">
        <w:rPr>
          <w:sz w:val="28"/>
          <w:szCs w:val="28"/>
        </w:rPr>
        <w:t>Wasendorf</w:t>
      </w:r>
      <w:proofErr w:type="spellEnd"/>
      <w:r>
        <w:rPr>
          <w:sz w:val="28"/>
          <w:szCs w:val="28"/>
        </w:rPr>
        <w:t>,</w:t>
      </w:r>
      <w:r w:rsidRPr="008917F0">
        <w:rPr>
          <w:sz w:val="28"/>
          <w:szCs w:val="28"/>
        </w:rPr>
        <w:t xml:space="preserve"> et al</w:t>
      </w:r>
      <w:r>
        <w:rPr>
          <w:sz w:val="28"/>
          <w:szCs w:val="28"/>
        </w:rPr>
        <w:t>.,</w:t>
      </w:r>
      <w:r w:rsidRPr="008917F0">
        <w:rPr>
          <w:sz w:val="28"/>
          <w:szCs w:val="28"/>
        </w:rPr>
        <w:t xml:space="preserve"> (2023) FG group should have been the most dominant group in asking questions. However, the data shows in chart 1 that in fact they asked the least amount of questions and in actual fact it was group BG that asked double the amount of questions that FG asked.</w:t>
      </w:r>
    </w:p>
    <w:p w:rsidR="007949AF" w:rsidRPr="008917F0" w:rsidRDefault="007949AF" w:rsidP="007949AF">
      <w:pPr>
        <w:rPr>
          <w:sz w:val="28"/>
          <w:szCs w:val="28"/>
        </w:rPr>
      </w:pPr>
      <w:r w:rsidRPr="008917F0">
        <w:rPr>
          <w:sz w:val="28"/>
          <w:szCs w:val="28"/>
        </w:rPr>
        <w:lastRenderedPageBreak/>
        <w:t xml:space="preserve">Chart 2: </w:t>
      </w:r>
    </w:p>
    <w:p w:rsidR="007949AF" w:rsidRPr="008917F0" w:rsidRDefault="007949AF" w:rsidP="007949AF">
      <w:pPr>
        <w:rPr>
          <w:sz w:val="28"/>
          <w:szCs w:val="28"/>
        </w:rPr>
      </w:pPr>
      <w:r w:rsidRPr="008917F0">
        <w:rPr>
          <w:noProof/>
          <w:sz w:val="16"/>
          <w:szCs w:val="16"/>
        </w:rPr>
        <w:drawing>
          <wp:inline distT="0" distB="0" distL="0" distR="0" wp14:anchorId="06DCA3FF" wp14:editId="598C0F34">
            <wp:extent cx="2341266" cy="2159635"/>
            <wp:effectExtent l="0" t="0" r="8255" b="12065"/>
            <wp:docPr id="2" name="Chart 2" title="Chart">
              <a:extLst xmlns:a="http://schemas.openxmlformats.org/drawingml/2006/main">
                <a:ext uri="{FF2B5EF4-FFF2-40B4-BE49-F238E27FC236}">
                  <a16:creationId xmlns:a16="http://schemas.microsoft.com/office/drawing/2014/main" id="{00000000-0008-0000-0000-00000300000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7"/>
              </a:graphicData>
            </a:graphic>
          </wp:inline>
        </w:drawing>
      </w:r>
    </w:p>
    <w:p w:rsidR="007949AF" w:rsidRPr="008917F0" w:rsidRDefault="007949AF" w:rsidP="007949AF">
      <w:pPr>
        <w:rPr>
          <w:sz w:val="28"/>
          <w:szCs w:val="28"/>
        </w:rPr>
      </w:pPr>
      <w:r w:rsidRPr="008917F0">
        <w:rPr>
          <w:sz w:val="28"/>
          <w:szCs w:val="28"/>
        </w:rPr>
        <w:t xml:space="preserve">Participants in BG scored an average of 4 when asked how motivated they felt. Participants in MG scored 4.5 when asked the same question. Participants in FG scored an average of 3 when asked how motivated they felt. The participants in the middle of the room were more motivated than those at the front. </w:t>
      </w:r>
    </w:p>
    <w:p w:rsidR="007949AF" w:rsidRPr="008917F0" w:rsidRDefault="007949AF" w:rsidP="007949AF">
      <w:pPr>
        <w:rPr>
          <w:sz w:val="28"/>
          <w:szCs w:val="28"/>
        </w:rPr>
      </w:pPr>
    </w:p>
    <w:p w:rsidR="007949AF" w:rsidRPr="008917F0" w:rsidRDefault="007949AF" w:rsidP="007949AF">
      <w:pPr>
        <w:rPr>
          <w:sz w:val="28"/>
          <w:szCs w:val="28"/>
        </w:rPr>
      </w:pPr>
      <w:r w:rsidRPr="008917F0">
        <w:rPr>
          <w:sz w:val="28"/>
          <w:szCs w:val="28"/>
        </w:rPr>
        <w:t xml:space="preserve">Chart 3: </w:t>
      </w:r>
    </w:p>
    <w:p w:rsidR="007949AF" w:rsidRPr="008917F0" w:rsidRDefault="007949AF" w:rsidP="007949AF">
      <w:pPr>
        <w:rPr>
          <w:b/>
          <w:bCs/>
          <w:sz w:val="32"/>
          <w:szCs w:val="32"/>
        </w:rPr>
      </w:pPr>
      <w:r w:rsidRPr="008917F0">
        <w:rPr>
          <w:noProof/>
          <w:sz w:val="16"/>
          <w:szCs w:val="16"/>
        </w:rPr>
        <w:drawing>
          <wp:inline distT="0" distB="0" distL="0" distR="0" wp14:anchorId="6D30261D" wp14:editId="6B3319C6">
            <wp:extent cx="2341245" cy="2159635"/>
            <wp:effectExtent l="0" t="0" r="8255" b="12065"/>
            <wp:docPr id="3" name="Chart 3" title="Chart">
              <a:extLst xmlns:a="http://schemas.openxmlformats.org/drawingml/2006/main">
                <a:ext uri="{FF2B5EF4-FFF2-40B4-BE49-F238E27FC236}">
                  <a16:creationId xmlns:a16="http://schemas.microsoft.com/office/drawing/2014/main" id="{00000000-0008-0000-0000-00000400000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rsidR="007949AF" w:rsidRPr="008917F0" w:rsidRDefault="00C1053A" w:rsidP="007949AF">
      <w:pPr>
        <w:rPr>
          <w:sz w:val="28"/>
          <w:szCs w:val="28"/>
        </w:rPr>
      </w:pPr>
      <w:r>
        <w:rPr>
          <w:sz w:val="28"/>
          <w:szCs w:val="28"/>
        </w:rPr>
        <w:t>P</w:t>
      </w:r>
      <w:r w:rsidR="007949AF" w:rsidRPr="008917F0">
        <w:rPr>
          <w:sz w:val="28"/>
          <w:szCs w:val="28"/>
        </w:rPr>
        <w:t xml:space="preserve">articipants in BG scored an average of 4 when asked about their understanding of the topic. Participants in MG scored an average of 5 when asked the same question. Finally, participants in FG scored an average of 4 when asked about their understanding. </w:t>
      </w:r>
    </w:p>
    <w:p w:rsidR="007949AF" w:rsidRPr="008917F0" w:rsidRDefault="007949AF" w:rsidP="007949AF">
      <w:pPr>
        <w:rPr>
          <w:sz w:val="28"/>
          <w:szCs w:val="28"/>
        </w:rPr>
      </w:pPr>
    </w:p>
    <w:p w:rsidR="007949AF" w:rsidRPr="008917F0" w:rsidRDefault="007949AF" w:rsidP="007949AF">
      <w:pPr>
        <w:rPr>
          <w:sz w:val="28"/>
          <w:szCs w:val="28"/>
        </w:rPr>
      </w:pPr>
      <w:r w:rsidRPr="008917F0">
        <w:rPr>
          <w:sz w:val="28"/>
          <w:szCs w:val="28"/>
        </w:rPr>
        <w:t xml:space="preserve">Chart 4: </w:t>
      </w:r>
    </w:p>
    <w:p w:rsidR="00C1053A" w:rsidRDefault="007949AF" w:rsidP="007949AF">
      <w:pPr>
        <w:rPr>
          <w:sz w:val="28"/>
          <w:szCs w:val="28"/>
        </w:rPr>
      </w:pPr>
      <w:r w:rsidRPr="008917F0">
        <w:rPr>
          <w:noProof/>
          <w:sz w:val="16"/>
          <w:szCs w:val="16"/>
        </w:rPr>
        <w:drawing>
          <wp:inline distT="0" distB="0" distL="0" distR="0" wp14:anchorId="2270A8DB" wp14:editId="570AB100">
            <wp:extent cx="2341245" cy="2159635"/>
            <wp:effectExtent l="0" t="0" r="8255" b="12065"/>
            <wp:docPr id="4" name="Chart 4" title="Chart">
              <a:extLst xmlns:a="http://schemas.openxmlformats.org/drawingml/2006/main">
                <a:ext uri="{FF2B5EF4-FFF2-40B4-BE49-F238E27FC236}">
                  <a16:creationId xmlns:a16="http://schemas.microsoft.com/office/drawing/2014/main" id="{00000000-0008-0000-0000-00000500000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rsidR="007949AF" w:rsidRPr="008917F0" w:rsidRDefault="007949AF" w:rsidP="007949AF">
      <w:pPr>
        <w:rPr>
          <w:sz w:val="28"/>
          <w:szCs w:val="28"/>
        </w:rPr>
      </w:pPr>
      <w:r w:rsidRPr="008917F0">
        <w:rPr>
          <w:sz w:val="28"/>
          <w:szCs w:val="28"/>
        </w:rPr>
        <w:lastRenderedPageBreak/>
        <w:t>Participants in BG scored an average of 4.33 (2dp) when asked about listening to instructions. Participants in MG scored an average of 4 when asked about listening to instructions. Participants in FG scored an average of 5 when asked the same question.</w:t>
      </w:r>
    </w:p>
    <w:p w:rsidR="007949AF" w:rsidRPr="008917F0" w:rsidRDefault="007949AF" w:rsidP="007949AF">
      <w:pPr>
        <w:rPr>
          <w:sz w:val="28"/>
          <w:szCs w:val="28"/>
        </w:rPr>
      </w:pPr>
    </w:p>
    <w:p w:rsidR="007949AF" w:rsidRPr="008917F0" w:rsidRDefault="007949AF" w:rsidP="007949AF">
      <w:pPr>
        <w:rPr>
          <w:sz w:val="28"/>
          <w:szCs w:val="28"/>
        </w:rPr>
      </w:pPr>
      <w:r w:rsidRPr="008917F0">
        <w:rPr>
          <w:sz w:val="28"/>
          <w:szCs w:val="28"/>
        </w:rPr>
        <w:t xml:space="preserve">Charts 3 and 4 are linked </w:t>
      </w:r>
      <w:r>
        <w:rPr>
          <w:sz w:val="28"/>
          <w:szCs w:val="28"/>
        </w:rPr>
        <w:t>as</w:t>
      </w:r>
      <w:r w:rsidRPr="008917F0">
        <w:rPr>
          <w:sz w:val="28"/>
          <w:szCs w:val="28"/>
        </w:rPr>
        <w:t xml:space="preserve"> </w:t>
      </w:r>
      <w:r>
        <w:rPr>
          <w:sz w:val="28"/>
          <w:szCs w:val="28"/>
        </w:rPr>
        <w:t>both</w:t>
      </w:r>
      <w:r w:rsidRPr="008917F0">
        <w:rPr>
          <w:sz w:val="28"/>
          <w:szCs w:val="28"/>
        </w:rPr>
        <w:t xml:space="preserve"> questions are related to listening. The data shows the participants in the front and middle were more successful in understanding content and listening to instructions. This backs up </w:t>
      </w:r>
      <w:proofErr w:type="spellStart"/>
      <w:r w:rsidRPr="008917F0">
        <w:rPr>
          <w:sz w:val="28"/>
          <w:szCs w:val="28"/>
        </w:rPr>
        <w:t>Wasendorf</w:t>
      </w:r>
      <w:proofErr w:type="spellEnd"/>
      <w:r>
        <w:rPr>
          <w:sz w:val="28"/>
          <w:szCs w:val="28"/>
        </w:rPr>
        <w:t>,</w:t>
      </w:r>
      <w:r w:rsidRPr="008917F0">
        <w:rPr>
          <w:sz w:val="28"/>
          <w:szCs w:val="28"/>
        </w:rPr>
        <w:t xml:space="preserve"> et </w:t>
      </w:r>
      <w:proofErr w:type="spellStart"/>
      <w:r w:rsidRPr="008917F0">
        <w:rPr>
          <w:sz w:val="28"/>
          <w:szCs w:val="28"/>
        </w:rPr>
        <w:t>al’s</w:t>
      </w:r>
      <w:proofErr w:type="spellEnd"/>
      <w:r>
        <w:rPr>
          <w:sz w:val="28"/>
          <w:szCs w:val="28"/>
        </w:rPr>
        <w:t>.,</w:t>
      </w:r>
      <w:r w:rsidRPr="008917F0">
        <w:rPr>
          <w:sz w:val="28"/>
          <w:szCs w:val="28"/>
        </w:rPr>
        <w:t xml:space="preserve"> (2023) paper which says those at the front can see and hear the teacher more clearly. </w:t>
      </w:r>
    </w:p>
    <w:p w:rsidR="007949AF" w:rsidRPr="008917F0" w:rsidRDefault="007949AF" w:rsidP="007949AF">
      <w:pPr>
        <w:rPr>
          <w:sz w:val="28"/>
          <w:szCs w:val="28"/>
        </w:rPr>
      </w:pPr>
    </w:p>
    <w:p w:rsidR="007949AF" w:rsidRPr="008917F0" w:rsidRDefault="007949AF" w:rsidP="007949AF">
      <w:pPr>
        <w:rPr>
          <w:sz w:val="28"/>
          <w:szCs w:val="28"/>
        </w:rPr>
      </w:pPr>
      <w:r w:rsidRPr="008917F0">
        <w:rPr>
          <w:sz w:val="28"/>
          <w:szCs w:val="28"/>
        </w:rPr>
        <w:t xml:space="preserve">Chart 5: </w:t>
      </w:r>
    </w:p>
    <w:p w:rsidR="007949AF" w:rsidRPr="008917F0" w:rsidRDefault="007949AF" w:rsidP="007949AF">
      <w:pPr>
        <w:rPr>
          <w:b/>
          <w:bCs/>
          <w:sz w:val="32"/>
          <w:szCs w:val="32"/>
        </w:rPr>
      </w:pPr>
      <w:r w:rsidRPr="008917F0">
        <w:rPr>
          <w:noProof/>
          <w:sz w:val="16"/>
          <w:szCs w:val="16"/>
        </w:rPr>
        <w:drawing>
          <wp:inline distT="0" distB="0" distL="0" distR="0" wp14:anchorId="503525DD" wp14:editId="21FA7976">
            <wp:extent cx="2341245" cy="2159635"/>
            <wp:effectExtent l="0" t="0" r="8255" b="12065"/>
            <wp:docPr id="5" name="Chart 5" title="Chart">
              <a:extLst xmlns:a="http://schemas.openxmlformats.org/drawingml/2006/main">
                <a:ext uri="{FF2B5EF4-FFF2-40B4-BE49-F238E27FC236}">
                  <a16:creationId xmlns:a16="http://schemas.microsoft.com/office/drawing/2014/main" id="{00000000-0008-0000-0000-00000600000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rsidR="007949AF" w:rsidRDefault="007949AF" w:rsidP="007949AF">
      <w:pPr>
        <w:rPr>
          <w:sz w:val="28"/>
          <w:szCs w:val="28"/>
        </w:rPr>
      </w:pPr>
      <w:r w:rsidRPr="008917F0">
        <w:rPr>
          <w:sz w:val="28"/>
          <w:szCs w:val="28"/>
        </w:rPr>
        <w:t xml:space="preserve">Participants in BG of the class answered an average of 7.33 (2dp) questions in the task. Participants in MG answered an average of 7.5 questions in the task. Participants in FG answered an average of 8.67 (2dp) questions in the task. </w:t>
      </w:r>
    </w:p>
    <w:p w:rsidR="007949AF" w:rsidRPr="008917F0" w:rsidRDefault="007949AF" w:rsidP="007949AF">
      <w:pPr>
        <w:rPr>
          <w:sz w:val="28"/>
          <w:szCs w:val="28"/>
        </w:rPr>
      </w:pPr>
    </w:p>
    <w:p w:rsidR="007949AF" w:rsidRPr="008917F0" w:rsidRDefault="007949AF" w:rsidP="007949AF">
      <w:pPr>
        <w:rPr>
          <w:sz w:val="28"/>
          <w:szCs w:val="28"/>
        </w:rPr>
      </w:pPr>
      <w:r w:rsidRPr="008917F0">
        <w:rPr>
          <w:sz w:val="28"/>
          <w:szCs w:val="28"/>
        </w:rPr>
        <w:t xml:space="preserve">Chart 6: </w:t>
      </w:r>
    </w:p>
    <w:p w:rsidR="007949AF" w:rsidRPr="008917F0" w:rsidRDefault="007949AF" w:rsidP="007949AF">
      <w:pPr>
        <w:rPr>
          <w:noProof/>
          <w:sz w:val="16"/>
          <w:szCs w:val="16"/>
        </w:rPr>
      </w:pPr>
      <w:r w:rsidRPr="008917F0">
        <w:rPr>
          <w:noProof/>
          <w:sz w:val="16"/>
          <w:szCs w:val="16"/>
        </w:rPr>
        <w:drawing>
          <wp:inline distT="0" distB="0" distL="0" distR="0" wp14:anchorId="2112661B" wp14:editId="59E3E32A">
            <wp:extent cx="2341245" cy="2159635"/>
            <wp:effectExtent l="0" t="0" r="8255" b="12065"/>
            <wp:docPr id="6" name="Chart 6" title="Chart">
              <a:extLst xmlns:a="http://schemas.openxmlformats.org/drawingml/2006/main">
                <a:ext uri="{FF2B5EF4-FFF2-40B4-BE49-F238E27FC236}">
                  <a16:creationId xmlns:a16="http://schemas.microsoft.com/office/drawing/2014/main" id="{00000000-0008-0000-0000-00000700000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rsidR="007949AF" w:rsidRPr="008917F0" w:rsidRDefault="007949AF" w:rsidP="007949AF">
      <w:pPr>
        <w:rPr>
          <w:sz w:val="28"/>
          <w:szCs w:val="28"/>
        </w:rPr>
      </w:pPr>
      <w:r w:rsidRPr="008917F0">
        <w:rPr>
          <w:sz w:val="28"/>
          <w:szCs w:val="28"/>
        </w:rPr>
        <w:t>Participants in BG of the class got, on average, 7 questions right in the task. Participants in MG also got, on average, 7 questions right in the task. However, participants in FG got 8 questions right on average.</w:t>
      </w:r>
    </w:p>
    <w:p w:rsidR="007949AF" w:rsidRPr="008917F0" w:rsidRDefault="007949AF" w:rsidP="007949AF">
      <w:pPr>
        <w:rPr>
          <w:sz w:val="28"/>
          <w:szCs w:val="28"/>
        </w:rPr>
      </w:pPr>
    </w:p>
    <w:p w:rsidR="007949AF" w:rsidRPr="008917F0" w:rsidRDefault="007949AF" w:rsidP="007949AF">
      <w:pPr>
        <w:rPr>
          <w:sz w:val="28"/>
          <w:szCs w:val="28"/>
        </w:rPr>
      </w:pPr>
      <w:r w:rsidRPr="008917F0">
        <w:rPr>
          <w:sz w:val="28"/>
          <w:szCs w:val="28"/>
        </w:rPr>
        <w:t xml:space="preserve">Charts 5 and 6 are linked in the respect that they are both about engagement with a task. The data shows that group FG answered a higher amount of questions and also had a higher amount of correct questions. This confirms what </w:t>
      </w:r>
      <w:proofErr w:type="spellStart"/>
      <w:r w:rsidRPr="008917F0">
        <w:rPr>
          <w:sz w:val="28"/>
          <w:szCs w:val="28"/>
        </w:rPr>
        <w:t>Wassendorf</w:t>
      </w:r>
      <w:proofErr w:type="spellEnd"/>
      <w:r w:rsidRPr="008917F0">
        <w:rPr>
          <w:sz w:val="28"/>
          <w:szCs w:val="28"/>
        </w:rPr>
        <w:t xml:space="preserve"> et al (2023) says, that participants in group FG will outperform their peers in MG or BG. </w:t>
      </w:r>
    </w:p>
    <w:p w:rsidR="007949AF" w:rsidRPr="008917F0" w:rsidRDefault="007949AF" w:rsidP="007949AF">
      <w:pPr>
        <w:rPr>
          <w:sz w:val="28"/>
          <w:szCs w:val="28"/>
        </w:rPr>
      </w:pPr>
      <w:r w:rsidRPr="008917F0">
        <w:rPr>
          <w:sz w:val="28"/>
          <w:szCs w:val="28"/>
        </w:rPr>
        <w:lastRenderedPageBreak/>
        <w:t xml:space="preserve">Chart 7: </w:t>
      </w:r>
    </w:p>
    <w:p w:rsidR="007949AF" w:rsidRPr="008917F0" w:rsidRDefault="007949AF" w:rsidP="007949AF">
      <w:pPr>
        <w:rPr>
          <w:sz w:val="28"/>
          <w:szCs w:val="28"/>
        </w:rPr>
      </w:pPr>
      <w:r w:rsidRPr="008917F0">
        <w:rPr>
          <w:noProof/>
          <w:sz w:val="16"/>
          <w:szCs w:val="16"/>
        </w:rPr>
        <w:drawing>
          <wp:inline distT="0" distB="0" distL="0" distR="0" wp14:anchorId="168E956E" wp14:editId="77076843">
            <wp:extent cx="2341245" cy="2159635"/>
            <wp:effectExtent l="0" t="0" r="8255" b="12065"/>
            <wp:docPr id="7" name="Chart 7" title="Chart">
              <a:extLst xmlns:a="http://schemas.openxmlformats.org/drawingml/2006/main">
                <a:ext uri="{FF2B5EF4-FFF2-40B4-BE49-F238E27FC236}">
                  <a16:creationId xmlns:a16="http://schemas.microsoft.com/office/drawing/2014/main" id="{00000000-0008-0000-0000-00000800000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rsidR="007949AF" w:rsidRPr="008917F0" w:rsidRDefault="007949AF" w:rsidP="007949AF">
      <w:pPr>
        <w:rPr>
          <w:sz w:val="28"/>
          <w:szCs w:val="28"/>
        </w:rPr>
      </w:pPr>
      <w:r w:rsidRPr="008917F0">
        <w:rPr>
          <w:sz w:val="28"/>
          <w:szCs w:val="28"/>
        </w:rPr>
        <w:t xml:space="preserve">The enjoyment levels of participants in BG was on average 4.67 (2dp). Participants in MG averaged at 4.5 in enjoyment. Participants in FG averaged at 3.67 (2dp) in enjoyment of the lesson. </w:t>
      </w:r>
    </w:p>
    <w:p w:rsidR="007949AF" w:rsidRPr="008917F0" w:rsidRDefault="007949AF" w:rsidP="007949AF">
      <w:pPr>
        <w:rPr>
          <w:sz w:val="28"/>
          <w:szCs w:val="28"/>
        </w:rPr>
      </w:pPr>
    </w:p>
    <w:p w:rsidR="007949AF" w:rsidRPr="008917F0" w:rsidRDefault="007949AF" w:rsidP="007949AF">
      <w:pPr>
        <w:rPr>
          <w:sz w:val="28"/>
          <w:szCs w:val="28"/>
        </w:rPr>
      </w:pPr>
      <w:r w:rsidRPr="008917F0">
        <w:rPr>
          <w:sz w:val="28"/>
          <w:szCs w:val="28"/>
        </w:rPr>
        <w:t xml:space="preserve">Chart 8: </w:t>
      </w:r>
    </w:p>
    <w:p w:rsidR="007949AF" w:rsidRPr="008917F0" w:rsidRDefault="007949AF" w:rsidP="007949AF">
      <w:pPr>
        <w:rPr>
          <w:sz w:val="28"/>
          <w:szCs w:val="28"/>
        </w:rPr>
      </w:pPr>
      <w:r w:rsidRPr="008917F0">
        <w:rPr>
          <w:noProof/>
          <w:sz w:val="16"/>
          <w:szCs w:val="16"/>
        </w:rPr>
        <w:drawing>
          <wp:inline distT="0" distB="0" distL="0" distR="0" wp14:anchorId="7237C13B" wp14:editId="5FFCEE0A">
            <wp:extent cx="2341245" cy="2159635"/>
            <wp:effectExtent l="0" t="0" r="8255" b="12065"/>
            <wp:docPr id="8" name="Chart 8" title="Chart">
              <a:extLst xmlns:a="http://schemas.openxmlformats.org/drawingml/2006/main">
                <a:ext uri="{FF2B5EF4-FFF2-40B4-BE49-F238E27FC236}">
                  <a16:creationId xmlns:a16="http://schemas.microsoft.com/office/drawing/2014/main" id="{00000000-0008-0000-0000-00000900000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rsidR="007949AF" w:rsidRPr="008917F0" w:rsidRDefault="007949AF" w:rsidP="007949AF">
      <w:pPr>
        <w:rPr>
          <w:sz w:val="28"/>
          <w:szCs w:val="28"/>
        </w:rPr>
      </w:pPr>
      <w:r w:rsidRPr="008917F0">
        <w:rPr>
          <w:sz w:val="28"/>
          <w:szCs w:val="28"/>
        </w:rPr>
        <w:t xml:space="preserve">Participants in BG scored an average of 3.67 (2dp) when asked if they understood where nets could be used in a real life context. Participants in MG scored an average of 3 when asked the same question. Participants in FG scored an average of 4. </w:t>
      </w:r>
    </w:p>
    <w:p w:rsidR="007949AF" w:rsidRPr="008917F0" w:rsidRDefault="007949AF" w:rsidP="007949AF">
      <w:pPr>
        <w:rPr>
          <w:sz w:val="28"/>
          <w:szCs w:val="28"/>
        </w:rPr>
      </w:pPr>
    </w:p>
    <w:p w:rsidR="007949AF" w:rsidRPr="008917F0" w:rsidRDefault="007949AF" w:rsidP="007949AF">
      <w:pPr>
        <w:rPr>
          <w:sz w:val="28"/>
          <w:szCs w:val="28"/>
        </w:rPr>
      </w:pPr>
      <w:r w:rsidRPr="008917F0">
        <w:rPr>
          <w:sz w:val="28"/>
          <w:szCs w:val="28"/>
        </w:rPr>
        <w:t xml:space="preserve">Chart 9: </w:t>
      </w:r>
    </w:p>
    <w:p w:rsidR="00C1053A" w:rsidRPr="008917F0" w:rsidRDefault="007949AF" w:rsidP="007949AF">
      <w:pPr>
        <w:rPr>
          <w:sz w:val="28"/>
          <w:szCs w:val="28"/>
        </w:rPr>
      </w:pPr>
      <w:r w:rsidRPr="008917F0">
        <w:rPr>
          <w:noProof/>
          <w:sz w:val="16"/>
          <w:szCs w:val="16"/>
        </w:rPr>
        <w:drawing>
          <wp:inline distT="0" distB="0" distL="0" distR="0" wp14:anchorId="0544EE59" wp14:editId="40787159">
            <wp:extent cx="2880000" cy="2160000"/>
            <wp:effectExtent l="0" t="0" r="15875" b="12065"/>
            <wp:docPr id="9" name="Chart 9" title="Chart">
              <a:extLst xmlns:a="http://schemas.openxmlformats.org/drawingml/2006/main">
                <a:ext uri="{FF2B5EF4-FFF2-40B4-BE49-F238E27FC236}">
                  <a16:creationId xmlns:a16="http://schemas.microsoft.com/office/drawing/2014/main" id="{00000000-0008-0000-0000-00000A00000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bookmarkStart w:id="0" w:name="_GoBack"/>
      <w:bookmarkEnd w:id="0"/>
    </w:p>
    <w:p w:rsidR="007949AF" w:rsidRPr="008917F0" w:rsidRDefault="007949AF" w:rsidP="007949AF">
      <w:pPr>
        <w:rPr>
          <w:sz w:val="28"/>
          <w:szCs w:val="28"/>
        </w:rPr>
      </w:pPr>
      <w:r w:rsidRPr="008917F0">
        <w:rPr>
          <w:sz w:val="28"/>
          <w:szCs w:val="28"/>
        </w:rPr>
        <w:lastRenderedPageBreak/>
        <w:t xml:space="preserve">Participants in BG scored an average of 4.33 (2dp) when asked how hard they worked in the lesson. Participants in MG scored an average of 4 when asked the same question. Participants in FG scored an average of 3.33 (2dp). </w:t>
      </w:r>
    </w:p>
    <w:p w:rsidR="007949AF" w:rsidRPr="008917F0" w:rsidRDefault="007949AF" w:rsidP="007949AF">
      <w:pPr>
        <w:rPr>
          <w:sz w:val="28"/>
          <w:szCs w:val="28"/>
        </w:rPr>
      </w:pPr>
    </w:p>
    <w:p w:rsidR="007949AF" w:rsidRPr="008917F0" w:rsidRDefault="007949AF" w:rsidP="007949AF">
      <w:pPr>
        <w:rPr>
          <w:sz w:val="28"/>
          <w:szCs w:val="28"/>
        </w:rPr>
      </w:pPr>
      <w:r w:rsidRPr="008917F0">
        <w:rPr>
          <w:sz w:val="28"/>
          <w:szCs w:val="28"/>
        </w:rPr>
        <w:t xml:space="preserve">Chart 10: </w:t>
      </w:r>
    </w:p>
    <w:p w:rsidR="007949AF" w:rsidRPr="008917F0" w:rsidRDefault="007949AF" w:rsidP="007949AF">
      <w:pPr>
        <w:rPr>
          <w:sz w:val="28"/>
          <w:szCs w:val="28"/>
        </w:rPr>
      </w:pPr>
      <w:r w:rsidRPr="008917F0">
        <w:rPr>
          <w:noProof/>
          <w:sz w:val="16"/>
          <w:szCs w:val="16"/>
        </w:rPr>
        <w:drawing>
          <wp:inline distT="0" distB="0" distL="0" distR="0" wp14:anchorId="67A132D4" wp14:editId="2E27E481">
            <wp:extent cx="2880000" cy="2160000"/>
            <wp:effectExtent l="0" t="0" r="15875" b="12065"/>
            <wp:docPr id="10" name="Chart 10" title="Chart">
              <a:extLst xmlns:a="http://schemas.openxmlformats.org/drawingml/2006/main">
                <a:ext uri="{FF2B5EF4-FFF2-40B4-BE49-F238E27FC236}">
                  <a16:creationId xmlns:a16="http://schemas.microsoft.com/office/drawing/2014/main" id="{00000000-0008-0000-0000-00000B00000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p>
    <w:p w:rsidR="007949AF" w:rsidRPr="008917F0" w:rsidRDefault="007949AF" w:rsidP="007949AF">
      <w:pPr>
        <w:rPr>
          <w:sz w:val="28"/>
          <w:szCs w:val="28"/>
        </w:rPr>
      </w:pPr>
      <w:r w:rsidRPr="008917F0">
        <w:rPr>
          <w:sz w:val="28"/>
          <w:szCs w:val="28"/>
        </w:rPr>
        <w:t xml:space="preserve">Participants in BG scored an average of 4 when asked how interesting they found the lesson. Participants in MG scored an average of 3.5 when asked how interesting they found the lesson. Participants in FG scored an average of 3.67 (2dp) when asked the same question. </w:t>
      </w:r>
    </w:p>
    <w:p w:rsidR="007949AF" w:rsidRPr="008917F0" w:rsidRDefault="007949AF" w:rsidP="007949AF">
      <w:pPr>
        <w:rPr>
          <w:sz w:val="28"/>
          <w:szCs w:val="28"/>
        </w:rPr>
      </w:pPr>
    </w:p>
    <w:p w:rsidR="007949AF" w:rsidRPr="008917F0" w:rsidRDefault="007949AF" w:rsidP="007949AF">
      <w:pPr>
        <w:rPr>
          <w:sz w:val="28"/>
          <w:szCs w:val="28"/>
        </w:rPr>
      </w:pPr>
      <w:r w:rsidRPr="008917F0">
        <w:rPr>
          <w:sz w:val="28"/>
          <w:szCs w:val="28"/>
        </w:rPr>
        <w:t xml:space="preserve">Chart 11: </w:t>
      </w:r>
    </w:p>
    <w:p w:rsidR="007949AF" w:rsidRPr="008917F0" w:rsidRDefault="007949AF" w:rsidP="007949AF">
      <w:pPr>
        <w:rPr>
          <w:sz w:val="28"/>
          <w:szCs w:val="28"/>
        </w:rPr>
      </w:pPr>
      <w:r w:rsidRPr="008917F0">
        <w:rPr>
          <w:noProof/>
          <w:sz w:val="16"/>
          <w:szCs w:val="16"/>
        </w:rPr>
        <w:drawing>
          <wp:inline distT="0" distB="0" distL="0" distR="0" wp14:anchorId="4B75FB82" wp14:editId="083E917B">
            <wp:extent cx="2905125" cy="2159000"/>
            <wp:effectExtent l="0" t="0" r="15875" b="12700"/>
            <wp:docPr id="11" name="Chart 11" title="Chart">
              <a:extLst xmlns:a="http://schemas.openxmlformats.org/drawingml/2006/main">
                <a:ext uri="{FF2B5EF4-FFF2-40B4-BE49-F238E27FC236}">
                  <a16:creationId xmlns:a16="http://schemas.microsoft.com/office/drawing/2014/main" id="{00000000-0008-0000-0000-00000C00000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inline>
        </w:drawing>
      </w:r>
    </w:p>
    <w:p w:rsidR="007949AF" w:rsidRDefault="007949AF" w:rsidP="007949AF">
      <w:pPr>
        <w:rPr>
          <w:sz w:val="28"/>
          <w:szCs w:val="28"/>
        </w:rPr>
      </w:pPr>
      <w:r w:rsidRPr="008917F0">
        <w:rPr>
          <w:sz w:val="28"/>
          <w:szCs w:val="28"/>
        </w:rPr>
        <w:t xml:space="preserve">Participants in BG scored an average of 3.33 (2dp) when asked if they wanted to learn more. Participants in MG scored an average of 3.5 when asked the same question. Finally, participants in FG scored an average of 3.67 (2dp) when asked. </w:t>
      </w:r>
    </w:p>
    <w:p w:rsidR="00C1053A" w:rsidRDefault="00C1053A" w:rsidP="007949AF">
      <w:pPr>
        <w:rPr>
          <w:sz w:val="28"/>
          <w:szCs w:val="28"/>
        </w:rPr>
      </w:pPr>
    </w:p>
    <w:p w:rsidR="00C1053A" w:rsidRDefault="00C1053A" w:rsidP="007949AF">
      <w:pPr>
        <w:rPr>
          <w:sz w:val="28"/>
          <w:szCs w:val="28"/>
        </w:rPr>
      </w:pPr>
    </w:p>
    <w:p w:rsidR="00C1053A" w:rsidRDefault="00C1053A" w:rsidP="007949AF">
      <w:pPr>
        <w:rPr>
          <w:sz w:val="28"/>
          <w:szCs w:val="28"/>
        </w:rPr>
      </w:pPr>
    </w:p>
    <w:p w:rsidR="00C1053A" w:rsidRDefault="00C1053A" w:rsidP="007949AF">
      <w:pPr>
        <w:rPr>
          <w:sz w:val="28"/>
          <w:szCs w:val="28"/>
        </w:rPr>
      </w:pPr>
    </w:p>
    <w:p w:rsidR="00C1053A" w:rsidRDefault="00C1053A" w:rsidP="007949AF">
      <w:pPr>
        <w:rPr>
          <w:sz w:val="28"/>
          <w:szCs w:val="28"/>
        </w:rPr>
      </w:pPr>
    </w:p>
    <w:p w:rsidR="00C1053A" w:rsidRDefault="00C1053A" w:rsidP="007949AF">
      <w:pPr>
        <w:rPr>
          <w:sz w:val="28"/>
          <w:szCs w:val="28"/>
        </w:rPr>
      </w:pPr>
    </w:p>
    <w:p w:rsidR="00C1053A" w:rsidRDefault="00C1053A" w:rsidP="007949AF">
      <w:pPr>
        <w:rPr>
          <w:sz w:val="28"/>
          <w:szCs w:val="28"/>
        </w:rPr>
      </w:pPr>
    </w:p>
    <w:p w:rsidR="00C1053A" w:rsidRDefault="00C1053A" w:rsidP="007949AF">
      <w:pPr>
        <w:rPr>
          <w:sz w:val="28"/>
          <w:szCs w:val="28"/>
        </w:rPr>
      </w:pPr>
    </w:p>
    <w:p w:rsidR="00C1053A" w:rsidRPr="008917F0" w:rsidRDefault="00C1053A" w:rsidP="007949AF">
      <w:pPr>
        <w:rPr>
          <w:sz w:val="28"/>
          <w:szCs w:val="28"/>
        </w:rPr>
      </w:pPr>
    </w:p>
    <w:p w:rsidR="007949AF" w:rsidRPr="008917F0" w:rsidRDefault="007949AF" w:rsidP="007949AF">
      <w:pPr>
        <w:rPr>
          <w:sz w:val="28"/>
          <w:szCs w:val="28"/>
        </w:rPr>
      </w:pPr>
      <w:r w:rsidRPr="008917F0">
        <w:rPr>
          <w:sz w:val="28"/>
          <w:szCs w:val="28"/>
        </w:rPr>
        <w:lastRenderedPageBreak/>
        <w:t xml:space="preserve">Chart 12: </w:t>
      </w:r>
    </w:p>
    <w:p w:rsidR="007949AF" w:rsidRPr="008917F0" w:rsidRDefault="007949AF" w:rsidP="007949AF">
      <w:pPr>
        <w:rPr>
          <w:sz w:val="28"/>
          <w:szCs w:val="28"/>
        </w:rPr>
      </w:pPr>
      <w:r w:rsidRPr="008917F0">
        <w:rPr>
          <w:noProof/>
        </w:rPr>
        <w:drawing>
          <wp:inline distT="0" distB="0" distL="0" distR="0" wp14:anchorId="635FDAB2" wp14:editId="6F55D5A6">
            <wp:extent cx="2905125" cy="2268187"/>
            <wp:effectExtent l="0" t="0" r="15875" b="18415"/>
            <wp:docPr id="16" name="Chart 16">
              <a:extLst xmlns:a="http://schemas.openxmlformats.org/drawingml/2006/main">
                <a:ext uri="{FF2B5EF4-FFF2-40B4-BE49-F238E27FC236}">
                  <a16:creationId xmlns:a16="http://schemas.microsoft.com/office/drawing/2014/main" id="{C313E5D3-EC0F-8247-8666-0487455D01BE}"/>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7"/>
              </a:graphicData>
            </a:graphic>
          </wp:inline>
        </w:drawing>
      </w:r>
    </w:p>
    <w:p w:rsidR="007949AF" w:rsidRPr="008917F0" w:rsidRDefault="007949AF" w:rsidP="007949AF">
      <w:pPr>
        <w:rPr>
          <w:sz w:val="28"/>
          <w:szCs w:val="28"/>
        </w:rPr>
      </w:pPr>
      <w:r w:rsidRPr="008917F0">
        <w:rPr>
          <w:sz w:val="28"/>
          <w:szCs w:val="28"/>
        </w:rPr>
        <w:t xml:space="preserve">Chart 12 shows the observed activity of participants in the lesson. Where 1 is extremely low activity, 2 is low activity, 3 is moderate activity, 4 is high activity and finally 5 is extremely high activity (Emotionally Healthy Schools, 2019). Participants in BG scored an average of 3.33 (2dp). Participants in MG scored an average of 3. Participants in FG scored an average of 3. Observations showed that </w:t>
      </w:r>
      <w:r>
        <w:rPr>
          <w:sz w:val="28"/>
          <w:szCs w:val="28"/>
        </w:rPr>
        <w:t xml:space="preserve">on average, </w:t>
      </w:r>
      <w:r w:rsidRPr="008917F0">
        <w:rPr>
          <w:sz w:val="28"/>
          <w:szCs w:val="28"/>
        </w:rPr>
        <w:t xml:space="preserve">group BG were the most active in the lesson. </w:t>
      </w:r>
    </w:p>
    <w:p w:rsidR="007949AF" w:rsidRPr="008917F0" w:rsidRDefault="007949AF" w:rsidP="007949AF">
      <w:pPr>
        <w:rPr>
          <w:sz w:val="28"/>
          <w:szCs w:val="28"/>
        </w:rPr>
      </w:pPr>
    </w:p>
    <w:p w:rsidR="007949AF" w:rsidRDefault="007949AF" w:rsidP="007949AF">
      <w:pPr>
        <w:rPr>
          <w:sz w:val="28"/>
          <w:szCs w:val="28"/>
        </w:rPr>
      </w:pPr>
      <w:r w:rsidRPr="008917F0">
        <w:rPr>
          <w:sz w:val="28"/>
          <w:szCs w:val="28"/>
        </w:rPr>
        <w:t xml:space="preserve">Taking the average of all the questions answered </w:t>
      </w:r>
      <w:r>
        <w:rPr>
          <w:sz w:val="28"/>
          <w:szCs w:val="28"/>
        </w:rPr>
        <w:t xml:space="preserve">in the questionnaire </w:t>
      </w:r>
      <w:r w:rsidRPr="008917F0">
        <w:rPr>
          <w:sz w:val="28"/>
          <w:szCs w:val="28"/>
        </w:rPr>
        <w:t>by each group BG scored 4.63 (2dp), group MG scored 4.5 and group FG scored 4.45 (2dp). This average shows us the engagement indicator for each group. This interestingly showed that it was actually group BG that were the most engaged in this lesson and group FG were the least engaged.</w:t>
      </w:r>
    </w:p>
    <w:p w:rsidR="007949AF" w:rsidRDefault="007949AF" w:rsidP="007949AF">
      <w:pPr>
        <w:rPr>
          <w:sz w:val="28"/>
          <w:szCs w:val="28"/>
        </w:rPr>
      </w:pPr>
    </w:p>
    <w:p w:rsidR="007949AF" w:rsidRDefault="007949AF" w:rsidP="007949AF">
      <w:pPr>
        <w:rPr>
          <w:b/>
          <w:bCs/>
          <w:sz w:val="28"/>
          <w:szCs w:val="28"/>
        </w:rPr>
      </w:pPr>
      <w:r w:rsidRPr="007949AF">
        <w:rPr>
          <w:b/>
          <w:bCs/>
          <w:sz w:val="28"/>
          <w:szCs w:val="28"/>
        </w:rPr>
        <w:t>Conclusion</w:t>
      </w:r>
    </w:p>
    <w:p w:rsidR="007949AF" w:rsidRDefault="007949AF" w:rsidP="007949AF">
      <w:pPr>
        <w:rPr>
          <w:b/>
          <w:bCs/>
          <w:sz w:val="28"/>
          <w:szCs w:val="28"/>
        </w:rPr>
      </w:pPr>
    </w:p>
    <w:p w:rsidR="007C3062" w:rsidRPr="008917F0" w:rsidRDefault="007C3062" w:rsidP="007C3062">
      <w:pPr>
        <w:rPr>
          <w:sz w:val="28"/>
          <w:szCs w:val="28"/>
        </w:rPr>
      </w:pPr>
      <w:r w:rsidRPr="008917F0">
        <w:rPr>
          <w:sz w:val="28"/>
          <w:szCs w:val="28"/>
        </w:rPr>
        <w:t xml:space="preserve">The small time frame to complete the study will have affected the reliability of results. If this research was repeated with the same class with a bigger sample size, over a longer period of time, the results would probably differ from those presented in this report. Including a more diverse sample would be beneficial too. This study only took into account a top set year 8 class, so results would probably differ if repeated with say a lower ability year 11 class. </w:t>
      </w:r>
    </w:p>
    <w:p w:rsidR="007C3062" w:rsidRPr="008917F0" w:rsidRDefault="007C3062" w:rsidP="007C3062">
      <w:pPr>
        <w:rPr>
          <w:sz w:val="28"/>
          <w:szCs w:val="28"/>
        </w:rPr>
      </w:pPr>
    </w:p>
    <w:p w:rsidR="007C3062" w:rsidRPr="008917F0" w:rsidRDefault="007C3062" w:rsidP="007C3062">
      <w:pPr>
        <w:rPr>
          <w:sz w:val="28"/>
          <w:szCs w:val="28"/>
        </w:rPr>
      </w:pPr>
      <w:r w:rsidRPr="008917F0">
        <w:rPr>
          <w:sz w:val="28"/>
          <w:szCs w:val="28"/>
        </w:rPr>
        <w:t xml:space="preserve">Although steps were taken to ensure data collected was valid, such as proof read questions as part of the steps to building a questionnaire, there is always opportunity for improvement. I would change the scale on the questionnaire to give the option of a midpoint/neutral answer. Although leaving out the midpoint on the scale in the questionnaire was purposeful I feel that it could have been useful for those participants who really were undecided on a question. </w:t>
      </w:r>
    </w:p>
    <w:p w:rsidR="007C3062" w:rsidRPr="008917F0" w:rsidRDefault="007C3062" w:rsidP="007C3062">
      <w:pPr>
        <w:rPr>
          <w:sz w:val="28"/>
          <w:szCs w:val="28"/>
        </w:rPr>
      </w:pPr>
    </w:p>
    <w:p w:rsidR="007C3062" w:rsidRPr="008917F0" w:rsidRDefault="007C3062" w:rsidP="007C3062">
      <w:pPr>
        <w:rPr>
          <w:sz w:val="28"/>
          <w:szCs w:val="28"/>
        </w:rPr>
      </w:pPr>
      <w:r w:rsidRPr="008917F0">
        <w:rPr>
          <w:sz w:val="28"/>
          <w:szCs w:val="28"/>
        </w:rPr>
        <w:t xml:space="preserve">If this research were to be repeated I would have increased the timescale to allow for several seating plans to be observed and questionnaires completed. Mixing up the </w:t>
      </w:r>
      <w:r w:rsidRPr="008917F0">
        <w:rPr>
          <w:sz w:val="28"/>
          <w:szCs w:val="28"/>
        </w:rPr>
        <w:lastRenderedPageBreak/>
        <w:t xml:space="preserve">participants on each occasion to see if any stronger trends presented themselves when those in FG swapped with BG and so on. </w:t>
      </w:r>
    </w:p>
    <w:p w:rsidR="007C3062" w:rsidRPr="008917F0" w:rsidRDefault="007C3062" w:rsidP="007C3062">
      <w:pPr>
        <w:rPr>
          <w:sz w:val="28"/>
          <w:szCs w:val="28"/>
        </w:rPr>
      </w:pPr>
    </w:p>
    <w:p w:rsidR="007C3062" w:rsidRPr="00C1053A" w:rsidRDefault="007C3062" w:rsidP="007C3062">
      <w:pPr>
        <w:rPr>
          <w:b/>
          <w:bCs/>
          <w:sz w:val="28"/>
          <w:szCs w:val="28"/>
        </w:rPr>
      </w:pPr>
      <w:r w:rsidRPr="00C1053A">
        <w:rPr>
          <w:b/>
          <w:bCs/>
          <w:sz w:val="28"/>
          <w:szCs w:val="28"/>
        </w:rPr>
        <w:t>Recommendations</w:t>
      </w:r>
    </w:p>
    <w:p w:rsidR="007C3062" w:rsidRPr="008917F0" w:rsidRDefault="007C3062" w:rsidP="007C3062">
      <w:pPr>
        <w:rPr>
          <w:sz w:val="28"/>
          <w:szCs w:val="28"/>
        </w:rPr>
      </w:pPr>
    </w:p>
    <w:p w:rsidR="007C3062" w:rsidRPr="008917F0" w:rsidRDefault="007C3062" w:rsidP="007C3062">
      <w:pPr>
        <w:rPr>
          <w:sz w:val="28"/>
          <w:szCs w:val="28"/>
        </w:rPr>
      </w:pPr>
      <w:r w:rsidRPr="008917F0">
        <w:rPr>
          <w:sz w:val="28"/>
          <w:szCs w:val="28"/>
        </w:rPr>
        <w:t>The correlation between position in class and engagement is one that deserves further research in order to understand the impact fully.</w:t>
      </w:r>
      <w:r>
        <w:rPr>
          <w:sz w:val="28"/>
          <w:szCs w:val="28"/>
        </w:rPr>
        <w:t xml:space="preserve"> More research could be done in order to reduce the negative effects of positionality in the class. How could a teacher limit the challenges presented by each section of the class to ensure all are engaged? </w:t>
      </w:r>
    </w:p>
    <w:p w:rsidR="007C3062" w:rsidRPr="008917F0" w:rsidRDefault="007C3062" w:rsidP="007C3062">
      <w:pPr>
        <w:rPr>
          <w:sz w:val="28"/>
          <w:szCs w:val="28"/>
        </w:rPr>
      </w:pPr>
    </w:p>
    <w:p w:rsidR="007C3062" w:rsidRPr="008917F0" w:rsidRDefault="007C3062" w:rsidP="007C3062">
      <w:pPr>
        <w:rPr>
          <w:sz w:val="28"/>
          <w:szCs w:val="28"/>
        </w:rPr>
      </w:pPr>
      <w:r w:rsidRPr="008917F0">
        <w:rPr>
          <w:sz w:val="28"/>
          <w:szCs w:val="28"/>
        </w:rPr>
        <w:t>Observing the class was a challenge as even though the research was taking place, full attention wasn’t given to the participants as there were also the other students to consider and support. I would recommend assigning the task of observation to another adult within the class who can give more of their attention to the specified participants and therefore,</w:t>
      </w:r>
      <w:r>
        <w:rPr>
          <w:sz w:val="28"/>
          <w:szCs w:val="28"/>
        </w:rPr>
        <w:t xml:space="preserve"> gain</w:t>
      </w:r>
      <w:r w:rsidRPr="008917F0">
        <w:rPr>
          <w:sz w:val="28"/>
          <w:szCs w:val="28"/>
        </w:rPr>
        <w:t xml:space="preserve"> more accurate results. </w:t>
      </w:r>
    </w:p>
    <w:p w:rsidR="007C3062" w:rsidRPr="008917F0" w:rsidRDefault="007C3062" w:rsidP="007C3062">
      <w:pPr>
        <w:rPr>
          <w:sz w:val="28"/>
          <w:szCs w:val="28"/>
        </w:rPr>
      </w:pPr>
    </w:p>
    <w:p w:rsidR="007C3062" w:rsidRPr="008917F0" w:rsidRDefault="007C3062" w:rsidP="007C3062">
      <w:pPr>
        <w:rPr>
          <w:sz w:val="28"/>
          <w:szCs w:val="28"/>
        </w:rPr>
      </w:pPr>
      <w:r w:rsidRPr="008917F0">
        <w:rPr>
          <w:sz w:val="28"/>
          <w:szCs w:val="28"/>
        </w:rPr>
        <w:t>It would be useful to repeat this research with a larger, more diverse sample group to give a broader sense of how position in class affects engagement. It would also be worthwhile to delve into whether position in class affects academic outcome or self-discipline amongst students as there is also little research done about this.</w:t>
      </w:r>
    </w:p>
    <w:p w:rsidR="007949AF" w:rsidRPr="007949AF" w:rsidRDefault="007949AF" w:rsidP="007949AF">
      <w:pPr>
        <w:rPr>
          <w:sz w:val="28"/>
          <w:szCs w:val="28"/>
        </w:rPr>
      </w:pPr>
    </w:p>
    <w:p w:rsidR="007949AF" w:rsidRPr="008917F0" w:rsidRDefault="007949AF" w:rsidP="007949AF">
      <w:pPr>
        <w:ind w:left="-426" w:right="-477"/>
        <w:rPr>
          <w:sz w:val="28"/>
          <w:szCs w:val="28"/>
        </w:rPr>
      </w:pPr>
    </w:p>
    <w:p w:rsidR="007949AF" w:rsidRDefault="007949AF" w:rsidP="007949AF">
      <w:pPr>
        <w:ind w:left="-426" w:right="-477"/>
        <w:rPr>
          <w:rFonts w:cstheme="minorHAnsi"/>
          <w:b/>
          <w:bCs/>
          <w:sz w:val="28"/>
          <w:szCs w:val="28"/>
        </w:rPr>
      </w:pPr>
    </w:p>
    <w:p w:rsidR="007949AF" w:rsidRDefault="007949AF" w:rsidP="007949AF">
      <w:pPr>
        <w:ind w:left="-426" w:right="-477"/>
        <w:rPr>
          <w:rFonts w:cstheme="minorHAnsi"/>
          <w:b/>
          <w:bCs/>
          <w:sz w:val="28"/>
          <w:szCs w:val="28"/>
        </w:rPr>
      </w:pPr>
    </w:p>
    <w:p w:rsidR="007949AF" w:rsidRPr="007949AF" w:rsidRDefault="007949AF" w:rsidP="007949AF">
      <w:pPr>
        <w:ind w:left="-426" w:right="-477"/>
        <w:rPr>
          <w:b/>
          <w:bCs/>
          <w:sz w:val="28"/>
          <w:szCs w:val="28"/>
        </w:rPr>
      </w:pPr>
    </w:p>
    <w:p w:rsidR="007A652B" w:rsidRPr="008917F0" w:rsidRDefault="007A652B" w:rsidP="007A652B">
      <w:pPr>
        <w:ind w:left="-426" w:right="-477"/>
        <w:rPr>
          <w:sz w:val="28"/>
          <w:szCs w:val="28"/>
        </w:rPr>
      </w:pPr>
    </w:p>
    <w:p w:rsidR="007A652B" w:rsidRPr="007A652B" w:rsidRDefault="007A652B" w:rsidP="007A652B">
      <w:pPr>
        <w:ind w:left="-426" w:right="-477"/>
        <w:rPr>
          <w:b/>
          <w:bCs/>
          <w:sz w:val="28"/>
          <w:szCs w:val="28"/>
        </w:rPr>
      </w:pPr>
    </w:p>
    <w:p w:rsidR="007A652B" w:rsidRDefault="007A652B" w:rsidP="007A652B">
      <w:pPr>
        <w:ind w:right="-477"/>
        <w:rPr>
          <w:b/>
          <w:bCs/>
          <w:sz w:val="28"/>
          <w:szCs w:val="28"/>
        </w:rPr>
      </w:pPr>
    </w:p>
    <w:p w:rsidR="00C1053A" w:rsidRPr="00C1053A" w:rsidRDefault="00C1053A" w:rsidP="00C1053A">
      <w:pPr>
        <w:rPr>
          <w:sz w:val="28"/>
          <w:szCs w:val="28"/>
        </w:rPr>
      </w:pPr>
    </w:p>
    <w:p w:rsidR="00C1053A" w:rsidRPr="00C1053A" w:rsidRDefault="00C1053A" w:rsidP="00C1053A">
      <w:pPr>
        <w:rPr>
          <w:sz w:val="28"/>
          <w:szCs w:val="28"/>
        </w:rPr>
      </w:pPr>
    </w:p>
    <w:p w:rsidR="00C1053A" w:rsidRPr="00C1053A" w:rsidRDefault="00C1053A" w:rsidP="00C1053A">
      <w:pPr>
        <w:rPr>
          <w:sz w:val="28"/>
          <w:szCs w:val="28"/>
        </w:rPr>
      </w:pPr>
    </w:p>
    <w:p w:rsidR="00C1053A" w:rsidRPr="00C1053A" w:rsidRDefault="00C1053A" w:rsidP="00C1053A">
      <w:pPr>
        <w:rPr>
          <w:sz w:val="28"/>
          <w:szCs w:val="28"/>
        </w:rPr>
      </w:pPr>
    </w:p>
    <w:p w:rsidR="00C1053A" w:rsidRPr="00C1053A" w:rsidRDefault="00C1053A" w:rsidP="00C1053A">
      <w:pPr>
        <w:rPr>
          <w:sz w:val="28"/>
          <w:szCs w:val="28"/>
        </w:rPr>
      </w:pPr>
    </w:p>
    <w:p w:rsidR="00C1053A" w:rsidRPr="00C1053A" w:rsidRDefault="00C1053A" w:rsidP="00C1053A">
      <w:pPr>
        <w:rPr>
          <w:sz w:val="28"/>
          <w:szCs w:val="28"/>
        </w:rPr>
      </w:pPr>
    </w:p>
    <w:p w:rsidR="00C1053A" w:rsidRPr="00C1053A" w:rsidRDefault="00C1053A" w:rsidP="00C1053A">
      <w:pPr>
        <w:rPr>
          <w:sz w:val="28"/>
          <w:szCs w:val="28"/>
        </w:rPr>
      </w:pPr>
    </w:p>
    <w:p w:rsidR="00C1053A" w:rsidRPr="00C1053A" w:rsidRDefault="00C1053A" w:rsidP="00C1053A">
      <w:pPr>
        <w:rPr>
          <w:sz w:val="28"/>
          <w:szCs w:val="28"/>
        </w:rPr>
      </w:pPr>
    </w:p>
    <w:p w:rsidR="00C1053A" w:rsidRPr="00C1053A" w:rsidRDefault="00C1053A" w:rsidP="00C1053A">
      <w:pPr>
        <w:rPr>
          <w:sz w:val="28"/>
          <w:szCs w:val="28"/>
        </w:rPr>
      </w:pPr>
    </w:p>
    <w:p w:rsidR="00C1053A" w:rsidRPr="00C1053A" w:rsidRDefault="00C1053A" w:rsidP="00C1053A">
      <w:pPr>
        <w:rPr>
          <w:sz w:val="28"/>
          <w:szCs w:val="28"/>
        </w:rPr>
      </w:pPr>
    </w:p>
    <w:p w:rsidR="00C1053A" w:rsidRPr="00C1053A" w:rsidRDefault="00C1053A" w:rsidP="00C1053A">
      <w:pPr>
        <w:rPr>
          <w:sz w:val="28"/>
          <w:szCs w:val="28"/>
        </w:rPr>
      </w:pPr>
    </w:p>
    <w:p w:rsidR="00C1053A" w:rsidRPr="00C1053A" w:rsidRDefault="00C1053A" w:rsidP="00C1053A">
      <w:pPr>
        <w:rPr>
          <w:sz w:val="28"/>
          <w:szCs w:val="28"/>
        </w:rPr>
      </w:pPr>
    </w:p>
    <w:p w:rsidR="00C1053A" w:rsidRDefault="00C1053A" w:rsidP="00C1053A">
      <w:pPr>
        <w:rPr>
          <w:b/>
          <w:bCs/>
          <w:sz w:val="28"/>
          <w:szCs w:val="28"/>
        </w:rPr>
      </w:pPr>
    </w:p>
    <w:p w:rsidR="00C1053A" w:rsidRDefault="00C1053A" w:rsidP="00C1053A">
      <w:pPr>
        <w:rPr>
          <w:sz w:val="28"/>
          <w:szCs w:val="28"/>
        </w:rPr>
      </w:pPr>
    </w:p>
    <w:p w:rsidR="00C1053A" w:rsidRDefault="00C1053A" w:rsidP="00C1053A">
      <w:pPr>
        <w:rPr>
          <w:sz w:val="28"/>
          <w:szCs w:val="28"/>
        </w:rPr>
      </w:pPr>
    </w:p>
    <w:p w:rsidR="00C1053A" w:rsidRDefault="00C1053A" w:rsidP="00C1053A">
      <w:pPr>
        <w:rPr>
          <w:b/>
          <w:bCs/>
          <w:sz w:val="28"/>
          <w:szCs w:val="28"/>
        </w:rPr>
      </w:pPr>
      <w:r w:rsidRPr="00C1053A">
        <w:rPr>
          <w:b/>
          <w:bCs/>
          <w:sz w:val="28"/>
          <w:szCs w:val="28"/>
        </w:rPr>
        <w:lastRenderedPageBreak/>
        <w:t xml:space="preserve">References </w:t>
      </w:r>
    </w:p>
    <w:p w:rsidR="00C1053A" w:rsidRPr="00C1053A" w:rsidRDefault="00C1053A" w:rsidP="00C1053A">
      <w:pPr>
        <w:rPr>
          <w:b/>
          <w:bCs/>
          <w:sz w:val="28"/>
          <w:szCs w:val="28"/>
        </w:rPr>
      </w:pPr>
    </w:p>
    <w:p w:rsidR="00C1053A" w:rsidRDefault="00C1053A" w:rsidP="00C1053A">
      <w:pPr>
        <w:tabs>
          <w:tab w:val="left" w:pos="2722"/>
        </w:tabs>
        <w:rPr>
          <w:rFonts w:cstheme="minorHAnsi"/>
        </w:rPr>
      </w:pPr>
      <w:r w:rsidRPr="008917F0">
        <w:rPr>
          <w:rFonts w:cstheme="minorHAnsi"/>
        </w:rPr>
        <w:t>Abtahi</w:t>
      </w:r>
      <w:r>
        <w:rPr>
          <w:rFonts w:cstheme="minorHAnsi"/>
        </w:rPr>
        <w:t>,</w:t>
      </w:r>
      <w:r w:rsidRPr="008917F0">
        <w:rPr>
          <w:rFonts w:cstheme="minorHAnsi"/>
        </w:rPr>
        <w:t xml:space="preserve"> Y</w:t>
      </w:r>
      <w:r>
        <w:rPr>
          <w:rFonts w:cstheme="minorHAnsi"/>
        </w:rPr>
        <w:t>.,</w:t>
      </w:r>
      <w:r w:rsidRPr="008917F0">
        <w:rPr>
          <w:rFonts w:cstheme="minorHAnsi"/>
        </w:rPr>
        <w:t xml:space="preserve"> et al. (2017</w:t>
      </w:r>
      <w:r w:rsidRPr="008917F0">
        <w:rPr>
          <w:rFonts w:cstheme="minorHAnsi"/>
          <w:i/>
          <w:iCs/>
        </w:rPr>
        <w:t>) Conceptualising the more knowledgeable other within a multi-directional ZPD. Educational studies in mathematics</w:t>
      </w:r>
      <w:r w:rsidRPr="008917F0">
        <w:rPr>
          <w:rFonts w:cstheme="minorHAnsi"/>
        </w:rPr>
        <w:t xml:space="preserve">, </w:t>
      </w:r>
      <w:r>
        <w:rPr>
          <w:rFonts w:cstheme="minorHAnsi"/>
        </w:rPr>
        <w:t>V</w:t>
      </w:r>
      <w:r w:rsidRPr="008917F0">
        <w:rPr>
          <w:rFonts w:cstheme="minorHAnsi"/>
        </w:rPr>
        <w:t>ol</w:t>
      </w:r>
      <w:r>
        <w:rPr>
          <w:rFonts w:cstheme="minorHAnsi"/>
        </w:rPr>
        <w:t xml:space="preserve">ume </w:t>
      </w:r>
      <w:r w:rsidRPr="008917F0">
        <w:rPr>
          <w:rFonts w:cstheme="minorHAnsi"/>
        </w:rPr>
        <w:t>9</w:t>
      </w:r>
      <w:r>
        <w:rPr>
          <w:rFonts w:cstheme="minorHAnsi"/>
        </w:rPr>
        <w:t xml:space="preserve"> Issue </w:t>
      </w:r>
      <w:r w:rsidRPr="008917F0">
        <w:rPr>
          <w:rFonts w:cstheme="minorHAnsi"/>
        </w:rPr>
        <w:t xml:space="preserve">63, </w:t>
      </w:r>
      <w:r>
        <w:rPr>
          <w:rFonts w:cstheme="minorHAnsi"/>
        </w:rPr>
        <w:t>Page</w:t>
      </w:r>
      <w:r w:rsidRPr="008917F0">
        <w:rPr>
          <w:rFonts w:cstheme="minorHAnsi"/>
        </w:rPr>
        <w:t xml:space="preserve"> 275-287</w:t>
      </w:r>
      <w:r>
        <w:rPr>
          <w:rFonts w:cstheme="minorHAnsi"/>
        </w:rPr>
        <w:t>.</w:t>
      </w:r>
    </w:p>
    <w:p w:rsidR="00C1053A" w:rsidRPr="008917F0" w:rsidRDefault="00C1053A" w:rsidP="00C1053A">
      <w:pPr>
        <w:tabs>
          <w:tab w:val="left" w:pos="2722"/>
        </w:tabs>
        <w:rPr>
          <w:rFonts w:cstheme="minorHAnsi"/>
        </w:rPr>
      </w:pPr>
    </w:p>
    <w:p w:rsidR="00C1053A" w:rsidRDefault="00C1053A" w:rsidP="00C1053A">
      <w:pPr>
        <w:tabs>
          <w:tab w:val="left" w:pos="2722"/>
        </w:tabs>
        <w:rPr>
          <w:rFonts w:cstheme="minorHAnsi"/>
        </w:rPr>
      </w:pPr>
      <w:r w:rsidRPr="008917F0">
        <w:rPr>
          <w:rFonts w:cstheme="minorHAnsi"/>
        </w:rPr>
        <w:t>Baker, L.</w:t>
      </w:r>
      <w:r>
        <w:rPr>
          <w:rFonts w:cstheme="minorHAnsi"/>
        </w:rPr>
        <w:t xml:space="preserve"> </w:t>
      </w:r>
      <w:r w:rsidRPr="008917F0">
        <w:rPr>
          <w:rFonts w:cstheme="minorHAnsi"/>
        </w:rPr>
        <w:t xml:space="preserve">M. (2006) </w:t>
      </w:r>
      <w:r w:rsidRPr="008917F0">
        <w:rPr>
          <w:rFonts w:cstheme="minorHAnsi"/>
          <w:i/>
          <w:iCs/>
        </w:rPr>
        <w:t>Observation: A complex research method</w:t>
      </w:r>
      <w:r>
        <w:rPr>
          <w:rFonts w:cstheme="minorHAnsi"/>
        </w:rPr>
        <w:t>,</w:t>
      </w:r>
      <w:r w:rsidRPr="008917F0">
        <w:rPr>
          <w:rFonts w:cstheme="minorHAnsi"/>
        </w:rPr>
        <w:t xml:space="preserve"> Vol</w:t>
      </w:r>
      <w:r>
        <w:rPr>
          <w:rFonts w:cstheme="minorHAnsi"/>
        </w:rPr>
        <w:t>ume</w:t>
      </w:r>
      <w:r w:rsidRPr="008917F0">
        <w:rPr>
          <w:rFonts w:cstheme="minorHAnsi"/>
        </w:rPr>
        <w:t xml:space="preserve"> 55</w:t>
      </w:r>
      <w:r>
        <w:rPr>
          <w:rFonts w:cstheme="minorHAnsi"/>
        </w:rPr>
        <w:t xml:space="preserve"> Issue </w:t>
      </w:r>
      <w:r w:rsidRPr="008917F0">
        <w:rPr>
          <w:rFonts w:cstheme="minorHAnsi"/>
        </w:rPr>
        <w:t>1.</w:t>
      </w:r>
    </w:p>
    <w:p w:rsidR="00C1053A" w:rsidRPr="008917F0" w:rsidRDefault="00C1053A" w:rsidP="00C1053A">
      <w:pPr>
        <w:tabs>
          <w:tab w:val="left" w:pos="2722"/>
        </w:tabs>
        <w:rPr>
          <w:rFonts w:cstheme="minorHAnsi"/>
        </w:rPr>
      </w:pPr>
    </w:p>
    <w:p w:rsidR="00C1053A" w:rsidRDefault="00C1053A" w:rsidP="00C1053A">
      <w:pPr>
        <w:rPr>
          <w:rFonts w:cstheme="minorHAnsi"/>
          <w:i/>
          <w:iCs/>
        </w:rPr>
      </w:pPr>
      <w:r w:rsidRPr="008917F0">
        <w:rPr>
          <w:rFonts w:cstheme="minorHAnsi"/>
        </w:rPr>
        <w:t>B</w:t>
      </w:r>
      <w:r>
        <w:rPr>
          <w:rFonts w:cstheme="minorHAnsi"/>
        </w:rPr>
        <w:t>ritish Educational Research Association.</w:t>
      </w:r>
      <w:r w:rsidRPr="008917F0">
        <w:rPr>
          <w:rFonts w:cstheme="minorHAnsi"/>
        </w:rPr>
        <w:t xml:space="preserve"> (2018) </w:t>
      </w:r>
      <w:r w:rsidRPr="008917F0">
        <w:rPr>
          <w:rFonts w:cstheme="minorHAnsi"/>
          <w:i/>
          <w:iCs/>
        </w:rPr>
        <w:t xml:space="preserve">Ethical guidelines for educational research. Fourth edition. </w:t>
      </w:r>
    </w:p>
    <w:p w:rsidR="00C1053A" w:rsidRPr="008917F0" w:rsidRDefault="00C1053A" w:rsidP="00C1053A">
      <w:pPr>
        <w:rPr>
          <w:rFonts w:cstheme="minorHAnsi"/>
        </w:rPr>
      </w:pPr>
    </w:p>
    <w:p w:rsidR="00C1053A" w:rsidRDefault="00C1053A" w:rsidP="00C1053A">
      <w:pPr>
        <w:rPr>
          <w:rFonts w:cstheme="minorHAnsi"/>
        </w:rPr>
      </w:pPr>
      <w:proofErr w:type="spellStart"/>
      <w:r w:rsidRPr="008917F0">
        <w:rPr>
          <w:rFonts w:cstheme="minorHAnsi"/>
        </w:rPr>
        <w:t>Buchs</w:t>
      </w:r>
      <w:proofErr w:type="spellEnd"/>
      <w:r w:rsidRPr="008917F0">
        <w:rPr>
          <w:rFonts w:cstheme="minorHAnsi"/>
        </w:rPr>
        <w:t xml:space="preserve">, C., </w:t>
      </w:r>
      <w:r>
        <w:rPr>
          <w:rFonts w:cstheme="minorHAnsi"/>
        </w:rPr>
        <w:t>and</w:t>
      </w:r>
      <w:r w:rsidRPr="008917F0">
        <w:rPr>
          <w:rFonts w:cstheme="minorHAnsi"/>
        </w:rPr>
        <w:t xml:space="preserve"> Butera, F. (2009) </w:t>
      </w:r>
      <w:r w:rsidRPr="008917F0">
        <w:rPr>
          <w:rFonts w:cstheme="minorHAnsi"/>
          <w:i/>
          <w:iCs/>
        </w:rPr>
        <w:t>Is a partner's competence threatening during dyadic cooperative work? it depends on resource interdependence</w:t>
      </w:r>
      <w:r w:rsidRPr="008917F0">
        <w:rPr>
          <w:rFonts w:cstheme="minorHAnsi"/>
        </w:rPr>
        <w:t>. European Journal of Psychology of Education</w:t>
      </w:r>
      <w:r>
        <w:rPr>
          <w:rFonts w:cstheme="minorHAnsi"/>
        </w:rPr>
        <w:t>, Volume</w:t>
      </w:r>
      <w:r w:rsidRPr="008917F0">
        <w:rPr>
          <w:rFonts w:cstheme="minorHAnsi"/>
        </w:rPr>
        <w:t xml:space="preserve"> 24</w:t>
      </w:r>
      <w:r>
        <w:rPr>
          <w:rFonts w:cstheme="minorHAnsi"/>
        </w:rPr>
        <w:t xml:space="preserve"> Issue </w:t>
      </w:r>
      <w:r w:rsidRPr="008917F0">
        <w:rPr>
          <w:rFonts w:cstheme="minorHAnsi"/>
        </w:rPr>
        <w:t xml:space="preserve">2, </w:t>
      </w:r>
      <w:r>
        <w:rPr>
          <w:rFonts w:cstheme="minorHAnsi"/>
        </w:rPr>
        <w:t xml:space="preserve">Page </w:t>
      </w:r>
      <w:r w:rsidRPr="008917F0">
        <w:rPr>
          <w:rFonts w:cstheme="minorHAnsi"/>
        </w:rPr>
        <w:t>145</w:t>
      </w:r>
      <w:r>
        <w:rPr>
          <w:rFonts w:cstheme="minorHAnsi"/>
        </w:rPr>
        <w:t>-</w:t>
      </w:r>
      <w:r w:rsidRPr="008917F0">
        <w:rPr>
          <w:rFonts w:cstheme="minorHAnsi"/>
        </w:rPr>
        <w:t xml:space="preserve">154. </w:t>
      </w:r>
      <w:hyperlink r:id="rId18" w:history="1">
        <w:r w:rsidRPr="008917F0">
          <w:rPr>
            <w:rStyle w:val="Hyperlink"/>
            <w:rFonts w:cstheme="minorHAnsi"/>
          </w:rPr>
          <w:t>http://dx.doi.org/1</w:t>
        </w:r>
        <w:r w:rsidRPr="008917F0">
          <w:rPr>
            <w:rStyle w:val="Hyperlink"/>
            <w:rFonts w:cstheme="minorHAnsi"/>
          </w:rPr>
          <w:t>0</w:t>
        </w:r>
        <w:r w:rsidRPr="008917F0">
          <w:rPr>
            <w:rStyle w:val="Hyperlink"/>
            <w:rFonts w:cstheme="minorHAnsi"/>
          </w:rPr>
          <w:t>.1007/BF03173007</w:t>
        </w:r>
      </w:hyperlink>
      <w:r w:rsidRPr="008917F0">
        <w:rPr>
          <w:rFonts w:cstheme="minorHAnsi"/>
        </w:rPr>
        <w:t>.</w:t>
      </w:r>
    </w:p>
    <w:p w:rsidR="00C1053A" w:rsidRPr="008917F0" w:rsidRDefault="00C1053A" w:rsidP="00C1053A">
      <w:pPr>
        <w:rPr>
          <w:rFonts w:cstheme="minorHAnsi"/>
        </w:rPr>
      </w:pPr>
    </w:p>
    <w:p w:rsidR="00C1053A" w:rsidRDefault="00C1053A" w:rsidP="00C1053A">
      <w:pPr>
        <w:rPr>
          <w:rFonts w:cstheme="minorHAnsi"/>
        </w:rPr>
      </w:pPr>
      <w:r w:rsidRPr="008917F0">
        <w:rPr>
          <w:rFonts w:cstheme="minorHAnsi"/>
        </w:rPr>
        <w:t>Cohen,</w:t>
      </w:r>
      <w:r>
        <w:rPr>
          <w:rFonts w:cstheme="minorHAnsi"/>
        </w:rPr>
        <w:t xml:space="preserve"> L.,</w:t>
      </w:r>
      <w:r w:rsidRPr="008917F0">
        <w:rPr>
          <w:rFonts w:cstheme="minorHAnsi"/>
        </w:rPr>
        <w:t xml:space="preserve"> et al. (2016) </w:t>
      </w:r>
      <w:r w:rsidRPr="008917F0">
        <w:rPr>
          <w:rFonts w:cstheme="minorHAnsi"/>
          <w:i/>
          <w:iCs/>
        </w:rPr>
        <w:t>Research methods in education</w:t>
      </w:r>
      <w:r w:rsidRPr="008917F0">
        <w:rPr>
          <w:rFonts w:cstheme="minorHAnsi"/>
        </w:rPr>
        <w:t>. 6</w:t>
      </w:r>
      <w:r w:rsidRPr="008917F0">
        <w:rPr>
          <w:rFonts w:cstheme="minorHAnsi"/>
          <w:vertAlign w:val="superscript"/>
        </w:rPr>
        <w:t>th</w:t>
      </w:r>
      <w:r w:rsidRPr="008917F0">
        <w:rPr>
          <w:rFonts w:cstheme="minorHAnsi"/>
        </w:rPr>
        <w:t xml:space="preserve"> edition. </w:t>
      </w:r>
    </w:p>
    <w:p w:rsidR="00C1053A" w:rsidRPr="008917F0" w:rsidRDefault="00C1053A" w:rsidP="00C1053A">
      <w:pPr>
        <w:rPr>
          <w:rFonts w:cstheme="minorHAnsi"/>
        </w:rPr>
      </w:pPr>
    </w:p>
    <w:p w:rsidR="00C1053A" w:rsidRDefault="00C1053A" w:rsidP="00C1053A">
      <w:pPr>
        <w:rPr>
          <w:rFonts w:cstheme="minorHAnsi"/>
        </w:rPr>
      </w:pPr>
      <w:r w:rsidRPr="008917F0">
        <w:rPr>
          <w:rFonts w:cstheme="minorHAnsi"/>
        </w:rPr>
        <w:t>Dong, Z.</w:t>
      </w:r>
      <w:r>
        <w:rPr>
          <w:rFonts w:cstheme="minorHAnsi"/>
        </w:rPr>
        <w:t>,</w:t>
      </w:r>
      <w:r w:rsidRPr="008917F0">
        <w:rPr>
          <w:rFonts w:cstheme="minorHAnsi"/>
        </w:rPr>
        <w:t xml:space="preserve"> et al</w:t>
      </w:r>
      <w:r>
        <w:rPr>
          <w:rFonts w:cstheme="minorHAnsi"/>
        </w:rPr>
        <w:t>.</w:t>
      </w:r>
      <w:r w:rsidRPr="008917F0">
        <w:rPr>
          <w:rFonts w:cstheme="minorHAnsi"/>
        </w:rPr>
        <w:t xml:space="preserve"> (2021) </w:t>
      </w:r>
      <w:r w:rsidRPr="008917F0">
        <w:rPr>
          <w:rFonts w:cstheme="minorHAnsi"/>
          <w:i/>
          <w:iCs/>
        </w:rPr>
        <w:t>The influence of teacher-student proximity, teacher feedback, and near-seated peer groups on classroom engagement: An agent-based modelling approach.</w:t>
      </w:r>
      <w:r w:rsidRPr="008917F0">
        <w:rPr>
          <w:rFonts w:cstheme="minorHAnsi"/>
        </w:rPr>
        <w:t xml:space="preserve"> Public library of science</w:t>
      </w:r>
      <w:r>
        <w:rPr>
          <w:rFonts w:cstheme="minorHAnsi"/>
        </w:rPr>
        <w:t>,</w:t>
      </w:r>
      <w:r w:rsidRPr="008917F0">
        <w:rPr>
          <w:rFonts w:cstheme="minorHAnsi"/>
        </w:rPr>
        <w:t xml:space="preserve"> Vol</w:t>
      </w:r>
      <w:r>
        <w:rPr>
          <w:rFonts w:cstheme="minorHAnsi"/>
        </w:rPr>
        <w:t xml:space="preserve">ume </w:t>
      </w:r>
      <w:r w:rsidRPr="008917F0">
        <w:rPr>
          <w:rFonts w:cstheme="minorHAnsi"/>
        </w:rPr>
        <w:t>16</w:t>
      </w:r>
      <w:r>
        <w:rPr>
          <w:rFonts w:cstheme="minorHAnsi"/>
        </w:rPr>
        <w:t xml:space="preserve"> Issue </w:t>
      </w:r>
      <w:r w:rsidRPr="008917F0">
        <w:rPr>
          <w:rFonts w:cstheme="minorHAnsi"/>
        </w:rPr>
        <w:t xml:space="preserve">1. </w:t>
      </w:r>
    </w:p>
    <w:p w:rsidR="00C1053A" w:rsidRPr="008917F0" w:rsidRDefault="00C1053A" w:rsidP="00C1053A">
      <w:pPr>
        <w:rPr>
          <w:rFonts w:cstheme="minorHAnsi"/>
        </w:rPr>
      </w:pPr>
    </w:p>
    <w:p w:rsidR="00C1053A" w:rsidRDefault="00C1053A" w:rsidP="00C1053A">
      <w:pPr>
        <w:rPr>
          <w:rFonts w:cstheme="minorHAnsi"/>
        </w:rPr>
      </w:pPr>
      <w:proofErr w:type="spellStart"/>
      <w:r w:rsidRPr="008917F0">
        <w:rPr>
          <w:rFonts w:cstheme="minorHAnsi"/>
        </w:rPr>
        <w:t>Eckerdal</w:t>
      </w:r>
      <w:proofErr w:type="spellEnd"/>
      <w:r>
        <w:rPr>
          <w:rFonts w:cstheme="minorHAnsi"/>
        </w:rPr>
        <w:t xml:space="preserve">, J. R., </w:t>
      </w:r>
      <w:r w:rsidRPr="008917F0">
        <w:rPr>
          <w:rFonts w:cstheme="minorHAnsi"/>
        </w:rPr>
        <w:t xml:space="preserve">and </w:t>
      </w:r>
      <w:proofErr w:type="spellStart"/>
      <w:r w:rsidRPr="008917F0">
        <w:rPr>
          <w:rFonts w:cstheme="minorHAnsi"/>
        </w:rPr>
        <w:t>Hagstrom</w:t>
      </w:r>
      <w:proofErr w:type="spellEnd"/>
      <w:r>
        <w:rPr>
          <w:rFonts w:cstheme="minorHAnsi"/>
        </w:rPr>
        <w:t>, C.</w:t>
      </w:r>
      <w:r w:rsidRPr="008917F0">
        <w:rPr>
          <w:rFonts w:cstheme="minorHAnsi"/>
        </w:rPr>
        <w:t xml:space="preserve"> (2016) </w:t>
      </w:r>
      <w:r w:rsidRPr="008917F0">
        <w:rPr>
          <w:rFonts w:cstheme="minorHAnsi"/>
          <w:i/>
          <w:iCs/>
        </w:rPr>
        <w:t>Qualitative questionnaires as a method for information studies research</w:t>
      </w:r>
      <w:r w:rsidRPr="008917F0">
        <w:rPr>
          <w:rFonts w:cstheme="minorHAnsi"/>
        </w:rPr>
        <w:t>. The University of Boras, Sweden</w:t>
      </w:r>
      <w:r>
        <w:rPr>
          <w:rFonts w:cstheme="minorHAnsi"/>
        </w:rPr>
        <w:t>,</w:t>
      </w:r>
      <w:r w:rsidRPr="008917F0">
        <w:rPr>
          <w:rFonts w:cstheme="minorHAnsi"/>
        </w:rPr>
        <w:t xml:space="preserve"> Vol</w:t>
      </w:r>
      <w:r>
        <w:rPr>
          <w:rFonts w:cstheme="minorHAnsi"/>
        </w:rPr>
        <w:t>ume</w:t>
      </w:r>
      <w:r w:rsidRPr="008917F0">
        <w:rPr>
          <w:rFonts w:cstheme="minorHAnsi"/>
        </w:rPr>
        <w:t xml:space="preserve"> 22</w:t>
      </w:r>
      <w:r>
        <w:rPr>
          <w:rFonts w:cstheme="minorHAnsi"/>
        </w:rPr>
        <w:t xml:space="preserve">, Issue </w:t>
      </w:r>
      <w:r w:rsidRPr="008917F0">
        <w:rPr>
          <w:rFonts w:cstheme="minorHAnsi"/>
        </w:rPr>
        <w:t>1.</w:t>
      </w:r>
    </w:p>
    <w:p w:rsidR="00C1053A" w:rsidRPr="008917F0" w:rsidRDefault="00C1053A" w:rsidP="00C1053A">
      <w:pPr>
        <w:rPr>
          <w:rFonts w:cstheme="minorHAnsi"/>
        </w:rPr>
      </w:pPr>
    </w:p>
    <w:p w:rsidR="00C1053A" w:rsidRDefault="00C1053A" w:rsidP="00C1053A">
      <w:pPr>
        <w:rPr>
          <w:rFonts w:cstheme="minorHAnsi"/>
        </w:rPr>
      </w:pPr>
      <w:r w:rsidRPr="008917F0">
        <w:rPr>
          <w:rFonts w:cstheme="minorHAnsi"/>
        </w:rPr>
        <w:t>Emotionally Healthy Schools</w:t>
      </w:r>
      <w:r>
        <w:rPr>
          <w:rFonts w:cstheme="minorHAnsi"/>
        </w:rPr>
        <w:t>.</w:t>
      </w:r>
      <w:r w:rsidRPr="008917F0">
        <w:rPr>
          <w:rFonts w:cstheme="minorHAnsi"/>
        </w:rPr>
        <w:t xml:space="preserve"> (2019) </w:t>
      </w:r>
      <w:r w:rsidRPr="008917F0">
        <w:rPr>
          <w:rFonts w:cstheme="minorHAnsi"/>
          <w:i/>
          <w:iCs/>
        </w:rPr>
        <w:t>The Leuven scale</w:t>
      </w:r>
      <w:r w:rsidRPr="008917F0">
        <w:rPr>
          <w:rFonts w:cstheme="minorHAnsi"/>
        </w:rPr>
        <w:t xml:space="preserve">. </w:t>
      </w:r>
      <w:hyperlink r:id="rId19" w:history="1">
        <w:r w:rsidRPr="008917F0">
          <w:rPr>
            <w:rStyle w:val="Hyperlink"/>
            <w:rFonts w:cstheme="minorHAnsi"/>
          </w:rPr>
          <w:t>https://emotionallyhealthyschools.org/primary/the-leuven-scale/</w:t>
        </w:r>
      </w:hyperlink>
    </w:p>
    <w:p w:rsidR="00C1053A" w:rsidRPr="008917F0" w:rsidRDefault="00C1053A" w:rsidP="00C1053A">
      <w:pPr>
        <w:rPr>
          <w:rFonts w:cstheme="minorHAnsi"/>
        </w:rPr>
      </w:pPr>
    </w:p>
    <w:p w:rsidR="00C1053A" w:rsidRDefault="00C1053A" w:rsidP="00C1053A">
      <w:pPr>
        <w:rPr>
          <w:rFonts w:cstheme="minorHAnsi"/>
        </w:rPr>
      </w:pPr>
      <w:r w:rsidRPr="008917F0">
        <w:rPr>
          <w:rFonts w:cstheme="minorHAnsi"/>
        </w:rPr>
        <w:t>Estyn</w:t>
      </w:r>
      <w:r>
        <w:rPr>
          <w:rFonts w:cstheme="minorHAnsi"/>
        </w:rPr>
        <w:t>.</w:t>
      </w:r>
      <w:r w:rsidRPr="008917F0">
        <w:rPr>
          <w:rFonts w:cstheme="minorHAnsi"/>
        </w:rPr>
        <w:t xml:space="preserve"> (2017) </w:t>
      </w:r>
      <w:r w:rsidRPr="008917F0">
        <w:rPr>
          <w:rFonts w:cstheme="minorHAnsi"/>
          <w:i/>
          <w:iCs/>
        </w:rPr>
        <w:t xml:space="preserve">A report on </w:t>
      </w:r>
      <w:r w:rsidRPr="008917F0">
        <w:rPr>
          <w:rFonts w:cstheme="minorHAnsi"/>
          <w:i/>
          <w:iCs/>
          <w:highlight w:val="black"/>
        </w:rPr>
        <w:t>Milford Haven School</w:t>
      </w:r>
      <w:r w:rsidRPr="008917F0">
        <w:rPr>
          <w:rFonts w:cstheme="minorHAnsi"/>
        </w:rPr>
        <w:t xml:space="preserve"> </w:t>
      </w:r>
    </w:p>
    <w:p w:rsidR="00C1053A" w:rsidRPr="008917F0" w:rsidRDefault="00C1053A" w:rsidP="00C1053A">
      <w:pPr>
        <w:rPr>
          <w:rFonts w:cstheme="minorHAnsi"/>
        </w:rPr>
      </w:pPr>
    </w:p>
    <w:p w:rsidR="00C1053A" w:rsidRDefault="00C1053A" w:rsidP="00C1053A">
      <w:pPr>
        <w:rPr>
          <w:rFonts w:cstheme="minorHAnsi"/>
        </w:rPr>
      </w:pPr>
      <w:proofErr w:type="spellStart"/>
      <w:r w:rsidRPr="008917F0">
        <w:rPr>
          <w:rFonts w:cstheme="minorHAnsi"/>
        </w:rPr>
        <w:t>Forero</w:t>
      </w:r>
      <w:proofErr w:type="spellEnd"/>
      <w:r>
        <w:rPr>
          <w:rFonts w:cstheme="minorHAnsi"/>
        </w:rPr>
        <w:t>, R.,</w:t>
      </w:r>
      <w:r w:rsidRPr="008917F0">
        <w:rPr>
          <w:rFonts w:cstheme="minorHAnsi"/>
        </w:rPr>
        <w:t xml:space="preserve"> et al. (2018) </w:t>
      </w:r>
      <w:r w:rsidRPr="008917F0">
        <w:rPr>
          <w:rFonts w:cstheme="minorHAnsi"/>
          <w:i/>
          <w:iCs/>
        </w:rPr>
        <w:t>Application of four-dimension criteria to assess rigour of qualitative research in emergency medicine</w:t>
      </w:r>
      <w:r w:rsidRPr="008917F0">
        <w:rPr>
          <w:rFonts w:cstheme="minorHAnsi"/>
        </w:rPr>
        <w:t xml:space="preserve">. BMC Health service. </w:t>
      </w:r>
      <w:hyperlink r:id="rId20" w:history="1">
        <w:r w:rsidRPr="009A1DAA">
          <w:rPr>
            <w:rStyle w:val="Hyperlink"/>
            <w:rFonts w:cstheme="minorHAnsi"/>
          </w:rPr>
          <w:t>https://www.ncbi.nlm.nih.gov/pmc/articles/PMC5816375/</w:t>
        </w:r>
      </w:hyperlink>
    </w:p>
    <w:p w:rsidR="00C1053A" w:rsidRPr="00C1053A" w:rsidRDefault="00C1053A" w:rsidP="00C1053A">
      <w:pPr>
        <w:rPr>
          <w:rFonts w:cstheme="minorHAnsi"/>
        </w:rPr>
      </w:pPr>
    </w:p>
    <w:p w:rsidR="00C1053A" w:rsidRDefault="00C1053A" w:rsidP="00C1053A">
      <w:pPr>
        <w:rPr>
          <w:rFonts w:cstheme="minorHAnsi"/>
        </w:rPr>
      </w:pPr>
      <w:r w:rsidRPr="008917F0">
        <w:rPr>
          <w:rFonts w:cstheme="minorHAnsi"/>
        </w:rPr>
        <w:t>Fredricks, J.</w:t>
      </w:r>
      <w:r>
        <w:rPr>
          <w:rFonts w:cstheme="minorHAnsi"/>
        </w:rPr>
        <w:t xml:space="preserve"> </w:t>
      </w:r>
      <w:r w:rsidRPr="008917F0">
        <w:rPr>
          <w:rFonts w:cstheme="minorHAnsi"/>
        </w:rPr>
        <w:t>A.</w:t>
      </w:r>
      <w:r>
        <w:rPr>
          <w:rFonts w:cstheme="minorHAnsi"/>
        </w:rPr>
        <w:t>,</w:t>
      </w:r>
      <w:r w:rsidRPr="008917F0">
        <w:rPr>
          <w:rFonts w:cstheme="minorHAnsi"/>
        </w:rPr>
        <w:t xml:space="preserve"> et al. (2004) </w:t>
      </w:r>
      <w:r w:rsidRPr="008917F0">
        <w:rPr>
          <w:rFonts w:cstheme="minorHAnsi"/>
          <w:i/>
          <w:iCs/>
        </w:rPr>
        <w:t>School engagement: potential of the concept state of the evidence</w:t>
      </w:r>
      <w:r w:rsidRPr="008917F0">
        <w:rPr>
          <w:rFonts w:cstheme="minorHAnsi"/>
        </w:rPr>
        <w:t>. Review of educational research</w:t>
      </w:r>
      <w:r>
        <w:rPr>
          <w:rFonts w:cstheme="minorHAnsi"/>
        </w:rPr>
        <w:t>,</w:t>
      </w:r>
      <w:r w:rsidRPr="008917F0">
        <w:rPr>
          <w:rFonts w:cstheme="minorHAnsi"/>
        </w:rPr>
        <w:t xml:space="preserve"> Vol</w:t>
      </w:r>
      <w:r>
        <w:rPr>
          <w:rFonts w:cstheme="minorHAnsi"/>
        </w:rPr>
        <w:t xml:space="preserve">ume </w:t>
      </w:r>
      <w:r w:rsidRPr="008917F0">
        <w:rPr>
          <w:rFonts w:cstheme="minorHAnsi"/>
        </w:rPr>
        <w:t>74</w:t>
      </w:r>
      <w:r>
        <w:rPr>
          <w:rFonts w:cstheme="minorHAnsi"/>
        </w:rPr>
        <w:t xml:space="preserve"> Issue </w:t>
      </w:r>
      <w:r w:rsidRPr="008917F0">
        <w:rPr>
          <w:rFonts w:cstheme="minorHAnsi"/>
        </w:rPr>
        <w:t>1</w:t>
      </w:r>
      <w:r>
        <w:rPr>
          <w:rFonts w:cstheme="minorHAnsi"/>
        </w:rPr>
        <w:t>,</w:t>
      </w:r>
      <w:r w:rsidRPr="008917F0">
        <w:rPr>
          <w:rFonts w:cstheme="minorHAnsi"/>
        </w:rPr>
        <w:t xml:space="preserve"> P</w:t>
      </w:r>
      <w:r>
        <w:rPr>
          <w:rFonts w:cstheme="minorHAnsi"/>
        </w:rPr>
        <w:t xml:space="preserve">age </w:t>
      </w:r>
      <w:r w:rsidRPr="008917F0">
        <w:rPr>
          <w:rFonts w:cstheme="minorHAnsi"/>
        </w:rPr>
        <w:t xml:space="preserve">59-109. </w:t>
      </w:r>
    </w:p>
    <w:p w:rsidR="00C1053A" w:rsidRPr="008917F0" w:rsidRDefault="00C1053A" w:rsidP="00C1053A">
      <w:pPr>
        <w:rPr>
          <w:rFonts w:cstheme="minorHAnsi"/>
        </w:rPr>
      </w:pPr>
    </w:p>
    <w:p w:rsidR="00C1053A" w:rsidRDefault="00C1053A" w:rsidP="00C1053A">
      <w:pPr>
        <w:rPr>
          <w:rFonts w:cstheme="minorHAnsi"/>
        </w:rPr>
      </w:pPr>
      <w:r w:rsidRPr="008917F0">
        <w:rPr>
          <w:rFonts w:cstheme="minorHAnsi"/>
        </w:rPr>
        <w:t>He, Y.</w:t>
      </w:r>
      <w:r>
        <w:rPr>
          <w:rFonts w:cstheme="minorHAnsi"/>
        </w:rPr>
        <w:t>,</w:t>
      </w:r>
      <w:r w:rsidRPr="008917F0">
        <w:rPr>
          <w:rFonts w:cstheme="minorHAnsi"/>
        </w:rPr>
        <w:t xml:space="preserve"> et al. (2018) </w:t>
      </w:r>
      <w:r w:rsidRPr="001F64AA">
        <w:rPr>
          <w:rFonts w:cstheme="minorHAnsi"/>
          <w:i/>
          <w:iCs/>
        </w:rPr>
        <w:t>Bar charts detection and analysis in biomedical literature of PubMed central</w:t>
      </w:r>
      <w:r w:rsidRPr="008917F0">
        <w:rPr>
          <w:rFonts w:cstheme="minorHAnsi"/>
        </w:rPr>
        <w:t xml:space="preserve">. </w:t>
      </w:r>
    </w:p>
    <w:p w:rsidR="00C1053A" w:rsidRPr="008917F0" w:rsidRDefault="00C1053A" w:rsidP="00C1053A">
      <w:pPr>
        <w:rPr>
          <w:rFonts w:cstheme="minorHAnsi"/>
        </w:rPr>
      </w:pPr>
    </w:p>
    <w:p w:rsidR="00C1053A" w:rsidRDefault="00C1053A" w:rsidP="00C1053A">
      <w:pPr>
        <w:rPr>
          <w:rFonts w:cstheme="minorHAnsi"/>
        </w:rPr>
      </w:pPr>
      <w:r w:rsidRPr="008917F0">
        <w:rPr>
          <w:rFonts w:cstheme="minorHAnsi"/>
        </w:rPr>
        <w:t>Huong</w:t>
      </w:r>
      <w:r>
        <w:rPr>
          <w:rFonts w:cstheme="minorHAnsi"/>
        </w:rPr>
        <w:t>, L. P.</w:t>
      </w:r>
      <w:r w:rsidRPr="008917F0">
        <w:rPr>
          <w:rFonts w:cstheme="minorHAnsi"/>
        </w:rPr>
        <w:t xml:space="preserve"> (2007) </w:t>
      </w:r>
      <w:r w:rsidRPr="001F64AA">
        <w:rPr>
          <w:rFonts w:cstheme="minorHAnsi"/>
          <w:i/>
          <w:iCs/>
        </w:rPr>
        <w:t>The more knowledgeable peer, target language use and group participation.</w:t>
      </w:r>
      <w:r w:rsidRPr="008917F0">
        <w:rPr>
          <w:rFonts w:cstheme="minorHAnsi"/>
        </w:rPr>
        <w:t xml:space="preserve"> University of Toronto press Canadian modern language review</w:t>
      </w:r>
      <w:r>
        <w:rPr>
          <w:rFonts w:cstheme="minorHAnsi"/>
        </w:rPr>
        <w:t xml:space="preserve">, </w:t>
      </w:r>
      <w:r w:rsidRPr="008917F0">
        <w:rPr>
          <w:rFonts w:cstheme="minorHAnsi"/>
        </w:rPr>
        <w:t>Vol</w:t>
      </w:r>
      <w:r>
        <w:rPr>
          <w:rFonts w:cstheme="minorHAnsi"/>
        </w:rPr>
        <w:t>ume</w:t>
      </w:r>
      <w:r w:rsidRPr="008917F0">
        <w:rPr>
          <w:rFonts w:cstheme="minorHAnsi"/>
        </w:rPr>
        <w:t xml:space="preserve"> 64</w:t>
      </w:r>
      <w:r>
        <w:rPr>
          <w:rFonts w:cstheme="minorHAnsi"/>
        </w:rPr>
        <w:t xml:space="preserve"> Issue </w:t>
      </w:r>
      <w:r w:rsidRPr="008917F0">
        <w:rPr>
          <w:rFonts w:cstheme="minorHAnsi"/>
        </w:rPr>
        <w:t>2</w:t>
      </w:r>
      <w:r>
        <w:rPr>
          <w:rFonts w:cstheme="minorHAnsi"/>
        </w:rPr>
        <w:t>,</w:t>
      </w:r>
      <w:r w:rsidRPr="008917F0">
        <w:rPr>
          <w:rFonts w:cstheme="minorHAnsi"/>
        </w:rPr>
        <w:t xml:space="preserve"> P</w:t>
      </w:r>
      <w:r>
        <w:rPr>
          <w:rFonts w:cstheme="minorHAnsi"/>
        </w:rPr>
        <w:t xml:space="preserve">age </w:t>
      </w:r>
      <w:r w:rsidRPr="008917F0">
        <w:rPr>
          <w:rFonts w:cstheme="minorHAnsi"/>
        </w:rPr>
        <w:t>333-354.</w:t>
      </w:r>
    </w:p>
    <w:p w:rsidR="00C1053A" w:rsidRPr="008917F0" w:rsidRDefault="00C1053A" w:rsidP="00C1053A">
      <w:pPr>
        <w:rPr>
          <w:rFonts w:cstheme="minorHAnsi"/>
        </w:rPr>
      </w:pPr>
    </w:p>
    <w:p w:rsidR="00C1053A" w:rsidRDefault="00C1053A" w:rsidP="00C1053A">
      <w:pPr>
        <w:rPr>
          <w:rFonts w:cstheme="minorHAnsi"/>
        </w:rPr>
      </w:pPr>
      <w:r w:rsidRPr="008917F0">
        <w:rPr>
          <w:rFonts w:cstheme="minorHAnsi"/>
        </w:rPr>
        <w:t>Jansen</w:t>
      </w:r>
      <w:r>
        <w:rPr>
          <w:rFonts w:cstheme="minorHAnsi"/>
        </w:rPr>
        <w:t>,</w:t>
      </w:r>
      <w:r w:rsidRPr="008917F0">
        <w:rPr>
          <w:rFonts w:cstheme="minorHAnsi"/>
        </w:rPr>
        <w:t xml:space="preserve"> A. et al. (2023) </w:t>
      </w:r>
      <w:r w:rsidRPr="001F64AA">
        <w:rPr>
          <w:rFonts w:cstheme="minorHAnsi"/>
          <w:i/>
          <w:iCs/>
        </w:rPr>
        <w:t xml:space="preserve">Secondary mathematics teachers’ descriptions of student engagement. </w:t>
      </w:r>
      <w:r w:rsidRPr="008917F0">
        <w:rPr>
          <w:rFonts w:cstheme="minorHAnsi"/>
        </w:rPr>
        <w:t>Educational studies in mathematics</w:t>
      </w:r>
      <w:r>
        <w:rPr>
          <w:rFonts w:cstheme="minorHAnsi"/>
        </w:rPr>
        <w:t xml:space="preserve">, </w:t>
      </w:r>
      <w:r w:rsidRPr="008917F0">
        <w:rPr>
          <w:rFonts w:cstheme="minorHAnsi"/>
        </w:rPr>
        <w:t>Vol</w:t>
      </w:r>
      <w:r>
        <w:rPr>
          <w:rFonts w:cstheme="minorHAnsi"/>
        </w:rPr>
        <w:t xml:space="preserve">ume </w:t>
      </w:r>
      <w:r w:rsidRPr="008917F0">
        <w:rPr>
          <w:rFonts w:cstheme="minorHAnsi"/>
        </w:rPr>
        <w:t>113</w:t>
      </w:r>
      <w:r>
        <w:rPr>
          <w:rFonts w:cstheme="minorHAnsi"/>
        </w:rPr>
        <w:t xml:space="preserve"> Issue </w:t>
      </w:r>
      <w:r w:rsidRPr="008917F0">
        <w:rPr>
          <w:rFonts w:cstheme="minorHAnsi"/>
        </w:rPr>
        <w:t>3</w:t>
      </w:r>
      <w:r>
        <w:rPr>
          <w:rFonts w:cstheme="minorHAnsi"/>
        </w:rPr>
        <w:t xml:space="preserve">, Page </w:t>
      </w:r>
      <w:r w:rsidRPr="008917F0">
        <w:rPr>
          <w:rFonts w:cstheme="minorHAnsi"/>
        </w:rPr>
        <w:t>425-442.</w:t>
      </w:r>
    </w:p>
    <w:p w:rsidR="00C1053A" w:rsidRPr="008917F0" w:rsidRDefault="00C1053A" w:rsidP="00C1053A">
      <w:pPr>
        <w:rPr>
          <w:rFonts w:cstheme="minorHAnsi"/>
        </w:rPr>
      </w:pPr>
    </w:p>
    <w:p w:rsidR="00C1053A" w:rsidRDefault="00C1053A" w:rsidP="00C1053A">
      <w:pPr>
        <w:rPr>
          <w:rFonts w:cstheme="minorHAnsi"/>
        </w:rPr>
      </w:pPr>
      <w:proofErr w:type="spellStart"/>
      <w:r w:rsidRPr="008917F0">
        <w:rPr>
          <w:rFonts w:cstheme="minorHAnsi"/>
        </w:rPr>
        <w:t>Kahu</w:t>
      </w:r>
      <w:proofErr w:type="spellEnd"/>
      <w:r w:rsidRPr="008917F0">
        <w:rPr>
          <w:rFonts w:cstheme="minorHAnsi"/>
        </w:rPr>
        <w:t>, E.</w:t>
      </w:r>
      <w:r>
        <w:rPr>
          <w:rFonts w:cstheme="minorHAnsi"/>
        </w:rPr>
        <w:t xml:space="preserve"> </w:t>
      </w:r>
      <w:r w:rsidRPr="008917F0">
        <w:rPr>
          <w:rFonts w:cstheme="minorHAnsi"/>
        </w:rPr>
        <w:t xml:space="preserve">R. (2013) </w:t>
      </w:r>
      <w:r w:rsidRPr="001F64AA">
        <w:rPr>
          <w:rFonts w:cstheme="minorHAnsi"/>
          <w:i/>
          <w:iCs/>
        </w:rPr>
        <w:t>Framing student engagement in higher education.</w:t>
      </w:r>
      <w:r w:rsidRPr="008917F0">
        <w:rPr>
          <w:rFonts w:cstheme="minorHAnsi"/>
        </w:rPr>
        <w:t xml:space="preserve"> Studies in Higher education. Vol</w:t>
      </w:r>
      <w:r>
        <w:rPr>
          <w:rFonts w:cstheme="minorHAnsi"/>
        </w:rPr>
        <w:t xml:space="preserve">ume </w:t>
      </w:r>
      <w:r w:rsidRPr="008917F0">
        <w:rPr>
          <w:rFonts w:cstheme="minorHAnsi"/>
        </w:rPr>
        <w:t>38</w:t>
      </w:r>
      <w:r>
        <w:rPr>
          <w:rFonts w:cstheme="minorHAnsi"/>
        </w:rPr>
        <w:t xml:space="preserve"> Issue, Page </w:t>
      </w:r>
      <w:r w:rsidRPr="008917F0">
        <w:rPr>
          <w:rFonts w:cstheme="minorHAnsi"/>
        </w:rPr>
        <w:t>758-773.</w:t>
      </w:r>
    </w:p>
    <w:p w:rsidR="00C1053A" w:rsidRPr="008917F0" w:rsidRDefault="00C1053A" w:rsidP="00C1053A">
      <w:pPr>
        <w:rPr>
          <w:rFonts w:cstheme="minorHAnsi"/>
        </w:rPr>
      </w:pPr>
    </w:p>
    <w:p w:rsidR="00C1053A" w:rsidRDefault="00C1053A" w:rsidP="00C1053A">
      <w:pPr>
        <w:rPr>
          <w:rFonts w:cstheme="minorHAnsi"/>
        </w:rPr>
      </w:pPr>
      <w:proofErr w:type="spellStart"/>
      <w:r w:rsidRPr="008917F0">
        <w:rPr>
          <w:rFonts w:cstheme="minorHAnsi"/>
        </w:rPr>
        <w:t>Kreitchmann</w:t>
      </w:r>
      <w:proofErr w:type="spellEnd"/>
      <w:r>
        <w:rPr>
          <w:rFonts w:cstheme="minorHAnsi"/>
        </w:rPr>
        <w:t>, R. S.,</w:t>
      </w:r>
      <w:r w:rsidRPr="008917F0">
        <w:rPr>
          <w:rFonts w:cstheme="minorHAnsi"/>
        </w:rPr>
        <w:t xml:space="preserve"> et al. (2019) </w:t>
      </w:r>
      <w:r w:rsidRPr="001F64AA">
        <w:rPr>
          <w:rFonts w:cstheme="minorHAnsi"/>
          <w:i/>
          <w:iCs/>
        </w:rPr>
        <w:t>Controlling for response biases in self-report scales: Forced-choice vs. Psychometric modelling of Likert items</w:t>
      </w:r>
      <w:r w:rsidRPr="008917F0">
        <w:rPr>
          <w:rFonts w:cstheme="minorHAnsi"/>
        </w:rPr>
        <w:t xml:space="preserve">. </w:t>
      </w:r>
      <w:hyperlink r:id="rId21" w:history="1">
        <w:r w:rsidRPr="009A1DAA">
          <w:rPr>
            <w:rStyle w:val="Hyperlink"/>
            <w:rFonts w:cstheme="minorHAnsi"/>
          </w:rPr>
          <w:t>https://www.ncbi.nlm.nih.gov/pmc/articles/PMC6803422/</w:t>
        </w:r>
      </w:hyperlink>
    </w:p>
    <w:p w:rsidR="00C1053A" w:rsidRDefault="00C1053A" w:rsidP="00C1053A">
      <w:pPr>
        <w:rPr>
          <w:rFonts w:cstheme="minorHAnsi"/>
        </w:rPr>
      </w:pPr>
      <w:r w:rsidRPr="008917F0">
        <w:rPr>
          <w:rFonts w:cstheme="minorHAnsi"/>
        </w:rPr>
        <w:lastRenderedPageBreak/>
        <w:t>Krosnick, J.</w:t>
      </w:r>
      <w:r>
        <w:rPr>
          <w:rFonts w:cstheme="minorHAnsi"/>
        </w:rPr>
        <w:t xml:space="preserve"> </w:t>
      </w:r>
      <w:r w:rsidRPr="008917F0">
        <w:rPr>
          <w:rFonts w:cstheme="minorHAnsi"/>
        </w:rPr>
        <w:t xml:space="preserve">A. and Presser, S. (2002) </w:t>
      </w:r>
      <w:r w:rsidRPr="001F64AA">
        <w:rPr>
          <w:rFonts w:cstheme="minorHAnsi"/>
          <w:i/>
          <w:iCs/>
        </w:rPr>
        <w:t>The Impact of “No Opinion” response options on data quality: Non-attitude reduction or an invitation to satisfice?</w:t>
      </w:r>
      <w:r w:rsidRPr="008917F0">
        <w:rPr>
          <w:rFonts w:cstheme="minorHAnsi"/>
        </w:rPr>
        <w:t xml:space="preserve"> Public opinion quarterly, </w:t>
      </w:r>
      <w:r>
        <w:rPr>
          <w:rFonts w:cstheme="minorHAnsi"/>
        </w:rPr>
        <w:t>Vo</w:t>
      </w:r>
      <w:r w:rsidRPr="008917F0">
        <w:rPr>
          <w:rFonts w:cstheme="minorHAnsi"/>
        </w:rPr>
        <w:t>l</w:t>
      </w:r>
      <w:r>
        <w:rPr>
          <w:rFonts w:cstheme="minorHAnsi"/>
        </w:rPr>
        <w:t>ume</w:t>
      </w:r>
      <w:r w:rsidRPr="008917F0">
        <w:rPr>
          <w:rFonts w:cstheme="minorHAnsi"/>
        </w:rPr>
        <w:t xml:space="preserve"> 66</w:t>
      </w:r>
      <w:r>
        <w:rPr>
          <w:rFonts w:cstheme="minorHAnsi"/>
        </w:rPr>
        <w:t xml:space="preserve"> Issue </w:t>
      </w:r>
      <w:r w:rsidRPr="008917F0">
        <w:rPr>
          <w:rFonts w:cstheme="minorHAnsi"/>
        </w:rPr>
        <w:t>3</w:t>
      </w:r>
      <w:r>
        <w:rPr>
          <w:rFonts w:cstheme="minorHAnsi"/>
        </w:rPr>
        <w:t>,</w:t>
      </w:r>
      <w:r w:rsidRPr="008917F0">
        <w:rPr>
          <w:rFonts w:cstheme="minorHAnsi"/>
        </w:rPr>
        <w:t xml:space="preserve"> P</w:t>
      </w:r>
      <w:r>
        <w:rPr>
          <w:rFonts w:cstheme="minorHAnsi"/>
        </w:rPr>
        <w:t xml:space="preserve">age </w:t>
      </w:r>
      <w:r w:rsidRPr="008917F0">
        <w:rPr>
          <w:rFonts w:cstheme="minorHAnsi"/>
        </w:rPr>
        <w:t xml:space="preserve">371-403. </w:t>
      </w:r>
    </w:p>
    <w:p w:rsidR="00C1053A" w:rsidRPr="008917F0" w:rsidRDefault="00C1053A" w:rsidP="00C1053A">
      <w:pPr>
        <w:rPr>
          <w:rFonts w:cstheme="minorHAnsi"/>
        </w:rPr>
      </w:pPr>
    </w:p>
    <w:p w:rsidR="00C1053A" w:rsidRDefault="00C1053A" w:rsidP="00C1053A">
      <w:pPr>
        <w:rPr>
          <w:rFonts w:cstheme="minorHAnsi"/>
        </w:rPr>
      </w:pPr>
      <w:r w:rsidRPr="008917F0">
        <w:rPr>
          <w:rFonts w:cstheme="minorHAnsi"/>
        </w:rPr>
        <w:t>Merriam, S.</w:t>
      </w:r>
      <w:r>
        <w:rPr>
          <w:rFonts w:cstheme="minorHAnsi"/>
        </w:rPr>
        <w:t xml:space="preserve"> </w:t>
      </w:r>
      <w:r w:rsidRPr="008917F0">
        <w:rPr>
          <w:rFonts w:cstheme="minorHAnsi"/>
        </w:rPr>
        <w:t xml:space="preserve">B. (1998) </w:t>
      </w:r>
      <w:r w:rsidRPr="001F64AA">
        <w:rPr>
          <w:rFonts w:cstheme="minorHAnsi"/>
          <w:i/>
          <w:iCs/>
        </w:rPr>
        <w:t>Qualitative research and case study applications in education</w:t>
      </w:r>
      <w:r w:rsidRPr="008917F0">
        <w:rPr>
          <w:rFonts w:cstheme="minorHAnsi"/>
        </w:rPr>
        <w:t xml:space="preserve">. San Francisco. </w:t>
      </w:r>
      <w:hyperlink r:id="rId22" w:history="1">
        <w:r w:rsidRPr="009A1DAA">
          <w:rPr>
            <w:rStyle w:val="Hyperlink"/>
            <w:rFonts w:cstheme="minorHAnsi"/>
          </w:rPr>
          <w:t>https://eric.ed.gov/?id=ED415771</w:t>
        </w:r>
      </w:hyperlink>
    </w:p>
    <w:p w:rsidR="00C1053A" w:rsidRDefault="00C1053A" w:rsidP="00C1053A">
      <w:pPr>
        <w:rPr>
          <w:rFonts w:cstheme="minorHAnsi"/>
        </w:rPr>
      </w:pPr>
    </w:p>
    <w:p w:rsidR="00C1053A" w:rsidRDefault="00C1053A" w:rsidP="00C1053A">
      <w:pPr>
        <w:rPr>
          <w:rFonts w:cstheme="minorHAnsi"/>
        </w:rPr>
      </w:pPr>
      <w:r w:rsidRPr="008917F0">
        <w:rPr>
          <w:rFonts w:cstheme="minorHAnsi"/>
        </w:rPr>
        <w:t>Neugebauer</w:t>
      </w:r>
      <w:r>
        <w:rPr>
          <w:rFonts w:cstheme="minorHAnsi"/>
        </w:rPr>
        <w:t>, J.</w:t>
      </w:r>
      <w:r w:rsidRPr="008917F0">
        <w:rPr>
          <w:rFonts w:cstheme="minorHAnsi"/>
        </w:rPr>
        <w:t xml:space="preserve"> (2016) </w:t>
      </w:r>
      <w:r w:rsidRPr="001F64AA">
        <w:rPr>
          <w:rFonts w:cstheme="minorHAnsi"/>
          <w:i/>
          <w:iCs/>
        </w:rPr>
        <w:t>When being worse helps: The influence of upward social comparisons and knowledge awareness on learner engagement and learning in peer-to-peer knowledge exchange</w:t>
      </w:r>
      <w:r w:rsidRPr="008917F0">
        <w:rPr>
          <w:rFonts w:cstheme="minorHAnsi"/>
        </w:rPr>
        <w:t>. Learning and instruction</w:t>
      </w:r>
      <w:r>
        <w:rPr>
          <w:rFonts w:cstheme="minorHAnsi"/>
        </w:rPr>
        <w:t xml:space="preserve">, </w:t>
      </w:r>
      <w:r w:rsidRPr="008917F0">
        <w:rPr>
          <w:rFonts w:cstheme="minorHAnsi"/>
        </w:rPr>
        <w:t>P</w:t>
      </w:r>
      <w:r>
        <w:rPr>
          <w:rFonts w:cstheme="minorHAnsi"/>
        </w:rPr>
        <w:t>age</w:t>
      </w:r>
      <w:r w:rsidRPr="008917F0">
        <w:rPr>
          <w:rFonts w:cstheme="minorHAnsi"/>
        </w:rPr>
        <w:t xml:space="preserve"> 41-52.  </w:t>
      </w:r>
    </w:p>
    <w:p w:rsidR="00C1053A" w:rsidRPr="008917F0" w:rsidRDefault="00C1053A" w:rsidP="00C1053A">
      <w:pPr>
        <w:rPr>
          <w:rFonts w:cstheme="minorHAnsi"/>
        </w:rPr>
      </w:pPr>
    </w:p>
    <w:p w:rsidR="00C1053A" w:rsidRDefault="00C1053A" w:rsidP="00C1053A">
      <w:pPr>
        <w:rPr>
          <w:rFonts w:cstheme="minorHAnsi"/>
        </w:rPr>
      </w:pPr>
      <w:r w:rsidRPr="008917F0">
        <w:rPr>
          <w:rFonts w:cstheme="minorHAnsi"/>
        </w:rPr>
        <w:t>Sanders, M.</w:t>
      </w:r>
      <w:r>
        <w:rPr>
          <w:rFonts w:cstheme="minorHAnsi"/>
        </w:rPr>
        <w:t xml:space="preserve"> </w:t>
      </w:r>
      <w:r w:rsidRPr="008917F0">
        <w:rPr>
          <w:rFonts w:cstheme="minorHAnsi"/>
        </w:rPr>
        <w:t xml:space="preserve">J. (2013) </w:t>
      </w:r>
      <w:r w:rsidRPr="001F64AA">
        <w:rPr>
          <w:rFonts w:cstheme="minorHAnsi"/>
          <w:i/>
          <w:iCs/>
        </w:rPr>
        <w:t>Classroom Design and Student Engagement</w:t>
      </w:r>
      <w:r w:rsidRPr="008917F0">
        <w:rPr>
          <w:rFonts w:cstheme="minorHAnsi"/>
        </w:rPr>
        <w:t>. Proceedings of the Human Factors and Ergonomics Society Annual Meeting</w:t>
      </w:r>
      <w:r>
        <w:rPr>
          <w:rFonts w:cstheme="minorHAnsi"/>
        </w:rPr>
        <w:t>,</w:t>
      </w:r>
      <w:r w:rsidRPr="008917F0">
        <w:rPr>
          <w:rFonts w:cstheme="minorHAnsi"/>
        </w:rPr>
        <w:t xml:space="preserve"> Vol</w:t>
      </w:r>
      <w:r>
        <w:rPr>
          <w:rFonts w:cstheme="minorHAnsi"/>
        </w:rPr>
        <w:t xml:space="preserve">ume </w:t>
      </w:r>
      <w:r w:rsidRPr="008917F0">
        <w:rPr>
          <w:rFonts w:cstheme="minorHAnsi"/>
        </w:rPr>
        <w:t>57</w:t>
      </w:r>
      <w:r>
        <w:rPr>
          <w:rFonts w:cstheme="minorHAnsi"/>
        </w:rPr>
        <w:t xml:space="preserve"> Issue </w:t>
      </w:r>
      <w:r w:rsidRPr="008917F0">
        <w:rPr>
          <w:rFonts w:cstheme="minorHAnsi"/>
        </w:rPr>
        <w:t>1</w:t>
      </w:r>
      <w:r>
        <w:rPr>
          <w:rFonts w:cstheme="minorHAnsi"/>
        </w:rPr>
        <w:t>,</w:t>
      </w:r>
      <w:r w:rsidRPr="008917F0">
        <w:rPr>
          <w:rFonts w:cstheme="minorHAnsi"/>
        </w:rPr>
        <w:t xml:space="preserve"> P</w:t>
      </w:r>
      <w:r>
        <w:rPr>
          <w:rFonts w:cstheme="minorHAnsi"/>
        </w:rPr>
        <w:t>age</w:t>
      </w:r>
      <w:r w:rsidRPr="008917F0">
        <w:rPr>
          <w:rFonts w:cstheme="minorHAnsi"/>
        </w:rPr>
        <w:t xml:space="preserve"> 496-500.</w:t>
      </w:r>
    </w:p>
    <w:p w:rsidR="00C1053A" w:rsidRPr="008917F0" w:rsidRDefault="00C1053A" w:rsidP="00C1053A">
      <w:pPr>
        <w:rPr>
          <w:rFonts w:cstheme="minorHAnsi"/>
        </w:rPr>
      </w:pPr>
    </w:p>
    <w:p w:rsidR="00C1053A" w:rsidRDefault="00C1053A" w:rsidP="00C1053A">
      <w:pPr>
        <w:rPr>
          <w:rFonts w:cstheme="minorHAnsi"/>
        </w:rPr>
      </w:pPr>
      <w:r w:rsidRPr="008917F0">
        <w:rPr>
          <w:rFonts w:cstheme="minorHAnsi"/>
        </w:rPr>
        <w:t>Singh, A.</w:t>
      </w:r>
      <w:r>
        <w:rPr>
          <w:rFonts w:cstheme="minorHAnsi"/>
        </w:rPr>
        <w:t xml:space="preserve"> </w:t>
      </w:r>
      <w:r w:rsidRPr="008917F0">
        <w:rPr>
          <w:rFonts w:cstheme="minorHAnsi"/>
        </w:rPr>
        <w:t xml:space="preserve">S. (2017) </w:t>
      </w:r>
      <w:r w:rsidRPr="001F64AA">
        <w:rPr>
          <w:rFonts w:cstheme="minorHAnsi"/>
          <w:i/>
          <w:iCs/>
        </w:rPr>
        <w:t>Common procedures for development, validity and reliability of a questionnaire.</w:t>
      </w:r>
      <w:r w:rsidRPr="008917F0">
        <w:rPr>
          <w:rFonts w:cstheme="minorHAnsi"/>
        </w:rPr>
        <w:t xml:space="preserve"> International journal of economics, commerce and management. Vol</w:t>
      </w:r>
      <w:r>
        <w:rPr>
          <w:rFonts w:cstheme="minorHAnsi"/>
        </w:rPr>
        <w:t>ume V</w:t>
      </w:r>
      <w:r w:rsidRPr="008917F0">
        <w:rPr>
          <w:rFonts w:cstheme="minorHAnsi"/>
        </w:rPr>
        <w:t xml:space="preserve"> </w:t>
      </w:r>
      <w:r>
        <w:rPr>
          <w:rFonts w:cstheme="minorHAnsi"/>
        </w:rPr>
        <w:t xml:space="preserve">Issue </w:t>
      </w:r>
      <w:r w:rsidRPr="008917F0">
        <w:rPr>
          <w:rFonts w:cstheme="minorHAnsi"/>
        </w:rPr>
        <w:t>5</w:t>
      </w:r>
      <w:r>
        <w:rPr>
          <w:rFonts w:cstheme="minorHAnsi"/>
        </w:rPr>
        <w:t>.</w:t>
      </w:r>
    </w:p>
    <w:p w:rsidR="00C1053A" w:rsidRPr="008917F0" w:rsidRDefault="00C1053A" w:rsidP="00C1053A">
      <w:pPr>
        <w:rPr>
          <w:rFonts w:cstheme="minorHAnsi"/>
        </w:rPr>
      </w:pPr>
    </w:p>
    <w:p w:rsidR="00C1053A" w:rsidRDefault="00C1053A" w:rsidP="00C1053A">
      <w:pPr>
        <w:rPr>
          <w:rFonts w:cstheme="minorHAnsi"/>
        </w:rPr>
      </w:pPr>
      <w:r w:rsidRPr="008917F0">
        <w:rPr>
          <w:rFonts w:cstheme="minorHAnsi"/>
        </w:rPr>
        <w:t>Stake</w:t>
      </w:r>
      <w:r>
        <w:rPr>
          <w:rFonts w:cstheme="minorHAnsi"/>
        </w:rPr>
        <w:t>, R. E.</w:t>
      </w:r>
      <w:r w:rsidRPr="008917F0">
        <w:rPr>
          <w:rFonts w:cstheme="minorHAnsi"/>
        </w:rPr>
        <w:t xml:space="preserve"> (1995) </w:t>
      </w:r>
      <w:r w:rsidRPr="001F64AA">
        <w:rPr>
          <w:rFonts w:cstheme="minorHAnsi"/>
          <w:i/>
          <w:iCs/>
        </w:rPr>
        <w:t>The art of case study research</w:t>
      </w:r>
      <w:r>
        <w:rPr>
          <w:rFonts w:cstheme="minorHAnsi"/>
          <w:i/>
          <w:iCs/>
        </w:rPr>
        <w:t xml:space="preserve">. </w:t>
      </w:r>
      <w:r>
        <w:rPr>
          <w:rFonts w:cstheme="minorHAnsi"/>
        </w:rPr>
        <w:t>SAGE publications.</w:t>
      </w:r>
    </w:p>
    <w:p w:rsidR="00C1053A" w:rsidRPr="009C6075" w:rsidRDefault="00C1053A" w:rsidP="00C1053A">
      <w:pPr>
        <w:rPr>
          <w:rFonts w:cstheme="minorHAnsi"/>
        </w:rPr>
      </w:pPr>
    </w:p>
    <w:p w:rsidR="00C1053A" w:rsidRDefault="00C1053A" w:rsidP="00C1053A">
      <w:pPr>
        <w:rPr>
          <w:rFonts w:cstheme="minorHAnsi"/>
        </w:rPr>
      </w:pPr>
      <w:r w:rsidRPr="008917F0">
        <w:rPr>
          <w:rFonts w:cstheme="minorHAnsi"/>
        </w:rPr>
        <w:t>Stone, D.</w:t>
      </w:r>
      <w:r>
        <w:rPr>
          <w:rFonts w:cstheme="minorHAnsi"/>
        </w:rPr>
        <w:t xml:space="preserve"> </w:t>
      </w:r>
      <w:r w:rsidRPr="008917F0">
        <w:rPr>
          <w:rFonts w:cstheme="minorHAnsi"/>
        </w:rPr>
        <w:t xml:space="preserve">H. (1993) </w:t>
      </w:r>
      <w:r w:rsidRPr="001F64AA">
        <w:rPr>
          <w:rFonts w:cstheme="minorHAnsi"/>
          <w:i/>
          <w:iCs/>
        </w:rPr>
        <w:t>Designing a questionnaire.</w:t>
      </w:r>
      <w:r w:rsidRPr="008917F0">
        <w:rPr>
          <w:rFonts w:cstheme="minorHAnsi"/>
        </w:rPr>
        <w:t xml:space="preserve"> The B</w:t>
      </w:r>
      <w:r>
        <w:rPr>
          <w:rFonts w:cstheme="minorHAnsi"/>
        </w:rPr>
        <w:t>ritish medical journal</w:t>
      </w:r>
      <w:r w:rsidRPr="008917F0">
        <w:rPr>
          <w:rFonts w:cstheme="minorHAnsi"/>
        </w:rPr>
        <w:t>.</w:t>
      </w:r>
      <w:r>
        <w:rPr>
          <w:rFonts w:cstheme="minorHAnsi"/>
        </w:rPr>
        <w:t xml:space="preserve"> </w:t>
      </w:r>
      <w:hyperlink r:id="rId23" w:history="1">
        <w:r w:rsidRPr="009A1DAA">
          <w:rPr>
            <w:rStyle w:val="Hyperlink"/>
            <w:rFonts w:cstheme="minorHAnsi"/>
          </w:rPr>
          <w:t>https://www.ncbi.nlm.nih.gov/pmc/articles/PMC1679392/</w:t>
        </w:r>
      </w:hyperlink>
    </w:p>
    <w:p w:rsidR="00C1053A" w:rsidRDefault="00C1053A" w:rsidP="00C1053A">
      <w:pPr>
        <w:rPr>
          <w:rFonts w:cstheme="minorHAnsi"/>
        </w:rPr>
      </w:pPr>
    </w:p>
    <w:p w:rsidR="00C1053A" w:rsidRDefault="00C1053A" w:rsidP="00C1053A">
      <w:pPr>
        <w:rPr>
          <w:rFonts w:cstheme="minorHAnsi"/>
        </w:rPr>
      </w:pPr>
      <w:r w:rsidRPr="008917F0">
        <w:rPr>
          <w:rFonts w:cstheme="minorHAnsi"/>
        </w:rPr>
        <w:t>Vygotsky, L.</w:t>
      </w:r>
      <w:r>
        <w:rPr>
          <w:rFonts w:cstheme="minorHAnsi"/>
        </w:rPr>
        <w:t xml:space="preserve"> </w:t>
      </w:r>
      <w:r w:rsidRPr="008917F0">
        <w:rPr>
          <w:rFonts w:cstheme="minorHAnsi"/>
        </w:rPr>
        <w:t xml:space="preserve">S. (1978) </w:t>
      </w:r>
      <w:r w:rsidRPr="008917F0">
        <w:rPr>
          <w:rFonts w:cstheme="minorHAnsi"/>
          <w:i/>
          <w:iCs/>
        </w:rPr>
        <w:t>Mind in society: the development of higher psychological processes.</w:t>
      </w:r>
      <w:r w:rsidRPr="008917F0">
        <w:rPr>
          <w:rFonts w:cstheme="minorHAnsi"/>
        </w:rPr>
        <w:t xml:space="preserve"> Cambridge MA: Harvard university press. </w:t>
      </w:r>
    </w:p>
    <w:p w:rsidR="00C1053A" w:rsidRPr="008917F0" w:rsidRDefault="00C1053A" w:rsidP="00C1053A">
      <w:pPr>
        <w:rPr>
          <w:rFonts w:cstheme="minorHAnsi"/>
        </w:rPr>
      </w:pPr>
    </w:p>
    <w:p w:rsidR="00C1053A" w:rsidRDefault="00C1053A" w:rsidP="00C1053A">
      <w:pPr>
        <w:rPr>
          <w:rFonts w:cstheme="minorHAnsi"/>
        </w:rPr>
      </w:pPr>
      <w:proofErr w:type="spellStart"/>
      <w:r w:rsidRPr="008917F0">
        <w:rPr>
          <w:rFonts w:cstheme="minorHAnsi"/>
        </w:rPr>
        <w:t>Wasendorf</w:t>
      </w:r>
      <w:proofErr w:type="spellEnd"/>
      <w:r>
        <w:rPr>
          <w:rFonts w:cstheme="minorHAnsi"/>
        </w:rPr>
        <w:t>, C.</w:t>
      </w:r>
      <w:r w:rsidRPr="008917F0">
        <w:rPr>
          <w:rFonts w:cstheme="minorHAnsi"/>
        </w:rPr>
        <w:t xml:space="preserve"> et al</w:t>
      </w:r>
      <w:r>
        <w:rPr>
          <w:rFonts w:cstheme="minorHAnsi"/>
        </w:rPr>
        <w:t>.</w:t>
      </w:r>
      <w:r w:rsidRPr="008917F0">
        <w:rPr>
          <w:rFonts w:cstheme="minorHAnsi"/>
        </w:rPr>
        <w:t xml:space="preserve"> (2023) </w:t>
      </w:r>
      <w:r w:rsidRPr="009C6075">
        <w:rPr>
          <w:rFonts w:cstheme="minorHAnsi"/>
          <w:i/>
          <w:iCs/>
        </w:rPr>
        <w:t>Exploring the Role of Student Seating preference and Performance in a Large Introductory STEM Course.</w:t>
      </w:r>
      <w:r w:rsidRPr="008917F0">
        <w:rPr>
          <w:rFonts w:cstheme="minorHAnsi"/>
        </w:rPr>
        <w:t xml:space="preserve"> Washington: National Science Teachers Association: Journal of college science teaching. Vol</w:t>
      </w:r>
      <w:r>
        <w:rPr>
          <w:rFonts w:cstheme="minorHAnsi"/>
        </w:rPr>
        <w:t xml:space="preserve">ume </w:t>
      </w:r>
      <w:r w:rsidRPr="008917F0">
        <w:rPr>
          <w:rFonts w:cstheme="minorHAnsi"/>
        </w:rPr>
        <w:t>52</w:t>
      </w:r>
      <w:r>
        <w:rPr>
          <w:rFonts w:cstheme="minorHAnsi"/>
        </w:rPr>
        <w:t xml:space="preserve"> Issue </w:t>
      </w:r>
      <w:r w:rsidRPr="008917F0">
        <w:rPr>
          <w:rFonts w:cstheme="minorHAnsi"/>
        </w:rPr>
        <w:t>4</w:t>
      </w:r>
      <w:r>
        <w:rPr>
          <w:rFonts w:cstheme="minorHAnsi"/>
        </w:rPr>
        <w:t>,</w:t>
      </w:r>
      <w:r w:rsidRPr="008917F0">
        <w:rPr>
          <w:rFonts w:cstheme="minorHAnsi"/>
        </w:rPr>
        <w:t xml:space="preserve"> </w:t>
      </w:r>
      <w:r>
        <w:rPr>
          <w:rFonts w:cstheme="minorHAnsi"/>
        </w:rPr>
        <w:t xml:space="preserve">Page </w:t>
      </w:r>
      <w:r w:rsidRPr="008917F0">
        <w:rPr>
          <w:rFonts w:cstheme="minorHAnsi"/>
        </w:rPr>
        <w:t>70-77.</w:t>
      </w:r>
    </w:p>
    <w:p w:rsidR="00C1053A" w:rsidRPr="008917F0" w:rsidRDefault="00C1053A" w:rsidP="00C1053A">
      <w:pPr>
        <w:rPr>
          <w:rFonts w:cstheme="minorHAnsi"/>
        </w:rPr>
      </w:pPr>
    </w:p>
    <w:p w:rsidR="00C1053A" w:rsidRDefault="00C1053A" w:rsidP="00C1053A">
      <w:pPr>
        <w:rPr>
          <w:rFonts w:cstheme="minorHAnsi"/>
        </w:rPr>
      </w:pPr>
      <w:r w:rsidRPr="008917F0">
        <w:rPr>
          <w:rFonts w:cstheme="minorHAnsi"/>
        </w:rPr>
        <w:t>West Sussex County Council</w:t>
      </w:r>
      <w:r>
        <w:rPr>
          <w:rFonts w:cstheme="minorHAnsi"/>
        </w:rPr>
        <w:t>.</w:t>
      </w:r>
      <w:r w:rsidRPr="008917F0">
        <w:rPr>
          <w:rFonts w:cstheme="minorHAnsi"/>
        </w:rPr>
        <w:t xml:space="preserve"> (2015) </w:t>
      </w:r>
      <w:r w:rsidRPr="009C6075">
        <w:rPr>
          <w:rFonts w:cstheme="minorHAnsi"/>
          <w:i/>
          <w:iCs/>
        </w:rPr>
        <w:t>Effective Practice: Observation, Assessment and Planning</w:t>
      </w:r>
      <w:r w:rsidRPr="008917F0">
        <w:rPr>
          <w:rFonts w:cstheme="minorHAnsi"/>
        </w:rPr>
        <w:t xml:space="preserve">. </w:t>
      </w:r>
      <w:hyperlink r:id="rId24" w:history="1">
        <w:r w:rsidRPr="008917F0">
          <w:rPr>
            <w:rStyle w:val="Hyperlink"/>
            <w:rFonts w:cstheme="minorHAnsi"/>
          </w:rPr>
          <w:t>https://www.westsussex.gov.uk/media/5555/effective_poa_and_planning.pdf</w:t>
        </w:r>
      </w:hyperlink>
    </w:p>
    <w:p w:rsidR="00C1053A" w:rsidRPr="008917F0" w:rsidRDefault="00C1053A" w:rsidP="00C1053A">
      <w:pPr>
        <w:rPr>
          <w:rFonts w:cstheme="minorHAnsi"/>
        </w:rPr>
      </w:pPr>
    </w:p>
    <w:p w:rsidR="00C1053A" w:rsidRDefault="00C1053A" w:rsidP="00C1053A">
      <w:pPr>
        <w:rPr>
          <w:rFonts w:cstheme="minorHAnsi"/>
        </w:rPr>
      </w:pPr>
      <w:r w:rsidRPr="008917F0">
        <w:rPr>
          <w:rFonts w:cstheme="minorHAnsi"/>
        </w:rPr>
        <w:t>Yazan</w:t>
      </w:r>
      <w:r>
        <w:rPr>
          <w:rFonts w:cstheme="minorHAnsi"/>
        </w:rPr>
        <w:t>, B.</w:t>
      </w:r>
      <w:r w:rsidRPr="008917F0">
        <w:rPr>
          <w:rFonts w:cstheme="minorHAnsi"/>
        </w:rPr>
        <w:t xml:space="preserve"> (2015) </w:t>
      </w:r>
      <w:r w:rsidRPr="009C6075">
        <w:rPr>
          <w:rFonts w:cstheme="minorHAnsi"/>
          <w:i/>
          <w:iCs/>
        </w:rPr>
        <w:t xml:space="preserve">Three approaches to case study methods in education: Yin, Merriam and </w:t>
      </w:r>
      <w:r>
        <w:rPr>
          <w:rFonts w:cstheme="minorHAnsi"/>
          <w:i/>
          <w:iCs/>
        </w:rPr>
        <w:t>S</w:t>
      </w:r>
      <w:r w:rsidRPr="009C6075">
        <w:rPr>
          <w:rFonts w:cstheme="minorHAnsi"/>
          <w:i/>
          <w:iCs/>
        </w:rPr>
        <w:t>take</w:t>
      </w:r>
      <w:r w:rsidRPr="008917F0">
        <w:rPr>
          <w:rFonts w:cstheme="minorHAnsi"/>
        </w:rPr>
        <w:t>. The qualitative report</w:t>
      </w:r>
      <w:r>
        <w:rPr>
          <w:rFonts w:cstheme="minorHAnsi"/>
        </w:rPr>
        <w:t xml:space="preserve">, </w:t>
      </w:r>
      <w:r w:rsidRPr="008917F0">
        <w:rPr>
          <w:rFonts w:cstheme="minorHAnsi"/>
        </w:rPr>
        <w:t>V</w:t>
      </w:r>
      <w:r>
        <w:rPr>
          <w:rFonts w:cstheme="minorHAnsi"/>
        </w:rPr>
        <w:t>olume</w:t>
      </w:r>
      <w:r w:rsidRPr="008917F0">
        <w:rPr>
          <w:rFonts w:cstheme="minorHAnsi"/>
        </w:rPr>
        <w:t xml:space="preserve"> 20 </w:t>
      </w:r>
      <w:r>
        <w:rPr>
          <w:rFonts w:cstheme="minorHAnsi"/>
        </w:rPr>
        <w:t xml:space="preserve">Issue </w:t>
      </w:r>
      <w:r w:rsidRPr="008917F0">
        <w:rPr>
          <w:rFonts w:cstheme="minorHAnsi"/>
        </w:rPr>
        <w:t>2</w:t>
      </w:r>
      <w:r>
        <w:rPr>
          <w:rFonts w:cstheme="minorHAnsi"/>
        </w:rPr>
        <w:t>, Page</w:t>
      </w:r>
      <w:r w:rsidRPr="008917F0">
        <w:rPr>
          <w:rFonts w:cstheme="minorHAnsi"/>
        </w:rPr>
        <w:t xml:space="preserve"> 134-152. </w:t>
      </w:r>
    </w:p>
    <w:p w:rsidR="00C1053A" w:rsidRPr="008917F0" w:rsidRDefault="00C1053A" w:rsidP="00C1053A">
      <w:pPr>
        <w:rPr>
          <w:rFonts w:cstheme="minorHAnsi"/>
        </w:rPr>
      </w:pPr>
    </w:p>
    <w:p w:rsidR="00C1053A" w:rsidRPr="008917F0" w:rsidRDefault="00C1053A" w:rsidP="00C1053A">
      <w:pPr>
        <w:rPr>
          <w:rFonts w:cstheme="minorHAnsi"/>
        </w:rPr>
      </w:pPr>
      <w:r w:rsidRPr="008917F0">
        <w:rPr>
          <w:rFonts w:cstheme="minorHAnsi"/>
        </w:rPr>
        <w:t xml:space="preserve">Yin (2003) </w:t>
      </w:r>
      <w:r w:rsidRPr="009C6075">
        <w:rPr>
          <w:rFonts w:cstheme="minorHAnsi"/>
          <w:i/>
          <w:iCs/>
        </w:rPr>
        <w:t xml:space="preserve">Case Study Research: </w:t>
      </w:r>
      <w:r>
        <w:rPr>
          <w:rFonts w:cstheme="minorHAnsi"/>
          <w:i/>
          <w:iCs/>
        </w:rPr>
        <w:t>D</w:t>
      </w:r>
      <w:r w:rsidRPr="009C6075">
        <w:rPr>
          <w:rFonts w:cstheme="minorHAnsi"/>
          <w:i/>
          <w:iCs/>
        </w:rPr>
        <w:t>esign and methods.</w:t>
      </w:r>
      <w:r w:rsidRPr="008917F0">
        <w:rPr>
          <w:rFonts w:cstheme="minorHAnsi"/>
        </w:rPr>
        <w:t xml:space="preserve"> Applied social research methods series. Volume 5. S</w:t>
      </w:r>
      <w:r>
        <w:rPr>
          <w:rFonts w:cstheme="minorHAnsi"/>
        </w:rPr>
        <w:t>AGE</w:t>
      </w:r>
      <w:r w:rsidRPr="008917F0">
        <w:rPr>
          <w:rFonts w:cstheme="minorHAnsi"/>
        </w:rPr>
        <w:t xml:space="preserve"> publications</w:t>
      </w:r>
      <w:r>
        <w:rPr>
          <w:rFonts w:cstheme="minorHAnsi"/>
        </w:rPr>
        <w:t xml:space="preserve">. </w:t>
      </w:r>
    </w:p>
    <w:p w:rsidR="00C1053A" w:rsidRPr="008917F0" w:rsidRDefault="00C1053A" w:rsidP="00C1053A">
      <w:pPr>
        <w:rPr>
          <w:rFonts w:cstheme="minorHAnsi"/>
        </w:rPr>
      </w:pPr>
    </w:p>
    <w:p w:rsidR="00C1053A" w:rsidRPr="00C1053A" w:rsidRDefault="00C1053A" w:rsidP="00C1053A">
      <w:pPr>
        <w:rPr>
          <w:b/>
          <w:bCs/>
          <w:sz w:val="28"/>
          <w:szCs w:val="28"/>
        </w:rPr>
      </w:pPr>
    </w:p>
    <w:sectPr w:rsidR="00C1053A" w:rsidRPr="00C1053A" w:rsidSect="000C0496">
      <w:pgSz w:w="11900" w:h="16840"/>
      <w:pgMar w:top="614" w:right="963" w:bottom="1440" w:left="1014"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rsidR="00C1053A" w:rsidRDefault="00C1053A" w:rsidP="00C1053A">
      <w:r>
        <w:separator/>
      </w:r>
    </w:p>
  </w:endnote>
  <w:endnote w:type="continuationSeparator" w:id="0">
    <w:p w:rsidR="00C1053A" w:rsidRDefault="00C1053A" w:rsidP="00C1053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A00002EF" w:usb1="4000207B" w:usb2="00000000" w:usb3="00000000" w:csb0="0000009F" w:csb1="00000000"/>
  </w:font>
  <w:font w:name="Times New Roman">
    <w:panose1 w:val="02020603050405020304"/>
    <w:charset w:val="00"/>
    <w:family w:val="roman"/>
    <w:pitch w:val="variable"/>
    <w:sig w:usb0="20002A87" w:usb1="80000000" w:usb2="00000008"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rsidR="00C1053A" w:rsidRDefault="00C1053A" w:rsidP="00C1053A">
      <w:r>
        <w:separator/>
      </w:r>
    </w:p>
  </w:footnote>
  <w:footnote w:type="continuationSeparator" w:id="0">
    <w:p w:rsidR="00C1053A" w:rsidRDefault="00C1053A" w:rsidP="00C1053A">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9"/>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C0496"/>
    <w:rsid w:val="000712D5"/>
    <w:rsid w:val="00094D69"/>
    <w:rsid w:val="000C0496"/>
    <w:rsid w:val="00125464"/>
    <w:rsid w:val="00132D17"/>
    <w:rsid w:val="001F44BB"/>
    <w:rsid w:val="002B5CE3"/>
    <w:rsid w:val="002D0DED"/>
    <w:rsid w:val="00330969"/>
    <w:rsid w:val="00342D69"/>
    <w:rsid w:val="00427BFF"/>
    <w:rsid w:val="00447788"/>
    <w:rsid w:val="004B7443"/>
    <w:rsid w:val="004D54C9"/>
    <w:rsid w:val="005F4D34"/>
    <w:rsid w:val="006728DD"/>
    <w:rsid w:val="006D6BBE"/>
    <w:rsid w:val="006E7A2A"/>
    <w:rsid w:val="00720803"/>
    <w:rsid w:val="007949AF"/>
    <w:rsid w:val="007A652B"/>
    <w:rsid w:val="007C3062"/>
    <w:rsid w:val="007F7A2C"/>
    <w:rsid w:val="00817B2B"/>
    <w:rsid w:val="008A0786"/>
    <w:rsid w:val="0099478C"/>
    <w:rsid w:val="00A502F4"/>
    <w:rsid w:val="00A517F8"/>
    <w:rsid w:val="00B024B9"/>
    <w:rsid w:val="00B325E3"/>
    <w:rsid w:val="00BE5931"/>
    <w:rsid w:val="00C1053A"/>
    <w:rsid w:val="00C85D15"/>
    <w:rsid w:val="00CA49AB"/>
    <w:rsid w:val="00D002DA"/>
    <w:rsid w:val="00D40F7F"/>
    <w:rsid w:val="00D653A6"/>
    <w:rsid w:val="00DD2658"/>
    <w:rsid w:val="00DF4B3A"/>
    <w:rsid w:val="00E0674F"/>
    <w:rsid w:val="00E07AD6"/>
    <w:rsid w:val="00E630F3"/>
    <w:rsid w:val="00EA634F"/>
    <w:rsid w:val="00F54626"/>
    <w:rsid w:val="00F57032"/>
    <w:rsid w:val="00FB10E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1BFACAF5"/>
  <w15:chartTrackingRefBased/>
  <w15:docId w15:val="{577A4E82-D1BB-2C43-9D40-1E5277F815F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C1053A"/>
    <w:pPr>
      <w:tabs>
        <w:tab w:val="center" w:pos="4680"/>
        <w:tab w:val="right" w:pos="9360"/>
      </w:tabs>
    </w:pPr>
  </w:style>
  <w:style w:type="character" w:customStyle="1" w:styleId="HeaderChar">
    <w:name w:val="Header Char"/>
    <w:basedOn w:val="DefaultParagraphFont"/>
    <w:link w:val="Header"/>
    <w:uiPriority w:val="99"/>
    <w:rsid w:val="00C1053A"/>
  </w:style>
  <w:style w:type="paragraph" w:styleId="Footer">
    <w:name w:val="footer"/>
    <w:basedOn w:val="Normal"/>
    <w:link w:val="FooterChar"/>
    <w:uiPriority w:val="99"/>
    <w:unhideWhenUsed/>
    <w:rsid w:val="00C1053A"/>
    <w:pPr>
      <w:tabs>
        <w:tab w:val="center" w:pos="4680"/>
        <w:tab w:val="right" w:pos="9360"/>
      </w:tabs>
    </w:pPr>
  </w:style>
  <w:style w:type="character" w:customStyle="1" w:styleId="FooterChar">
    <w:name w:val="Footer Char"/>
    <w:basedOn w:val="DefaultParagraphFont"/>
    <w:link w:val="Footer"/>
    <w:uiPriority w:val="99"/>
    <w:rsid w:val="00C1053A"/>
  </w:style>
  <w:style w:type="character" w:styleId="Hyperlink">
    <w:name w:val="Hyperlink"/>
    <w:basedOn w:val="DefaultParagraphFont"/>
    <w:unhideWhenUsed/>
    <w:rsid w:val="00C1053A"/>
    <w:rPr>
      <w:color w:val="0563C1" w:themeColor="hyperlink"/>
      <w:u w:val="single"/>
    </w:rPr>
  </w:style>
  <w:style w:type="character" w:styleId="FollowedHyperlink">
    <w:name w:val="FollowedHyperlink"/>
    <w:basedOn w:val="DefaultParagraphFont"/>
    <w:uiPriority w:val="99"/>
    <w:semiHidden/>
    <w:unhideWhenUsed/>
    <w:rsid w:val="00C1053A"/>
    <w:rPr>
      <w:color w:val="954F72" w:themeColor="followedHyperlink"/>
      <w:u w:val="single"/>
    </w:rPr>
  </w:style>
  <w:style w:type="character" w:styleId="UnresolvedMention">
    <w:name w:val="Unresolved Mention"/>
    <w:basedOn w:val="DefaultParagraphFont"/>
    <w:uiPriority w:val="99"/>
    <w:semiHidden/>
    <w:unhideWhenUsed/>
    <w:rsid w:val="00C1053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chart" Target="charts/chart3.xml"/><Relationship Id="rId13" Type="http://schemas.openxmlformats.org/officeDocument/2006/relationships/chart" Target="charts/chart8.xml"/><Relationship Id="rId18" Type="http://schemas.openxmlformats.org/officeDocument/2006/relationships/hyperlink" Target="http://dx.doi.org/10.1007/BF03173007" TargetMode="External"/><Relationship Id="rId26" Type="http://schemas.openxmlformats.org/officeDocument/2006/relationships/theme" Target="theme/theme1.xml"/><Relationship Id="rId3" Type="http://schemas.openxmlformats.org/officeDocument/2006/relationships/webSettings" Target="webSettings.xml"/><Relationship Id="rId21" Type="http://schemas.openxmlformats.org/officeDocument/2006/relationships/hyperlink" Target="https://www.ncbi.nlm.nih.gov/pmc/articles/PMC6803422/" TargetMode="External"/><Relationship Id="rId7" Type="http://schemas.openxmlformats.org/officeDocument/2006/relationships/chart" Target="charts/chart2.xml"/><Relationship Id="rId12" Type="http://schemas.openxmlformats.org/officeDocument/2006/relationships/chart" Target="charts/chart7.xml"/><Relationship Id="rId17" Type="http://schemas.openxmlformats.org/officeDocument/2006/relationships/chart" Target="charts/chart12.xml"/><Relationship Id="rId25" Type="http://schemas.openxmlformats.org/officeDocument/2006/relationships/fontTable" Target="fontTable.xml"/><Relationship Id="rId2" Type="http://schemas.openxmlformats.org/officeDocument/2006/relationships/settings" Target="settings.xml"/><Relationship Id="rId16" Type="http://schemas.openxmlformats.org/officeDocument/2006/relationships/chart" Target="charts/chart11.xml"/><Relationship Id="rId20" Type="http://schemas.openxmlformats.org/officeDocument/2006/relationships/hyperlink" Target="https://www.ncbi.nlm.nih.gov/pmc/articles/PMC5816375/" TargetMode="External"/><Relationship Id="rId1" Type="http://schemas.openxmlformats.org/officeDocument/2006/relationships/styles" Target="styles.xml"/><Relationship Id="rId6" Type="http://schemas.openxmlformats.org/officeDocument/2006/relationships/chart" Target="charts/chart1.xml"/><Relationship Id="rId11" Type="http://schemas.openxmlformats.org/officeDocument/2006/relationships/chart" Target="charts/chart6.xml"/><Relationship Id="rId24" Type="http://schemas.openxmlformats.org/officeDocument/2006/relationships/hyperlink" Target="https://www.westsussex.gov.uk/media/5555/effective_poa_and_planning.pdf" TargetMode="External"/><Relationship Id="rId5" Type="http://schemas.openxmlformats.org/officeDocument/2006/relationships/endnotes" Target="endnotes.xml"/><Relationship Id="rId15" Type="http://schemas.openxmlformats.org/officeDocument/2006/relationships/chart" Target="charts/chart10.xml"/><Relationship Id="rId23" Type="http://schemas.openxmlformats.org/officeDocument/2006/relationships/hyperlink" Target="https://www.ncbi.nlm.nih.gov/pmc/articles/PMC1679392/" TargetMode="External"/><Relationship Id="rId10" Type="http://schemas.openxmlformats.org/officeDocument/2006/relationships/chart" Target="charts/chart5.xml"/><Relationship Id="rId19" Type="http://schemas.openxmlformats.org/officeDocument/2006/relationships/hyperlink" Target="https://emotionallyhealthyschools.org/primary/the-leuven-scale/" TargetMode="External"/><Relationship Id="rId4" Type="http://schemas.openxmlformats.org/officeDocument/2006/relationships/footnotes" Target="footnotes.xml"/><Relationship Id="rId9" Type="http://schemas.openxmlformats.org/officeDocument/2006/relationships/chart" Target="charts/chart4.xml"/><Relationship Id="rId14" Type="http://schemas.openxmlformats.org/officeDocument/2006/relationships/chart" Target="charts/chart9.xml"/><Relationship Id="rId22" Type="http://schemas.openxmlformats.org/officeDocument/2006/relationships/hyperlink" Target="https://eric.ed.gov/?id=ED415771" TargetMode="External"/></Relationships>
</file>

<file path=word/charts/_rels/chart1.xml.rels><?xml version="1.0" encoding="UTF-8" standalone="yes"?>
<Relationships xmlns="http://schemas.openxmlformats.org/package/2006/relationships"><Relationship Id="rId1" Type="http://schemas.openxmlformats.org/officeDocument/2006/relationships/oleObject" Target="file:////Users/eleanorhodgson/Downloads/Seating%20Plan_%20Questionnaire%20(Responses).xlsx" TargetMode="External"/></Relationships>
</file>

<file path=word/charts/_rels/chart2.xml.rels><?xml version="1.0" encoding="UTF-8" standalone="yes"?>
<Relationships xmlns="http://schemas.openxmlformats.org/package/2006/relationships"><Relationship Id="rId1" Type="http://schemas.openxmlformats.org/officeDocument/2006/relationships/oleObject" Target="file:////Users/eleanorhodgson/Downloads/Seating%20Plan_%20Questionnaire%20(Responses).xlsx" TargetMode="External"/></Relationships>
</file>

<file path=word/charts/_rels/chart3.xml.rels><?xml version="1.0" encoding="UTF-8" standalone="yes"?>
<Relationships xmlns="http://schemas.openxmlformats.org/package/2006/relationships"><Relationship Id="rId1" Type="http://schemas.openxmlformats.org/officeDocument/2006/relationships/oleObject" Target="file:////Users/eleanorhodgson/Downloads/Seating%20Plan_%20Questionnaire%20(Responses).xlsx" TargetMode="External"/></Relationships>
</file>

<file path=word/charts/_rels/chart4.xml.rels><?xml version="1.0" encoding="UTF-8" standalone="yes"?>
<Relationships xmlns="http://schemas.openxmlformats.org/package/2006/relationships"><Relationship Id="rId1" Type="http://schemas.openxmlformats.org/officeDocument/2006/relationships/oleObject" Target="file:////Users/eleanorhodgson/Downloads/Seating%20Plan_%20Questionnaire%20(Responses).xlsx" TargetMode="External"/></Relationships>
</file>

<file path=word/charts/_rels/chart5.xml.rels><?xml version="1.0" encoding="UTF-8" standalone="yes"?>
<Relationships xmlns="http://schemas.openxmlformats.org/package/2006/relationships"><Relationship Id="rId1" Type="http://schemas.openxmlformats.org/officeDocument/2006/relationships/oleObject" Target="file:////Users/eleanorhodgson/Downloads/Seating%20Plan_%20Questionnaire%20(Responses).xlsx" TargetMode="External"/></Relationships>
</file>

<file path=word/charts/_rels/chart6.xml.rels><?xml version="1.0" encoding="UTF-8" standalone="yes"?>
<Relationships xmlns="http://schemas.openxmlformats.org/package/2006/relationships"><Relationship Id="rId1" Type="http://schemas.openxmlformats.org/officeDocument/2006/relationships/oleObject" Target="file:////Users/eleanorhodgson/Downloads/Seating%20Plan_%20Questionnaire%20(Responses).xlsx" TargetMode="External"/></Relationships>
</file>

<file path=word/charts/_rels/chart7.xml.rels><?xml version="1.0" encoding="UTF-8" standalone="yes"?>
<Relationships xmlns="http://schemas.openxmlformats.org/package/2006/relationships"><Relationship Id="rId1" Type="http://schemas.openxmlformats.org/officeDocument/2006/relationships/oleObject" Target="file:////Users/eleanorhodgson/Downloads/Seating%20Plan_%20Questionnaire%20(Responses).xlsx" TargetMode="External"/></Relationships>
</file>

<file path=word/charts/_rels/chart8.xml.rels><?xml version="1.0" encoding="UTF-8" standalone="yes"?>
<Relationships xmlns="http://schemas.openxmlformats.org/package/2006/relationships"><Relationship Id="rId1" Type="http://schemas.openxmlformats.org/officeDocument/2006/relationships/oleObject" Target="file:////Users/eleanorhodgson/Downloads/Seating%20Plan_%20Questionnaire%20(Responses).xlsx" TargetMode="External"/></Relationships>
</file>

<file path=word/charts/_rels/chart9.xml.rels><?xml version="1.0" encoding="UTF-8" standalone="yes"?>
<Relationships xmlns="http://schemas.openxmlformats.org/package/2006/relationships"><Relationship Id="rId1" Type="http://schemas.openxmlformats.org/officeDocument/2006/relationships/oleObject" Target="file:////Users/eleanorhodgson/Downloads/Seating%20Plan_%20Questionnaire%20(Responses).xlsx" TargetMode="External"/></Relationships>
</file>

<file path=word/charts/_rels/chart10.xml.rels><?xml version="1.0" encoding="UTF-8" standalone="yes"?>
<Relationships xmlns="http://schemas.openxmlformats.org/package/2006/relationships"><Relationship Id="rId1" Type="http://schemas.openxmlformats.org/officeDocument/2006/relationships/oleObject" Target="file:////Users/eleanorhodgson/Downloads/Seating%20Plan_%20Questionnaire%20(Responses).xlsx" TargetMode="External"/></Relationships>
</file>

<file path=word/charts/_rels/chart11.xml.rels><?xml version="1.0" encoding="UTF-8" standalone="yes"?>
<Relationships xmlns="http://schemas.openxmlformats.org/package/2006/relationships"><Relationship Id="rId1" Type="http://schemas.openxmlformats.org/officeDocument/2006/relationships/oleObject" Target="file:////Users/eleanorhodgson/Downloads/Seating%20Plan_%20Questionnaire%20(Responses).xlsx" TargetMode="External"/></Relationships>
</file>

<file path=word/charts/_rels/chart12.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a:lstStyle/>
          <a:p>
            <a:pPr lvl="0">
              <a:defRPr b="0">
                <a:solidFill>
                  <a:srgbClr val="757575"/>
                </a:solidFill>
                <a:latin typeface="+mn-lt"/>
              </a:defRPr>
            </a:pPr>
            <a:r>
              <a:rPr lang="en-GB" sz="1100" b="0">
                <a:solidFill>
                  <a:schemeClr val="tx1"/>
                </a:solidFill>
                <a:latin typeface="+mn-lt"/>
              </a:rPr>
              <a:t>Roughly, how many questions did you ask the teacher during the lesson on nets?</a:t>
            </a:r>
          </a:p>
        </c:rich>
      </c:tx>
      <c:layout>
        <c:manualLayout>
          <c:xMode val="edge"/>
          <c:yMode val="edge"/>
          <c:x val="0.12619607775047964"/>
          <c:y val="0"/>
        </c:manualLayout>
      </c:layout>
      <c:overlay val="0"/>
    </c:title>
    <c:autoTitleDeleted val="0"/>
    <c:plotArea>
      <c:layout/>
      <c:barChart>
        <c:barDir val="col"/>
        <c:grouping val="clustered"/>
        <c:varyColors val="1"/>
        <c:ser>
          <c:idx val="0"/>
          <c:order val="0"/>
          <c:tx>
            <c:strRef>
              <c:f>'Form responses 1'!$E$1</c:f>
              <c:strCache>
                <c:ptCount val="1"/>
                <c:pt idx="0">
                  <c:v>Roughly how many questions did you ask the teacher during the lesson on nets?</c:v>
                </c:pt>
              </c:strCache>
            </c:strRef>
          </c:tx>
          <c:spPr>
            <a:solidFill>
              <a:srgbClr val="4285F4"/>
            </a:solidFill>
            <a:ln cmpd="sng">
              <a:solidFill>
                <a:srgbClr val="000000"/>
              </a:solidFill>
            </a:ln>
          </c:spPr>
          <c:invertIfNegative val="1"/>
          <c:cat>
            <c:strRef>
              <c:f>'Form responses 1'!$D$2:$D$9</c:f>
              <c:strCache>
                <c:ptCount val="8"/>
                <c:pt idx="0">
                  <c:v>A</c:v>
                </c:pt>
                <c:pt idx="1">
                  <c:v>B</c:v>
                </c:pt>
                <c:pt idx="2">
                  <c:v>C</c:v>
                </c:pt>
                <c:pt idx="3">
                  <c:v>D</c:v>
                </c:pt>
                <c:pt idx="4">
                  <c:v>E</c:v>
                </c:pt>
                <c:pt idx="5">
                  <c:v>F</c:v>
                </c:pt>
                <c:pt idx="6">
                  <c:v>G</c:v>
                </c:pt>
                <c:pt idx="7">
                  <c:v>H</c:v>
                </c:pt>
              </c:strCache>
            </c:strRef>
          </c:cat>
          <c:val>
            <c:numRef>
              <c:f>'Form responses 1'!$E$2:$E$9</c:f>
              <c:numCache>
                <c:formatCode>General</c:formatCode>
                <c:ptCount val="8"/>
                <c:pt idx="0">
                  <c:v>3</c:v>
                </c:pt>
                <c:pt idx="1">
                  <c:v>0</c:v>
                </c:pt>
                <c:pt idx="2">
                  <c:v>4</c:v>
                </c:pt>
                <c:pt idx="3">
                  <c:v>1</c:v>
                </c:pt>
                <c:pt idx="4">
                  <c:v>5</c:v>
                </c:pt>
                <c:pt idx="5">
                  <c:v>2</c:v>
                </c:pt>
                <c:pt idx="6">
                  <c:v>3</c:v>
                </c:pt>
                <c:pt idx="7">
                  <c:v>1</c:v>
                </c:pt>
              </c:numCache>
            </c:numRef>
          </c:val>
          <c:extLst>
            <c:ext xmlns:c14="http://schemas.microsoft.com/office/drawing/2007/8/2/chart" uri="{6F2FDCE9-48DA-4B69-8628-5D25D57E5C99}">
              <c14:invertSolidFillFmt>
                <c14:spPr xmlns:c14="http://schemas.microsoft.com/office/drawing/2007/8/2/chart">
                  <a:solidFill>
                    <a:srgbClr val="FFFFFF"/>
                  </a:solidFill>
                  <a:ln cmpd="sng">
                    <a:solidFill>
                      <a:srgbClr val="000000"/>
                    </a:solidFill>
                  </a:ln>
                </c14:spPr>
              </c14:invertSolidFillFmt>
            </c:ext>
            <c:ext xmlns:c16="http://schemas.microsoft.com/office/drawing/2014/chart" uri="{C3380CC4-5D6E-409C-BE32-E72D297353CC}">
              <c16:uniqueId val="{00000000-B52A-2D4C-BD7B-6676AF9D8530}"/>
            </c:ext>
          </c:extLst>
        </c:ser>
        <c:dLbls>
          <c:showLegendKey val="0"/>
          <c:showVal val="0"/>
          <c:showCatName val="0"/>
          <c:showSerName val="0"/>
          <c:showPercent val="0"/>
          <c:showBubbleSize val="0"/>
        </c:dLbls>
        <c:gapWidth val="150"/>
        <c:axId val="1957045930"/>
        <c:axId val="1265136511"/>
      </c:barChart>
      <c:catAx>
        <c:axId val="1957045930"/>
        <c:scaling>
          <c:orientation val="minMax"/>
        </c:scaling>
        <c:delete val="0"/>
        <c:axPos val="b"/>
        <c:title>
          <c:tx>
            <c:rich>
              <a:bodyPr/>
              <a:lstStyle/>
              <a:p>
                <a:pPr lvl="0">
                  <a:defRPr b="0">
                    <a:solidFill>
                      <a:srgbClr val="000000"/>
                    </a:solidFill>
                    <a:latin typeface="+mn-lt"/>
                  </a:defRPr>
                </a:pPr>
                <a:r>
                  <a:rPr lang="en-GB" b="0">
                    <a:solidFill>
                      <a:srgbClr val="000000"/>
                    </a:solidFill>
                    <a:latin typeface="+mn-lt"/>
                  </a:rPr>
                  <a:t>Child</a:t>
                </a:r>
              </a:p>
            </c:rich>
          </c:tx>
          <c:overlay val="0"/>
        </c:title>
        <c:numFmt formatCode="General" sourceLinked="1"/>
        <c:majorTickMark val="none"/>
        <c:minorTickMark val="none"/>
        <c:tickLblPos val="nextTo"/>
        <c:txPr>
          <a:bodyPr/>
          <a:lstStyle/>
          <a:p>
            <a:pPr lvl="0">
              <a:defRPr b="0">
                <a:solidFill>
                  <a:srgbClr val="000000"/>
                </a:solidFill>
                <a:latin typeface="+mn-lt"/>
              </a:defRPr>
            </a:pPr>
            <a:endParaRPr lang="en-US"/>
          </a:p>
        </c:txPr>
        <c:crossAx val="1265136511"/>
        <c:crosses val="autoZero"/>
        <c:auto val="1"/>
        <c:lblAlgn val="ctr"/>
        <c:lblOffset val="100"/>
        <c:noMultiLvlLbl val="1"/>
      </c:catAx>
      <c:valAx>
        <c:axId val="1265136511"/>
        <c:scaling>
          <c:orientation val="minMax"/>
        </c:scaling>
        <c:delete val="0"/>
        <c:axPos val="l"/>
        <c:majorGridlines>
          <c:spPr>
            <a:ln>
              <a:solidFill>
                <a:srgbClr val="B7B7B7"/>
              </a:solidFill>
            </a:ln>
          </c:spPr>
        </c:majorGridlines>
        <c:minorGridlines>
          <c:spPr>
            <a:ln>
              <a:solidFill>
                <a:srgbClr val="CCCCCC">
                  <a:alpha val="0"/>
                </a:srgbClr>
              </a:solidFill>
            </a:ln>
          </c:spPr>
        </c:minorGridlines>
        <c:numFmt formatCode="General" sourceLinked="1"/>
        <c:majorTickMark val="none"/>
        <c:minorTickMark val="none"/>
        <c:tickLblPos val="nextTo"/>
        <c:spPr>
          <a:ln/>
        </c:spPr>
        <c:txPr>
          <a:bodyPr/>
          <a:lstStyle/>
          <a:p>
            <a:pPr lvl="0">
              <a:defRPr b="0">
                <a:solidFill>
                  <a:srgbClr val="000000"/>
                </a:solidFill>
                <a:latin typeface="+mn-lt"/>
              </a:defRPr>
            </a:pPr>
            <a:endParaRPr lang="en-US"/>
          </a:p>
        </c:txPr>
        <c:crossAx val="1957045930"/>
        <c:crosses val="autoZero"/>
        <c:crossBetween val="between"/>
      </c:valAx>
    </c:plotArea>
    <c:plotVisOnly val="1"/>
    <c:dispBlanksAs val="zero"/>
    <c:showDLblsOverMax val="1"/>
  </c:chart>
  <c:externalData r:id="rId1">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a:lstStyle/>
          <a:p>
            <a:pPr lvl="0">
              <a:defRPr b="0">
                <a:solidFill>
                  <a:srgbClr val="757575"/>
                </a:solidFill>
                <a:latin typeface="+mn-lt"/>
              </a:defRPr>
            </a:pPr>
            <a:r>
              <a:rPr lang="en-GB" sz="1100" b="0">
                <a:solidFill>
                  <a:schemeClr val="tx1"/>
                </a:solidFill>
                <a:latin typeface="+mn-lt"/>
              </a:rPr>
              <a:t>How motivated did you feel in this lesson?</a:t>
            </a:r>
          </a:p>
        </c:rich>
      </c:tx>
      <c:overlay val="0"/>
    </c:title>
    <c:autoTitleDeleted val="0"/>
    <c:plotArea>
      <c:layout/>
      <c:barChart>
        <c:barDir val="col"/>
        <c:grouping val="clustered"/>
        <c:varyColors val="1"/>
        <c:ser>
          <c:idx val="0"/>
          <c:order val="0"/>
          <c:tx>
            <c:strRef>
              <c:f>'Form responses 1'!$F$1</c:f>
              <c:strCache>
                <c:ptCount val="1"/>
                <c:pt idx="0">
                  <c:v>How motivated did you feel in this lesson?</c:v>
                </c:pt>
              </c:strCache>
            </c:strRef>
          </c:tx>
          <c:spPr>
            <a:solidFill>
              <a:srgbClr val="4285F4"/>
            </a:solidFill>
            <a:ln cmpd="sng">
              <a:solidFill>
                <a:srgbClr val="000000"/>
              </a:solidFill>
            </a:ln>
          </c:spPr>
          <c:invertIfNegative val="1"/>
          <c:cat>
            <c:strRef>
              <c:f>'Form responses 1'!$D$2:$D$9</c:f>
              <c:strCache>
                <c:ptCount val="8"/>
                <c:pt idx="0">
                  <c:v>A</c:v>
                </c:pt>
                <c:pt idx="1">
                  <c:v>B</c:v>
                </c:pt>
                <c:pt idx="2">
                  <c:v>C</c:v>
                </c:pt>
                <c:pt idx="3">
                  <c:v>D</c:v>
                </c:pt>
                <c:pt idx="4">
                  <c:v>E</c:v>
                </c:pt>
                <c:pt idx="5">
                  <c:v>F</c:v>
                </c:pt>
                <c:pt idx="6">
                  <c:v>G</c:v>
                </c:pt>
                <c:pt idx="7">
                  <c:v>H</c:v>
                </c:pt>
              </c:strCache>
            </c:strRef>
          </c:cat>
          <c:val>
            <c:numRef>
              <c:f>'Form responses 1'!$F$2:$F$9</c:f>
              <c:numCache>
                <c:formatCode>General</c:formatCode>
                <c:ptCount val="8"/>
                <c:pt idx="0">
                  <c:v>4</c:v>
                </c:pt>
                <c:pt idx="1">
                  <c:v>4</c:v>
                </c:pt>
                <c:pt idx="2">
                  <c:v>4</c:v>
                </c:pt>
                <c:pt idx="3">
                  <c:v>4</c:v>
                </c:pt>
                <c:pt idx="4">
                  <c:v>5</c:v>
                </c:pt>
                <c:pt idx="5">
                  <c:v>3</c:v>
                </c:pt>
                <c:pt idx="6">
                  <c:v>2</c:v>
                </c:pt>
                <c:pt idx="7">
                  <c:v>4</c:v>
                </c:pt>
              </c:numCache>
            </c:numRef>
          </c:val>
          <c:extLst>
            <c:ext xmlns:c14="http://schemas.microsoft.com/office/drawing/2007/8/2/chart" uri="{6F2FDCE9-48DA-4B69-8628-5D25D57E5C99}">
              <c14:invertSolidFillFmt>
                <c14:spPr xmlns:c14="http://schemas.microsoft.com/office/drawing/2007/8/2/chart">
                  <a:solidFill>
                    <a:srgbClr val="FFFFFF"/>
                  </a:solidFill>
                  <a:ln cmpd="sng">
                    <a:solidFill>
                      <a:srgbClr val="000000"/>
                    </a:solidFill>
                  </a:ln>
                </c14:spPr>
              </c14:invertSolidFillFmt>
            </c:ext>
            <c:ext xmlns:c16="http://schemas.microsoft.com/office/drawing/2014/chart" uri="{C3380CC4-5D6E-409C-BE32-E72D297353CC}">
              <c16:uniqueId val="{00000000-1C04-0D42-8ECB-2CB262DFC986}"/>
            </c:ext>
          </c:extLst>
        </c:ser>
        <c:dLbls>
          <c:showLegendKey val="0"/>
          <c:showVal val="0"/>
          <c:showCatName val="0"/>
          <c:showSerName val="0"/>
          <c:showPercent val="0"/>
          <c:showBubbleSize val="0"/>
        </c:dLbls>
        <c:gapWidth val="150"/>
        <c:axId val="497591105"/>
        <c:axId val="268773229"/>
      </c:barChart>
      <c:catAx>
        <c:axId val="497591105"/>
        <c:scaling>
          <c:orientation val="minMax"/>
        </c:scaling>
        <c:delete val="0"/>
        <c:axPos val="b"/>
        <c:title>
          <c:tx>
            <c:rich>
              <a:bodyPr/>
              <a:lstStyle/>
              <a:p>
                <a:pPr lvl="0">
                  <a:defRPr b="0">
                    <a:solidFill>
                      <a:srgbClr val="000000"/>
                    </a:solidFill>
                    <a:latin typeface="+mn-lt"/>
                  </a:defRPr>
                </a:pPr>
                <a:r>
                  <a:rPr lang="en-GB" b="0">
                    <a:solidFill>
                      <a:srgbClr val="000000"/>
                    </a:solidFill>
                    <a:latin typeface="+mn-lt"/>
                  </a:rPr>
                  <a:t>Child</a:t>
                </a:r>
              </a:p>
            </c:rich>
          </c:tx>
          <c:overlay val="0"/>
        </c:title>
        <c:numFmt formatCode="General" sourceLinked="1"/>
        <c:majorTickMark val="none"/>
        <c:minorTickMark val="none"/>
        <c:tickLblPos val="nextTo"/>
        <c:txPr>
          <a:bodyPr/>
          <a:lstStyle/>
          <a:p>
            <a:pPr lvl="0">
              <a:defRPr b="0">
                <a:solidFill>
                  <a:srgbClr val="000000"/>
                </a:solidFill>
                <a:latin typeface="+mn-lt"/>
              </a:defRPr>
            </a:pPr>
            <a:endParaRPr lang="en-US"/>
          </a:p>
        </c:txPr>
        <c:crossAx val="268773229"/>
        <c:crosses val="autoZero"/>
        <c:auto val="1"/>
        <c:lblAlgn val="ctr"/>
        <c:lblOffset val="100"/>
        <c:noMultiLvlLbl val="1"/>
      </c:catAx>
      <c:valAx>
        <c:axId val="268773229"/>
        <c:scaling>
          <c:orientation val="minMax"/>
        </c:scaling>
        <c:delete val="0"/>
        <c:axPos val="l"/>
        <c:majorGridlines>
          <c:spPr>
            <a:ln>
              <a:solidFill>
                <a:srgbClr val="B7B7B7"/>
              </a:solidFill>
            </a:ln>
          </c:spPr>
        </c:majorGridlines>
        <c:minorGridlines>
          <c:spPr>
            <a:ln>
              <a:solidFill>
                <a:srgbClr val="CCCCCC">
                  <a:alpha val="0"/>
                </a:srgbClr>
              </a:solidFill>
            </a:ln>
          </c:spPr>
        </c:minorGridlines>
        <c:numFmt formatCode="General" sourceLinked="1"/>
        <c:majorTickMark val="none"/>
        <c:minorTickMark val="none"/>
        <c:tickLblPos val="nextTo"/>
        <c:spPr>
          <a:ln/>
        </c:spPr>
        <c:txPr>
          <a:bodyPr/>
          <a:lstStyle/>
          <a:p>
            <a:pPr lvl="0">
              <a:defRPr b="0">
                <a:solidFill>
                  <a:srgbClr val="000000"/>
                </a:solidFill>
                <a:latin typeface="+mn-lt"/>
              </a:defRPr>
            </a:pPr>
            <a:endParaRPr lang="en-US"/>
          </a:p>
        </c:txPr>
        <c:crossAx val="497591105"/>
        <c:crosses val="autoZero"/>
        <c:crossBetween val="between"/>
      </c:valAx>
    </c:plotArea>
    <c:plotVisOnly val="1"/>
    <c:dispBlanksAs val="zero"/>
    <c:showDLblsOverMax val="1"/>
  </c:chart>
  <c:spPr>
    <a:ln>
      <a:solidFill>
        <a:srgbClr val="CCCCCC"/>
      </a:solidFill>
    </a:ln>
  </c:spPr>
  <c:externalData r:id="rId1">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a:lstStyle/>
          <a:p>
            <a:pPr lvl="0">
              <a:defRPr b="0">
                <a:solidFill>
                  <a:srgbClr val="757575"/>
                </a:solidFill>
                <a:latin typeface="+mn-lt"/>
              </a:defRPr>
            </a:pPr>
            <a:r>
              <a:rPr lang="en-GB" sz="1100" b="0">
                <a:solidFill>
                  <a:schemeClr val="tx1"/>
                </a:solidFill>
                <a:latin typeface="+mn-lt"/>
              </a:rPr>
              <a:t>To what extent did you understand the content of this lesson?</a:t>
            </a:r>
          </a:p>
        </c:rich>
      </c:tx>
      <c:overlay val="0"/>
    </c:title>
    <c:autoTitleDeleted val="0"/>
    <c:plotArea>
      <c:layout/>
      <c:barChart>
        <c:barDir val="col"/>
        <c:grouping val="clustered"/>
        <c:varyColors val="1"/>
        <c:ser>
          <c:idx val="0"/>
          <c:order val="0"/>
          <c:tx>
            <c:strRef>
              <c:f>'Form responses 1'!$G$1</c:f>
              <c:strCache>
                <c:ptCount val="1"/>
                <c:pt idx="0">
                  <c:v>To what extent did you understand the content of this lesson? </c:v>
                </c:pt>
              </c:strCache>
            </c:strRef>
          </c:tx>
          <c:spPr>
            <a:solidFill>
              <a:srgbClr val="4285F4"/>
            </a:solidFill>
            <a:ln cmpd="sng">
              <a:solidFill>
                <a:srgbClr val="000000"/>
              </a:solidFill>
            </a:ln>
          </c:spPr>
          <c:invertIfNegative val="1"/>
          <c:cat>
            <c:strRef>
              <c:f>'Form responses 1'!$D$2:$D$9</c:f>
              <c:strCache>
                <c:ptCount val="8"/>
                <c:pt idx="0">
                  <c:v>A</c:v>
                </c:pt>
                <c:pt idx="1">
                  <c:v>B</c:v>
                </c:pt>
                <c:pt idx="2">
                  <c:v>C</c:v>
                </c:pt>
                <c:pt idx="3">
                  <c:v>D</c:v>
                </c:pt>
                <c:pt idx="4">
                  <c:v>E</c:v>
                </c:pt>
                <c:pt idx="5">
                  <c:v>F</c:v>
                </c:pt>
                <c:pt idx="6">
                  <c:v>G</c:v>
                </c:pt>
                <c:pt idx="7">
                  <c:v>H</c:v>
                </c:pt>
              </c:strCache>
            </c:strRef>
          </c:cat>
          <c:val>
            <c:numRef>
              <c:f>'Form responses 1'!$G$2:$G$9</c:f>
              <c:numCache>
                <c:formatCode>General</c:formatCode>
                <c:ptCount val="8"/>
                <c:pt idx="0">
                  <c:v>4</c:v>
                </c:pt>
                <c:pt idx="1">
                  <c:v>5</c:v>
                </c:pt>
                <c:pt idx="2">
                  <c:v>3</c:v>
                </c:pt>
                <c:pt idx="3">
                  <c:v>5</c:v>
                </c:pt>
                <c:pt idx="4">
                  <c:v>5</c:v>
                </c:pt>
                <c:pt idx="5">
                  <c:v>3</c:v>
                </c:pt>
                <c:pt idx="6">
                  <c:v>4</c:v>
                </c:pt>
                <c:pt idx="7">
                  <c:v>5</c:v>
                </c:pt>
              </c:numCache>
            </c:numRef>
          </c:val>
          <c:extLst>
            <c:ext xmlns:c14="http://schemas.microsoft.com/office/drawing/2007/8/2/chart" uri="{6F2FDCE9-48DA-4B69-8628-5D25D57E5C99}">
              <c14:invertSolidFillFmt>
                <c14:spPr xmlns:c14="http://schemas.microsoft.com/office/drawing/2007/8/2/chart">
                  <a:solidFill>
                    <a:srgbClr val="FFFFFF"/>
                  </a:solidFill>
                  <a:ln cmpd="sng">
                    <a:solidFill>
                      <a:srgbClr val="000000"/>
                    </a:solidFill>
                  </a:ln>
                </c14:spPr>
              </c14:invertSolidFillFmt>
            </c:ext>
            <c:ext xmlns:c16="http://schemas.microsoft.com/office/drawing/2014/chart" uri="{C3380CC4-5D6E-409C-BE32-E72D297353CC}">
              <c16:uniqueId val="{00000000-8B4F-6B48-A8E3-3E98CB0D5043}"/>
            </c:ext>
          </c:extLst>
        </c:ser>
        <c:dLbls>
          <c:showLegendKey val="0"/>
          <c:showVal val="0"/>
          <c:showCatName val="0"/>
          <c:showSerName val="0"/>
          <c:showPercent val="0"/>
          <c:showBubbleSize val="0"/>
        </c:dLbls>
        <c:gapWidth val="150"/>
        <c:axId val="757277750"/>
        <c:axId val="934249272"/>
      </c:barChart>
      <c:catAx>
        <c:axId val="757277750"/>
        <c:scaling>
          <c:orientation val="minMax"/>
        </c:scaling>
        <c:delete val="0"/>
        <c:axPos val="b"/>
        <c:title>
          <c:tx>
            <c:rich>
              <a:bodyPr/>
              <a:lstStyle/>
              <a:p>
                <a:pPr lvl="0">
                  <a:defRPr b="0">
                    <a:solidFill>
                      <a:srgbClr val="000000"/>
                    </a:solidFill>
                    <a:latin typeface="+mn-lt"/>
                  </a:defRPr>
                </a:pPr>
                <a:r>
                  <a:rPr lang="en-GB" b="0">
                    <a:solidFill>
                      <a:srgbClr val="000000"/>
                    </a:solidFill>
                    <a:latin typeface="+mn-lt"/>
                  </a:rPr>
                  <a:t>Child</a:t>
                </a:r>
              </a:p>
            </c:rich>
          </c:tx>
          <c:overlay val="0"/>
        </c:title>
        <c:numFmt formatCode="General" sourceLinked="1"/>
        <c:majorTickMark val="none"/>
        <c:minorTickMark val="none"/>
        <c:tickLblPos val="nextTo"/>
        <c:txPr>
          <a:bodyPr/>
          <a:lstStyle/>
          <a:p>
            <a:pPr lvl="0">
              <a:defRPr b="0">
                <a:solidFill>
                  <a:srgbClr val="000000"/>
                </a:solidFill>
                <a:latin typeface="+mn-lt"/>
              </a:defRPr>
            </a:pPr>
            <a:endParaRPr lang="en-US"/>
          </a:p>
        </c:txPr>
        <c:crossAx val="934249272"/>
        <c:crosses val="autoZero"/>
        <c:auto val="1"/>
        <c:lblAlgn val="ctr"/>
        <c:lblOffset val="100"/>
        <c:noMultiLvlLbl val="1"/>
      </c:catAx>
      <c:valAx>
        <c:axId val="934249272"/>
        <c:scaling>
          <c:orientation val="minMax"/>
        </c:scaling>
        <c:delete val="0"/>
        <c:axPos val="l"/>
        <c:majorGridlines>
          <c:spPr>
            <a:ln>
              <a:solidFill>
                <a:srgbClr val="B7B7B7"/>
              </a:solidFill>
            </a:ln>
          </c:spPr>
        </c:majorGridlines>
        <c:minorGridlines>
          <c:spPr>
            <a:ln>
              <a:solidFill>
                <a:srgbClr val="CCCCCC">
                  <a:alpha val="0"/>
                </a:srgbClr>
              </a:solidFill>
            </a:ln>
          </c:spPr>
        </c:minorGridlines>
        <c:numFmt formatCode="General" sourceLinked="1"/>
        <c:majorTickMark val="none"/>
        <c:minorTickMark val="none"/>
        <c:tickLblPos val="nextTo"/>
        <c:spPr>
          <a:ln/>
        </c:spPr>
        <c:txPr>
          <a:bodyPr/>
          <a:lstStyle/>
          <a:p>
            <a:pPr lvl="0">
              <a:defRPr b="0">
                <a:solidFill>
                  <a:srgbClr val="000000"/>
                </a:solidFill>
                <a:latin typeface="+mn-lt"/>
              </a:defRPr>
            </a:pPr>
            <a:endParaRPr lang="en-US"/>
          </a:p>
        </c:txPr>
        <c:crossAx val="757277750"/>
        <c:crosses val="autoZero"/>
        <c:crossBetween val="between"/>
      </c:valAx>
    </c:plotArea>
    <c:plotVisOnly val="1"/>
    <c:dispBlanksAs val="zero"/>
    <c:showDLblsOverMax val="1"/>
  </c:chart>
  <c:externalData r:id="rId1">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a:lstStyle/>
          <a:p>
            <a:pPr lvl="0">
              <a:defRPr b="0">
                <a:solidFill>
                  <a:srgbClr val="757575"/>
                </a:solidFill>
                <a:latin typeface="+mn-lt"/>
              </a:defRPr>
            </a:pPr>
            <a:r>
              <a:rPr lang="en-GB" sz="1100" b="0">
                <a:solidFill>
                  <a:schemeClr val="tx1"/>
                </a:solidFill>
                <a:latin typeface="+mn-lt"/>
              </a:rPr>
              <a:t>To what extent did you listen to instructions in this lesson? </a:t>
            </a:r>
          </a:p>
        </c:rich>
      </c:tx>
      <c:overlay val="0"/>
    </c:title>
    <c:autoTitleDeleted val="0"/>
    <c:plotArea>
      <c:layout/>
      <c:barChart>
        <c:barDir val="col"/>
        <c:grouping val="clustered"/>
        <c:varyColors val="1"/>
        <c:ser>
          <c:idx val="0"/>
          <c:order val="0"/>
          <c:tx>
            <c:strRef>
              <c:f>'Form responses 1'!$H$1</c:f>
              <c:strCache>
                <c:ptCount val="1"/>
                <c:pt idx="0">
                  <c:v>To what extent did you listen to instructions in this lesson?</c:v>
                </c:pt>
              </c:strCache>
            </c:strRef>
          </c:tx>
          <c:spPr>
            <a:solidFill>
              <a:srgbClr val="4285F4"/>
            </a:solidFill>
            <a:ln cmpd="sng">
              <a:solidFill>
                <a:srgbClr val="000000"/>
              </a:solidFill>
            </a:ln>
          </c:spPr>
          <c:invertIfNegative val="1"/>
          <c:cat>
            <c:strRef>
              <c:f>'Form responses 1'!$D$2:$D$9</c:f>
              <c:strCache>
                <c:ptCount val="8"/>
                <c:pt idx="0">
                  <c:v>A</c:v>
                </c:pt>
                <c:pt idx="1">
                  <c:v>B</c:v>
                </c:pt>
                <c:pt idx="2">
                  <c:v>C</c:v>
                </c:pt>
                <c:pt idx="3">
                  <c:v>D</c:v>
                </c:pt>
                <c:pt idx="4">
                  <c:v>E</c:v>
                </c:pt>
                <c:pt idx="5">
                  <c:v>F</c:v>
                </c:pt>
                <c:pt idx="6">
                  <c:v>G</c:v>
                </c:pt>
                <c:pt idx="7">
                  <c:v>H</c:v>
                </c:pt>
              </c:strCache>
            </c:strRef>
          </c:cat>
          <c:val>
            <c:numRef>
              <c:f>'Form responses 1'!$H$2:$H$9</c:f>
              <c:numCache>
                <c:formatCode>General</c:formatCode>
                <c:ptCount val="8"/>
                <c:pt idx="0">
                  <c:v>5</c:v>
                </c:pt>
                <c:pt idx="1">
                  <c:v>4</c:v>
                </c:pt>
                <c:pt idx="2">
                  <c:v>4</c:v>
                </c:pt>
                <c:pt idx="3">
                  <c:v>5</c:v>
                </c:pt>
                <c:pt idx="4">
                  <c:v>3</c:v>
                </c:pt>
                <c:pt idx="5">
                  <c:v>5</c:v>
                </c:pt>
                <c:pt idx="6">
                  <c:v>5</c:v>
                </c:pt>
                <c:pt idx="7">
                  <c:v>5</c:v>
                </c:pt>
              </c:numCache>
            </c:numRef>
          </c:val>
          <c:extLst>
            <c:ext xmlns:c14="http://schemas.microsoft.com/office/drawing/2007/8/2/chart" uri="{6F2FDCE9-48DA-4B69-8628-5D25D57E5C99}">
              <c14:invertSolidFillFmt>
                <c14:spPr xmlns:c14="http://schemas.microsoft.com/office/drawing/2007/8/2/chart">
                  <a:solidFill>
                    <a:srgbClr val="FFFFFF"/>
                  </a:solidFill>
                  <a:ln cmpd="sng">
                    <a:solidFill>
                      <a:srgbClr val="000000"/>
                    </a:solidFill>
                  </a:ln>
                </c14:spPr>
              </c14:invertSolidFillFmt>
            </c:ext>
            <c:ext xmlns:c16="http://schemas.microsoft.com/office/drawing/2014/chart" uri="{C3380CC4-5D6E-409C-BE32-E72D297353CC}">
              <c16:uniqueId val="{00000000-C65A-6A47-ACB8-0196B164E1EE}"/>
            </c:ext>
          </c:extLst>
        </c:ser>
        <c:dLbls>
          <c:showLegendKey val="0"/>
          <c:showVal val="0"/>
          <c:showCatName val="0"/>
          <c:showSerName val="0"/>
          <c:showPercent val="0"/>
          <c:showBubbleSize val="0"/>
        </c:dLbls>
        <c:gapWidth val="150"/>
        <c:axId val="297631982"/>
        <c:axId val="956652286"/>
      </c:barChart>
      <c:catAx>
        <c:axId val="297631982"/>
        <c:scaling>
          <c:orientation val="minMax"/>
        </c:scaling>
        <c:delete val="0"/>
        <c:axPos val="b"/>
        <c:title>
          <c:tx>
            <c:rich>
              <a:bodyPr/>
              <a:lstStyle/>
              <a:p>
                <a:pPr lvl="0">
                  <a:defRPr b="0">
                    <a:solidFill>
                      <a:srgbClr val="000000"/>
                    </a:solidFill>
                    <a:latin typeface="+mn-lt"/>
                  </a:defRPr>
                </a:pPr>
                <a:r>
                  <a:rPr lang="en-GB" b="0">
                    <a:solidFill>
                      <a:srgbClr val="000000"/>
                    </a:solidFill>
                    <a:latin typeface="+mn-lt"/>
                  </a:rPr>
                  <a:t>Child</a:t>
                </a:r>
              </a:p>
            </c:rich>
          </c:tx>
          <c:overlay val="0"/>
        </c:title>
        <c:numFmt formatCode="General" sourceLinked="1"/>
        <c:majorTickMark val="none"/>
        <c:minorTickMark val="none"/>
        <c:tickLblPos val="nextTo"/>
        <c:txPr>
          <a:bodyPr/>
          <a:lstStyle/>
          <a:p>
            <a:pPr lvl="0">
              <a:defRPr b="0">
                <a:solidFill>
                  <a:srgbClr val="000000"/>
                </a:solidFill>
                <a:latin typeface="+mn-lt"/>
              </a:defRPr>
            </a:pPr>
            <a:endParaRPr lang="en-US"/>
          </a:p>
        </c:txPr>
        <c:crossAx val="956652286"/>
        <c:crosses val="autoZero"/>
        <c:auto val="1"/>
        <c:lblAlgn val="ctr"/>
        <c:lblOffset val="100"/>
        <c:noMultiLvlLbl val="1"/>
      </c:catAx>
      <c:valAx>
        <c:axId val="956652286"/>
        <c:scaling>
          <c:orientation val="minMax"/>
        </c:scaling>
        <c:delete val="0"/>
        <c:axPos val="l"/>
        <c:majorGridlines>
          <c:spPr>
            <a:ln>
              <a:solidFill>
                <a:srgbClr val="B7B7B7"/>
              </a:solidFill>
            </a:ln>
          </c:spPr>
        </c:majorGridlines>
        <c:minorGridlines>
          <c:spPr>
            <a:ln>
              <a:solidFill>
                <a:srgbClr val="CCCCCC">
                  <a:alpha val="0"/>
                </a:srgbClr>
              </a:solidFill>
            </a:ln>
          </c:spPr>
        </c:minorGridlines>
        <c:numFmt formatCode="General" sourceLinked="1"/>
        <c:majorTickMark val="none"/>
        <c:minorTickMark val="none"/>
        <c:tickLblPos val="nextTo"/>
        <c:spPr>
          <a:ln/>
        </c:spPr>
        <c:txPr>
          <a:bodyPr/>
          <a:lstStyle/>
          <a:p>
            <a:pPr lvl="0">
              <a:defRPr b="0">
                <a:solidFill>
                  <a:srgbClr val="000000"/>
                </a:solidFill>
                <a:latin typeface="+mn-lt"/>
              </a:defRPr>
            </a:pPr>
            <a:endParaRPr lang="en-US"/>
          </a:p>
        </c:txPr>
        <c:crossAx val="297631982"/>
        <c:crosses val="autoZero"/>
        <c:crossBetween val="between"/>
      </c:valAx>
    </c:plotArea>
    <c:plotVisOnly val="1"/>
    <c:dispBlanksAs val="zero"/>
    <c:showDLblsOverMax val="1"/>
  </c:chart>
  <c:externalData r:id="rId1">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a:lstStyle/>
          <a:p>
            <a:pPr lvl="0">
              <a:defRPr b="0">
                <a:solidFill>
                  <a:srgbClr val="757575"/>
                </a:solidFill>
                <a:latin typeface="+mn-lt"/>
              </a:defRPr>
            </a:pPr>
            <a:r>
              <a:rPr lang="en-GB" sz="1100" b="0">
                <a:solidFill>
                  <a:schemeClr val="tx1"/>
                </a:solidFill>
                <a:latin typeface="+mn-lt"/>
              </a:rPr>
              <a:t>How many questions did you answer in the task?</a:t>
            </a:r>
          </a:p>
        </c:rich>
      </c:tx>
      <c:overlay val="0"/>
    </c:title>
    <c:autoTitleDeleted val="0"/>
    <c:plotArea>
      <c:layout/>
      <c:barChart>
        <c:barDir val="col"/>
        <c:grouping val="clustered"/>
        <c:varyColors val="1"/>
        <c:ser>
          <c:idx val="0"/>
          <c:order val="0"/>
          <c:tx>
            <c:strRef>
              <c:f>'Form responses 1'!$I$1</c:f>
              <c:strCache>
                <c:ptCount val="1"/>
                <c:pt idx="0">
                  <c:v>How many questions did you answer in the task?</c:v>
                </c:pt>
              </c:strCache>
            </c:strRef>
          </c:tx>
          <c:spPr>
            <a:solidFill>
              <a:srgbClr val="4285F4"/>
            </a:solidFill>
            <a:ln cmpd="sng">
              <a:solidFill>
                <a:srgbClr val="000000"/>
              </a:solidFill>
            </a:ln>
          </c:spPr>
          <c:invertIfNegative val="1"/>
          <c:cat>
            <c:strRef>
              <c:f>'Form responses 1'!$D$2:$D$9</c:f>
              <c:strCache>
                <c:ptCount val="8"/>
                <c:pt idx="0">
                  <c:v>A</c:v>
                </c:pt>
                <c:pt idx="1">
                  <c:v>B</c:v>
                </c:pt>
                <c:pt idx="2">
                  <c:v>C</c:v>
                </c:pt>
                <c:pt idx="3">
                  <c:v>D</c:v>
                </c:pt>
                <c:pt idx="4">
                  <c:v>E</c:v>
                </c:pt>
                <c:pt idx="5">
                  <c:v>F</c:v>
                </c:pt>
                <c:pt idx="6">
                  <c:v>G</c:v>
                </c:pt>
                <c:pt idx="7">
                  <c:v>H</c:v>
                </c:pt>
              </c:strCache>
            </c:strRef>
          </c:cat>
          <c:val>
            <c:numRef>
              <c:f>'Form responses 1'!$I$2:$I$9</c:f>
              <c:numCache>
                <c:formatCode>General</c:formatCode>
                <c:ptCount val="8"/>
                <c:pt idx="0">
                  <c:v>10</c:v>
                </c:pt>
                <c:pt idx="1">
                  <c:v>7</c:v>
                </c:pt>
                <c:pt idx="2">
                  <c:v>7</c:v>
                </c:pt>
                <c:pt idx="3">
                  <c:v>7</c:v>
                </c:pt>
                <c:pt idx="4">
                  <c:v>8</c:v>
                </c:pt>
                <c:pt idx="5">
                  <c:v>10</c:v>
                </c:pt>
                <c:pt idx="6">
                  <c:v>8</c:v>
                </c:pt>
                <c:pt idx="7">
                  <c:v>8</c:v>
                </c:pt>
              </c:numCache>
            </c:numRef>
          </c:val>
          <c:extLst>
            <c:ext xmlns:c14="http://schemas.microsoft.com/office/drawing/2007/8/2/chart" uri="{6F2FDCE9-48DA-4B69-8628-5D25D57E5C99}">
              <c14:invertSolidFillFmt>
                <c14:spPr xmlns:c14="http://schemas.microsoft.com/office/drawing/2007/8/2/chart">
                  <a:solidFill>
                    <a:srgbClr val="FFFFFF"/>
                  </a:solidFill>
                  <a:ln cmpd="sng">
                    <a:solidFill>
                      <a:srgbClr val="000000"/>
                    </a:solidFill>
                  </a:ln>
                </c14:spPr>
              </c14:invertSolidFillFmt>
            </c:ext>
            <c:ext xmlns:c16="http://schemas.microsoft.com/office/drawing/2014/chart" uri="{C3380CC4-5D6E-409C-BE32-E72D297353CC}">
              <c16:uniqueId val="{00000000-5D61-1E48-9B90-5561A35E69C4}"/>
            </c:ext>
          </c:extLst>
        </c:ser>
        <c:dLbls>
          <c:showLegendKey val="0"/>
          <c:showVal val="0"/>
          <c:showCatName val="0"/>
          <c:showSerName val="0"/>
          <c:showPercent val="0"/>
          <c:showBubbleSize val="0"/>
        </c:dLbls>
        <c:gapWidth val="150"/>
        <c:axId val="1530728633"/>
        <c:axId val="2012512559"/>
      </c:barChart>
      <c:catAx>
        <c:axId val="1530728633"/>
        <c:scaling>
          <c:orientation val="minMax"/>
        </c:scaling>
        <c:delete val="0"/>
        <c:axPos val="b"/>
        <c:title>
          <c:tx>
            <c:rich>
              <a:bodyPr/>
              <a:lstStyle/>
              <a:p>
                <a:pPr lvl="0">
                  <a:defRPr b="0">
                    <a:solidFill>
                      <a:srgbClr val="000000"/>
                    </a:solidFill>
                    <a:latin typeface="+mn-lt"/>
                  </a:defRPr>
                </a:pPr>
                <a:r>
                  <a:rPr lang="en-GB" b="0">
                    <a:solidFill>
                      <a:srgbClr val="000000"/>
                    </a:solidFill>
                    <a:latin typeface="+mn-lt"/>
                  </a:rPr>
                  <a:t>Child</a:t>
                </a:r>
              </a:p>
            </c:rich>
          </c:tx>
          <c:overlay val="0"/>
        </c:title>
        <c:numFmt formatCode="General" sourceLinked="1"/>
        <c:majorTickMark val="none"/>
        <c:minorTickMark val="none"/>
        <c:tickLblPos val="nextTo"/>
        <c:txPr>
          <a:bodyPr/>
          <a:lstStyle/>
          <a:p>
            <a:pPr lvl="0">
              <a:defRPr b="0">
                <a:solidFill>
                  <a:srgbClr val="000000"/>
                </a:solidFill>
                <a:latin typeface="+mn-lt"/>
              </a:defRPr>
            </a:pPr>
            <a:endParaRPr lang="en-US"/>
          </a:p>
        </c:txPr>
        <c:crossAx val="2012512559"/>
        <c:crosses val="autoZero"/>
        <c:auto val="1"/>
        <c:lblAlgn val="ctr"/>
        <c:lblOffset val="100"/>
        <c:noMultiLvlLbl val="1"/>
      </c:catAx>
      <c:valAx>
        <c:axId val="2012512559"/>
        <c:scaling>
          <c:orientation val="minMax"/>
        </c:scaling>
        <c:delete val="0"/>
        <c:axPos val="l"/>
        <c:majorGridlines>
          <c:spPr>
            <a:ln>
              <a:solidFill>
                <a:srgbClr val="B7B7B7"/>
              </a:solidFill>
            </a:ln>
          </c:spPr>
        </c:majorGridlines>
        <c:minorGridlines>
          <c:spPr>
            <a:ln>
              <a:solidFill>
                <a:srgbClr val="CCCCCC">
                  <a:alpha val="0"/>
                </a:srgbClr>
              </a:solidFill>
            </a:ln>
          </c:spPr>
        </c:minorGridlines>
        <c:numFmt formatCode="General" sourceLinked="1"/>
        <c:majorTickMark val="none"/>
        <c:minorTickMark val="none"/>
        <c:tickLblPos val="nextTo"/>
        <c:spPr>
          <a:ln/>
        </c:spPr>
        <c:txPr>
          <a:bodyPr/>
          <a:lstStyle/>
          <a:p>
            <a:pPr lvl="0">
              <a:defRPr b="0">
                <a:solidFill>
                  <a:srgbClr val="000000"/>
                </a:solidFill>
                <a:latin typeface="+mn-lt"/>
              </a:defRPr>
            </a:pPr>
            <a:endParaRPr lang="en-US"/>
          </a:p>
        </c:txPr>
        <c:crossAx val="1530728633"/>
        <c:crosses val="autoZero"/>
        <c:crossBetween val="between"/>
      </c:valAx>
    </c:plotArea>
    <c:plotVisOnly val="1"/>
    <c:dispBlanksAs val="zero"/>
    <c:showDLblsOverMax val="1"/>
  </c:chart>
  <c:externalData r:id="rId1">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a:lstStyle/>
          <a:p>
            <a:pPr lvl="0">
              <a:defRPr b="0">
                <a:solidFill>
                  <a:srgbClr val="757575"/>
                </a:solidFill>
                <a:latin typeface="+mn-lt"/>
              </a:defRPr>
            </a:pPr>
            <a:r>
              <a:rPr lang="en-GB" sz="1100" b="0">
                <a:solidFill>
                  <a:schemeClr val="tx1"/>
                </a:solidFill>
                <a:latin typeface="+mn-lt"/>
              </a:rPr>
              <a:t>How many questions did you get right in the task?</a:t>
            </a:r>
          </a:p>
        </c:rich>
      </c:tx>
      <c:overlay val="0"/>
    </c:title>
    <c:autoTitleDeleted val="0"/>
    <c:plotArea>
      <c:layout/>
      <c:barChart>
        <c:barDir val="col"/>
        <c:grouping val="clustered"/>
        <c:varyColors val="1"/>
        <c:ser>
          <c:idx val="0"/>
          <c:order val="0"/>
          <c:tx>
            <c:strRef>
              <c:f>'Form responses 1'!$J$1</c:f>
              <c:strCache>
                <c:ptCount val="1"/>
                <c:pt idx="0">
                  <c:v>How many questions did you get right in the task?</c:v>
                </c:pt>
              </c:strCache>
            </c:strRef>
          </c:tx>
          <c:spPr>
            <a:solidFill>
              <a:srgbClr val="4285F4"/>
            </a:solidFill>
            <a:ln cmpd="sng">
              <a:solidFill>
                <a:srgbClr val="000000"/>
              </a:solidFill>
            </a:ln>
          </c:spPr>
          <c:invertIfNegative val="1"/>
          <c:cat>
            <c:strRef>
              <c:f>'Form responses 1'!$D$2:$D$9</c:f>
              <c:strCache>
                <c:ptCount val="8"/>
                <c:pt idx="0">
                  <c:v>A</c:v>
                </c:pt>
                <c:pt idx="1">
                  <c:v>B</c:v>
                </c:pt>
                <c:pt idx="2">
                  <c:v>C</c:v>
                </c:pt>
                <c:pt idx="3">
                  <c:v>D</c:v>
                </c:pt>
                <c:pt idx="4">
                  <c:v>E</c:v>
                </c:pt>
                <c:pt idx="5">
                  <c:v>F</c:v>
                </c:pt>
                <c:pt idx="6">
                  <c:v>G</c:v>
                </c:pt>
                <c:pt idx="7">
                  <c:v>H</c:v>
                </c:pt>
              </c:strCache>
            </c:strRef>
          </c:cat>
          <c:val>
            <c:numRef>
              <c:f>'Form responses 1'!$J$2:$J$9</c:f>
              <c:numCache>
                <c:formatCode>General</c:formatCode>
                <c:ptCount val="8"/>
                <c:pt idx="0">
                  <c:v>10</c:v>
                </c:pt>
                <c:pt idx="1">
                  <c:v>6</c:v>
                </c:pt>
                <c:pt idx="2">
                  <c:v>5</c:v>
                </c:pt>
                <c:pt idx="3">
                  <c:v>6</c:v>
                </c:pt>
                <c:pt idx="4">
                  <c:v>8</c:v>
                </c:pt>
                <c:pt idx="5">
                  <c:v>9</c:v>
                </c:pt>
                <c:pt idx="6">
                  <c:v>8</c:v>
                </c:pt>
                <c:pt idx="7">
                  <c:v>7</c:v>
                </c:pt>
              </c:numCache>
            </c:numRef>
          </c:val>
          <c:extLst>
            <c:ext xmlns:c14="http://schemas.microsoft.com/office/drawing/2007/8/2/chart" uri="{6F2FDCE9-48DA-4B69-8628-5D25D57E5C99}">
              <c14:invertSolidFillFmt>
                <c14:spPr xmlns:c14="http://schemas.microsoft.com/office/drawing/2007/8/2/chart">
                  <a:solidFill>
                    <a:srgbClr val="FFFFFF"/>
                  </a:solidFill>
                  <a:ln cmpd="sng">
                    <a:solidFill>
                      <a:srgbClr val="000000"/>
                    </a:solidFill>
                  </a:ln>
                </c14:spPr>
              </c14:invertSolidFillFmt>
            </c:ext>
            <c:ext xmlns:c16="http://schemas.microsoft.com/office/drawing/2014/chart" uri="{C3380CC4-5D6E-409C-BE32-E72D297353CC}">
              <c16:uniqueId val="{00000000-421C-FF4B-AB31-A8CA49819E92}"/>
            </c:ext>
          </c:extLst>
        </c:ser>
        <c:dLbls>
          <c:showLegendKey val="0"/>
          <c:showVal val="0"/>
          <c:showCatName val="0"/>
          <c:showSerName val="0"/>
          <c:showPercent val="0"/>
          <c:showBubbleSize val="0"/>
        </c:dLbls>
        <c:gapWidth val="150"/>
        <c:axId val="743107612"/>
        <c:axId val="1262311951"/>
      </c:barChart>
      <c:catAx>
        <c:axId val="743107612"/>
        <c:scaling>
          <c:orientation val="minMax"/>
        </c:scaling>
        <c:delete val="0"/>
        <c:axPos val="b"/>
        <c:title>
          <c:tx>
            <c:rich>
              <a:bodyPr/>
              <a:lstStyle/>
              <a:p>
                <a:pPr lvl="0">
                  <a:defRPr b="0">
                    <a:solidFill>
                      <a:srgbClr val="000000"/>
                    </a:solidFill>
                    <a:latin typeface="+mn-lt"/>
                  </a:defRPr>
                </a:pPr>
                <a:r>
                  <a:rPr lang="en-GB" b="0">
                    <a:solidFill>
                      <a:srgbClr val="000000"/>
                    </a:solidFill>
                    <a:latin typeface="+mn-lt"/>
                  </a:rPr>
                  <a:t>Child</a:t>
                </a:r>
              </a:p>
            </c:rich>
          </c:tx>
          <c:overlay val="0"/>
        </c:title>
        <c:numFmt formatCode="General" sourceLinked="1"/>
        <c:majorTickMark val="none"/>
        <c:minorTickMark val="none"/>
        <c:tickLblPos val="nextTo"/>
        <c:txPr>
          <a:bodyPr/>
          <a:lstStyle/>
          <a:p>
            <a:pPr lvl="0">
              <a:defRPr b="0">
                <a:solidFill>
                  <a:srgbClr val="000000"/>
                </a:solidFill>
                <a:latin typeface="+mn-lt"/>
              </a:defRPr>
            </a:pPr>
            <a:endParaRPr lang="en-US"/>
          </a:p>
        </c:txPr>
        <c:crossAx val="1262311951"/>
        <c:crosses val="autoZero"/>
        <c:auto val="1"/>
        <c:lblAlgn val="ctr"/>
        <c:lblOffset val="100"/>
        <c:noMultiLvlLbl val="1"/>
      </c:catAx>
      <c:valAx>
        <c:axId val="1262311951"/>
        <c:scaling>
          <c:orientation val="minMax"/>
        </c:scaling>
        <c:delete val="0"/>
        <c:axPos val="l"/>
        <c:majorGridlines>
          <c:spPr>
            <a:ln>
              <a:solidFill>
                <a:srgbClr val="B7B7B7"/>
              </a:solidFill>
            </a:ln>
          </c:spPr>
        </c:majorGridlines>
        <c:minorGridlines>
          <c:spPr>
            <a:ln>
              <a:solidFill>
                <a:srgbClr val="CCCCCC">
                  <a:alpha val="0"/>
                </a:srgbClr>
              </a:solidFill>
            </a:ln>
          </c:spPr>
        </c:minorGridlines>
        <c:numFmt formatCode="General" sourceLinked="1"/>
        <c:majorTickMark val="none"/>
        <c:minorTickMark val="none"/>
        <c:tickLblPos val="nextTo"/>
        <c:spPr>
          <a:ln/>
        </c:spPr>
        <c:txPr>
          <a:bodyPr/>
          <a:lstStyle/>
          <a:p>
            <a:pPr lvl="0">
              <a:defRPr b="0">
                <a:solidFill>
                  <a:srgbClr val="000000"/>
                </a:solidFill>
                <a:latin typeface="+mn-lt"/>
              </a:defRPr>
            </a:pPr>
            <a:endParaRPr lang="en-US"/>
          </a:p>
        </c:txPr>
        <c:crossAx val="743107612"/>
        <c:crosses val="autoZero"/>
        <c:crossBetween val="between"/>
      </c:valAx>
    </c:plotArea>
    <c:plotVisOnly val="1"/>
    <c:dispBlanksAs val="zero"/>
    <c:showDLblsOverMax val="1"/>
  </c:chart>
  <c:externalData r:id="rId1">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a:lstStyle/>
          <a:p>
            <a:pPr lvl="0">
              <a:defRPr b="0">
                <a:solidFill>
                  <a:srgbClr val="757575"/>
                </a:solidFill>
                <a:latin typeface="+mn-lt"/>
              </a:defRPr>
            </a:pPr>
            <a:r>
              <a:rPr lang="en-GB" sz="1100" b="0">
                <a:solidFill>
                  <a:schemeClr val="tx1"/>
                </a:solidFill>
                <a:latin typeface="+mn-lt"/>
              </a:rPr>
              <a:t>Did you enjoy this lesson?</a:t>
            </a:r>
          </a:p>
        </c:rich>
      </c:tx>
      <c:overlay val="0"/>
    </c:title>
    <c:autoTitleDeleted val="0"/>
    <c:plotArea>
      <c:layout/>
      <c:barChart>
        <c:barDir val="col"/>
        <c:grouping val="clustered"/>
        <c:varyColors val="1"/>
        <c:ser>
          <c:idx val="0"/>
          <c:order val="0"/>
          <c:tx>
            <c:strRef>
              <c:f>'Form responses 1'!$K$1</c:f>
              <c:strCache>
                <c:ptCount val="1"/>
                <c:pt idx="0">
                  <c:v>Did you enjoy this lesson?</c:v>
                </c:pt>
              </c:strCache>
            </c:strRef>
          </c:tx>
          <c:spPr>
            <a:solidFill>
              <a:srgbClr val="4285F4"/>
            </a:solidFill>
            <a:ln cmpd="sng">
              <a:solidFill>
                <a:srgbClr val="000000"/>
              </a:solidFill>
            </a:ln>
          </c:spPr>
          <c:invertIfNegative val="1"/>
          <c:cat>
            <c:strRef>
              <c:f>'Form responses 1'!$D$2:$D$9</c:f>
              <c:strCache>
                <c:ptCount val="8"/>
                <c:pt idx="0">
                  <c:v>A</c:v>
                </c:pt>
                <c:pt idx="1">
                  <c:v>B</c:v>
                </c:pt>
                <c:pt idx="2">
                  <c:v>C</c:v>
                </c:pt>
                <c:pt idx="3">
                  <c:v>D</c:v>
                </c:pt>
                <c:pt idx="4">
                  <c:v>E</c:v>
                </c:pt>
                <c:pt idx="5">
                  <c:v>F</c:v>
                </c:pt>
                <c:pt idx="6">
                  <c:v>G</c:v>
                </c:pt>
                <c:pt idx="7">
                  <c:v>H</c:v>
                </c:pt>
              </c:strCache>
            </c:strRef>
          </c:cat>
          <c:val>
            <c:numRef>
              <c:f>'Form responses 1'!$K$2:$K$9</c:f>
              <c:numCache>
                <c:formatCode>General</c:formatCode>
                <c:ptCount val="8"/>
                <c:pt idx="0">
                  <c:v>5</c:v>
                </c:pt>
                <c:pt idx="1">
                  <c:v>5</c:v>
                </c:pt>
                <c:pt idx="2">
                  <c:v>4</c:v>
                </c:pt>
                <c:pt idx="3">
                  <c:v>4</c:v>
                </c:pt>
                <c:pt idx="4">
                  <c:v>5</c:v>
                </c:pt>
                <c:pt idx="5">
                  <c:v>3</c:v>
                </c:pt>
                <c:pt idx="6">
                  <c:v>4</c:v>
                </c:pt>
                <c:pt idx="7">
                  <c:v>4</c:v>
                </c:pt>
              </c:numCache>
            </c:numRef>
          </c:val>
          <c:extLst>
            <c:ext xmlns:c14="http://schemas.microsoft.com/office/drawing/2007/8/2/chart" uri="{6F2FDCE9-48DA-4B69-8628-5D25D57E5C99}">
              <c14:invertSolidFillFmt>
                <c14:spPr xmlns:c14="http://schemas.microsoft.com/office/drawing/2007/8/2/chart">
                  <a:solidFill>
                    <a:srgbClr val="FFFFFF"/>
                  </a:solidFill>
                  <a:ln cmpd="sng">
                    <a:solidFill>
                      <a:srgbClr val="000000"/>
                    </a:solidFill>
                  </a:ln>
                </c14:spPr>
              </c14:invertSolidFillFmt>
            </c:ext>
            <c:ext xmlns:c16="http://schemas.microsoft.com/office/drawing/2014/chart" uri="{C3380CC4-5D6E-409C-BE32-E72D297353CC}">
              <c16:uniqueId val="{00000000-27C6-7249-8D38-9D3241CC8BCD}"/>
            </c:ext>
          </c:extLst>
        </c:ser>
        <c:dLbls>
          <c:showLegendKey val="0"/>
          <c:showVal val="0"/>
          <c:showCatName val="0"/>
          <c:showSerName val="0"/>
          <c:showPercent val="0"/>
          <c:showBubbleSize val="0"/>
        </c:dLbls>
        <c:gapWidth val="150"/>
        <c:axId val="536639459"/>
        <c:axId val="1806055479"/>
      </c:barChart>
      <c:catAx>
        <c:axId val="536639459"/>
        <c:scaling>
          <c:orientation val="minMax"/>
        </c:scaling>
        <c:delete val="0"/>
        <c:axPos val="b"/>
        <c:title>
          <c:tx>
            <c:rich>
              <a:bodyPr/>
              <a:lstStyle/>
              <a:p>
                <a:pPr lvl="0">
                  <a:defRPr b="0">
                    <a:solidFill>
                      <a:srgbClr val="000000"/>
                    </a:solidFill>
                    <a:latin typeface="+mn-lt"/>
                  </a:defRPr>
                </a:pPr>
                <a:r>
                  <a:rPr lang="en-GB" b="0">
                    <a:solidFill>
                      <a:srgbClr val="000000"/>
                    </a:solidFill>
                    <a:latin typeface="+mn-lt"/>
                  </a:rPr>
                  <a:t>Child</a:t>
                </a:r>
              </a:p>
            </c:rich>
          </c:tx>
          <c:overlay val="0"/>
        </c:title>
        <c:numFmt formatCode="General" sourceLinked="1"/>
        <c:majorTickMark val="none"/>
        <c:minorTickMark val="none"/>
        <c:tickLblPos val="nextTo"/>
        <c:txPr>
          <a:bodyPr/>
          <a:lstStyle/>
          <a:p>
            <a:pPr lvl="0">
              <a:defRPr b="0">
                <a:solidFill>
                  <a:srgbClr val="000000"/>
                </a:solidFill>
                <a:latin typeface="+mn-lt"/>
              </a:defRPr>
            </a:pPr>
            <a:endParaRPr lang="en-US"/>
          </a:p>
        </c:txPr>
        <c:crossAx val="1806055479"/>
        <c:crosses val="autoZero"/>
        <c:auto val="1"/>
        <c:lblAlgn val="ctr"/>
        <c:lblOffset val="100"/>
        <c:noMultiLvlLbl val="1"/>
      </c:catAx>
      <c:valAx>
        <c:axId val="1806055479"/>
        <c:scaling>
          <c:orientation val="minMax"/>
        </c:scaling>
        <c:delete val="0"/>
        <c:axPos val="l"/>
        <c:majorGridlines>
          <c:spPr>
            <a:ln>
              <a:solidFill>
                <a:srgbClr val="B7B7B7"/>
              </a:solidFill>
            </a:ln>
          </c:spPr>
        </c:majorGridlines>
        <c:minorGridlines>
          <c:spPr>
            <a:ln>
              <a:solidFill>
                <a:srgbClr val="CCCCCC">
                  <a:alpha val="0"/>
                </a:srgbClr>
              </a:solidFill>
            </a:ln>
          </c:spPr>
        </c:minorGridlines>
        <c:numFmt formatCode="General" sourceLinked="1"/>
        <c:majorTickMark val="none"/>
        <c:minorTickMark val="none"/>
        <c:tickLblPos val="nextTo"/>
        <c:spPr>
          <a:ln/>
        </c:spPr>
        <c:txPr>
          <a:bodyPr/>
          <a:lstStyle/>
          <a:p>
            <a:pPr lvl="0">
              <a:defRPr b="0">
                <a:solidFill>
                  <a:srgbClr val="000000"/>
                </a:solidFill>
                <a:latin typeface="+mn-lt"/>
              </a:defRPr>
            </a:pPr>
            <a:endParaRPr lang="en-US"/>
          </a:p>
        </c:txPr>
        <c:crossAx val="536639459"/>
        <c:crosses val="autoZero"/>
        <c:crossBetween val="between"/>
      </c:valAx>
    </c:plotArea>
    <c:plotVisOnly val="1"/>
    <c:dispBlanksAs val="zero"/>
    <c:showDLblsOverMax val="1"/>
  </c:chart>
  <c:externalData r:id="rId1">
    <c:autoUpdate val="0"/>
  </c:externalData>
</c:chartSpace>
</file>

<file path=word/charts/chart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a:lstStyle/>
          <a:p>
            <a:pPr lvl="0">
              <a:defRPr b="0">
                <a:solidFill>
                  <a:srgbClr val="757575"/>
                </a:solidFill>
                <a:latin typeface="+mn-lt"/>
              </a:defRPr>
            </a:pPr>
            <a:r>
              <a:rPr lang="en-GB" sz="1100" b="0">
                <a:solidFill>
                  <a:schemeClr val="tx1"/>
                </a:solidFill>
                <a:latin typeface="+mn-lt"/>
              </a:rPr>
              <a:t>Do you understand the use of nets in a real life context?</a:t>
            </a:r>
          </a:p>
        </c:rich>
      </c:tx>
      <c:overlay val="0"/>
    </c:title>
    <c:autoTitleDeleted val="0"/>
    <c:plotArea>
      <c:layout/>
      <c:barChart>
        <c:barDir val="col"/>
        <c:grouping val="clustered"/>
        <c:varyColors val="1"/>
        <c:ser>
          <c:idx val="0"/>
          <c:order val="0"/>
          <c:tx>
            <c:strRef>
              <c:f>'Form responses 1'!$L$1</c:f>
              <c:strCache>
                <c:ptCount val="1"/>
                <c:pt idx="0">
                  <c:v>Do you understand the use of nets in a real life context?</c:v>
                </c:pt>
              </c:strCache>
            </c:strRef>
          </c:tx>
          <c:spPr>
            <a:solidFill>
              <a:srgbClr val="4285F4"/>
            </a:solidFill>
            <a:ln cmpd="sng">
              <a:solidFill>
                <a:srgbClr val="000000"/>
              </a:solidFill>
            </a:ln>
          </c:spPr>
          <c:invertIfNegative val="1"/>
          <c:cat>
            <c:strRef>
              <c:f>'Form responses 1'!$D$2:$D$9</c:f>
              <c:strCache>
                <c:ptCount val="8"/>
                <c:pt idx="0">
                  <c:v>A</c:v>
                </c:pt>
                <c:pt idx="1">
                  <c:v>B</c:v>
                </c:pt>
                <c:pt idx="2">
                  <c:v>C</c:v>
                </c:pt>
                <c:pt idx="3">
                  <c:v>D</c:v>
                </c:pt>
                <c:pt idx="4">
                  <c:v>E</c:v>
                </c:pt>
                <c:pt idx="5">
                  <c:v>F</c:v>
                </c:pt>
                <c:pt idx="6">
                  <c:v>G</c:v>
                </c:pt>
                <c:pt idx="7">
                  <c:v>H</c:v>
                </c:pt>
              </c:strCache>
            </c:strRef>
          </c:cat>
          <c:val>
            <c:numRef>
              <c:f>'Form responses 1'!$L$2:$L$9</c:f>
              <c:numCache>
                <c:formatCode>General</c:formatCode>
                <c:ptCount val="8"/>
                <c:pt idx="0">
                  <c:v>5</c:v>
                </c:pt>
                <c:pt idx="1">
                  <c:v>4</c:v>
                </c:pt>
                <c:pt idx="2">
                  <c:v>2</c:v>
                </c:pt>
                <c:pt idx="3">
                  <c:v>3</c:v>
                </c:pt>
                <c:pt idx="4">
                  <c:v>3</c:v>
                </c:pt>
                <c:pt idx="5">
                  <c:v>2</c:v>
                </c:pt>
                <c:pt idx="6">
                  <c:v>5</c:v>
                </c:pt>
                <c:pt idx="7">
                  <c:v>5</c:v>
                </c:pt>
              </c:numCache>
            </c:numRef>
          </c:val>
          <c:extLst>
            <c:ext xmlns:c14="http://schemas.microsoft.com/office/drawing/2007/8/2/chart" uri="{6F2FDCE9-48DA-4B69-8628-5D25D57E5C99}">
              <c14:invertSolidFillFmt>
                <c14:spPr xmlns:c14="http://schemas.microsoft.com/office/drawing/2007/8/2/chart">
                  <a:solidFill>
                    <a:srgbClr val="FFFFFF"/>
                  </a:solidFill>
                  <a:ln cmpd="sng">
                    <a:solidFill>
                      <a:srgbClr val="000000"/>
                    </a:solidFill>
                  </a:ln>
                </c14:spPr>
              </c14:invertSolidFillFmt>
            </c:ext>
            <c:ext xmlns:c16="http://schemas.microsoft.com/office/drawing/2014/chart" uri="{C3380CC4-5D6E-409C-BE32-E72D297353CC}">
              <c16:uniqueId val="{00000000-7684-B84F-B504-FF6F23CCD30C}"/>
            </c:ext>
          </c:extLst>
        </c:ser>
        <c:dLbls>
          <c:showLegendKey val="0"/>
          <c:showVal val="0"/>
          <c:showCatName val="0"/>
          <c:showSerName val="0"/>
          <c:showPercent val="0"/>
          <c:showBubbleSize val="0"/>
        </c:dLbls>
        <c:gapWidth val="150"/>
        <c:axId val="664998781"/>
        <c:axId val="1186190233"/>
      </c:barChart>
      <c:catAx>
        <c:axId val="664998781"/>
        <c:scaling>
          <c:orientation val="minMax"/>
        </c:scaling>
        <c:delete val="0"/>
        <c:axPos val="b"/>
        <c:title>
          <c:tx>
            <c:rich>
              <a:bodyPr/>
              <a:lstStyle/>
              <a:p>
                <a:pPr lvl="0">
                  <a:defRPr b="0">
                    <a:solidFill>
                      <a:srgbClr val="000000"/>
                    </a:solidFill>
                    <a:latin typeface="+mn-lt"/>
                  </a:defRPr>
                </a:pPr>
                <a:r>
                  <a:rPr lang="en-GB" b="0">
                    <a:solidFill>
                      <a:srgbClr val="000000"/>
                    </a:solidFill>
                    <a:latin typeface="+mn-lt"/>
                  </a:rPr>
                  <a:t>Child</a:t>
                </a:r>
              </a:p>
            </c:rich>
          </c:tx>
          <c:overlay val="0"/>
        </c:title>
        <c:numFmt formatCode="General" sourceLinked="1"/>
        <c:majorTickMark val="none"/>
        <c:minorTickMark val="none"/>
        <c:tickLblPos val="nextTo"/>
        <c:txPr>
          <a:bodyPr/>
          <a:lstStyle/>
          <a:p>
            <a:pPr lvl="0">
              <a:defRPr b="0">
                <a:solidFill>
                  <a:srgbClr val="000000"/>
                </a:solidFill>
                <a:latin typeface="+mn-lt"/>
              </a:defRPr>
            </a:pPr>
            <a:endParaRPr lang="en-US"/>
          </a:p>
        </c:txPr>
        <c:crossAx val="1186190233"/>
        <c:crosses val="autoZero"/>
        <c:auto val="1"/>
        <c:lblAlgn val="ctr"/>
        <c:lblOffset val="100"/>
        <c:noMultiLvlLbl val="1"/>
      </c:catAx>
      <c:valAx>
        <c:axId val="1186190233"/>
        <c:scaling>
          <c:orientation val="minMax"/>
        </c:scaling>
        <c:delete val="0"/>
        <c:axPos val="l"/>
        <c:majorGridlines>
          <c:spPr>
            <a:ln>
              <a:solidFill>
                <a:srgbClr val="B7B7B7"/>
              </a:solidFill>
            </a:ln>
          </c:spPr>
        </c:majorGridlines>
        <c:minorGridlines>
          <c:spPr>
            <a:ln>
              <a:solidFill>
                <a:srgbClr val="CCCCCC">
                  <a:alpha val="0"/>
                </a:srgbClr>
              </a:solidFill>
            </a:ln>
          </c:spPr>
        </c:minorGridlines>
        <c:numFmt formatCode="General" sourceLinked="1"/>
        <c:majorTickMark val="none"/>
        <c:minorTickMark val="none"/>
        <c:tickLblPos val="nextTo"/>
        <c:spPr>
          <a:ln/>
        </c:spPr>
        <c:txPr>
          <a:bodyPr/>
          <a:lstStyle/>
          <a:p>
            <a:pPr lvl="0">
              <a:defRPr b="0">
                <a:solidFill>
                  <a:srgbClr val="000000"/>
                </a:solidFill>
                <a:latin typeface="+mn-lt"/>
              </a:defRPr>
            </a:pPr>
            <a:endParaRPr lang="en-US"/>
          </a:p>
        </c:txPr>
        <c:crossAx val="664998781"/>
        <c:crosses val="autoZero"/>
        <c:crossBetween val="between"/>
      </c:valAx>
    </c:plotArea>
    <c:plotVisOnly val="1"/>
    <c:dispBlanksAs val="zero"/>
    <c:showDLblsOverMax val="1"/>
  </c:chart>
  <c:externalData r:id="rId1">
    <c:autoUpdate val="0"/>
  </c:externalData>
</c:chartSpace>
</file>

<file path=word/charts/chart9.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a:lstStyle/>
          <a:p>
            <a:pPr lvl="0">
              <a:defRPr b="0">
                <a:solidFill>
                  <a:srgbClr val="757575"/>
                </a:solidFill>
                <a:latin typeface="+mn-lt"/>
              </a:defRPr>
            </a:pPr>
            <a:r>
              <a:rPr lang="en-GB" sz="1100" b="0">
                <a:solidFill>
                  <a:schemeClr val="tx1"/>
                </a:solidFill>
                <a:latin typeface="+mn-lt"/>
              </a:rPr>
              <a:t>How hard did you work in this lesson?</a:t>
            </a:r>
          </a:p>
        </c:rich>
      </c:tx>
      <c:overlay val="0"/>
    </c:title>
    <c:autoTitleDeleted val="0"/>
    <c:plotArea>
      <c:layout/>
      <c:barChart>
        <c:barDir val="col"/>
        <c:grouping val="clustered"/>
        <c:varyColors val="1"/>
        <c:ser>
          <c:idx val="0"/>
          <c:order val="0"/>
          <c:tx>
            <c:strRef>
              <c:f>'Form responses 1'!$M$1</c:f>
              <c:strCache>
                <c:ptCount val="1"/>
                <c:pt idx="0">
                  <c:v>How hard did you work in this lesson?</c:v>
                </c:pt>
              </c:strCache>
            </c:strRef>
          </c:tx>
          <c:spPr>
            <a:solidFill>
              <a:srgbClr val="4285F4"/>
            </a:solidFill>
            <a:ln cmpd="sng">
              <a:solidFill>
                <a:srgbClr val="000000"/>
              </a:solidFill>
            </a:ln>
          </c:spPr>
          <c:invertIfNegative val="1"/>
          <c:cat>
            <c:strRef>
              <c:f>'Form responses 1'!$D$2:$D$9</c:f>
              <c:strCache>
                <c:ptCount val="8"/>
                <c:pt idx="0">
                  <c:v>A</c:v>
                </c:pt>
                <c:pt idx="1">
                  <c:v>B</c:v>
                </c:pt>
                <c:pt idx="2">
                  <c:v>C</c:v>
                </c:pt>
                <c:pt idx="3">
                  <c:v>D</c:v>
                </c:pt>
                <c:pt idx="4">
                  <c:v>E</c:v>
                </c:pt>
                <c:pt idx="5">
                  <c:v>F</c:v>
                </c:pt>
                <c:pt idx="6">
                  <c:v>G</c:v>
                </c:pt>
                <c:pt idx="7">
                  <c:v>H</c:v>
                </c:pt>
              </c:strCache>
            </c:strRef>
          </c:cat>
          <c:val>
            <c:numRef>
              <c:f>'Form responses 1'!$M$2:$M$9</c:f>
              <c:numCache>
                <c:formatCode>General</c:formatCode>
                <c:ptCount val="8"/>
                <c:pt idx="0">
                  <c:v>5</c:v>
                </c:pt>
                <c:pt idx="1">
                  <c:v>4</c:v>
                </c:pt>
                <c:pt idx="2">
                  <c:v>4</c:v>
                </c:pt>
                <c:pt idx="3">
                  <c:v>4</c:v>
                </c:pt>
                <c:pt idx="4">
                  <c:v>4</c:v>
                </c:pt>
                <c:pt idx="5">
                  <c:v>4</c:v>
                </c:pt>
                <c:pt idx="6">
                  <c:v>4</c:v>
                </c:pt>
                <c:pt idx="7">
                  <c:v>2</c:v>
                </c:pt>
              </c:numCache>
            </c:numRef>
          </c:val>
          <c:extLst>
            <c:ext xmlns:c14="http://schemas.microsoft.com/office/drawing/2007/8/2/chart" uri="{6F2FDCE9-48DA-4B69-8628-5D25D57E5C99}">
              <c14:invertSolidFillFmt>
                <c14:spPr xmlns:c14="http://schemas.microsoft.com/office/drawing/2007/8/2/chart">
                  <a:solidFill>
                    <a:srgbClr val="FFFFFF"/>
                  </a:solidFill>
                  <a:ln cmpd="sng">
                    <a:solidFill>
                      <a:srgbClr val="000000"/>
                    </a:solidFill>
                  </a:ln>
                </c14:spPr>
              </c14:invertSolidFillFmt>
            </c:ext>
            <c:ext xmlns:c16="http://schemas.microsoft.com/office/drawing/2014/chart" uri="{C3380CC4-5D6E-409C-BE32-E72D297353CC}">
              <c16:uniqueId val="{00000000-77BA-EA4B-A874-8C3BC069CCF0}"/>
            </c:ext>
          </c:extLst>
        </c:ser>
        <c:dLbls>
          <c:showLegendKey val="0"/>
          <c:showVal val="0"/>
          <c:showCatName val="0"/>
          <c:showSerName val="0"/>
          <c:showPercent val="0"/>
          <c:showBubbleSize val="0"/>
        </c:dLbls>
        <c:gapWidth val="150"/>
        <c:axId val="394000079"/>
        <c:axId val="1030697531"/>
      </c:barChart>
      <c:catAx>
        <c:axId val="394000079"/>
        <c:scaling>
          <c:orientation val="minMax"/>
        </c:scaling>
        <c:delete val="0"/>
        <c:axPos val="b"/>
        <c:title>
          <c:tx>
            <c:rich>
              <a:bodyPr/>
              <a:lstStyle/>
              <a:p>
                <a:pPr lvl="0">
                  <a:defRPr b="0">
                    <a:solidFill>
                      <a:srgbClr val="000000"/>
                    </a:solidFill>
                    <a:latin typeface="+mn-lt"/>
                  </a:defRPr>
                </a:pPr>
                <a:r>
                  <a:rPr lang="en-GB" b="0">
                    <a:solidFill>
                      <a:srgbClr val="000000"/>
                    </a:solidFill>
                    <a:latin typeface="+mn-lt"/>
                  </a:rPr>
                  <a:t>Child</a:t>
                </a:r>
              </a:p>
            </c:rich>
          </c:tx>
          <c:overlay val="0"/>
        </c:title>
        <c:numFmt formatCode="General" sourceLinked="1"/>
        <c:majorTickMark val="none"/>
        <c:minorTickMark val="none"/>
        <c:tickLblPos val="nextTo"/>
        <c:txPr>
          <a:bodyPr/>
          <a:lstStyle/>
          <a:p>
            <a:pPr lvl="0">
              <a:defRPr b="0">
                <a:solidFill>
                  <a:srgbClr val="000000"/>
                </a:solidFill>
                <a:latin typeface="+mn-lt"/>
              </a:defRPr>
            </a:pPr>
            <a:endParaRPr lang="en-US"/>
          </a:p>
        </c:txPr>
        <c:crossAx val="1030697531"/>
        <c:crosses val="autoZero"/>
        <c:auto val="1"/>
        <c:lblAlgn val="ctr"/>
        <c:lblOffset val="100"/>
        <c:noMultiLvlLbl val="1"/>
      </c:catAx>
      <c:valAx>
        <c:axId val="1030697531"/>
        <c:scaling>
          <c:orientation val="minMax"/>
        </c:scaling>
        <c:delete val="0"/>
        <c:axPos val="l"/>
        <c:majorGridlines>
          <c:spPr>
            <a:ln>
              <a:solidFill>
                <a:srgbClr val="B7B7B7"/>
              </a:solidFill>
            </a:ln>
          </c:spPr>
        </c:majorGridlines>
        <c:minorGridlines>
          <c:spPr>
            <a:ln>
              <a:solidFill>
                <a:srgbClr val="CCCCCC">
                  <a:alpha val="0"/>
                </a:srgbClr>
              </a:solidFill>
            </a:ln>
          </c:spPr>
        </c:minorGridlines>
        <c:numFmt formatCode="General" sourceLinked="1"/>
        <c:majorTickMark val="none"/>
        <c:minorTickMark val="none"/>
        <c:tickLblPos val="nextTo"/>
        <c:spPr>
          <a:ln/>
        </c:spPr>
        <c:txPr>
          <a:bodyPr/>
          <a:lstStyle/>
          <a:p>
            <a:pPr lvl="0">
              <a:defRPr b="0">
                <a:solidFill>
                  <a:srgbClr val="000000"/>
                </a:solidFill>
                <a:latin typeface="+mn-lt"/>
              </a:defRPr>
            </a:pPr>
            <a:endParaRPr lang="en-US"/>
          </a:p>
        </c:txPr>
        <c:crossAx val="394000079"/>
        <c:crosses val="autoZero"/>
        <c:crossBetween val="between"/>
      </c:valAx>
    </c:plotArea>
    <c:plotVisOnly val="1"/>
    <c:dispBlanksAs val="zero"/>
    <c:showDLblsOverMax val="1"/>
  </c:chart>
  <c:externalData r:id="rId1">
    <c:autoUpdate val="0"/>
  </c:externalData>
</c:chartSpace>
</file>

<file path=word/charts/chart10.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a:lstStyle/>
          <a:p>
            <a:pPr lvl="0">
              <a:defRPr b="0">
                <a:solidFill>
                  <a:srgbClr val="757575"/>
                </a:solidFill>
                <a:latin typeface="+mn-lt"/>
              </a:defRPr>
            </a:pPr>
            <a:r>
              <a:rPr lang="en-GB" sz="1100" b="0">
                <a:solidFill>
                  <a:schemeClr val="tx1"/>
                </a:solidFill>
                <a:latin typeface="+mn-lt"/>
              </a:rPr>
              <a:t>How interesting did you find nets as a topic?</a:t>
            </a:r>
          </a:p>
        </c:rich>
      </c:tx>
      <c:overlay val="0"/>
    </c:title>
    <c:autoTitleDeleted val="0"/>
    <c:plotArea>
      <c:layout/>
      <c:barChart>
        <c:barDir val="col"/>
        <c:grouping val="clustered"/>
        <c:varyColors val="1"/>
        <c:ser>
          <c:idx val="0"/>
          <c:order val="0"/>
          <c:tx>
            <c:strRef>
              <c:f>'Form responses 1'!$N$1</c:f>
              <c:strCache>
                <c:ptCount val="1"/>
                <c:pt idx="0">
                  <c:v>How interesting did you find nets as a topic?</c:v>
                </c:pt>
              </c:strCache>
            </c:strRef>
          </c:tx>
          <c:spPr>
            <a:solidFill>
              <a:srgbClr val="4285F4"/>
            </a:solidFill>
            <a:ln cmpd="sng">
              <a:solidFill>
                <a:srgbClr val="000000"/>
              </a:solidFill>
            </a:ln>
          </c:spPr>
          <c:invertIfNegative val="1"/>
          <c:cat>
            <c:strRef>
              <c:f>'Form responses 1'!$D$2:$D$9</c:f>
              <c:strCache>
                <c:ptCount val="8"/>
                <c:pt idx="0">
                  <c:v>A</c:v>
                </c:pt>
                <c:pt idx="1">
                  <c:v>B</c:v>
                </c:pt>
                <c:pt idx="2">
                  <c:v>C</c:v>
                </c:pt>
                <c:pt idx="3">
                  <c:v>D</c:v>
                </c:pt>
                <c:pt idx="4">
                  <c:v>E</c:v>
                </c:pt>
                <c:pt idx="5">
                  <c:v>F</c:v>
                </c:pt>
                <c:pt idx="6">
                  <c:v>G</c:v>
                </c:pt>
                <c:pt idx="7">
                  <c:v>H</c:v>
                </c:pt>
              </c:strCache>
            </c:strRef>
          </c:cat>
          <c:val>
            <c:numRef>
              <c:f>'Form responses 1'!$N$2:$N$9</c:f>
              <c:numCache>
                <c:formatCode>General</c:formatCode>
                <c:ptCount val="8"/>
                <c:pt idx="0">
                  <c:v>5</c:v>
                </c:pt>
                <c:pt idx="1">
                  <c:v>4</c:v>
                </c:pt>
                <c:pt idx="2">
                  <c:v>3</c:v>
                </c:pt>
                <c:pt idx="3">
                  <c:v>3</c:v>
                </c:pt>
                <c:pt idx="4">
                  <c:v>4</c:v>
                </c:pt>
                <c:pt idx="5">
                  <c:v>3</c:v>
                </c:pt>
                <c:pt idx="6">
                  <c:v>4</c:v>
                </c:pt>
                <c:pt idx="7">
                  <c:v>4</c:v>
                </c:pt>
              </c:numCache>
            </c:numRef>
          </c:val>
          <c:extLst>
            <c:ext xmlns:c14="http://schemas.microsoft.com/office/drawing/2007/8/2/chart" uri="{6F2FDCE9-48DA-4B69-8628-5D25D57E5C99}">
              <c14:invertSolidFillFmt>
                <c14:spPr xmlns:c14="http://schemas.microsoft.com/office/drawing/2007/8/2/chart">
                  <a:solidFill>
                    <a:srgbClr val="FFFFFF"/>
                  </a:solidFill>
                  <a:ln cmpd="sng">
                    <a:solidFill>
                      <a:srgbClr val="000000"/>
                    </a:solidFill>
                  </a:ln>
                </c14:spPr>
              </c14:invertSolidFillFmt>
            </c:ext>
            <c:ext xmlns:c16="http://schemas.microsoft.com/office/drawing/2014/chart" uri="{C3380CC4-5D6E-409C-BE32-E72D297353CC}">
              <c16:uniqueId val="{00000000-0A3B-9F40-9FC2-8835E6974585}"/>
            </c:ext>
          </c:extLst>
        </c:ser>
        <c:dLbls>
          <c:showLegendKey val="0"/>
          <c:showVal val="0"/>
          <c:showCatName val="0"/>
          <c:showSerName val="0"/>
          <c:showPercent val="0"/>
          <c:showBubbleSize val="0"/>
        </c:dLbls>
        <c:gapWidth val="150"/>
        <c:axId val="357934979"/>
        <c:axId val="715450208"/>
      </c:barChart>
      <c:catAx>
        <c:axId val="357934979"/>
        <c:scaling>
          <c:orientation val="minMax"/>
        </c:scaling>
        <c:delete val="0"/>
        <c:axPos val="b"/>
        <c:title>
          <c:tx>
            <c:rich>
              <a:bodyPr/>
              <a:lstStyle/>
              <a:p>
                <a:pPr lvl="0">
                  <a:defRPr b="0">
                    <a:solidFill>
                      <a:srgbClr val="000000"/>
                    </a:solidFill>
                    <a:latin typeface="+mn-lt"/>
                  </a:defRPr>
                </a:pPr>
                <a:r>
                  <a:rPr lang="en-GB" b="0">
                    <a:solidFill>
                      <a:srgbClr val="000000"/>
                    </a:solidFill>
                    <a:latin typeface="+mn-lt"/>
                  </a:rPr>
                  <a:t>Child</a:t>
                </a:r>
              </a:p>
            </c:rich>
          </c:tx>
          <c:overlay val="0"/>
        </c:title>
        <c:numFmt formatCode="General" sourceLinked="1"/>
        <c:majorTickMark val="none"/>
        <c:minorTickMark val="none"/>
        <c:tickLblPos val="nextTo"/>
        <c:txPr>
          <a:bodyPr/>
          <a:lstStyle/>
          <a:p>
            <a:pPr lvl="0">
              <a:defRPr b="0">
                <a:solidFill>
                  <a:srgbClr val="000000"/>
                </a:solidFill>
                <a:latin typeface="+mn-lt"/>
              </a:defRPr>
            </a:pPr>
            <a:endParaRPr lang="en-US"/>
          </a:p>
        </c:txPr>
        <c:crossAx val="715450208"/>
        <c:crosses val="autoZero"/>
        <c:auto val="1"/>
        <c:lblAlgn val="ctr"/>
        <c:lblOffset val="100"/>
        <c:noMultiLvlLbl val="1"/>
      </c:catAx>
      <c:valAx>
        <c:axId val="715450208"/>
        <c:scaling>
          <c:orientation val="minMax"/>
        </c:scaling>
        <c:delete val="0"/>
        <c:axPos val="l"/>
        <c:majorGridlines>
          <c:spPr>
            <a:ln>
              <a:solidFill>
                <a:srgbClr val="B7B7B7"/>
              </a:solidFill>
            </a:ln>
          </c:spPr>
        </c:majorGridlines>
        <c:minorGridlines>
          <c:spPr>
            <a:ln>
              <a:solidFill>
                <a:srgbClr val="CCCCCC">
                  <a:alpha val="0"/>
                </a:srgbClr>
              </a:solidFill>
            </a:ln>
          </c:spPr>
        </c:minorGridlines>
        <c:numFmt formatCode="General" sourceLinked="1"/>
        <c:majorTickMark val="none"/>
        <c:minorTickMark val="none"/>
        <c:tickLblPos val="nextTo"/>
        <c:spPr>
          <a:ln/>
        </c:spPr>
        <c:txPr>
          <a:bodyPr/>
          <a:lstStyle/>
          <a:p>
            <a:pPr lvl="0">
              <a:defRPr b="0">
                <a:solidFill>
                  <a:srgbClr val="000000"/>
                </a:solidFill>
                <a:latin typeface="+mn-lt"/>
              </a:defRPr>
            </a:pPr>
            <a:endParaRPr lang="en-US"/>
          </a:p>
        </c:txPr>
        <c:crossAx val="357934979"/>
        <c:crosses val="autoZero"/>
        <c:crossBetween val="between"/>
      </c:valAx>
    </c:plotArea>
    <c:plotVisOnly val="1"/>
    <c:dispBlanksAs val="zero"/>
    <c:showDLblsOverMax val="1"/>
  </c:chart>
  <c:externalData r:id="rId1">
    <c:autoUpdate val="0"/>
  </c:externalData>
</c:chartSpace>
</file>

<file path=word/charts/chart1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a:lstStyle/>
          <a:p>
            <a:pPr lvl="0">
              <a:defRPr b="0">
                <a:solidFill>
                  <a:srgbClr val="757575"/>
                </a:solidFill>
                <a:latin typeface="+mn-lt"/>
              </a:defRPr>
            </a:pPr>
            <a:r>
              <a:rPr lang="en-GB" sz="1100" b="0">
                <a:solidFill>
                  <a:schemeClr val="tx1"/>
                </a:solidFill>
                <a:latin typeface="+mn-lt"/>
              </a:rPr>
              <a:t>Would you like to learn more about nets?</a:t>
            </a:r>
          </a:p>
        </c:rich>
      </c:tx>
      <c:overlay val="0"/>
    </c:title>
    <c:autoTitleDeleted val="0"/>
    <c:plotArea>
      <c:layout/>
      <c:barChart>
        <c:barDir val="col"/>
        <c:grouping val="clustered"/>
        <c:varyColors val="1"/>
        <c:ser>
          <c:idx val="0"/>
          <c:order val="0"/>
          <c:tx>
            <c:strRef>
              <c:f>'Form responses 1'!$O$1</c:f>
              <c:strCache>
                <c:ptCount val="1"/>
                <c:pt idx="0">
                  <c:v>Would you like to learn more about nets?</c:v>
                </c:pt>
              </c:strCache>
            </c:strRef>
          </c:tx>
          <c:spPr>
            <a:solidFill>
              <a:srgbClr val="4285F4"/>
            </a:solidFill>
            <a:ln cmpd="sng">
              <a:solidFill>
                <a:srgbClr val="000000"/>
              </a:solidFill>
            </a:ln>
          </c:spPr>
          <c:invertIfNegative val="1"/>
          <c:cat>
            <c:strRef>
              <c:f>'Form responses 1'!$D$2:$D$9</c:f>
              <c:strCache>
                <c:ptCount val="8"/>
                <c:pt idx="0">
                  <c:v>A</c:v>
                </c:pt>
                <c:pt idx="1">
                  <c:v>B</c:v>
                </c:pt>
                <c:pt idx="2">
                  <c:v>C</c:v>
                </c:pt>
                <c:pt idx="3">
                  <c:v>D</c:v>
                </c:pt>
                <c:pt idx="4">
                  <c:v>E</c:v>
                </c:pt>
                <c:pt idx="5">
                  <c:v>F</c:v>
                </c:pt>
                <c:pt idx="6">
                  <c:v>G</c:v>
                </c:pt>
                <c:pt idx="7">
                  <c:v>H</c:v>
                </c:pt>
              </c:strCache>
            </c:strRef>
          </c:cat>
          <c:val>
            <c:numRef>
              <c:f>'Form responses 1'!$O$2:$O$9</c:f>
              <c:numCache>
                <c:formatCode>General</c:formatCode>
                <c:ptCount val="8"/>
                <c:pt idx="0">
                  <c:v>5</c:v>
                </c:pt>
                <c:pt idx="1">
                  <c:v>3</c:v>
                </c:pt>
                <c:pt idx="2">
                  <c:v>2</c:v>
                </c:pt>
                <c:pt idx="3">
                  <c:v>4</c:v>
                </c:pt>
                <c:pt idx="4">
                  <c:v>3</c:v>
                </c:pt>
                <c:pt idx="5">
                  <c:v>4</c:v>
                </c:pt>
                <c:pt idx="6">
                  <c:v>4</c:v>
                </c:pt>
                <c:pt idx="7">
                  <c:v>3</c:v>
                </c:pt>
              </c:numCache>
            </c:numRef>
          </c:val>
          <c:extLst>
            <c:ext xmlns:c14="http://schemas.microsoft.com/office/drawing/2007/8/2/chart" uri="{6F2FDCE9-48DA-4B69-8628-5D25D57E5C99}">
              <c14:invertSolidFillFmt>
                <c14:spPr xmlns:c14="http://schemas.microsoft.com/office/drawing/2007/8/2/chart">
                  <a:solidFill>
                    <a:srgbClr val="FFFFFF"/>
                  </a:solidFill>
                  <a:ln cmpd="sng">
                    <a:solidFill>
                      <a:srgbClr val="000000"/>
                    </a:solidFill>
                  </a:ln>
                </c14:spPr>
              </c14:invertSolidFillFmt>
            </c:ext>
            <c:ext xmlns:c16="http://schemas.microsoft.com/office/drawing/2014/chart" uri="{C3380CC4-5D6E-409C-BE32-E72D297353CC}">
              <c16:uniqueId val="{00000000-710A-5B48-B523-DC85C5B4203F}"/>
            </c:ext>
          </c:extLst>
        </c:ser>
        <c:dLbls>
          <c:showLegendKey val="0"/>
          <c:showVal val="0"/>
          <c:showCatName val="0"/>
          <c:showSerName val="0"/>
          <c:showPercent val="0"/>
          <c:showBubbleSize val="0"/>
        </c:dLbls>
        <c:gapWidth val="150"/>
        <c:axId val="1212853038"/>
        <c:axId val="1639151326"/>
      </c:barChart>
      <c:catAx>
        <c:axId val="1212853038"/>
        <c:scaling>
          <c:orientation val="minMax"/>
        </c:scaling>
        <c:delete val="0"/>
        <c:axPos val="b"/>
        <c:title>
          <c:tx>
            <c:rich>
              <a:bodyPr/>
              <a:lstStyle/>
              <a:p>
                <a:pPr lvl="0">
                  <a:defRPr b="0">
                    <a:solidFill>
                      <a:srgbClr val="000000"/>
                    </a:solidFill>
                    <a:latin typeface="+mn-lt"/>
                  </a:defRPr>
                </a:pPr>
                <a:r>
                  <a:rPr lang="en-GB" b="0">
                    <a:solidFill>
                      <a:srgbClr val="000000"/>
                    </a:solidFill>
                    <a:latin typeface="+mn-lt"/>
                  </a:rPr>
                  <a:t>Child</a:t>
                </a:r>
              </a:p>
            </c:rich>
          </c:tx>
          <c:overlay val="0"/>
        </c:title>
        <c:numFmt formatCode="General" sourceLinked="1"/>
        <c:majorTickMark val="none"/>
        <c:minorTickMark val="none"/>
        <c:tickLblPos val="nextTo"/>
        <c:txPr>
          <a:bodyPr/>
          <a:lstStyle/>
          <a:p>
            <a:pPr lvl="0">
              <a:defRPr b="0">
                <a:solidFill>
                  <a:srgbClr val="000000"/>
                </a:solidFill>
                <a:latin typeface="+mn-lt"/>
              </a:defRPr>
            </a:pPr>
            <a:endParaRPr lang="en-US"/>
          </a:p>
        </c:txPr>
        <c:crossAx val="1639151326"/>
        <c:crosses val="autoZero"/>
        <c:auto val="1"/>
        <c:lblAlgn val="ctr"/>
        <c:lblOffset val="100"/>
        <c:noMultiLvlLbl val="1"/>
      </c:catAx>
      <c:valAx>
        <c:axId val="1639151326"/>
        <c:scaling>
          <c:orientation val="minMax"/>
        </c:scaling>
        <c:delete val="0"/>
        <c:axPos val="l"/>
        <c:majorGridlines>
          <c:spPr>
            <a:ln>
              <a:solidFill>
                <a:srgbClr val="B7B7B7"/>
              </a:solidFill>
            </a:ln>
          </c:spPr>
        </c:majorGridlines>
        <c:minorGridlines>
          <c:spPr>
            <a:ln>
              <a:solidFill>
                <a:srgbClr val="CCCCCC">
                  <a:alpha val="0"/>
                </a:srgbClr>
              </a:solidFill>
            </a:ln>
          </c:spPr>
        </c:minorGridlines>
        <c:numFmt formatCode="General" sourceLinked="1"/>
        <c:majorTickMark val="none"/>
        <c:minorTickMark val="none"/>
        <c:tickLblPos val="nextTo"/>
        <c:spPr>
          <a:ln/>
        </c:spPr>
        <c:txPr>
          <a:bodyPr/>
          <a:lstStyle/>
          <a:p>
            <a:pPr lvl="0">
              <a:defRPr b="0">
                <a:solidFill>
                  <a:srgbClr val="000000"/>
                </a:solidFill>
                <a:latin typeface="+mn-lt"/>
              </a:defRPr>
            </a:pPr>
            <a:endParaRPr lang="en-US"/>
          </a:p>
        </c:txPr>
        <c:crossAx val="1212853038"/>
        <c:crosses val="autoZero"/>
        <c:crossBetween val="between"/>
      </c:valAx>
    </c:plotArea>
    <c:plotVisOnly val="1"/>
    <c:dispBlanksAs val="zero"/>
    <c:showDLblsOverMax val="1"/>
  </c:chart>
  <c:externalData r:id="rId1">
    <c:autoUpdate val="0"/>
  </c:externalData>
</c:chartSpace>
</file>

<file path=word/charts/chart1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6"/>
    </mc:Choice>
    <mc:Fallback>
      <c:style val="6"/>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Activity Observed</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Sheet1!$D$1</c:f>
              <c:strCache>
                <c:ptCount val="1"/>
                <c:pt idx="0">
                  <c:v>Activity</c:v>
                </c:pt>
              </c:strCache>
            </c:strRef>
          </c:tx>
          <c:spPr>
            <a:solidFill>
              <a:schemeClr val="accent4"/>
            </a:solidFill>
            <a:ln>
              <a:noFill/>
            </a:ln>
            <a:effectLst/>
          </c:spPr>
          <c:invertIfNegative val="0"/>
          <c:cat>
            <c:strRef>
              <c:f>Sheet1!$C$2:$C$9</c:f>
              <c:strCache>
                <c:ptCount val="8"/>
                <c:pt idx="0">
                  <c:v>A</c:v>
                </c:pt>
                <c:pt idx="1">
                  <c:v>B</c:v>
                </c:pt>
                <c:pt idx="2">
                  <c:v>C</c:v>
                </c:pt>
                <c:pt idx="3">
                  <c:v>D</c:v>
                </c:pt>
                <c:pt idx="4">
                  <c:v>E</c:v>
                </c:pt>
                <c:pt idx="5">
                  <c:v>F</c:v>
                </c:pt>
                <c:pt idx="6">
                  <c:v>G</c:v>
                </c:pt>
                <c:pt idx="7">
                  <c:v>H</c:v>
                </c:pt>
              </c:strCache>
            </c:strRef>
          </c:cat>
          <c:val>
            <c:numRef>
              <c:f>Sheet1!$D$2:$D$9</c:f>
              <c:numCache>
                <c:formatCode>General</c:formatCode>
                <c:ptCount val="8"/>
                <c:pt idx="0">
                  <c:v>3</c:v>
                </c:pt>
                <c:pt idx="1">
                  <c:v>5</c:v>
                </c:pt>
                <c:pt idx="2">
                  <c:v>2</c:v>
                </c:pt>
                <c:pt idx="3">
                  <c:v>1</c:v>
                </c:pt>
                <c:pt idx="4">
                  <c:v>4</c:v>
                </c:pt>
                <c:pt idx="5">
                  <c:v>3</c:v>
                </c:pt>
                <c:pt idx="6">
                  <c:v>4</c:v>
                </c:pt>
                <c:pt idx="7">
                  <c:v>2</c:v>
                </c:pt>
              </c:numCache>
            </c:numRef>
          </c:val>
          <c:extLst>
            <c:ext xmlns:c16="http://schemas.microsoft.com/office/drawing/2014/chart" uri="{C3380CC4-5D6E-409C-BE32-E72D297353CC}">
              <c16:uniqueId val="{00000000-03D0-C845-A7A3-58B105B405E1}"/>
            </c:ext>
          </c:extLst>
        </c:ser>
        <c:dLbls>
          <c:showLegendKey val="0"/>
          <c:showVal val="0"/>
          <c:showCatName val="0"/>
          <c:showSerName val="0"/>
          <c:showPercent val="0"/>
          <c:showBubbleSize val="0"/>
        </c:dLbls>
        <c:gapWidth val="219"/>
        <c:overlap val="-27"/>
        <c:axId val="680567440"/>
        <c:axId val="680645264"/>
      </c:barChart>
      <c:catAx>
        <c:axId val="680567440"/>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80645264"/>
        <c:crosses val="autoZero"/>
        <c:auto val="1"/>
        <c:lblAlgn val="ctr"/>
        <c:lblOffset val="100"/>
        <c:noMultiLvlLbl val="0"/>
      </c:catAx>
      <c:valAx>
        <c:axId val="680645264"/>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80567440"/>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rgbClr val="B7B7B7"/>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withinLinear" id="17">
  <a:schemeClr val="accent4"/>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104</TotalTime>
  <Pages>15</Pages>
  <Words>4628</Words>
  <Characters>26381</Characters>
  <Application>Microsoft Office Word</Application>
  <DocSecurity>0</DocSecurity>
  <Lines>219</Lines>
  <Paragraphs>61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30948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Eleanor Hodgson (2304415)</dc:creator>
  <cp:keywords/>
  <dc:description/>
  <cp:lastModifiedBy>Eleanor Hodgson (2304415)</cp:lastModifiedBy>
  <cp:revision>3</cp:revision>
  <dcterms:created xsi:type="dcterms:W3CDTF">2024-05-06T10:19:00Z</dcterms:created>
  <dcterms:modified xsi:type="dcterms:W3CDTF">2024-05-06T13:07:00Z</dcterms:modified>
</cp:coreProperties>
</file>