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CFDEA3" w14:textId="0B5F0428" w:rsidR="00A160C2" w:rsidRDefault="00A160C2" w:rsidP="008C03E1">
      <w:pPr>
        <w:pStyle w:val="NoSpacing"/>
      </w:pPr>
    </w:p>
    <w:p w14:paraId="269CEBB5" w14:textId="77777777" w:rsidR="00A160C2" w:rsidRDefault="00A160C2" w:rsidP="00A160C2">
      <w:pPr>
        <w:pStyle w:val="Header"/>
      </w:pPr>
    </w:p>
    <w:p w14:paraId="3CC72243" w14:textId="276BBAF6" w:rsidR="0044301B" w:rsidRPr="0044301B" w:rsidRDefault="00934F9D" w:rsidP="0044301B">
      <w:pPr>
        <w:rPr>
          <w:sz w:val="32"/>
          <w:szCs w:val="30"/>
        </w:rPr>
      </w:pPr>
      <w:r w:rsidRPr="00934F9D">
        <w:rPr>
          <w:noProof/>
          <w:sz w:val="32"/>
          <w:szCs w:val="30"/>
        </w:rPr>
        <w:drawing>
          <wp:inline distT="0" distB="0" distL="0" distR="0" wp14:anchorId="1D50CD7B" wp14:editId="543C468F">
            <wp:extent cx="1814830" cy="720725"/>
            <wp:effectExtent l="0" t="0" r="0" b="3175"/>
            <wp:docPr id="1755730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4830" cy="720725"/>
                    </a:xfrm>
                    <a:prstGeom prst="rect">
                      <a:avLst/>
                    </a:prstGeom>
                    <a:noFill/>
                    <a:ln>
                      <a:noFill/>
                    </a:ln>
                  </pic:spPr>
                </pic:pic>
              </a:graphicData>
            </a:graphic>
          </wp:inline>
        </w:drawing>
      </w:r>
    </w:p>
    <w:p w14:paraId="54620460" w14:textId="77777777" w:rsidR="00A160C2" w:rsidRDefault="00A160C2" w:rsidP="00A160C2"/>
    <w:p w14:paraId="030197BC" w14:textId="77777777" w:rsidR="00934F9D" w:rsidRDefault="00934F9D" w:rsidP="00934F9D">
      <w:pPr>
        <w:pStyle w:val="Default"/>
      </w:pPr>
    </w:p>
    <w:tbl>
      <w:tblPr>
        <w:tblStyle w:val="PlainTable2"/>
        <w:tblW w:w="9712" w:type="dxa"/>
        <w:tblLayout w:type="fixed"/>
        <w:tblLook w:val="0000" w:firstRow="0" w:lastRow="0" w:firstColumn="0" w:lastColumn="0" w:noHBand="0" w:noVBand="0"/>
      </w:tblPr>
      <w:tblGrid>
        <w:gridCol w:w="2428"/>
        <w:gridCol w:w="2428"/>
        <w:gridCol w:w="2428"/>
        <w:gridCol w:w="2428"/>
      </w:tblGrid>
      <w:tr w:rsidR="00934F9D" w14:paraId="3B44442C" w14:textId="77777777" w:rsidTr="0000632B">
        <w:trPr>
          <w:cnfStyle w:val="000000100000" w:firstRow="0" w:lastRow="0" w:firstColumn="0" w:lastColumn="0" w:oddVBand="0" w:evenVBand="0" w:oddHBand="1" w:evenHBand="0" w:firstRowFirstColumn="0" w:firstRowLastColumn="0" w:lastRowFirstColumn="0" w:lastRowLastColumn="0"/>
          <w:trHeight w:val="103"/>
        </w:trPr>
        <w:tc>
          <w:tcPr>
            <w:cnfStyle w:val="000010000000" w:firstRow="0" w:lastRow="0" w:firstColumn="0" w:lastColumn="0" w:oddVBand="1" w:evenVBand="0" w:oddHBand="0" w:evenHBand="0" w:firstRowFirstColumn="0" w:firstRowLastColumn="0" w:lastRowFirstColumn="0" w:lastRowLastColumn="0"/>
            <w:tcW w:w="4856" w:type="dxa"/>
            <w:gridSpan w:val="2"/>
          </w:tcPr>
          <w:p w14:paraId="6F26C7F5" w14:textId="355C4218" w:rsidR="00934F9D" w:rsidRDefault="00934F9D">
            <w:pPr>
              <w:pStyle w:val="Default"/>
              <w:rPr>
                <w:sz w:val="22"/>
                <w:szCs w:val="22"/>
              </w:rPr>
            </w:pPr>
            <w:r>
              <w:rPr>
                <w:b/>
                <w:bCs/>
                <w:sz w:val="22"/>
                <w:szCs w:val="22"/>
              </w:rPr>
              <w:t xml:space="preserve">Student name: </w:t>
            </w:r>
            <w:r w:rsidR="00B24A86">
              <w:rPr>
                <w:b/>
                <w:bCs/>
                <w:sz w:val="22"/>
                <w:szCs w:val="22"/>
              </w:rPr>
              <w:t xml:space="preserve"> </w:t>
            </w:r>
            <w:r w:rsidR="00F353C7">
              <w:rPr>
                <w:b/>
                <w:bCs/>
                <w:sz w:val="22"/>
                <w:szCs w:val="22"/>
              </w:rPr>
              <w:t>Maria Alejandr</w:t>
            </w:r>
            <w:r w:rsidR="00E46418">
              <w:rPr>
                <w:b/>
                <w:bCs/>
                <w:sz w:val="22"/>
                <w:szCs w:val="22"/>
              </w:rPr>
              <w:t>a</w:t>
            </w:r>
            <w:r w:rsidR="00F353C7">
              <w:rPr>
                <w:b/>
                <w:bCs/>
                <w:sz w:val="22"/>
                <w:szCs w:val="22"/>
              </w:rPr>
              <w:t xml:space="preserve"> Giraldo Granada</w:t>
            </w:r>
          </w:p>
        </w:tc>
        <w:tc>
          <w:tcPr>
            <w:cnfStyle w:val="000001000000" w:firstRow="0" w:lastRow="0" w:firstColumn="0" w:lastColumn="0" w:oddVBand="0" w:evenVBand="1" w:oddHBand="0" w:evenHBand="0" w:firstRowFirstColumn="0" w:firstRowLastColumn="0" w:lastRowFirstColumn="0" w:lastRowLastColumn="0"/>
            <w:tcW w:w="4856" w:type="dxa"/>
            <w:gridSpan w:val="2"/>
          </w:tcPr>
          <w:p w14:paraId="3DD1F8D8" w14:textId="1AE680D5" w:rsidR="00934F9D" w:rsidRDefault="00934F9D">
            <w:pPr>
              <w:pStyle w:val="Default"/>
              <w:rPr>
                <w:sz w:val="22"/>
                <w:szCs w:val="22"/>
              </w:rPr>
            </w:pPr>
            <w:r>
              <w:rPr>
                <w:b/>
                <w:bCs/>
                <w:sz w:val="22"/>
                <w:szCs w:val="22"/>
              </w:rPr>
              <w:t xml:space="preserve">Student ID number: </w:t>
            </w:r>
            <w:r w:rsidR="00F353C7">
              <w:rPr>
                <w:b/>
                <w:bCs/>
                <w:sz w:val="22"/>
                <w:szCs w:val="22"/>
              </w:rPr>
              <w:t>2322891</w:t>
            </w:r>
          </w:p>
        </w:tc>
      </w:tr>
      <w:tr w:rsidR="00934F9D" w14:paraId="2C12C44C" w14:textId="77777777" w:rsidTr="0000632B">
        <w:trPr>
          <w:trHeight w:val="103"/>
        </w:trPr>
        <w:tc>
          <w:tcPr>
            <w:cnfStyle w:val="000010000000" w:firstRow="0" w:lastRow="0" w:firstColumn="0" w:lastColumn="0" w:oddVBand="1" w:evenVBand="0" w:oddHBand="0" w:evenHBand="0" w:firstRowFirstColumn="0" w:firstRowLastColumn="0" w:lastRowFirstColumn="0" w:lastRowLastColumn="0"/>
            <w:tcW w:w="4856" w:type="dxa"/>
            <w:gridSpan w:val="2"/>
          </w:tcPr>
          <w:p w14:paraId="44F80D52" w14:textId="77777777" w:rsidR="00934F9D" w:rsidRDefault="00934F9D">
            <w:pPr>
              <w:pStyle w:val="Default"/>
              <w:rPr>
                <w:sz w:val="22"/>
                <w:szCs w:val="22"/>
              </w:rPr>
            </w:pPr>
            <w:r>
              <w:rPr>
                <w:b/>
                <w:bCs/>
                <w:sz w:val="22"/>
                <w:szCs w:val="22"/>
              </w:rPr>
              <w:t xml:space="preserve">Programme: </w:t>
            </w:r>
          </w:p>
        </w:tc>
        <w:tc>
          <w:tcPr>
            <w:cnfStyle w:val="000001000000" w:firstRow="0" w:lastRow="0" w:firstColumn="0" w:lastColumn="0" w:oddVBand="0" w:evenVBand="1" w:oddHBand="0" w:evenHBand="0" w:firstRowFirstColumn="0" w:firstRowLastColumn="0" w:lastRowFirstColumn="0" w:lastRowLastColumn="0"/>
            <w:tcW w:w="4856" w:type="dxa"/>
            <w:gridSpan w:val="2"/>
          </w:tcPr>
          <w:p w14:paraId="7B23EB9C" w14:textId="6520FD30" w:rsidR="00934F9D" w:rsidRDefault="000F60A3">
            <w:pPr>
              <w:pStyle w:val="Default"/>
              <w:rPr>
                <w:sz w:val="22"/>
                <w:szCs w:val="22"/>
              </w:rPr>
            </w:pPr>
            <w:r w:rsidRPr="000F60A3">
              <w:rPr>
                <w:b/>
                <w:bCs/>
                <w:sz w:val="22"/>
                <w:szCs w:val="22"/>
              </w:rPr>
              <w:t>BA (Hons) Leadership and Management Skills for the Workplace</w:t>
            </w:r>
          </w:p>
        </w:tc>
      </w:tr>
      <w:tr w:rsidR="00934F9D" w14:paraId="1D354AB9" w14:textId="77777777" w:rsidTr="0000632B">
        <w:trPr>
          <w:cnfStyle w:val="000000100000" w:firstRow="0" w:lastRow="0" w:firstColumn="0" w:lastColumn="0" w:oddVBand="0" w:evenVBand="0" w:oddHBand="1" w:evenHBand="0" w:firstRowFirstColumn="0" w:firstRowLastColumn="0" w:lastRowFirstColumn="0" w:lastRowLastColumn="0"/>
          <w:trHeight w:val="103"/>
        </w:trPr>
        <w:tc>
          <w:tcPr>
            <w:cnfStyle w:val="000010000000" w:firstRow="0" w:lastRow="0" w:firstColumn="0" w:lastColumn="0" w:oddVBand="1" w:evenVBand="0" w:oddHBand="0" w:evenHBand="0" w:firstRowFirstColumn="0" w:firstRowLastColumn="0" w:lastRowFirstColumn="0" w:lastRowLastColumn="0"/>
            <w:tcW w:w="4856" w:type="dxa"/>
            <w:gridSpan w:val="2"/>
          </w:tcPr>
          <w:p w14:paraId="67015E90" w14:textId="77777777" w:rsidR="00934F9D" w:rsidRDefault="00934F9D">
            <w:pPr>
              <w:pStyle w:val="Default"/>
              <w:rPr>
                <w:sz w:val="22"/>
                <w:szCs w:val="22"/>
              </w:rPr>
            </w:pPr>
            <w:r>
              <w:rPr>
                <w:b/>
                <w:bCs/>
                <w:sz w:val="22"/>
                <w:szCs w:val="22"/>
              </w:rPr>
              <w:t xml:space="preserve">Module: </w:t>
            </w:r>
          </w:p>
        </w:tc>
        <w:tc>
          <w:tcPr>
            <w:cnfStyle w:val="000001000000" w:firstRow="0" w:lastRow="0" w:firstColumn="0" w:lastColumn="0" w:oddVBand="0" w:evenVBand="1" w:oddHBand="0" w:evenHBand="0" w:firstRowFirstColumn="0" w:firstRowLastColumn="0" w:lastRowFirstColumn="0" w:lastRowLastColumn="0"/>
            <w:tcW w:w="4856" w:type="dxa"/>
            <w:gridSpan w:val="2"/>
          </w:tcPr>
          <w:p w14:paraId="3A95BB0A" w14:textId="7BEEFE27" w:rsidR="00934F9D" w:rsidRDefault="00C10525">
            <w:pPr>
              <w:pStyle w:val="Default"/>
              <w:rPr>
                <w:sz w:val="22"/>
                <w:szCs w:val="22"/>
              </w:rPr>
            </w:pPr>
            <w:r w:rsidRPr="00C10525">
              <w:rPr>
                <w:b/>
                <w:bCs/>
                <w:sz w:val="22"/>
                <w:szCs w:val="22"/>
              </w:rPr>
              <w:t>Leading and Implementing Change (LIC)</w:t>
            </w:r>
          </w:p>
        </w:tc>
      </w:tr>
      <w:tr w:rsidR="00934F9D" w14:paraId="00287FF7" w14:textId="77777777" w:rsidTr="0000632B">
        <w:trPr>
          <w:trHeight w:val="358"/>
        </w:trPr>
        <w:tc>
          <w:tcPr>
            <w:cnfStyle w:val="000010000000" w:firstRow="0" w:lastRow="0" w:firstColumn="0" w:lastColumn="0" w:oddVBand="1" w:evenVBand="0" w:oddHBand="0" w:evenHBand="0" w:firstRowFirstColumn="0" w:firstRowLastColumn="0" w:lastRowFirstColumn="0" w:lastRowLastColumn="0"/>
            <w:tcW w:w="2428" w:type="dxa"/>
          </w:tcPr>
          <w:p w14:paraId="208057C0" w14:textId="77777777" w:rsidR="00934F9D" w:rsidRDefault="00934F9D">
            <w:pPr>
              <w:pStyle w:val="Default"/>
              <w:rPr>
                <w:sz w:val="22"/>
                <w:szCs w:val="22"/>
              </w:rPr>
            </w:pPr>
            <w:r>
              <w:rPr>
                <w:b/>
                <w:bCs/>
                <w:sz w:val="22"/>
                <w:szCs w:val="22"/>
              </w:rPr>
              <w:t xml:space="preserve">Module code: </w:t>
            </w:r>
          </w:p>
        </w:tc>
        <w:tc>
          <w:tcPr>
            <w:cnfStyle w:val="000001000000" w:firstRow="0" w:lastRow="0" w:firstColumn="0" w:lastColumn="0" w:oddVBand="0" w:evenVBand="1" w:oddHBand="0" w:evenHBand="0" w:firstRowFirstColumn="0" w:firstRowLastColumn="0" w:lastRowFirstColumn="0" w:lastRowLastColumn="0"/>
            <w:tcW w:w="2428" w:type="dxa"/>
          </w:tcPr>
          <w:p w14:paraId="76B33198" w14:textId="05659146" w:rsidR="00934F9D" w:rsidRDefault="000F60A3">
            <w:pPr>
              <w:pStyle w:val="Default"/>
              <w:rPr>
                <w:sz w:val="22"/>
                <w:szCs w:val="22"/>
              </w:rPr>
            </w:pPr>
            <w:r w:rsidRPr="000F60A3">
              <w:rPr>
                <w:b/>
                <w:bCs/>
                <w:sz w:val="22"/>
                <w:szCs w:val="22"/>
              </w:rPr>
              <w:t>LCLM6003</w:t>
            </w:r>
          </w:p>
        </w:tc>
        <w:tc>
          <w:tcPr>
            <w:cnfStyle w:val="000010000000" w:firstRow="0" w:lastRow="0" w:firstColumn="0" w:lastColumn="0" w:oddVBand="1" w:evenVBand="0" w:oddHBand="0" w:evenHBand="0" w:firstRowFirstColumn="0" w:firstRowLastColumn="0" w:lastRowFirstColumn="0" w:lastRowLastColumn="0"/>
            <w:tcW w:w="2428" w:type="dxa"/>
          </w:tcPr>
          <w:p w14:paraId="5382940C" w14:textId="77777777" w:rsidR="00934F9D" w:rsidRDefault="00934F9D">
            <w:pPr>
              <w:pStyle w:val="Default"/>
              <w:rPr>
                <w:sz w:val="22"/>
                <w:szCs w:val="22"/>
              </w:rPr>
            </w:pPr>
            <w:r>
              <w:rPr>
                <w:b/>
                <w:bCs/>
                <w:sz w:val="22"/>
                <w:szCs w:val="22"/>
              </w:rPr>
              <w:t xml:space="preserve">Contribution to Overall Module Assessment (%): </w:t>
            </w:r>
          </w:p>
        </w:tc>
        <w:tc>
          <w:tcPr>
            <w:cnfStyle w:val="000001000000" w:firstRow="0" w:lastRow="0" w:firstColumn="0" w:lastColumn="0" w:oddVBand="0" w:evenVBand="1" w:oddHBand="0" w:evenHBand="0" w:firstRowFirstColumn="0" w:firstRowLastColumn="0" w:lastRowFirstColumn="0" w:lastRowLastColumn="0"/>
            <w:tcW w:w="2428" w:type="dxa"/>
          </w:tcPr>
          <w:p w14:paraId="537665B4" w14:textId="06EA3636" w:rsidR="00934F9D" w:rsidRDefault="00F34756" w:rsidP="00AA796C">
            <w:pPr>
              <w:pStyle w:val="Default"/>
              <w:spacing w:line="360" w:lineRule="auto"/>
              <w:rPr>
                <w:sz w:val="22"/>
                <w:szCs w:val="22"/>
              </w:rPr>
            </w:pPr>
            <w:r>
              <w:rPr>
                <w:b/>
                <w:bCs/>
                <w:sz w:val="22"/>
                <w:szCs w:val="22"/>
              </w:rPr>
              <w:t>100</w:t>
            </w:r>
            <w:r w:rsidR="00951CA8">
              <w:rPr>
                <w:b/>
                <w:bCs/>
                <w:sz w:val="22"/>
                <w:szCs w:val="22"/>
              </w:rPr>
              <w:t>%</w:t>
            </w:r>
          </w:p>
        </w:tc>
      </w:tr>
      <w:tr w:rsidR="00934F9D" w14:paraId="3427B9C6" w14:textId="77777777" w:rsidTr="0000632B">
        <w:trPr>
          <w:cnfStyle w:val="000000100000" w:firstRow="0" w:lastRow="0" w:firstColumn="0" w:lastColumn="0" w:oddVBand="0" w:evenVBand="0" w:oddHBand="1" w:evenHBand="0" w:firstRowFirstColumn="0" w:firstRowLastColumn="0" w:lastRowFirstColumn="0" w:lastRowLastColumn="0"/>
          <w:trHeight w:val="289"/>
        </w:trPr>
        <w:tc>
          <w:tcPr>
            <w:cnfStyle w:val="000010000000" w:firstRow="0" w:lastRow="0" w:firstColumn="0" w:lastColumn="0" w:oddVBand="1" w:evenVBand="0" w:oddHBand="0" w:evenHBand="0" w:firstRowFirstColumn="0" w:firstRowLastColumn="0" w:lastRowFirstColumn="0" w:lastRowLastColumn="0"/>
            <w:tcW w:w="2428" w:type="dxa"/>
          </w:tcPr>
          <w:p w14:paraId="2CC1C47A" w14:textId="77777777" w:rsidR="00934F9D" w:rsidRDefault="00934F9D">
            <w:pPr>
              <w:pStyle w:val="Default"/>
              <w:rPr>
                <w:sz w:val="22"/>
                <w:szCs w:val="22"/>
              </w:rPr>
            </w:pPr>
            <w:r>
              <w:rPr>
                <w:b/>
                <w:bCs/>
                <w:sz w:val="22"/>
                <w:szCs w:val="22"/>
              </w:rPr>
              <w:t xml:space="preserve">Module Leaders: </w:t>
            </w:r>
          </w:p>
        </w:tc>
        <w:tc>
          <w:tcPr>
            <w:cnfStyle w:val="000001000000" w:firstRow="0" w:lastRow="0" w:firstColumn="0" w:lastColumn="0" w:oddVBand="0" w:evenVBand="1" w:oddHBand="0" w:evenHBand="0" w:firstRowFirstColumn="0" w:firstRowLastColumn="0" w:lastRowFirstColumn="0" w:lastRowLastColumn="0"/>
            <w:tcW w:w="2428" w:type="dxa"/>
          </w:tcPr>
          <w:p w14:paraId="02E91B96" w14:textId="3EAEA881" w:rsidR="00934F9D" w:rsidRPr="00E95C2E" w:rsidRDefault="007B5558" w:rsidP="000F60A3">
            <w:pPr>
              <w:pStyle w:val="Default"/>
              <w:rPr>
                <w:b/>
                <w:bCs/>
                <w:sz w:val="22"/>
                <w:szCs w:val="22"/>
              </w:rPr>
            </w:pPr>
            <w:proofErr w:type="spellStart"/>
            <w:r>
              <w:rPr>
                <w:b/>
                <w:bCs/>
                <w:sz w:val="22"/>
                <w:szCs w:val="22"/>
              </w:rPr>
              <w:t>Musta</w:t>
            </w:r>
            <w:r w:rsidR="00C23F01">
              <w:rPr>
                <w:b/>
                <w:bCs/>
                <w:sz w:val="22"/>
                <w:szCs w:val="22"/>
              </w:rPr>
              <w:t>kkima</w:t>
            </w:r>
            <w:proofErr w:type="spellEnd"/>
            <w:r w:rsidR="00C23F01">
              <w:rPr>
                <w:b/>
                <w:bCs/>
                <w:sz w:val="22"/>
                <w:szCs w:val="22"/>
              </w:rPr>
              <w:t xml:space="preserve"> Afrin</w:t>
            </w:r>
          </w:p>
        </w:tc>
        <w:tc>
          <w:tcPr>
            <w:cnfStyle w:val="000010000000" w:firstRow="0" w:lastRow="0" w:firstColumn="0" w:lastColumn="0" w:oddVBand="1" w:evenVBand="0" w:oddHBand="0" w:evenHBand="0" w:firstRowFirstColumn="0" w:firstRowLastColumn="0" w:lastRowFirstColumn="0" w:lastRowLastColumn="0"/>
            <w:tcW w:w="2428" w:type="dxa"/>
          </w:tcPr>
          <w:p w14:paraId="43D3F301" w14:textId="77777777" w:rsidR="00934F9D" w:rsidRDefault="00934F9D">
            <w:pPr>
              <w:pStyle w:val="Default"/>
              <w:rPr>
                <w:sz w:val="22"/>
                <w:szCs w:val="22"/>
              </w:rPr>
            </w:pPr>
            <w:r>
              <w:rPr>
                <w:b/>
                <w:bCs/>
                <w:sz w:val="22"/>
                <w:szCs w:val="22"/>
              </w:rPr>
              <w:t xml:space="preserve">Internal Verifier: </w:t>
            </w:r>
          </w:p>
        </w:tc>
        <w:tc>
          <w:tcPr>
            <w:cnfStyle w:val="000001000000" w:firstRow="0" w:lastRow="0" w:firstColumn="0" w:lastColumn="0" w:oddVBand="0" w:evenVBand="1" w:oddHBand="0" w:evenHBand="0" w:firstRowFirstColumn="0" w:firstRowLastColumn="0" w:lastRowFirstColumn="0" w:lastRowLastColumn="0"/>
            <w:tcW w:w="2428" w:type="dxa"/>
          </w:tcPr>
          <w:p w14:paraId="2418F9AF" w14:textId="77777777" w:rsidR="000F60A3" w:rsidRPr="000F60A3" w:rsidRDefault="000F60A3" w:rsidP="000F60A3">
            <w:pPr>
              <w:pStyle w:val="Default"/>
              <w:rPr>
                <w:b/>
                <w:bCs/>
                <w:sz w:val="22"/>
                <w:szCs w:val="22"/>
              </w:rPr>
            </w:pPr>
            <w:r w:rsidRPr="000F60A3">
              <w:rPr>
                <w:b/>
                <w:bCs/>
                <w:sz w:val="22"/>
                <w:szCs w:val="22"/>
              </w:rPr>
              <w:t>Md Kalam</w:t>
            </w:r>
          </w:p>
          <w:p w14:paraId="637C5723" w14:textId="6D2F844A" w:rsidR="00934F9D" w:rsidRDefault="000F60A3" w:rsidP="000F60A3">
            <w:pPr>
              <w:pStyle w:val="Default"/>
              <w:rPr>
                <w:sz w:val="22"/>
                <w:szCs w:val="22"/>
              </w:rPr>
            </w:pPr>
            <w:r w:rsidRPr="000F60A3">
              <w:rPr>
                <w:b/>
                <w:bCs/>
                <w:sz w:val="22"/>
                <w:szCs w:val="22"/>
              </w:rPr>
              <w:t>Samuel Ofori</w:t>
            </w:r>
          </w:p>
        </w:tc>
      </w:tr>
      <w:tr w:rsidR="009568EC" w14:paraId="5E173DEE" w14:textId="77777777" w:rsidTr="000F60A3">
        <w:trPr>
          <w:trHeight w:val="672"/>
        </w:trPr>
        <w:tc>
          <w:tcPr>
            <w:cnfStyle w:val="000010000000" w:firstRow="0" w:lastRow="0" w:firstColumn="0" w:lastColumn="0" w:oddVBand="1" w:evenVBand="0" w:oddHBand="0" w:evenHBand="0" w:firstRowFirstColumn="0" w:firstRowLastColumn="0" w:lastRowFirstColumn="0" w:lastRowLastColumn="0"/>
            <w:tcW w:w="2428" w:type="dxa"/>
          </w:tcPr>
          <w:p w14:paraId="730EB585" w14:textId="77777777" w:rsidR="009568EC" w:rsidRDefault="009568EC" w:rsidP="009568EC">
            <w:pPr>
              <w:pStyle w:val="Default"/>
              <w:rPr>
                <w:sz w:val="22"/>
                <w:szCs w:val="22"/>
              </w:rPr>
            </w:pPr>
            <w:r>
              <w:rPr>
                <w:b/>
                <w:bCs/>
                <w:sz w:val="22"/>
                <w:szCs w:val="22"/>
              </w:rPr>
              <w:t xml:space="preserve">Assignment Title: </w:t>
            </w:r>
          </w:p>
        </w:tc>
        <w:tc>
          <w:tcPr>
            <w:cnfStyle w:val="000001000000" w:firstRow="0" w:lastRow="0" w:firstColumn="0" w:lastColumn="0" w:oddVBand="0" w:evenVBand="1" w:oddHBand="0" w:evenHBand="0" w:firstRowFirstColumn="0" w:firstRowLastColumn="0" w:lastRowFirstColumn="0" w:lastRowLastColumn="0"/>
            <w:tcW w:w="2428" w:type="dxa"/>
          </w:tcPr>
          <w:p w14:paraId="1656B24B" w14:textId="71AE4623" w:rsidR="009568EC" w:rsidRDefault="000F60A3" w:rsidP="009568EC">
            <w:pPr>
              <w:pStyle w:val="Default"/>
              <w:rPr>
                <w:sz w:val="22"/>
                <w:szCs w:val="22"/>
              </w:rPr>
            </w:pPr>
            <w:r w:rsidRPr="000F60A3">
              <w:rPr>
                <w:b/>
                <w:bCs/>
                <w:sz w:val="22"/>
                <w:szCs w:val="22"/>
              </w:rPr>
              <w:t>A Strategic Change Plan</w:t>
            </w:r>
          </w:p>
        </w:tc>
        <w:tc>
          <w:tcPr>
            <w:cnfStyle w:val="000010000000" w:firstRow="0" w:lastRow="0" w:firstColumn="0" w:lastColumn="0" w:oddVBand="1" w:evenVBand="0" w:oddHBand="0" w:evenHBand="0" w:firstRowFirstColumn="0" w:firstRowLastColumn="0" w:lastRowFirstColumn="0" w:lastRowLastColumn="0"/>
            <w:tcW w:w="2428" w:type="dxa"/>
          </w:tcPr>
          <w:p w14:paraId="1702AE35" w14:textId="6EE7EC97" w:rsidR="009568EC" w:rsidRPr="009568EC" w:rsidRDefault="009568EC" w:rsidP="009568EC">
            <w:pPr>
              <w:pStyle w:val="Default"/>
              <w:rPr>
                <w:color w:val="auto"/>
                <w:sz w:val="22"/>
                <w:szCs w:val="22"/>
              </w:rPr>
            </w:pPr>
            <w:r w:rsidRPr="009568EC">
              <w:rPr>
                <w:b/>
                <w:bCs/>
                <w:color w:val="auto"/>
                <w:sz w:val="22"/>
                <w:szCs w:val="22"/>
              </w:rPr>
              <w:t xml:space="preserve">Submission deadline: </w:t>
            </w:r>
          </w:p>
        </w:tc>
        <w:tc>
          <w:tcPr>
            <w:cnfStyle w:val="000001000000" w:firstRow="0" w:lastRow="0" w:firstColumn="0" w:lastColumn="0" w:oddVBand="0" w:evenVBand="1" w:oddHBand="0" w:evenHBand="0" w:firstRowFirstColumn="0" w:firstRowLastColumn="0" w:lastRowFirstColumn="0" w:lastRowLastColumn="0"/>
            <w:tcW w:w="2428" w:type="dxa"/>
          </w:tcPr>
          <w:p w14:paraId="5FA528B3" w14:textId="491D58DD" w:rsidR="009568EC" w:rsidRPr="009568EC" w:rsidRDefault="00C10525" w:rsidP="009568EC">
            <w:pPr>
              <w:pStyle w:val="Default"/>
              <w:rPr>
                <w:color w:val="auto"/>
                <w:sz w:val="22"/>
                <w:szCs w:val="22"/>
              </w:rPr>
            </w:pPr>
            <w:r w:rsidRPr="00C10525">
              <w:rPr>
                <w:b/>
                <w:bCs/>
                <w:color w:val="auto"/>
                <w:sz w:val="22"/>
                <w:szCs w:val="22"/>
              </w:rPr>
              <w:t>Individual Report 21/08/ 2026</w:t>
            </w:r>
          </w:p>
        </w:tc>
      </w:tr>
    </w:tbl>
    <w:p w14:paraId="0E64312A" w14:textId="5020DDAC" w:rsidR="00564ACD" w:rsidRDefault="00564ACD"/>
    <w:p w14:paraId="104A73BF" w14:textId="1347155F" w:rsidR="00E13862" w:rsidRDefault="00E13862">
      <w:pPr>
        <w:spacing w:line="259" w:lineRule="auto"/>
        <w:jc w:val="left"/>
      </w:pPr>
      <w:r>
        <w:br w:type="page"/>
      </w:r>
    </w:p>
    <w:p w14:paraId="290B8CB8" w14:textId="6949BF36" w:rsidR="00E13862" w:rsidRDefault="00E13862" w:rsidP="00E13862">
      <w:pPr>
        <w:pStyle w:val="Heading1"/>
      </w:pPr>
      <w:bookmarkStart w:id="0" w:name="_Toc236400748"/>
      <w:r>
        <w:lastRenderedPageBreak/>
        <w:t>Executive Summary</w:t>
      </w:r>
      <w:bookmarkEnd w:id="0"/>
    </w:p>
    <w:p w14:paraId="33F270D1" w14:textId="54B20927" w:rsidR="00E13862" w:rsidRDefault="00450DEF" w:rsidP="00E13862">
      <w:r w:rsidRPr="00450DEF">
        <w:t>This is an executive report to deal with the strategic issues facing Nissan Motor Manufacturing UK (NMUK) in Sunderland. NMUK has faced revenue stagnation and operational margin pressures, amidst a world of automotive markets being rocked by digital transformation, artificial intelligence, regulatory measures for the electrification of transport like the UK Zero Emission Vehicle mandate, and macroeconomic pressures. From the role of a Senior Strategic Manager, this report will assess NMUK's internal and external macro environment using different academic models such as PESTLE, Porter's Five Forces and VRIO analysis. The Evaluation shows, that although NMUK has world class lean manufacturing and good infrastructure for EV manufacturing through the EV36Zero hub, it is exposed to significant environmental risks such as high energy costs, fragile supply chains for semiconductors, imminent market entry by Chinese EVs and a lack of software engineering and AI-based automation skills. This report is a critical evaluation of strategic change management models which compares and contrasts the Kotter's 8 Step Accelerating Change model, Lewin's Three Step Model and Balogun and Hope Hailey's Change Matrix. It examines how leadership styles (transformational/situational) and organisational culture impact on the process of change. Based on this theory, a detailed 3-year Strategic Change Management Plan is suggested. The plan includes clear strategic aims, a detailed financial schedule of £120 Million, a stakeholder engagement plan based on Mendelow's Matrix and a robust measurement plan including Balanced Scorecards and ADKAR measures. Finally, a structured personal reflection on professional learning via Gibbs' Reflective Cycle is included</w:t>
      </w:r>
      <w:r w:rsidR="00024CED" w:rsidRPr="00024CED">
        <w:t>.</w:t>
      </w:r>
    </w:p>
    <w:p w14:paraId="1C3F5755" w14:textId="77777777" w:rsidR="00024CED" w:rsidRPr="00E13862" w:rsidRDefault="00024CED" w:rsidP="00E13862"/>
    <w:p w14:paraId="2D91C559" w14:textId="77777777" w:rsidR="00E13862" w:rsidRDefault="00E13862"/>
    <w:p w14:paraId="46B95C90" w14:textId="6A4EDF60" w:rsidR="001834FC" w:rsidRDefault="00564ACD" w:rsidP="00F77B9E">
      <w:pPr>
        <w:spacing w:line="259" w:lineRule="auto"/>
        <w:jc w:val="left"/>
      </w:pPr>
      <w:r>
        <w:br w:type="page"/>
      </w:r>
    </w:p>
    <w:sdt>
      <w:sdtPr>
        <w:rPr>
          <w:rFonts w:ascii="Times New Roman" w:eastAsiaTheme="minorHAnsi" w:hAnsi="Times New Roman" w:cstheme="minorBidi"/>
          <w:color w:val="000000" w:themeColor="text1"/>
          <w:sz w:val="24"/>
          <w:szCs w:val="22"/>
          <w:lang w:val="en-GB"/>
        </w:rPr>
        <w:id w:val="1593201860"/>
        <w:docPartObj>
          <w:docPartGallery w:val="Table of Contents"/>
          <w:docPartUnique/>
        </w:docPartObj>
      </w:sdtPr>
      <w:sdtEndPr>
        <w:rPr>
          <w:rFonts w:ascii="Arial" w:hAnsi="Arial"/>
          <w:b/>
          <w:bCs/>
          <w:sz w:val="22"/>
        </w:rPr>
      </w:sdtEndPr>
      <w:sdtContent>
        <w:p w14:paraId="66A3A8E3" w14:textId="448B4FA6" w:rsidR="008E5585" w:rsidRPr="008E5585" w:rsidRDefault="008E5585" w:rsidP="008E5585">
          <w:pPr>
            <w:pStyle w:val="TOCHeading"/>
            <w:jc w:val="center"/>
            <w:rPr>
              <w:b/>
              <w:bCs/>
            </w:rPr>
          </w:pPr>
          <w:r w:rsidRPr="008E5585">
            <w:rPr>
              <w:b/>
              <w:bCs/>
              <w:lang w:val="en-GB"/>
            </w:rPr>
            <w:t>Table of Contents</w:t>
          </w:r>
        </w:p>
        <w:p w14:paraId="7FE5AD19" w14:textId="2C86144E" w:rsidR="00A52B2E" w:rsidRDefault="008E5585">
          <w:pPr>
            <w:pStyle w:val="TOC1"/>
            <w:tabs>
              <w:tab w:val="right" w:leader="dot" w:pos="9016"/>
            </w:tabs>
            <w:rPr>
              <w:rFonts w:asciiTheme="minorHAnsi" w:eastAsiaTheme="minorEastAsia" w:hAnsiTheme="minorHAnsi"/>
              <w:noProof/>
              <w:color w:val="auto"/>
              <w:kern w:val="2"/>
              <w:sz w:val="24"/>
              <w:szCs w:val="24"/>
              <w:lang w:eastAsia="en-GB"/>
              <w14:ligatures w14:val="standardContextual"/>
            </w:rPr>
          </w:pPr>
          <w:r>
            <w:fldChar w:fldCharType="begin"/>
          </w:r>
          <w:r>
            <w:instrText xml:space="preserve"> TOC \o "1-3" \h \z \u </w:instrText>
          </w:r>
          <w:r>
            <w:fldChar w:fldCharType="separate"/>
          </w:r>
          <w:hyperlink w:anchor="_Toc236400748" w:history="1">
            <w:r w:rsidR="00A52B2E" w:rsidRPr="00DD2FDA">
              <w:rPr>
                <w:rStyle w:val="Hyperlink"/>
                <w:noProof/>
              </w:rPr>
              <w:t>Executive Summary</w:t>
            </w:r>
            <w:r w:rsidR="00A52B2E">
              <w:rPr>
                <w:noProof/>
                <w:webHidden/>
              </w:rPr>
              <w:tab/>
            </w:r>
            <w:r w:rsidR="00A52B2E">
              <w:rPr>
                <w:noProof/>
                <w:webHidden/>
              </w:rPr>
              <w:fldChar w:fldCharType="begin"/>
            </w:r>
            <w:r w:rsidR="00A52B2E">
              <w:rPr>
                <w:noProof/>
                <w:webHidden/>
              </w:rPr>
              <w:instrText xml:space="preserve"> PAGEREF _Toc236400748 \h </w:instrText>
            </w:r>
            <w:r w:rsidR="00A52B2E">
              <w:rPr>
                <w:noProof/>
                <w:webHidden/>
              </w:rPr>
            </w:r>
            <w:r w:rsidR="00A52B2E">
              <w:rPr>
                <w:noProof/>
                <w:webHidden/>
              </w:rPr>
              <w:fldChar w:fldCharType="separate"/>
            </w:r>
            <w:r w:rsidR="00A52B2E">
              <w:rPr>
                <w:noProof/>
                <w:webHidden/>
              </w:rPr>
              <w:t>ii</w:t>
            </w:r>
            <w:r w:rsidR="00A52B2E">
              <w:rPr>
                <w:noProof/>
                <w:webHidden/>
              </w:rPr>
              <w:fldChar w:fldCharType="end"/>
            </w:r>
          </w:hyperlink>
        </w:p>
        <w:p w14:paraId="292E9B5C" w14:textId="75EAE15C" w:rsidR="00A52B2E" w:rsidRDefault="00A52B2E">
          <w:pPr>
            <w:pStyle w:val="TOC1"/>
            <w:tabs>
              <w:tab w:val="right" w:leader="dot" w:pos="9016"/>
            </w:tabs>
            <w:rPr>
              <w:rFonts w:asciiTheme="minorHAnsi" w:eastAsiaTheme="minorEastAsia" w:hAnsiTheme="minorHAnsi"/>
              <w:noProof/>
              <w:color w:val="auto"/>
              <w:kern w:val="2"/>
              <w:sz w:val="24"/>
              <w:szCs w:val="24"/>
              <w:lang w:eastAsia="en-GB"/>
              <w14:ligatures w14:val="standardContextual"/>
            </w:rPr>
          </w:pPr>
          <w:hyperlink w:anchor="_Toc236400749" w:history="1">
            <w:r w:rsidRPr="00DD2FDA">
              <w:rPr>
                <w:rStyle w:val="Hyperlink"/>
                <w:noProof/>
              </w:rPr>
              <w:t>1. Introduction</w:t>
            </w:r>
            <w:r>
              <w:rPr>
                <w:noProof/>
                <w:webHidden/>
              </w:rPr>
              <w:tab/>
            </w:r>
            <w:r>
              <w:rPr>
                <w:noProof/>
                <w:webHidden/>
              </w:rPr>
              <w:fldChar w:fldCharType="begin"/>
            </w:r>
            <w:r>
              <w:rPr>
                <w:noProof/>
                <w:webHidden/>
              </w:rPr>
              <w:instrText xml:space="preserve"> PAGEREF _Toc236400749 \h </w:instrText>
            </w:r>
            <w:r>
              <w:rPr>
                <w:noProof/>
                <w:webHidden/>
              </w:rPr>
            </w:r>
            <w:r>
              <w:rPr>
                <w:noProof/>
                <w:webHidden/>
              </w:rPr>
              <w:fldChar w:fldCharType="separate"/>
            </w:r>
            <w:r>
              <w:rPr>
                <w:noProof/>
                <w:webHidden/>
              </w:rPr>
              <w:t>1</w:t>
            </w:r>
            <w:r>
              <w:rPr>
                <w:noProof/>
                <w:webHidden/>
              </w:rPr>
              <w:fldChar w:fldCharType="end"/>
            </w:r>
          </w:hyperlink>
        </w:p>
        <w:p w14:paraId="7C0AD4E3" w14:textId="4AEFB1DA" w:rsidR="00A52B2E" w:rsidRDefault="00A52B2E">
          <w:pPr>
            <w:pStyle w:val="TOC1"/>
            <w:tabs>
              <w:tab w:val="right" w:leader="dot" w:pos="9016"/>
            </w:tabs>
            <w:rPr>
              <w:rFonts w:asciiTheme="minorHAnsi" w:eastAsiaTheme="minorEastAsia" w:hAnsiTheme="minorHAnsi"/>
              <w:noProof/>
              <w:color w:val="auto"/>
              <w:kern w:val="2"/>
              <w:sz w:val="24"/>
              <w:szCs w:val="24"/>
              <w:lang w:eastAsia="en-GB"/>
              <w14:ligatures w14:val="standardContextual"/>
            </w:rPr>
          </w:pPr>
          <w:hyperlink w:anchor="_Toc236400750" w:history="1">
            <w:r w:rsidRPr="00DD2FDA">
              <w:rPr>
                <w:rStyle w:val="Hyperlink"/>
                <w:noProof/>
              </w:rPr>
              <w:t>2. Environmental analysis and recent organizational performance</w:t>
            </w:r>
            <w:r>
              <w:rPr>
                <w:noProof/>
                <w:webHidden/>
              </w:rPr>
              <w:tab/>
            </w:r>
            <w:r>
              <w:rPr>
                <w:noProof/>
                <w:webHidden/>
              </w:rPr>
              <w:fldChar w:fldCharType="begin"/>
            </w:r>
            <w:r>
              <w:rPr>
                <w:noProof/>
                <w:webHidden/>
              </w:rPr>
              <w:instrText xml:space="preserve"> PAGEREF _Toc236400750 \h </w:instrText>
            </w:r>
            <w:r>
              <w:rPr>
                <w:noProof/>
                <w:webHidden/>
              </w:rPr>
            </w:r>
            <w:r>
              <w:rPr>
                <w:noProof/>
                <w:webHidden/>
              </w:rPr>
              <w:fldChar w:fldCharType="separate"/>
            </w:r>
            <w:r>
              <w:rPr>
                <w:noProof/>
                <w:webHidden/>
              </w:rPr>
              <w:t>2</w:t>
            </w:r>
            <w:r>
              <w:rPr>
                <w:noProof/>
                <w:webHidden/>
              </w:rPr>
              <w:fldChar w:fldCharType="end"/>
            </w:r>
          </w:hyperlink>
        </w:p>
        <w:p w14:paraId="4695F8B5" w14:textId="1A22B331" w:rsidR="00A52B2E" w:rsidRDefault="00A52B2E">
          <w:pPr>
            <w:pStyle w:val="TOC1"/>
            <w:tabs>
              <w:tab w:val="right" w:leader="dot" w:pos="9016"/>
            </w:tabs>
            <w:rPr>
              <w:rFonts w:asciiTheme="minorHAnsi" w:eastAsiaTheme="minorEastAsia" w:hAnsiTheme="minorHAnsi"/>
              <w:noProof/>
              <w:color w:val="auto"/>
              <w:kern w:val="2"/>
              <w:sz w:val="24"/>
              <w:szCs w:val="24"/>
              <w:lang w:eastAsia="en-GB"/>
              <w14:ligatures w14:val="standardContextual"/>
            </w:rPr>
          </w:pPr>
          <w:hyperlink w:anchor="_Toc236400751" w:history="1">
            <w:r w:rsidRPr="00DD2FDA">
              <w:rPr>
                <w:rStyle w:val="Hyperlink"/>
                <w:noProof/>
              </w:rPr>
              <w:t>3. Critical evaluation of change management models and strategic change in context</w:t>
            </w:r>
            <w:r>
              <w:rPr>
                <w:noProof/>
                <w:webHidden/>
              </w:rPr>
              <w:tab/>
            </w:r>
            <w:r>
              <w:rPr>
                <w:noProof/>
                <w:webHidden/>
              </w:rPr>
              <w:fldChar w:fldCharType="begin"/>
            </w:r>
            <w:r>
              <w:rPr>
                <w:noProof/>
                <w:webHidden/>
              </w:rPr>
              <w:instrText xml:space="preserve"> PAGEREF _Toc236400751 \h </w:instrText>
            </w:r>
            <w:r>
              <w:rPr>
                <w:noProof/>
                <w:webHidden/>
              </w:rPr>
            </w:r>
            <w:r>
              <w:rPr>
                <w:noProof/>
                <w:webHidden/>
              </w:rPr>
              <w:fldChar w:fldCharType="separate"/>
            </w:r>
            <w:r>
              <w:rPr>
                <w:noProof/>
                <w:webHidden/>
              </w:rPr>
              <w:t>3</w:t>
            </w:r>
            <w:r>
              <w:rPr>
                <w:noProof/>
                <w:webHidden/>
              </w:rPr>
              <w:fldChar w:fldCharType="end"/>
            </w:r>
          </w:hyperlink>
        </w:p>
        <w:p w14:paraId="0273157E" w14:textId="1B1F22B3" w:rsidR="00A52B2E" w:rsidRDefault="00A52B2E">
          <w:pPr>
            <w:pStyle w:val="TOC1"/>
            <w:tabs>
              <w:tab w:val="right" w:leader="dot" w:pos="9016"/>
            </w:tabs>
            <w:rPr>
              <w:rFonts w:asciiTheme="minorHAnsi" w:eastAsiaTheme="minorEastAsia" w:hAnsiTheme="minorHAnsi"/>
              <w:noProof/>
              <w:color w:val="auto"/>
              <w:kern w:val="2"/>
              <w:sz w:val="24"/>
              <w:szCs w:val="24"/>
              <w:lang w:eastAsia="en-GB"/>
              <w14:ligatures w14:val="standardContextual"/>
            </w:rPr>
          </w:pPr>
          <w:hyperlink w:anchor="_Toc236400752" w:history="1">
            <w:r w:rsidRPr="00DD2FDA">
              <w:rPr>
                <w:rStyle w:val="Hyperlink"/>
                <w:noProof/>
              </w:rPr>
              <w:t>4. Evaluation of leadership styles, organizational culture, and change management history</w:t>
            </w:r>
            <w:r>
              <w:rPr>
                <w:noProof/>
                <w:webHidden/>
              </w:rPr>
              <w:tab/>
            </w:r>
            <w:r>
              <w:rPr>
                <w:noProof/>
                <w:webHidden/>
              </w:rPr>
              <w:fldChar w:fldCharType="begin"/>
            </w:r>
            <w:r>
              <w:rPr>
                <w:noProof/>
                <w:webHidden/>
              </w:rPr>
              <w:instrText xml:space="preserve"> PAGEREF _Toc236400752 \h </w:instrText>
            </w:r>
            <w:r>
              <w:rPr>
                <w:noProof/>
                <w:webHidden/>
              </w:rPr>
            </w:r>
            <w:r>
              <w:rPr>
                <w:noProof/>
                <w:webHidden/>
              </w:rPr>
              <w:fldChar w:fldCharType="separate"/>
            </w:r>
            <w:r>
              <w:rPr>
                <w:noProof/>
                <w:webHidden/>
              </w:rPr>
              <w:t>4</w:t>
            </w:r>
            <w:r>
              <w:rPr>
                <w:noProof/>
                <w:webHidden/>
              </w:rPr>
              <w:fldChar w:fldCharType="end"/>
            </w:r>
          </w:hyperlink>
        </w:p>
        <w:p w14:paraId="140C3F2B" w14:textId="7FCB39EA" w:rsidR="00A52B2E" w:rsidRDefault="00A52B2E">
          <w:pPr>
            <w:pStyle w:val="TOC1"/>
            <w:tabs>
              <w:tab w:val="right" w:leader="dot" w:pos="9016"/>
            </w:tabs>
            <w:rPr>
              <w:rFonts w:asciiTheme="minorHAnsi" w:eastAsiaTheme="minorEastAsia" w:hAnsiTheme="minorHAnsi"/>
              <w:noProof/>
              <w:color w:val="auto"/>
              <w:kern w:val="2"/>
              <w:sz w:val="24"/>
              <w:szCs w:val="24"/>
              <w:lang w:eastAsia="en-GB"/>
              <w14:ligatures w14:val="standardContextual"/>
            </w:rPr>
          </w:pPr>
          <w:hyperlink w:anchor="_Toc236400753" w:history="1">
            <w:r w:rsidRPr="00DD2FDA">
              <w:rPr>
                <w:rStyle w:val="Hyperlink"/>
                <w:noProof/>
              </w:rPr>
              <w:t>5. Proposed strategic change management plan for NMUK</w:t>
            </w:r>
            <w:r>
              <w:rPr>
                <w:noProof/>
                <w:webHidden/>
              </w:rPr>
              <w:tab/>
            </w:r>
            <w:r>
              <w:rPr>
                <w:noProof/>
                <w:webHidden/>
              </w:rPr>
              <w:fldChar w:fldCharType="begin"/>
            </w:r>
            <w:r>
              <w:rPr>
                <w:noProof/>
                <w:webHidden/>
              </w:rPr>
              <w:instrText xml:space="preserve"> PAGEREF _Toc236400753 \h </w:instrText>
            </w:r>
            <w:r>
              <w:rPr>
                <w:noProof/>
                <w:webHidden/>
              </w:rPr>
            </w:r>
            <w:r>
              <w:rPr>
                <w:noProof/>
                <w:webHidden/>
              </w:rPr>
              <w:fldChar w:fldCharType="separate"/>
            </w:r>
            <w:r>
              <w:rPr>
                <w:noProof/>
                <w:webHidden/>
              </w:rPr>
              <w:t>6</w:t>
            </w:r>
            <w:r>
              <w:rPr>
                <w:noProof/>
                <w:webHidden/>
              </w:rPr>
              <w:fldChar w:fldCharType="end"/>
            </w:r>
          </w:hyperlink>
        </w:p>
        <w:p w14:paraId="34E01789" w14:textId="044B7C3A" w:rsidR="00A52B2E" w:rsidRDefault="00A52B2E">
          <w:pPr>
            <w:pStyle w:val="TOC1"/>
            <w:tabs>
              <w:tab w:val="right" w:leader="dot" w:pos="9016"/>
            </w:tabs>
            <w:rPr>
              <w:rFonts w:asciiTheme="minorHAnsi" w:eastAsiaTheme="minorEastAsia" w:hAnsiTheme="minorHAnsi"/>
              <w:noProof/>
              <w:color w:val="auto"/>
              <w:kern w:val="2"/>
              <w:sz w:val="24"/>
              <w:szCs w:val="24"/>
              <w:lang w:eastAsia="en-GB"/>
              <w14:ligatures w14:val="standardContextual"/>
            </w:rPr>
          </w:pPr>
          <w:hyperlink w:anchor="_Toc236400754" w:history="1">
            <w:r w:rsidRPr="00DD2FDA">
              <w:rPr>
                <w:rStyle w:val="Hyperlink"/>
                <w:noProof/>
              </w:rPr>
              <w:t>6. Reflection on learning and professional practice (Gibbs' reflective cycle)</w:t>
            </w:r>
            <w:r>
              <w:rPr>
                <w:noProof/>
                <w:webHidden/>
              </w:rPr>
              <w:tab/>
            </w:r>
            <w:r>
              <w:rPr>
                <w:noProof/>
                <w:webHidden/>
              </w:rPr>
              <w:fldChar w:fldCharType="begin"/>
            </w:r>
            <w:r>
              <w:rPr>
                <w:noProof/>
                <w:webHidden/>
              </w:rPr>
              <w:instrText xml:space="preserve"> PAGEREF _Toc236400754 \h </w:instrText>
            </w:r>
            <w:r>
              <w:rPr>
                <w:noProof/>
                <w:webHidden/>
              </w:rPr>
            </w:r>
            <w:r>
              <w:rPr>
                <w:noProof/>
                <w:webHidden/>
              </w:rPr>
              <w:fldChar w:fldCharType="separate"/>
            </w:r>
            <w:r>
              <w:rPr>
                <w:noProof/>
                <w:webHidden/>
              </w:rPr>
              <w:t>8</w:t>
            </w:r>
            <w:r>
              <w:rPr>
                <w:noProof/>
                <w:webHidden/>
              </w:rPr>
              <w:fldChar w:fldCharType="end"/>
            </w:r>
          </w:hyperlink>
        </w:p>
        <w:p w14:paraId="13F3B51E" w14:textId="3E6F86EF" w:rsidR="00A52B2E" w:rsidRDefault="00A52B2E">
          <w:pPr>
            <w:pStyle w:val="TOC1"/>
            <w:tabs>
              <w:tab w:val="right" w:leader="dot" w:pos="9016"/>
            </w:tabs>
            <w:rPr>
              <w:rFonts w:asciiTheme="minorHAnsi" w:eastAsiaTheme="minorEastAsia" w:hAnsiTheme="minorHAnsi"/>
              <w:noProof/>
              <w:color w:val="auto"/>
              <w:kern w:val="2"/>
              <w:sz w:val="24"/>
              <w:szCs w:val="24"/>
              <w:lang w:eastAsia="en-GB"/>
              <w14:ligatures w14:val="standardContextual"/>
            </w:rPr>
          </w:pPr>
          <w:hyperlink w:anchor="_Toc236400755" w:history="1">
            <w:r w:rsidRPr="00DD2FDA">
              <w:rPr>
                <w:rStyle w:val="Hyperlink"/>
                <w:noProof/>
              </w:rPr>
              <w:t>7. Conclusion</w:t>
            </w:r>
            <w:r>
              <w:rPr>
                <w:noProof/>
                <w:webHidden/>
              </w:rPr>
              <w:tab/>
            </w:r>
            <w:r>
              <w:rPr>
                <w:noProof/>
                <w:webHidden/>
              </w:rPr>
              <w:fldChar w:fldCharType="begin"/>
            </w:r>
            <w:r>
              <w:rPr>
                <w:noProof/>
                <w:webHidden/>
              </w:rPr>
              <w:instrText xml:space="preserve"> PAGEREF _Toc236400755 \h </w:instrText>
            </w:r>
            <w:r>
              <w:rPr>
                <w:noProof/>
                <w:webHidden/>
              </w:rPr>
            </w:r>
            <w:r>
              <w:rPr>
                <w:noProof/>
                <w:webHidden/>
              </w:rPr>
              <w:fldChar w:fldCharType="separate"/>
            </w:r>
            <w:r>
              <w:rPr>
                <w:noProof/>
                <w:webHidden/>
              </w:rPr>
              <w:t>10</w:t>
            </w:r>
            <w:r>
              <w:rPr>
                <w:noProof/>
                <w:webHidden/>
              </w:rPr>
              <w:fldChar w:fldCharType="end"/>
            </w:r>
          </w:hyperlink>
        </w:p>
        <w:p w14:paraId="07780B48" w14:textId="0AD62033" w:rsidR="00A52B2E" w:rsidRDefault="00A52B2E">
          <w:pPr>
            <w:pStyle w:val="TOC1"/>
            <w:tabs>
              <w:tab w:val="right" w:leader="dot" w:pos="9016"/>
            </w:tabs>
            <w:rPr>
              <w:rFonts w:asciiTheme="minorHAnsi" w:eastAsiaTheme="minorEastAsia" w:hAnsiTheme="minorHAnsi"/>
              <w:noProof/>
              <w:color w:val="auto"/>
              <w:kern w:val="2"/>
              <w:sz w:val="24"/>
              <w:szCs w:val="24"/>
              <w:lang w:eastAsia="en-GB"/>
              <w14:ligatures w14:val="standardContextual"/>
            </w:rPr>
          </w:pPr>
          <w:hyperlink w:anchor="_Toc236400756" w:history="1">
            <w:r w:rsidRPr="00DD2FDA">
              <w:rPr>
                <w:rStyle w:val="Hyperlink"/>
                <w:noProof/>
              </w:rPr>
              <w:t>Reference</w:t>
            </w:r>
            <w:r>
              <w:rPr>
                <w:noProof/>
                <w:webHidden/>
              </w:rPr>
              <w:tab/>
            </w:r>
            <w:r>
              <w:rPr>
                <w:noProof/>
                <w:webHidden/>
              </w:rPr>
              <w:fldChar w:fldCharType="begin"/>
            </w:r>
            <w:r>
              <w:rPr>
                <w:noProof/>
                <w:webHidden/>
              </w:rPr>
              <w:instrText xml:space="preserve"> PAGEREF _Toc236400756 \h </w:instrText>
            </w:r>
            <w:r>
              <w:rPr>
                <w:noProof/>
                <w:webHidden/>
              </w:rPr>
            </w:r>
            <w:r>
              <w:rPr>
                <w:noProof/>
                <w:webHidden/>
              </w:rPr>
              <w:fldChar w:fldCharType="separate"/>
            </w:r>
            <w:r>
              <w:rPr>
                <w:noProof/>
                <w:webHidden/>
              </w:rPr>
              <w:t>11</w:t>
            </w:r>
            <w:r>
              <w:rPr>
                <w:noProof/>
                <w:webHidden/>
              </w:rPr>
              <w:fldChar w:fldCharType="end"/>
            </w:r>
          </w:hyperlink>
        </w:p>
        <w:p w14:paraId="2F92FDFC" w14:textId="2355724B" w:rsidR="008E5585" w:rsidRDefault="008E5585">
          <w:r>
            <w:rPr>
              <w:b/>
              <w:bCs/>
            </w:rPr>
            <w:fldChar w:fldCharType="end"/>
          </w:r>
        </w:p>
      </w:sdtContent>
    </w:sdt>
    <w:p w14:paraId="52988457" w14:textId="1963DEC6" w:rsidR="001834FC" w:rsidRDefault="001834FC">
      <w:r>
        <w:br w:type="page"/>
      </w:r>
    </w:p>
    <w:p w14:paraId="0BEB37EE" w14:textId="77777777" w:rsidR="001834FC" w:rsidRDefault="001834FC" w:rsidP="001834FC">
      <w:pPr>
        <w:pStyle w:val="Heading1"/>
        <w:sectPr w:rsidR="001834FC" w:rsidSect="00731705">
          <w:footerReference w:type="default" r:id="rId9"/>
          <w:pgSz w:w="11906" w:h="16838" w:code="9"/>
          <w:pgMar w:top="1440" w:right="1440" w:bottom="1440" w:left="1440" w:header="720" w:footer="720" w:gutter="0"/>
          <w:pgNumType w:fmt="lowerRoman"/>
          <w:cols w:space="720"/>
          <w:docGrid w:linePitch="360"/>
        </w:sectPr>
      </w:pPr>
    </w:p>
    <w:p w14:paraId="0039E778" w14:textId="1564F5D9" w:rsidR="009C5CA3" w:rsidRDefault="006633C9" w:rsidP="00DB463C">
      <w:pPr>
        <w:jc w:val="center"/>
        <w:rPr>
          <w:b/>
          <w:bCs/>
          <w:sz w:val="32"/>
          <w:szCs w:val="28"/>
        </w:rPr>
      </w:pPr>
      <w:bookmarkStart w:id="1" w:name="_Toc232149694"/>
      <w:r w:rsidRPr="006633C9">
        <w:rPr>
          <w:b/>
          <w:bCs/>
          <w:sz w:val="32"/>
          <w:szCs w:val="28"/>
        </w:rPr>
        <w:lastRenderedPageBreak/>
        <w:t>STRATEGIC CHANGE MANAGEMENT REPORT: NAVIGATING DIGITAL DISRUPTION, ELECTRIFICATION, AND MACROECONOMIC VOLATILITY AT NISSAN MOTOR MANUFACTURING UK (NMUK)</w:t>
      </w:r>
    </w:p>
    <w:p w14:paraId="5414B9AD" w14:textId="77777777" w:rsidR="006633C9" w:rsidRPr="00DB463C" w:rsidRDefault="006633C9" w:rsidP="00DB463C">
      <w:pPr>
        <w:jc w:val="center"/>
        <w:rPr>
          <w:b/>
          <w:bCs/>
          <w:sz w:val="32"/>
          <w:szCs w:val="28"/>
        </w:rPr>
      </w:pPr>
    </w:p>
    <w:p w14:paraId="43E39E4E" w14:textId="77777777" w:rsidR="007345DE" w:rsidRDefault="007345DE" w:rsidP="007345DE">
      <w:pPr>
        <w:pStyle w:val="Heading1"/>
      </w:pPr>
      <w:bookmarkStart w:id="2" w:name="_Toc236400749"/>
      <w:bookmarkStart w:id="3" w:name="_Toc232149714"/>
      <w:bookmarkEnd w:id="1"/>
      <w:r>
        <w:t>1. Introduction</w:t>
      </w:r>
      <w:bookmarkEnd w:id="2"/>
    </w:p>
    <w:p w14:paraId="08EC113C" w14:textId="269F52B5" w:rsidR="00AF7433" w:rsidRPr="00F45B50" w:rsidRDefault="00450DEF" w:rsidP="00F45B50">
      <w:r w:rsidRPr="00450DEF">
        <w:t>In Tyne and Wear, Nissan Motor Manufacturing UK (NMUK) is one of the biggest manufacturing assets in the automotive landscape. Since its foundation in 1984 and its start of operations in 1986, NMUK has been a model European in terms of automotive productivity, operating efficiency and exports quantity. The Sunderland factory produces a range of important bestsellers like the all-electric Nissan LEAF, the Qashqai crossover and the Juke. NMUK is a hub for the North East regional economy, with more than 6,000 employees and a localized supply chain estimated to support 30,000 jobs. NMUK is a key player in Nissan's global electrification plans by launching a £1 billion scale-up electric vehicle hub with EV production, microgrid renewable energy and battery production in partnership with AESC Envision (Nissan Motor Co., Ltd., 2025). But, even with this investment in capital, the macro-environment in which NMUK is functioning is becoming increasingly complex and efficiencies that have proven successful in the past are no longer enough to ensure the continuous profitability or market leadership of the company. The Nissan Ambition 2030 is Nissan's global strategic plan, which lays out a vision that has the company committed to enabling mobility and helping to create a cleaner, safer, and more inclusive world in the long term. The core business is to provide innovative structural and technological solutions to the automotive industry, creating value for customers while ensuring carbon neutrality throughout the vehicle's whole life cycle by 2050. NMUK's strategic mission at the plant level is to ensure cost competitiveness, adapt manufacturing agility and pioneer zero emission assembly. Yet there is a gap between what Nissan is thinking on the long-term and what Nissan UK is facing in the here and now</w:t>
      </w:r>
      <w:r w:rsidR="009136FA" w:rsidRPr="009136FA">
        <w:t xml:space="preserve">. </w:t>
      </w:r>
      <w:r w:rsidR="008A6200" w:rsidRPr="008A6200">
        <w:t>In order to meet the needs of the change to software-defined vehicles (SDVs), autonomous driving systems and total fleet electrification, NMUK must evolve from a traditional assembly shop into a smart factory that is integrated, digitalized and data-driven. To ensure NMUK is operationally capable at a level that supports wider strategic objectives of Ambition 2030, a strategic change plan is required to cover the full range of strategic changes</w:t>
      </w:r>
      <w:r w:rsidR="00F45B50" w:rsidRPr="00F45B50">
        <w:t>.</w:t>
      </w:r>
      <w:r w:rsidR="00AF7433" w:rsidRPr="00F45B50">
        <w:br w:type="page"/>
      </w:r>
    </w:p>
    <w:p w14:paraId="255CB8A8" w14:textId="0264F318" w:rsidR="009E54B7" w:rsidRDefault="006633C9" w:rsidP="006633C9">
      <w:pPr>
        <w:pStyle w:val="Heading1"/>
      </w:pPr>
      <w:bookmarkStart w:id="4" w:name="_Toc236400750"/>
      <w:r>
        <w:lastRenderedPageBreak/>
        <w:t>2. Environmental analysis and recent organizational performance</w:t>
      </w:r>
      <w:bookmarkEnd w:id="4"/>
    </w:p>
    <w:p w14:paraId="6D9668B8" w14:textId="27CC232B" w:rsidR="008A6200" w:rsidRDefault="008A6200" w:rsidP="009E54B7">
      <w:r w:rsidRPr="008A6200">
        <w:t xml:space="preserve">A thorough PESTLE analysis sheds light on the macroenvironmental factors that influence the UK automotive industry, helping to grasp the performance pressures encountered by NMUK. Politically, the Zero Emission Vehicle (ZEV) mandate for the UK Government has strict sales quotas for vehicle manufacturers, with an increasing proportion of new car sales needing to be fully electric by 2035, the year the Government has announced will mark the end of new internal combustion engine (ICE) cars. At the same time, EU-UK Trade and Cooperation Agreement (TCA) post-Brexit regulatory requirements create compliance challenges related to Rules of Origin for electric battery components, with potential tariff implications if the localization supply chain criteria are not fulfilled. Economic issues are challenging – UK manufacturing is very expensive compared to parts of Europe and Asia due to high energy costs. Moreover, inflationary pressures and fluctuating interest rates have reduced consumer purchasing power, resulting in a slowdown in retail vehicle demand and an increase in vehicle financing costs (Dev, 2026). </w:t>
      </w:r>
    </w:p>
    <w:p w14:paraId="5F134966" w14:textId="270107D6" w:rsidR="008A6200" w:rsidRDefault="008A6200" w:rsidP="009E54B7">
      <w:r w:rsidRPr="008A6200">
        <w:t xml:space="preserve">Socially, consumers are changing their mobility preferences and moving away from car ownership. In urban areas, younger generations are attracted to subscription and shared mobility and public transport, especially as the Ultra Low Emission Zones (ULEZ) grow in many cities across the UK. Technological trends are by far the biggest worrisome trend the industry is facing. The move to Software-Defined Vehicles will require a vehicle architecture </w:t>
      </w:r>
      <w:proofErr w:type="spellStart"/>
      <w:r w:rsidRPr="008A6200">
        <w:t>centered</w:t>
      </w:r>
      <w:proofErr w:type="spellEnd"/>
      <w:r w:rsidRPr="008A6200">
        <w:t xml:space="preserve"> around advanced autonomous vehicle-assistance systems, software updates over the air and centralized computing. At the same time, AI and machine learning are transforming plant operations with predictive maintenance, digital twins and automated quality vision systems. Regulations in terms of legality and the environment drive adherence of the Scope 1, 2 and 3 carbon emissions. Regulations like UNECE WP.29, which call for stringent levels of cybersecurity engineering in the automotive manufacturing and vehicle software sectors, and legislation for the circular economy, which have stringent end-of-life battery recycling targets, come into play (Henderson, Cao and Liu, 2022).</w:t>
      </w:r>
    </w:p>
    <w:p w14:paraId="1DAD06E6" w14:textId="77777777" w:rsidR="008E0146" w:rsidRDefault="008E0146" w:rsidP="009E54B7">
      <w:r w:rsidRPr="008E0146">
        <w:t>Analysis of the UK car manufacturing industry using Porter's 5 forces can be used to identify the margin pressures at NMUK. New entrants are a very real prospect with Chinese Electric Vehicle original equipment manufacturers like BYD and MG (SAIC) making a significant headway. These companies have the advantage of state supported supply chains in batteries, shortened vehicle development cycles, and competitive pricing positioning, thereby eroding NMUK's market share in crossover segments across Europe (</w:t>
      </w:r>
      <w:proofErr w:type="spellStart"/>
      <w:r w:rsidRPr="008E0146">
        <w:t>Ndzabukelwako</w:t>
      </w:r>
      <w:proofErr w:type="spellEnd"/>
      <w:r w:rsidRPr="008E0146">
        <w:t xml:space="preserve"> et al., 2024). Buyers are powerful owing to low switching costs for fleet operators and retail consumers </w:t>
      </w:r>
      <w:r w:rsidRPr="008E0146">
        <w:lastRenderedPageBreak/>
        <w:t xml:space="preserve">between EV brands, due to transparent pricing in the digital sales channels. Moderate to high bargaining power of suppliers is a result of the concentration of critical raw materials such as lithium and cobalt, and specialized automotive semiconductor foundries, which gives Tier-1 suppliers the leverage to set higher prices and thereby reduce OEM margins. The fear of substitutes is moderate as urban transport networks are expanding and rivalry among the existing competitors is very high with established European OEMs discounting their prices aggressively to grab the EV market and to meet the ZEV targets (Fedotov, 2022). </w:t>
      </w:r>
    </w:p>
    <w:p w14:paraId="5D34344B" w14:textId="4033C8D9" w:rsidR="009E54B7" w:rsidRDefault="008E0146" w:rsidP="009E54B7">
      <w:r w:rsidRPr="008E0146">
        <w:t>The VRIO framework (Value, Rareness, Inimitability, Organization) is used to examine NMUK's internal resources, where they are strong and where they are vulnerable. The Sunderland Lean Manufacturing System, which is based on the Alliance Production Way (APW), is characterized by its high value, rareness and inimitability as a result of decades of cultural refinement and is a significant sustained competitive advantage in the traditional physical assembly arena (Saxena, 2022). Likewise, the EV36Zero Microgrid and Integrated Battery Ecosystem provides valuable and rare local EV manufacturing facilities, thereby providing a short-term competitive advantage in production costs. NMUK's internal Software Engineering and AI Capabilities however, are a clear competitive disadvantage. While software skills are important they are not necessarily unique or rare, and they are poorly integrated into the hardware-dominated workforce model at NMUK (Teece, 2020). Stagnant sales in Europe, changing regulations, Chinese market access and an internal lack of digital skills have emphasised the need for a holistic strategic change management plan (Nissan Motor Co., Ltd., 2021)</w:t>
      </w:r>
      <w:r>
        <w:t>.</w:t>
      </w:r>
    </w:p>
    <w:p w14:paraId="460833AA" w14:textId="77777777" w:rsidR="008E0146" w:rsidRDefault="008E0146" w:rsidP="009E54B7"/>
    <w:p w14:paraId="36C710AA" w14:textId="6048CF8E" w:rsidR="009E54B7" w:rsidRDefault="006633C9" w:rsidP="006633C9">
      <w:pPr>
        <w:pStyle w:val="Heading1"/>
      </w:pPr>
      <w:bookmarkStart w:id="5" w:name="_Toc236400751"/>
      <w:r>
        <w:t>3. Critical evaluation of change management models and strategic change in context</w:t>
      </w:r>
      <w:bookmarkEnd w:id="5"/>
    </w:p>
    <w:p w14:paraId="23436E78" w14:textId="6CF1B627" w:rsidR="00436D29" w:rsidRDefault="00436D29" w:rsidP="009E54B7">
      <w:r w:rsidRPr="00436D29">
        <w:t xml:space="preserve">In the case of a complex manufacturing organization such as NMUK, a solid theoretical base is needed to manage strategic change. The literature on organizational change provides a set of models, with varying analytical capabilities and practical restrictions when translated into large-scale industrial changes. Lewin's basic model is one of the models that views change in three stages: Unfreezing, Changing/Moving, and Refreezing. Unfreezing, in the context of NMUK, involves disrupting legacy mindsets that have been in place for decades, and are based on traditional ICE manufacturing processes. EMBED-MOVE involves embedding into the moving process new digital assembly protocols, AI-driven quality checks and EV architecture processes, freezing this by means of revamped standard operating procedures and reward systems. Lewin's framework gives a purist conceptual baseline, but modern </w:t>
      </w:r>
      <w:r w:rsidRPr="00436D29">
        <w:lastRenderedPageBreak/>
        <w:t>academics argue its linear, static, assumptions (Burke, 2022). But auto production is not a stable system that can be frozen and unfrozen, but rather one that is in a constant state of non-linear disruption, caused by the fluidity of technological change, and the variability of market conditions.</w:t>
      </w:r>
    </w:p>
    <w:p w14:paraId="20D4805A" w14:textId="77777777" w:rsidR="00442960" w:rsidRDefault="00442960" w:rsidP="009E54B7">
      <w:r w:rsidRPr="00442960">
        <w:t xml:space="preserve">Kotter gives a prescriptive, sequential, 8-step organizational change model for overcoming organizational inertia: creating a sense of urgency, building a guiding coalition, forming a strategic vision, enlisting a volunteer army, enabling action by removing obstacles, creating short-term wins, keeping the momentum going, and anchoring the changes in place. NMUK has a structured roadmap for execution in the form of Kotter's model. The sense of urgency can be created by emphasising the market share loss that is occurring due to Chinese EV competitors and the time frame of the UK ZEV mandate. Executive Plant Directors, Unite the Union </w:t>
      </w:r>
      <w:proofErr w:type="spellStart"/>
      <w:r w:rsidRPr="00442960">
        <w:t>Union</w:t>
      </w:r>
      <w:proofErr w:type="spellEnd"/>
      <w:r w:rsidRPr="00442960">
        <w:t xml:space="preserve"> leaders and experts in digital technology should all be part of the guiding coalition. But critics argue that Kotter's approach, which is from the top down, step by step, can be too mechanistic. It views change as a task of executive leadership, with a risk that the shopfloor innovation is overlooked, and that the incremental and emergent nature of software and AI integration is not taken into account (Graves et al., 2023). </w:t>
      </w:r>
    </w:p>
    <w:p w14:paraId="65F5D56D" w14:textId="242454C3" w:rsidR="009E54B7" w:rsidRDefault="00442960" w:rsidP="009E54B7">
      <w:r w:rsidRPr="00442960">
        <w:t>Balogun and Hope Hailey define change on two important lines: Change scope (Transformation versus Realignment) and Change nature or velocity (Incremental versus Big Bang). The resulting matrix is four quadrants: Evolution, Adaptation, Revolution, and Reconstruction. NMUK is facing an Evolutionary Transformation today. This transformational change involves a change in the organization of the company, from being a manufacturer of hardware to being a software enabled, AI powered EV company. But, with the cost of stopping assembly lines in a continuous manufacturing plant being very high, this change must happen in a step wise manner without affecting the day to day volume of production. The synthesis reveals that the model of Balogun and Hope Hailey are models that have a better contextual diagnostic capability while Kotter's model has an actionable capability in execution. For this reason, this strategic plan adopts Balogun and Hope Hailey for situational diagnosis and Kotter's sequence for structure for operational implementation (Castillo-Villar et al., 2026</w:t>
      </w:r>
      <w:r w:rsidR="002156D9" w:rsidRPr="002156D9">
        <w:t>)</w:t>
      </w:r>
      <w:r w:rsidR="009E54B7">
        <w:t>.</w:t>
      </w:r>
    </w:p>
    <w:p w14:paraId="230999E1" w14:textId="77777777" w:rsidR="009E54B7" w:rsidRDefault="009E54B7" w:rsidP="009E54B7"/>
    <w:p w14:paraId="42611A11" w14:textId="2F8759B1" w:rsidR="009E54B7" w:rsidRDefault="009E54B7" w:rsidP="006633C9">
      <w:pPr>
        <w:pStyle w:val="Heading1"/>
      </w:pPr>
      <w:bookmarkStart w:id="6" w:name="_Toc236400752"/>
      <w:r>
        <w:t xml:space="preserve">4. </w:t>
      </w:r>
      <w:r w:rsidR="006633C9">
        <w:t>Evaluation of leadership styles, organizational culture, and change management history</w:t>
      </w:r>
      <w:bookmarkEnd w:id="6"/>
    </w:p>
    <w:p w14:paraId="6DBB5D0A" w14:textId="77777777" w:rsidR="00523F80" w:rsidRDefault="00523F80" w:rsidP="009E54B7">
      <w:r w:rsidRPr="00523F80">
        <w:t xml:space="preserve">There are lessons to be learned from NMUK's previous change work that are important for future strategic planning. NMUK achieved incremental operational improvements in the past through the Kaizen (continuous improvement) and the Alliance Production Way (Boyer, 2022). </w:t>
      </w:r>
      <w:r w:rsidRPr="00523F80">
        <w:lastRenderedPageBreak/>
        <w:t>But the reluctance to adopt site-wide digital plant management software in past years has been impeded by poor communication amongst different departments, lack of technical skills, and heavy-handed directives. Digital tracking technology was seen by shop-floor technicians as an invasive monitoring system, not a system that would streamline and increase their productivity. This historical conflict highlights that the successful implementation of technology requires consideration of cultural and leadership aspects (</w:t>
      </w:r>
      <w:proofErr w:type="spellStart"/>
      <w:r w:rsidRPr="00523F80">
        <w:t>Kraczla</w:t>
      </w:r>
      <w:proofErr w:type="spellEnd"/>
      <w:r w:rsidRPr="00523F80">
        <w:t xml:space="preserve"> and Sławomir Króliczek, 2026). </w:t>
      </w:r>
    </w:p>
    <w:p w14:paraId="41D09216" w14:textId="79813AD8" w:rsidR="00523F80" w:rsidRDefault="00523F80" w:rsidP="009E54B7">
      <w:r w:rsidRPr="00523F80">
        <w:t>Leadership execution is key to strategic change and two leadership paradigms are considered in the context of NMUK. Transformational leadership is based on Bass and Avolio's conceptualization of Idealized Influence, Inspirational Motivation, Intellectual Stimulation and Individualized Consideration. Transformational leadership is crucial to communicating the overall vision of Ambition 2030 and the EV36Zero transformation at NMUK. Leaders can create emotional buy-in among all workers by positioning digital transformation and AI integration as a way to ensure the long-term viability of their sites and maintain high-value UK manufacturing jobs. But transformational leadership isn't always capable of being tactical, and inspirational speeches aren't going to clean up the technical aspects of fitting computer vision AI into already tightly-placed line speeds.</w:t>
      </w:r>
    </w:p>
    <w:p w14:paraId="68E58E01" w14:textId="77777777" w:rsidR="00DE58FA" w:rsidRDefault="00E3420B" w:rsidP="009E54B7">
      <w:r w:rsidRPr="00E3420B">
        <w:t xml:space="preserve">Hersey and Blanchard's Situational Leadership Theory proposes that leadership is dependent upon adjusting one's style to the readiness, competence and commitment of the followers, which can be achieved through four leadership styles: Directing, Coaching, Supporting and Delegating. There is a diversity of digital readiness levels among NMUK's workforce. Highly experienced senior maintenance engineers, with decades of mechanical experience, can show high task maturity for physical assembly, while showing low competence for predictive AI systems. On the other hand, newer hires to the software integration engineering team have high technical ability, but not as much organizational context. Situational approach enable the leaders to employ Directing, Coaching styles to the teams that are still in the process of digital transition, and use Delegating styles with existing and high-performing operational teams (Henderson, Cao and Liu, 2022). Thus, a hybrid leadership approach is needed with the senior management leading with Transformational Leadership to provide a vision and the line management leading with Situational Leadership to manage the day-to-day operational transitions. </w:t>
      </w:r>
    </w:p>
    <w:p w14:paraId="4D963563" w14:textId="31E2E7DB" w:rsidR="009E54B7" w:rsidRDefault="00E3420B" w:rsidP="009E54B7">
      <w:r w:rsidRPr="00E3420B">
        <w:t xml:space="preserve">Organizational culture is considered as a driving force of change or as a blocking force of change (Alvesson, 2021). NMUK's analysis with Cameron and Quinn's Competing values Framework indicates that there is a historical profile of a Hierarchy Culture, with emphasis on control, standardization, stability and process efficiency, as well as some characteristics of a </w:t>
      </w:r>
      <w:r w:rsidRPr="00E3420B">
        <w:lastRenderedPageBreak/>
        <w:t>Clan Culture of strong internal loyalty, union relations and a long tenure of employment. The Hierarchy Culture has allowed NMUK to operate with a precision and lean productivity, but it comes with an element of structural inertia if we need to experiment, be agile and take risks. Digital transformation and deployment of AI requires characteristics of Adhocracy Culture: flat hierarchies, cross-functional risk-taking, rapid iterative learning. NMUK's leadership plays a key role in driving change, and a conscious shift towards an Adhocracy culture will be necessary for this to happen, meaning that trial-and-error is encouraged in zones where software enables changes in operational practices, and the number of bureaucratic approvals required for software-driven changes to operational practices is decreased (Deep, 2023</w:t>
      </w:r>
      <w:r w:rsidR="000F53A8" w:rsidRPr="000F53A8">
        <w:t>)</w:t>
      </w:r>
      <w:r w:rsidR="009E54B7">
        <w:t>.</w:t>
      </w:r>
    </w:p>
    <w:p w14:paraId="168AFF45" w14:textId="77777777" w:rsidR="009E54B7" w:rsidRDefault="009E54B7" w:rsidP="009E54B7"/>
    <w:p w14:paraId="6D6FA78C" w14:textId="5D441712" w:rsidR="009E54B7" w:rsidRDefault="009E54B7" w:rsidP="00AB41B2">
      <w:pPr>
        <w:pStyle w:val="Heading1"/>
      </w:pPr>
      <w:bookmarkStart w:id="7" w:name="_Toc236400753"/>
      <w:r>
        <w:t xml:space="preserve">5. </w:t>
      </w:r>
      <w:r w:rsidR="00AB41B2">
        <w:t>Proposed strategic change management plan for NMUK</w:t>
      </w:r>
      <w:bookmarkEnd w:id="7"/>
    </w:p>
    <w:p w14:paraId="059575A6" w14:textId="51CF021F" w:rsidR="00DE58FA" w:rsidRDefault="00DE58FA" w:rsidP="009E54B7">
      <w:r w:rsidRPr="00DE58FA">
        <w:t xml:space="preserve"> The proposed 3-year strategic change management plan for NMUK (Project </w:t>
      </w:r>
      <w:proofErr w:type="spellStart"/>
      <w:r w:rsidRPr="00DE58FA">
        <w:t>DigitalFlex</w:t>
      </w:r>
      <w:proofErr w:type="spellEnd"/>
      <w:r w:rsidRPr="00DE58FA">
        <w:t xml:space="preserve"> 2027) is aimed at transforming it into a digitally integrated, AI-powered smart EV production hub as a Senior Strategic Manager. The plan aims to achieve 4 clear strategic goals. The initial goal is to enhance operational efficiency, with the goal of implementing AI predictive maintenance on 100% of body and paint lines by Q4 2026, cutting unplanned downtime by 22%. The second objective focuses on digital upskilling, with 80% of the assembly technicians to be upskilled by the second quarter of 2027 to become certified digital diagnostics and smart-tool operators, in a newly established Digital Manufacturing Academy. The third goal is to reduce defects and optimize costs, achieving 30% lower end-of-line rework costs through vision based AI quality inspection across all EV assembly lines by Q3 2027. The fourth objective is supply chain and carbon integration with real time IoT battery tracking to comply with the UK ZEV mandate and the TCA rules with 100% compliant local supply chain traceability in Q4 2027 (</w:t>
      </w:r>
      <w:proofErr w:type="spellStart"/>
      <w:r w:rsidRPr="00DE58FA">
        <w:t>iFactory</w:t>
      </w:r>
      <w:proofErr w:type="spellEnd"/>
      <w:r w:rsidRPr="00DE58FA">
        <w:t>, 2025).</w:t>
      </w:r>
    </w:p>
    <w:p w14:paraId="5EBF830A" w14:textId="77777777" w:rsidR="009B2B76" w:rsidRDefault="009B2B76" w:rsidP="009E54B7">
      <w:r w:rsidRPr="009B2B76">
        <w:t xml:space="preserve">Project </w:t>
      </w:r>
      <w:proofErr w:type="spellStart"/>
      <w:r w:rsidRPr="009B2B76">
        <w:t>DigitalFlex</w:t>
      </w:r>
      <w:proofErr w:type="spellEnd"/>
      <w:r w:rsidRPr="009B2B76">
        <w:t xml:space="preserve"> 2027 has three phases of execution that take place over 36 months based on Kotter's framework for manufacturing continuity. The initial phase (Months 1-12) is called Unfreezing and Mobilization. This includes building a Steering Coalition with the Plant Director, Unite Union representatives, the Chief Technology Officer and Head of HR and conducting site-wide engagement townhalls to share the vision and create a sense of urgency. Phase Two is focused on Tactical Execution and Empowerment in Months 13-24. Here, there are some short-term successes, with AI vision inspection being piloted on Assembly Line 1, and leadership is breaking down barriers by launching the Digital Manufacturing Academy and addressing legacy IT issues. Embedding and Institutionalization is the main objective in Phase Three (Months 25-36) (UNESCO and International Centre for Water Security and Sustainable Management, 2025). This stage introduces AI predictive maintenance to all production blocks and refreeze </w:t>
      </w:r>
      <w:proofErr w:type="spellStart"/>
      <w:r w:rsidRPr="009B2B76">
        <w:t>behaviors</w:t>
      </w:r>
      <w:proofErr w:type="spellEnd"/>
      <w:r w:rsidRPr="009B2B76">
        <w:t xml:space="preserve"> through new SOP, a new pay-for-skill matrix, and cultural </w:t>
      </w:r>
      <w:r w:rsidRPr="009B2B76">
        <w:lastRenderedPageBreak/>
        <w:t xml:space="preserve">reinforcement. The total capital and operational expenditure budget for Project </w:t>
      </w:r>
      <w:proofErr w:type="spellStart"/>
      <w:r w:rsidRPr="009B2B76">
        <w:t>DigitalFlex</w:t>
      </w:r>
      <w:proofErr w:type="spellEnd"/>
      <w:r w:rsidRPr="009B2B76">
        <w:t xml:space="preserve"> 2027 is £120 Million over 3 years. The finances are divided into several categories: £42.0 Million is allocated for AI and IoT infrastructure such as sensors and edge computing devices; £28.0 Million is used for the Digital Manufacturing Academy and workforce upskilling programs; £18.0 Million is assigned to Cybersecurity engineering and UNECE compliance integration; £16.0 Million is allocated for Software engineering procurement and licensing; £6.0 Million is allocated for Change management, internal communication and consulting support; and £10.0 Million has been allocated for financial contingency reserve totalling 10% of the total expenditure (</w:t>
      </w:r>
      <w:proofErr w:type="spellStart"/>
      <w:r w:rsidRPr="009B2B76">
        <w:t>Kumuthadevi</w:t>
      </w:r>
      <w:proofErr w:type="spellEnd"/>
      <w:r w:rsidRPr="009B2B76">
        <w:t xml:space="preserve">, </w:t>
      </w:r>
      <w:proofErr w:type="spellStart"/>
      <w:r w:rsidRPr="009B2B76">
        <w:t>Vengatesan</w:t>
      </w:r>
      <w:proofErr w:type="spellEnd"/>
      <w:r w:rsidRPr="009B2B76">
        <w:t xml:space="preserve"> and Dr Niraj Kumar, 2022). </w:t>
      </w:r>
    </w:p>
    <w:p w14:paraId="7CEC7E0E" w14:textId="17ACE450" w:rsidR="009B2B76" w:rsidRDefault="009B2B76" w:rsidP="009E54B7">
      <w:r w:rsidRPr="009B2B76">
        <w:t xml:space="preserve">Measurable operational cost savings are the basis for the financial justification and return on investment (ROI). At present the cost of unplanned downtime on high speed lines at NMUK is about £18,000 a minute, so a 22% reduction in downtime equates to an annual saving of an estimated £24.5 Million. Additionally, a 30% reduction in the cost of end-of-line quality rework operations results in an estimated £14.2 Million in annual operational savings. The net present value (NPV) at an 8% discount rate is positive at £34.8 Million over 5 years, with an estimated Internal Rate of Return (IRR) at 18.2% and a payback period of 3.2 years. One of the main reasons for failing organizational change is stakeholder resistance (Strittmatter, </w:t>
      </w:r>
      <w:proofErr w:type="spellStart"/>
      <w:r w:rsidRPr="009B2B76">
        <w:t>Fahlén</w:t>
      </w:r>
      <w:proofErr w:type="spellEnd"/>
      <w:r w:rsidRPr="009B2B76">
        <w:t xml:space="preserve"> and Houlihan, 2021). Key NMUK stakeholders are mapped on Mendelow's Power-Interest Matrix, which helps to inform a targeted communication strategy. The Executive Board and Unite the Union are high power/high interest Key Players. Monthly ROI and KPI milestone reporting is necessary for the Executive Board to secure capital approval, and Unite the Union needs bi-weekly co-design meetings to guarantee safe upskilling procedures and job security. Plant Technicians have 'Low Formal Power' and 'High Interest', and need weekly shift briefings and hands-on workshops to promote digital adoption (The Exp Group, 2025). High power and low direct operational interest external stakeholders (</w:t>
      </w:r>
      <w:proofErr w:type="spellStart"/>
      <w:r w:rsidRPr="009B2B76">
        <w:t>eg</w:t>
      </w:r>
      <w:proofErr w:type="spellEnd"/>
      <w:r w:rsidRPr="009B2B76">
        <w:t xml:space="preserve"> UK Government (DoT)) require quarterly ESG and economic impact review to demonstrate ZEV compliance and local economic contribution.</w:t>
      </w:r>
    </w:p>
    <w:p w14:paraId="2CAAB548" w14:textId="3B22C68B" w:rsidR="009E54B7" w:rsidRPr="00DF46BC" w:rsidRDefault="00F878D0" w:rsidP="009E54B7">
      <w:r w:rsidRPr="00F878D0">
        <w:t xml:space="preserve">The change plan includes a Balanced Scorecard that is aligned with </w:t>
      </w:r>
      <w:proofErr w:type="spellStart"/>
      <w:r w:rsidRPr="00F878D0">
        <w:t>Prosci's</w:t>
      </w:r>
      <w:proofErr w:type="spellEnd"/>
      <w:r w:rsidRPr="00F878D0">
        <w:t xml:space="preserve"> ADKAR Model (Awareness, Desire, Knowledge, Ability, Reinforcement) for tracking both the operational and human adoption metrics (Hanif, 2023). Financially, the plan is on a Return on Invested Capital basis and is looking at a combined annual saving of £38.7 Million, which is assessed on a quarterly basis. Internally, the unplanned downtime rates are monitored on a monthly basis and the defects identified by AI are monitored, with the aim of reducing unplanned downtime by 22%. Digital Academy certifications are measured through learning and growth metrics monthly with a 80% goal of workforce completion. Customer and ESG perspectives conduct monthly vehicle quality indices and ZEV sales ratios on an end-of-line basis, and work towards </w:t>
      </w:r>
      <w:r w:rsidRPr="00F878D0">
        <w:lastRenderedPageBreak/>
        <w:t>a 99.4% first time pass rate. Extensive contingency plan reduces significant operating risks. Where there is potential for union pushback/strike threat on automation, leadership will implement a contingency plan that has been pre-designed, including co-designed job guarantee mechanisms with digital upskilling/expanded wage bands. NMUK will run parallel legacy monitoring system for 90 days after integration before decommissioning, with support of an edge gateway between legacy systems and AI IoT systems to overcome the technical incompatibility. Lastly, in response to a shortage of software skills in the North East UK region, NMUK will establish strategic partnerships to provide talent to the region, particularly from Sunderland, Newcastle, and Northumbria universities (</w:t>
      </w:r>
      <w:proofErr w:type="spellStart"/>
      <w:r w:rsidRPr="00F878D0">
        <w:t>Kapliar</w:t>
      </w:r>
      <w:proofErr w:type="spellEnd"/>
      <w:r w:rsidRPr="00F878D0">
        <w:t>, 2025</w:t>
      </w:r>
      <w:r w:rsidR="00184854" w:rsidRPr="00DF46BC">
        <w:t>).</w:t>
      </w:r>
    </w:p>
    <w:p w14:paraId="6A183FFD" w14:textId="77777777" w:rsidR="009E54B7" w:rsidRPr="00DF46BC" w:rsidRDefault="009E54B7" w:rsidP="009E54B7"/>
    <w:p w14:paraId="3F5BBCDA" w14:textId="6E347A7C" w:rsidR="009E54B7" w:rsidRPr="00DF46BC" w:rsidRDefault="009F19F0" w:rsidP="009F19F0">
      <w:pPr>
        <w:pStyle w:val="Heading1"/>
      </w:pPr>
      <w:bookmarkStart w:id="8" w:name="_Toc236400754"/>
      <w:r w:rsidRPr="00DF46BC">
        <w:t>6</w:t>
      </w:r>
      <w:r w:rsidR="009E54B7" w:rsidRPr="00DF46BC">
        <w:t xml:space="preserve">. </w:t>
      </w:r>
      <w:r w:rsidRPr="00DF46BC">
        <w:t>Reflection on learning and professional practice (Gibbs' reflective cycle)</w:t>
      </w:r>
      <w:bookmarkEnd w:id="8"/>
    </w:p>
    <w:p w14:paraId="76540979" w14:textId="77777777" w:rsidR="0056481B" w:rsidRDefault="0056481B" w:rsidP="009E54B7">
      <w:r w:rsidRPr="0056481B">
        <w:t xml:space="preserve">As part of this module (Strategic Change Management) I took on the role of Senior Strategic Manager to analyse Nissan Motor Manufacturing UK (NMUK) and to develop a full 3400 word strategic change plan. This involved assessing complex academic theories, collating huge amounts of performance data from the automotive industry, understanding the current internal capabilities and setting out an action plan for change, with financial, communication and risk structures. Initially, I was daunted by the magnitude of the project and the analytical task of </w:t>
      </w:r>
      <w:proofErr w:type="spellStart"/>
      <w:r w:rsidRPr="0056481B">
        <w:t>analyzing</w:t>
      </w:r>
      <w:proofErr w:type="spellEnd"/>
      <w:r w:rsidRPr="0056481B">
        <w:t xml:space="preserve"> a major OEM such as NMUK in the context of a multitude of industry changes, including electrification, the Chinese market landscape, and the integration of AI. I had a fear that I'd never be able to translate the strategic literature to the point of manufacturing a vehicle. But slowly, with the application of structured analytical tools like PESTLE, Porter's Five Forces and VRIO, my confidence increased. When exploring the systemic tension between the culture of the lean hierarchy that was historically dominant in NMUK and the culture of flexibility and adaptability needed to support digital transformation (Rehman and Shakeel Sadiq Jajja, 2025). </w:t>
      </w:r>
    </w:p>
    <w:p w14:paraId="38322874" w14:textId="178221B6" w:rsidR="009E54B7" w:rsidRDefault="0056481B" w:rsidP="009E54B7">
      <w:r w:rsidRPr="0056481B">
        <w:t xml:space="preserve">Overall, there were some positive elements and challenges to be considered. The good thing was that the academic process was structured, and I was able to put together various theories into a single operational plan. The use of Kotter's model and Balogun and Hope Hailey's Change Matrix gave a strong conceptual base; the development of an integrated financial and stakeholder management framework was an executive level strategic deliverable which illustrated my ability to bring this to fruition. On the other hand, I was having some difficulty at first being able to think critically about leadership theories without resorting to summarising descriptions of them. It was also difficult to integrate a high-level strategic vision with </w:t>
      </w:r>
      <w:r w:rsidRPr="0056481B">
        <w:lastRenderedPageBreak/>
        <w:t xml:space="preserve">operational, ground-level change implementation measures, like the integration of </w:t>
      </w:r>
      <w:proofErr w:type="spellStart"/>
      <w:r w:rsidRPr="0056481B">
        <w:t>Prosci's</w:t>
      </w:r>
      <w:proofErr w:type="spellEnd"/>
      <w:r w:rsidRPr="0056481B">
        <w:t xml:space="preserve"> ADKAR model with financial Balanced Scorecards</w:t>
      </w:r>
      <w:r w:rsidR="009E54B7" w:rsidRPr="00DF46BC">
        <w:t>.</w:t>
      </w:r>
    </w:p>
    <w:p w14:paraId="45C03440" w14:textId="77777777" w:rsidR="00227818" w:rsidRDefault="00227818" w:rsidP="009E54B7">
      <w:r w:rsidRPr="00227818">
        <w:t xml:space="preserve">My learning experience mirrors Kolb (2015) experience in the experiential learning dynamics. This analysis helped me see that strategic change management is not a linear process. Before this module, I was thinking of change models as a theoretical checklist. Through the application of Kotter's steps on the shop-floor of NMUK it has been found that change management is very human and context-dependent. When examining leadership styles, I realized that a single leadership style would not suffice in times of big organizational change, and leaders would have to flex them accordingly based on readiness of the workforce and the culture of the organization. In addition, an appraisal of NMUK using the Competing Values Framework highlighted the important role of organizational culture in the execution of strategy. To be effective, even the best technology investments would be ineffective if NMUK's deep-rooted Hierarchy culture does not move toward Adhocracy (Taneja, Kiran and Bose, 2022). </w:t>
      </w:r>
    </w:p>
    <w:p w14:paraId="267A5C8F" w14:textId="4370497E" w:rsidR="009E54B7" w:rsidRDefault="00227818" w:rsidP="009E54B7">
      <w:r w:rsidRPr="00227818">
        <w:t>Finally, this project helped to enhance my understanding of macro-environmental volatility, leadership approaches, cultural aspects, and strategic planning. I discovered that a good strategic manager needs to be both analytical and a change agent with empathy. If I were to revisit this project, I would have spent more time at the beginning of the diagnostic phase examining relations between the company and its shop floor union Unite the Union as the role of the work force is a key component to manufacturing change execution. There are three action points that I will take to apply this learning to my future professional practice. To become a situational leader, I will work hard to evaluate the maturity of the team by using Hersey and Blanchard's model and adapt my style to include directing, coaching or delegating according to the level of maturity of the individual. Secondly, I will focus on the cultural diagnostic frameworks and conduct cultural audits based on the Competing Values Framework before investing in capital. Third, I will always take the financial metrics of Balanced Scorecards, along with the human adoption metrics of the ADKAR model, to assure both operational execution and sustainable workforce adoption</w:t>
      </w:r>
      <w:r w:rsidR="009E54B7">
        <w:t>.</w:t>
      </w:r>
    </w:p>
    <w:p w14:paraId="3AF69746" w14:textId="77777777" w:rsidR="009E54B7" w:rsidRDefault="009E54B7" w:rsidP="009E54B7"/>
    <w:p w14:paraId="64BEC1DF" w14:textId="77777777" w:rsidR="009F19F0" w:rsidRDefault="009F19F0">
      <w:pPr>
        <w:spacing w:line="259" w:lineRule="auto"/>
        <w:jc w:val="left"/>
        <w:rPr>
          <w:rFonts w:eastAsiaTheme="majorEastAsia" w:cstheme="majorBidi"/>
          <w:b/>
          <w:sz w:val="32"/>
          <w:szCs w:val="32"/>
        </w:rPr>
      </w:pPr>
      <w:r>
        <w:br w:type="page"/>
      </w:r>
    </w:p>
    <w:p w14:paraId="3720B115" w14:textId="2F472A47" w:rsidR="00AB4B3F" w:rsidRDefault="009F19F0" w:rsidP="009E54B7">
      <w:pPr>
        <w:pStyle w:val="Heading1"/>
      </w:pPr>
      <w:bookmarkStart w:id="9" w:name="_Toc236400755"/>
      <w:r>
        <w:lastRenderedPageBreak/>
        <w:t xml:space="preserve">7. </w:t>
      </w:r>
      <w:r w:rsidR="00AB4B3F">
        <w:t>Conclusion</w:t>
      </w:r>
      <w:bookmarkEnd w:id="9"/>
    </w:p>
    <w:p w14:paraId="2D3BB09E" w14:textId="369CAEE5" w:rsidR="00DB463C" w:rsidRPr="00814852" w:rsidRDefault="00227818" w:rsidP="00AB4B3F">
      <w:r w:rsidRPr="00227818">
        <w:t xml:space="preserve"> NMUK is at a turning point in manufacturing history. Its historic lean production and the creation of the EV36Zero hub are solid assets, but macro pressures – from China's ambitious expansion in the EV market, to the UK ZEV mandate and internal digital skill gaps – are eroding margin status quo. This report illustrates that it takes an integrated strategic change initiative to traverse these challenges. NMUK can bring about an evolutionary transformation by marrying Balogun and Hope Hailey's contextual diagnosis with Kotter's structural steps for execution. Success depends on combining transformational vision and executive leadership with “shop floor” situational leadership, moving away from a purely hierarchical culture toward one that is more ad hoc and digital, and that is keen to experiment. Executing Project </w:t>
      </w:r>
      <w:proofErr w:type="spellStart"/>
      <w:r w:rsidRPr="00227818">
        <w:t>DigitalFlex</w:t>
      </w:r>
      <w:proofErr w:type="spellEnd"/>
      <w:r w:rsidRPr="00227818">
        <w:t xml:space="preserve"> 2027 through a £120 Million investment in AI, predictive maintenance, and workforce upskilling offers a clear roadmap. This strategic plan, supported by robust stakeholder management using Mendelow's matrix and measuring using Balanced Scorecards, puts NMUK in a better position to become a resilient, high value, digitalised automotive leader of the UK and European EV markets</w:t>
      </w:r>
      <w:r w:rsidR="00AB4B3F">
        <w:t>.</w:t>
      </w:r>
      <w:r w:rsidR="00DB463C" w:rsidRPr="00814852">
        <w:br w:type="page"/>
      </w:r>
    </w:p>
    <w:p w14:paraId="12534DA9" w14:textId="74C10DCF" w:rsidR="007F5B1A" w:rsidRPr="007F5B1A" w:rsidRDefault="001834FC" w:rsidP="00F852CE">
      <w:pPr>
        <w:pStyle w:val="Heading1"/>
      </w:pPr>
      <w:bookmarkStart w:id="10" w:name="_Toc236400756"/>
      <w:r>
        <w:lastRenderedPageBreak/>
        <w:t>Reference</w:t>
      </w:r>
      <w:bookmarkEnd w:id="3"/>
      <w:bookmarkEnd w:id="10"/>
      <w:r>
        <w:t xml:space="preserve"> </w:t>
      </w:r>
    </w:p>
    <w:p w14:paraId="3F02A5C6" w14:textId="77777777" w:rsidR="00C30098" w:rsidRPr="00C30098" w:rsidRDefault="00C30098" w:rsidP="00C30098">
      <w:pPr>
        <w:spacing w:after="240"/>
        <w:rPr>
          <w:rFonts w:eastAsia="Times New Roman" w:cs="Arial"/>
          <w:color w:val="auto"/>
          <w:lang w:eastAsia="en-GB"/>
        </w:rPr>
      </w:pPr>
      <w:r w:rsidRPr="00C30098">
        <w:rPr>
          <w:rFonts w:eastAsia="Times New Roman" w:cs="Arial"/>
          <w:color w:val="auto"/>
          <w:lang w:eastAsia="en-GB"/>
        </w:rPr>
        <w:t xml:space="preserve">Alvesson, M. (2021). </w:t>
      </w:r>
      <w:r w:rsidRPr="00C30098">
        <w:rPr>
          <w:rFonts w:eastAsia="Times New Roman" w:cs="Arial"/>
          <w:i/>
          <w:iCs/>
          <w:color w:val="auto"/>
          <w:lang w:eastAsia="en-GB"/>
        </w:rPr>
        <w:t>Organizational culture</w:t>
      </w:r>
      <w:r w:rsidRPr="00C30098">
        <w:rPr>
          <w:rFonts w:eastAsia="Times New Roman" w:cs="Arial"/>
          <w:color w:val="auto"/>
          <w:lang w:eastAsia="en-GB"/>
        </w:rPr>
        <w:t>. Los Angeles: Sage.</w:t>
      </w:r>
    </w:p>
    <w:p w14:paraId="639E63F6" w14:textId="77777777" w:rsidR="00C30098" w:rsidRPr="00C30098" w:rsidRDefault="00C30098" w:rsidP="00C30098">
      <w:pPr>
        <w:spacing w:after="240"/>
        <w:rPr>
          <w:rFonts w:eastAsia="Times New Roman" w:cs="Arial"/>
          <w:color w:val="auto"/>
          <w:lang w:eastAsia="en-GB"/>
        </w:rPr>
      </w:pPr>
      <w:r w:rsidRPr="00C30098">
        <w:rPr>
          <w:rFonts w:eastAsia="Times New Roman" w:cs="Arial"/>
          <w:color w:val="auto"/>
          <w:lang w:eastAsia="en-GB"/>
        </w:rPr>
        <w:t xml:space="preserve">Burke, W.W. (2022). </w:t>
      </w:r>
      <w:r w:rsidRPr="00C30098">
        <w:rPr>
          <w:rFonts w:eastAsia="Times New Roman" w:cs="Arial"/>
          <w:i/>
          <w:iCs/>
          <w:color w:val="auto"/>
          <w:lang w:eastAsia="en-GB"/>
        </w:rPr>
        <w:t>Organization Change : Theory and Practice</w:t>
      </w:r>
      <w:r w:rsidRPr="00C30098">
        <w:rPr>
          <w:rFonts w:eastAsia="Times New Roman" w:cs="Arial"/>
          <w:color w:val="auto"/>
          <w:lang w:eastAsia="en-GB"/>
        </w:rPr>
        <w:t>. Los Angeles: Sage.</w:t>
      </w:r>
    </w:p>
    <w:p w14:paraId="4E6DB5B3" w14:textId="77777777" w:rsidR="00C30098" w:rsidRPr="00C30098" w:rsidRDefault="00C30098" w:rsidP="00C30098">
      <w:pPr>
        <w:spacing w:after="240"/>
        <w:rPr>
          <w:rFonts w:eastAsia="Times New Roman" w:cs="Arial"/>
          <w:color w:val="auto"/>
          <w:lang w:eastAsia="en-GB"/>
        </w:rPr>
      </w:pPr>
      <w:r w:rsidRPr="00C30098">
        <w:rPr>
          <w:rFonts w:eastAsia="Times New Roman" w:cs="Arial"/>
          <w:color w:val="auto"/>
          <w:lang w:eastAsia="en-GB"/>
        </w:rPr>
        <w:t xml:space="preserve">Castillo-Villar, K.K., Dai, H., Martinez Medina, G. and </w:t>
      </w:r>
      <w:proofErr w:type="spellStart"/>
      <w:r w:rsidRPr="00C30098">
        <w:rPr>
          <w:rFonts w:eastAsia="Times New Roman" w:cs="Arial"/>
          <w:color w:val="auto"/>
          <w:lang w:eastAsia="en-GB"/>
        </w:rPr>
        <w:t>Mehrzadi</w:t>
      </w:r>
      <w:proofErr w:type="spellEnd"/>
      <w:r w:rsidRPr="00C30098">
        <w:rPr>
          <w:rFonts w:eastAsia="Times New Roman" w:cs="Arial"/>
          <w:color w:val="auto"/>
          <w:lang w:eastAsia="en-GB"/>
        </w:rPr>
        <w:t xml:space="preserve">, H. (2026). Cybersecurity for Smart and Resilient Manufacturing and Supply Chains: A Systematic Review of the Evolving Knowledge Base. </w:t>
      </w:r>
      <w:r w:rsidRPr="00C30098">
        <w:rPr>
          <w:rFonts w:eastAsia="Times New Roman" w:cs="Arial"/>
          <w:i/>
          <w:iCs/>
          <w:color w:val="auto"/>
          <w:lang w:eastAsia="en-GB"/>
        </w:rPr>
        <w:t>Computers &amp; Industrial Engineering</w:t>
      </w:r>
      <w:r w:rsidRPr="00C30098">
        <w:rPr>
          <w:rFonts w:eastAsia="Times New Roman" w:cs="Arial"/>
          <w:color w:val="auto"/>
          <w:lang w:eastAsia="en-GB"/>
        </w:rPr>
        <w:t>, 220, p.112244. doi:10.1016/j.cie.2026.112244.</w:t>
      </w:r>
    </w:p>
    <w:p w14:paraId="61E06BFE" w14:textId="77777777" w:rsidR="00C30098" w:rsidRPr="00C30098" w:rsidRDefault="00C30098" w:rsidP="00C30098">
      <w:pPr>
        <w:spacing w:after="240"/>
        <w:rPr>
          <w:rFonts w:eastAsia="Times New Roman" w:cs="Arial"/>
          <w:color w:val="auto"/>
          <w:lang w:eastAsia="en-GB"/>
        </w:rPr>
      </w:pPr>
      <w:r w:rsidRPr="00C30098">
        <w:rPr>
          <w:rFonts w:eastAsia="Times New Roman" w:cs="Arial"/>
          <w:color w:val="auto"/>
          <w:lang w:eastAsia="en-GB"/>
        </w:rPr>
        <w:t xml:space="preserve">Deep, G. (2023). Digital Transformation’s Impact on Organizational Culture. </w:t>
      </w:r>
      <w:r w:rsidRPr="00C30098">
        <w:rPr>
          <w:rFonts w:eastAsia="Times New Roman" w:cs="Arial"/>
          <w:i/>
          <w:iCs/>
          <w:color w:val="auto"/>
          <w:lang w:eastAsia="en-GB"/>
        </w:rPr>
        <w:t>International Journal of Science and Research Archive</w:t>
      </w:r>
      <w:r w:rsidRPr="00C30098">
        <w:rPr>
          <w:rFonts w:eastAsia="Times New Roman" w:cs="Arial"/>
          <w:color w:val="auto"/>
          <w:lang w:eastAsia="en-GB"/>
        </w:rPr>
        <w:t>, [online] 10(2), pp.396–401. doi:10.30574/ijsra.2023.10.2.0977.</w:t>
      </w:r>
    </w:p>
    <w:p w14:paraId="799BD28D" w14:textId="77777777" w:rsidR="00C30098" w:rsidRPr="00C30098" w:rsidRDefault="00C30098" w:rsidP="00C30098">
      <w:pPr>
        <w:spacing w:after="240"/>
        <w:rPr>
          <w:rFonts w:eastAsia="Times New Roman" w:cs="Arial"/>
          <w:color w:val="auto"/>
          <w:lang w:eastAsia="en-GB"/>
        </w:rPr>
      </w:pPr>
      <w:r w:rsidRPr="00C30098">
        <w:rPr>
          <w:rFonts w:eastAsia="Times New Roman" w:cs="Arial"/>
          <w:color w:val="auto"/>
          <w:lang w:eastAsia="en-GB"/>
        </w:rPr>
        <w:t xml:space="preserve">Dev, D.W. (2026). </w:t>
      </w:r>
      <w:r w:rsidRPr="00C30098">
        <w:rPr>
          <w:rFonts w:eastAsia="Times New Roman" w:cs="Arial"/>
          <w:i/>
          <w:iCs/>
          <w:color w:val="auto"/>
          <w:lang w:eastAsia="en-GB"/>
        </w:rPr>
        <w:t xml:space="preserve">Zero Emission Vehicle (ZEV) Mandate UK Explained | 2026 </w:t>
      </w:r>
      <w:proofErr w:type="spellStart"/>
      <w:r w:rsidRPr="00C30098">
        <w:rPr>
          <w:rFonts w:eastAsia="Times New Roman" w:cs="Arial"/>
          <w:i/>
          <w:iCs/>
          <w:color w:val="auto"/>
          <w:lang w:eastAsia="en-GB"/>
        </w:rPr>
        <w:t>Skywell</w:t>
      </w:r>
      <w:proofErr w:type="spellEnd"/>
      <w:r w:rsidRPr="00C30098">
        <w:rPr>
          <w:rFonts w:eastAsia="Times New Roman" w:cs="Arial"/>
          <w:i/>
          <w:iCs/>
          <w:color w:val="auto"/>
          <w:lang w:eastAsia="en-GB"/>
        </w:rPr>
        <w:t xml:space="preserve"> Guide</w:t>
      </w:r>
      <w:r w:rsidRPr="00C30098">
        <w:rPr>
          <w:rFonts w:eastAsia="Times New Roman" w:cs="Arial"/>
          <w:color w:val="auto"/>
          <w:lang w:eastAsia="en-GB"/>
        </w:rPr>
        <w:t xml:space="preserve">. [online] </w:t>
      </w:r>
      <w:proofErr w:type="spellStart"/>
      <w:r w:rsidRPr="00C30098">
        <w:rPr>
          <w:rFonts w:eastAsia="Times New Roman" w:cs="Arial"/>
          <w:i/>
          <w:iCs/>
          <w:color w:val="auto"/>
          <w:lang w:eastAsia="en-GB"/>
        </w:rPr>
        <w:t>Skywell</w:t>
      </w:r>
      <w:proofErr w:type="spellEnd"/>
      <w:r w:rsidRPr="00C30098">
        <w:rPr>
          <w:rFonts w:eastAsia="Times New Roman" w:cs="Arial"/>
          <w:i/>
          <w:iCs/>
          <w:color w:val="auto"/>
          <w:lang w:eastAsia="en-GB"/>
        </w:rPr>
        <w:t xml:space="preserve"> UK</w:t>
      </w:r>
      <w:r w:rsidRPr="00C30098">
        <w:rPr>
          <w:rFonts w:eastAsia="Times New Roman" w:cs="Arial"/>
          <w:color w:val="auto"/>
          <w:lang w:eastAsia="en-GB"/>
        </w:rPr>
        <w:t>. Available at: https://skywell-uk.com/blog/zero-emission-vehicle-mandate/ [Accessed 31 July 2026].</w:t>
      </w:r>
    </w:p>
    <w:p w14:paraId="69E95EE9" w14:textId="77777777" w:rsidR="00C30098" w:rsidRPr="00C30098" w:rsidRDefault="00C30098" w:rsidP="00C30098">
      <w:pPr>
        <w:spacing w:after="240"/>
        <w:rPr>
          <w:rFonts w:eastAsia="Times New Roman" w:cs="Arial"/>
          <w:color w:val="auto"/>
          <w:lang w:eastAsia="en-GB"/>
        </w:rPr>
      </w:pPr>
      <w:r w:rsidRPr="00C30098">
        <w:rPr>
          <w:rFonts w:eastAsia="Times New Roman" w:cs="Arial"/>
          <w:color w:val="auto"/>
          <w:lang w:eastAsia="en-GB"/>
        </w:rPr>
        <w:t xml:space="preserve">Fedotov, P. (2022). Critical Analysis of the Electric Vehicle Industry. </w:t>
      </w:r>
      <w:r w:rsidRPr="00C30098">
        <w:rPr>
          <w:rFonts w:eastAsia="Times New Roman" w:cs="Arial"/>
          <w:i/>
          <w:iCs/>
          <w:color w:val="auto"/>
          <w:lang w:eastAsia="en-GB"/>
        </w:rPr>
        <w:t>Exchanges: the Interdisciplinary Research Journal</w:t>
      </w:r>
      <w:r w:rsidRPr="00C30098">
        <w:rPr>
          <w:rFonts w:eastAsia="Times New Roman" w:cs="Arial"/>
          <w:color w:val="auto"/>
          <w:lang w:eastAsia="en-GB"/>
        </w:rPr>
        <w:t xml:space="preserve">, [online] 10(1), pp.43–56. </w:t>
      </w:r>
      <w:proofErr w:type="spellStart"/>
      <w:r w:rsidRPr="00C30098">
        <w:rPr>
          <w:rFonts w:eastAsia="Times New Roman" w:cs="Arial"/>
          <w:color w:val="auto"/>
          <w:lang w:eastAsia="en-GB"/>
        </w:rPr>
        <w:t>doi:https</w:t>
      </w:r>
      <w:proofErr w:type="spellEnd"/>
      <w:r w:rsidRPr="00C30098">
        <w:rPr>
          <w:rFonts w:eastAsia="Times New Roman" w:cs="Arial"/>
          <w:color w:val="auto"/>
          <w:lang w:eastAsia="en-GB"/>
        </w:rPr>
        <w:t>://doi.org/10.31273/eirj.v10i1.362.</w:t>
      </w:r>
    </w:p>
    <w:p w14:paraId="38EAFBDE" w14:textId="77777777" w:rsidR="00C30098" w:rsidRPr="00C30098" w:rsidRDefault="00C30098" w:rsidP="00C30098">
      <w:pPr>
        <w:spacing w:after="240"/>
        <w:rPr>
          <w:rFonts w:eastAsia="Times New Roman" w:cs="Arial"/>
          <w:color w:val="auto"/>
          <w:lang w:eastAsia="en-GB"/>
        </w:rPr>
      </w:pPr>
      <w:r w:rsidRPr="00C30098">
        <w:rPr>
          <w:rFonts w:eastAsia="Times New Roman" w:cs="Arial"/>
          <w:color w:val="auto"/>
          <w:lang w:eastAsia="en-GB"/>
        </w:rPr>
        <w:t xml:space="preserve">Graves, L., Dalgarno, N., Hoorn, R. Van, Truelove, A.H., Mulder, J., </w:t>
      </w:r>
      <w:proofErr w:type="spellStart"/>
      <w:r w:rsidRPr="00C30098">
        <w:rPr>
          <w:rFonts w:eastAsia="Times New Roman" w:cs="Arial"/>
          <w:color w:val="auto"/>
          <w:lang w:eastAsia="en-GB"/>
        </w:rPr>
        <w:t>Kolomitro</w:t>
      </w:r>
      <w:proofErr w:type="spellEnd"/>
      <w:r w:rsidRPr="00C30098">
        <w:rPr>
          <w:rFonts w:eastAsia="Times New Roman" w:cs="Arial"/>
          <w:color w:val="auto"/>
          <w:lang w:eastAsia="en-GB"/>
        </w:rPr>
        <w:t xml:space="preserve">, K., Kirby, F. and Wylick, R. van (2023). Creating change: Kotter’s change management model in action. </w:t>
      </w:r>
      <w:r w:rsidRPr="00C30098">
        <w:rPr>
          <w:rFonts w:eastAsia="Times New Roman" w:cs="Arial"/>
          <w:i/>
          <w:iCs/>
          <w:color w:val="auto"/>
          <w:lang w:eastAsia="en-GB"/>
        </w:rPr>
        <w:t>Canadian Medical Education Journal</w:t>
      </w:r>
      <w:r w:rsidRPr="00C30098">
        <w:rPr>
          <w:rFonts w:eastAsia="Times New Roman" w:cs="Arial"/>
          <w:color w:val="auto"/>
          <w:lang w:eastAsia="en-GB"/>
        </w:rPr>
        <w:t>, [online] 14(3). Available at: https://pmc.ncbi.nlm.nih.gov/articles/PMC10351637/ [Accessed 31 July 2026].</w:t>
      </w:r>
    </w:p>
    <w:p w14:paraId="29CD4AB7" w14:textId="77777777" w:rsidR="00C30098" w:rsidRPr="00C30098" w:rsidRDefault="00C30098" w:rsidP="00C30098">
      <w:pPr>
        <w:spacing w:after="240"/>
        <w:rPr>
          <w:rFonts w:eastAsia="Times New Roman" w:cs="Arial"/>
          <w:color w:val="auto"/>
          <w:lang w:eastAsia="en-GB"/>
        </w:rPr>
      </w:pPr>
      <w:r w:rsidRPr="00C30098">
        <w:rPr>
          <w:rFonts w:eastAsia="Times New Roman" w:cs="Arial"/>
          <w:color w:val="auto"/>
          <w:lang w:eastAsia="en-GB"/>
        </w:rPr>
        <w:t xml:space="preserve">Gupta, P. (2025). Transformational leadership: Inspiring change and innovation. </w:t>
      </w:r>
      <w:r w:rsidRPr="00C30098">
        <w:rPr>
          <w:rFonts w:eastAsia="Times New Roman" w:cs="Arial"/>
          <w:i/>
          <w:iCs/>
          <w:color w:val="auto"/>
          <w:lang w:eastAsia="en-GB"/>
        </w:rPr>
        <w:t>International Journal of Science and Research (IJSR)</w:t>
      </w:r>
      <w:r w:rsidRPr="00C30098">
        <w:rPr>
          <w:rFonts w:eastAsia="Times New Roman" w:cs="Arial"/>
          <w:color w:val="auto"/>
          <w:lang w:eastAsia="en-GB"/>
        </w:rPr>
        <w:t>, 14(2), pp.504–509. doi:10.21275/mr25206180024.</w:t>
      </w:r>
    </w:p>
    <w:p w14:paraId="43B82ADE" w14:textId="77777777" w:rsidR="00C30098" w:rsidRPr="00C30098" w:rsidRDefault="00C30098" w:rsidP="00C30098">
      <w:pPr>
        <w:spacing w:after="240"/>
        <w:rPr>
          <w:rFonts w:eastAsia="Times New Roman" w:cs="Arial"/>
          <w:color w:val="auto"/>
          <w:lang w:eastAsia="en-GB"/>
        </w:rPr>
      </w:pPr>
      <w:r w:rsidRPr="00C30098">
        <w:rPr>
          <w:rFonts w:eastAsia="Times New Roman" w:cs="Arial"/>
          <w:color w:val="auto"/>
          <w:lang w:eastAsia="en-GB"/>
        </w:rPr>
        <w:t xml:space="preserve">Hanif, S. (2023). Developing Organizational Change Capabilities Using ADKAR Model of Change: The Efficacy of Context Sensitive Training. </w:t>
      </w:r>
      <w:r w:rsidRPr="00C30098">
        <w:rPr>
          <w:rFonts w:eastAsia="Times New Roman" w:cs="Arial"/>
          <w:i/>
          <w:iCs/>
          <w:color w:val="auto"/>
          <w:lang w:eastAsia="en-GB"/>
        </w:rPr>
        <w:t xml:space="preserve">Journal of Workplace </w:t>
      </w:r>
      <w:proofErr w:type="spellStart"/>
      <w:r w:rsidRPr="00C30098">
        <w:rPr>
          <w:rFonts w:eastAsia="Times New Roman" w:cs="Arial"/>
          <w:i/>
          <w:iCs/>
          <w:color w:val="auto"/>
          <w:lang w:eastAsia="en-GB"/>
        </w:rPr>
        <w:t>Behavior</w:t>
      </w:r>
      <w:proofErr w:type="spellEnd"/>
      <w:r w:rsidRPr="00C30098">
        <w:rPr>
          <w:rFonts w:eastAsia="Times New Roman" w:cs="Arial"/>
          <w:color w:val="auto"/>
          <w:lang w:eastAsia="en-GB"/>
        </w:rPr>
        <w:t>, 4(1), pp.81–93. doi:10.70580/jwb.04.01.0176.</w:t>
      </w:r>
    </w:p>
    <w:p w14:paraId="0B515F11" w14:textId="77777777" w:rsidR="00C30098" w:rsidRPr="00C30098" w:rsidRDefault="00C30098" w:rsidP="00C30098">
      <w:pPr>
        <w:spacing w:after="240"/>
        <w:rPr>
          <w:rFonts w:eastAsia="Times New Roman" w:cs="Arial"/>
          <w:color w:val="auto"/>
          <w:lang w:eastAsia="en-GB"/>
        </w:rPr>
      </w:pPr>
      <w:r w:rsidRPr="00C30098">
        <w:rPr>
          <w:rFonts w:eastAsia="Times New Roman" w:cs="Arial"/>
          <w:color w:val="auto"/>
          <w:lang w:eastAsia="en-GB"/>
        </w:rPr>
        <w:t xml:space="preserve">Henderson, A., Cao, M. and Liu, Q. (2022). Access-Based Consumption, Behaviour Change and Future Mobility: Insights from Visions of Car Sharing in Greater London. </w:t>
      </w:r>
      <w:r w:rsidRPr="00C30098">
        <w:rPr>
          <w:rFonts w:eastAsia="Times New Roman" w:cs="Arial"/>
          <w:i/>
          <w:iCs/>
          <w:color w:val="auto"/>
          <w:lang w:eastAsia="en-GB"/>
        </w:rPr>
        <w:t>Future Transportation</w:t>
      </w:r>
      <w:r w:rsidRPr="00C30098">
        <w:rPr>
          <w:rFonts w:eastAsia="Times New Roman" w:cs="Arial"/>
          <w:color w:val="auto"/>
          <w:lang w:eastAsia="en-GB"/>
        </w:rPr>
        <w:t>, 2(1), pp.216–236. doi:10.3390/futuretransp2010011.</w:t>
      </w:r>
    </w:p>
    <w:p w14:paraId="4BB8CF8A" w14:textId="77777777" w:rsidR="00C30098" w:rsidRPr="00C30098" w:rsidRDefault="00C30098" w:rsidP="00C30098">
      <w:pPr>
        <w:spacing w:after="240"/>
        <w:rPr>
          <w:rFonts w:eastAsia="Times New Roman" w:cs="Arial"/>
          <w:color w:val="auto"/>
          <w:lang w:eastAsia="en-GB"/>
        </w:rPr>
      </w:pPr>
      <w:proofErr w:type="spellStart"/>
      <w:r w:rsidRPr="00C30098">
        <w:rPr>
          <w:rFonts w:eastAsia="Times New Roman" w:cs="Arial"/>
          <w:color w:val="auto"/>
          <w:lang w:eastAsia="en-GB"/>
        </w:rPr>
        <w:lastRenderedPageBreak/>
        <w:t>iFactory</w:t>
      </w:r>
      <w:proofErr w:type="spellEnd"/>
      <w:r w:rsidRPr="00C30098">
        <w:rPr>
          <w:rFonts w:eastAsia="Times New Roman" w:cs="Arial"/>
          <w:color w:val="auto"/>
          <w:lang w:eastAsia="en-GB"/>
        </w:rPr>
        <w:t xml:space="preserve"> (2025). </w:t>
      </w:r>
      <w:r w:rsidRPr="00C30098">
        <w:rPr>
          <w:rFonts w:eastAsia="Times New Roman" w:cs="Arial"/>
          <w:i/>
          <w:iCs/>
          <w:color w:val="auto"/>
          <w:lang w:eastAsia="en-GB"/>
        </w:rPr>
        <w:t>Predictive maintenance in 2026: How AI reduces downtime in factories</w:t>
      </w:r>
      <w:r w:rsidRPr="00C30098">
        <w:rPr>
          <w:rFonts w:eastAsia="Times New Roman" w:cs="Arial"/>
          <w:color w:val="auto"/>
          <w:lang w:eastAsia="en-GB"/>
        </w:rPr>
        <w:t xml:space="preserve">. [online] </w:t>
      </w:r>
      <w:proofErr w:type="spellStart"/>
      <w:r w:rsidRPr="00C30098">
        <w:rPr>
          <w:rFonts w:eastAsia="Times New Roman" w:cs="Arial"/>
          <w:i/>
          <w:iCs/>
          <w:color w:val="auto"/>
          <w:lang w:eastAsia="en-GB"/>
        </w:rPr>
        <w:t>iFactory</w:t>
      </w:r>
      <w:proofErr w:type="spellEnd"/>
      <w:r w:rsidRPr="00C30098">
        <w:rPr>
          <w:rFonts w:eastAsia="Times New Roman" w:cs="Arial"/>
          <w:i/>
          <w:iCs/>
          <w:color w:val="auto"/>
          <w:lang w:eastAsia="en-GB"/>
        </w:rPr>
        <w:t xml:space="preserve"> AI</w:t>
      </w:r>
      <w:r w:rsidRPr="00C30098">
        <w:rPr>
          <w:rFonts w:eastAsia="Times New Roman" w:cs="Arial"/>
          <w:color w:val="auto"/>
          <w:lang w:eastAsia="en-GB"/>
        </w:rPr>
        <w:t xml:space="preserve">. </w:t>
      </w:r>
      <w:proofErr w:type="spellStart"/>
      <w:r w:rsidRPr="00C30098">
        <w:rPr>
          <w:rFonts w:eastAsia="Times New Roman" w:cs="Arial"/>
          <w:color w:val="auto"/>
          <w:lang w:eastAsia="en-GB"/>
        </w:rPr>
        <w:t>iFactory</w:t>
      </w:r>
      <w:proofErr w:type="spellEnd"/>
      <w:r w:rsidRPr="00C30098">
        <w:rPr>
          <w:rFonts w:eastAsia="Times New Roman" w:cs="Arial"/>
          <w:color w:val="auto"/>
          <w:lang w:eastAsia="en-GB"/>
        </w:rPr>
        <w:t>. Available at: https://ifactoryapp.com/blog/predictive-maintenance-2026-ai-factory-downtime [Accessed 31 July 2026].</w:t>
      </w:r>
    </w:p>
    <w:p w14:paraId="0BFEBC19" w14:textId="77777777" w:rsidR="00C30098" w:rsidRPr="00C30098" w:rsidRDefault="00C30098" w:rsidP="00C30098">
      <w:pPr>
        <w:spacing w:after="240"/>
        <w:rPr>
          <w:rFonts w:eastAsia="Times New Roman" w:cs="Arial"/>
          <w:color w:val="auto"/>
          <w:lang w:eastAsia="en-GB"/>
        </w:rPr>
      </w:pPr>
      <w:r w:rsidRPr="00C30098">
        <w:rPr>
          <w:rFonts w:eastAsia="Times New Roman" w:cs="Arial"/>
          <w:color w:val="auto"/>
          <w:lang w:eastAsia="en-GB"/>
        </w:rPr>
        <w:t xml:space="preserve">Kapliar, K. (2025). Strategic Management Plan for Nissan Motor Co. Ltd: Navigating Challenges in a Competitive Automotive Landscape. </w:t>
      </w:r>
      <w:r w:rsidRPr="00C30098">
        <w:rPr>
          <w:rFonts w:eastAsia="Times New Roman" w:cs="Arial"/>
          <w:i/>
          <w:iCs/>
          <w:color w:val="auto"/>
          <w:lang w:eastAsia="en-GB"/>
        </w:rPr>
        <w:t>Green, Blue and Digital Economy Journal</w:t>
      </w:r>
      <w:r w:rsidRPr="00C30098">
        <w:rPr>
          <w:rFonts w:eastAsia="Times New Roman" w:cs="Arial"/>
          <w:color w:val="auto"/>
          <w:lang w:eastAsia="en-GB"/>
        </w:rPr>
        <w:t>, [online] 6(2), pp.24–31. doi:10.30525/2661-5169/2025-2-4.</w:t>
      </w:r>
    </w:p>
    <w:p w14:paraId="4682D230" w14:textId="77777777" w:rsidR="00C30098" w:rsidRPr="00C30098" w:rsidRDefault="00C30098" w:rsidP="00C30098">
      <w:pPr>
        <w:spacing w:after="240"/>
        <w:rPr>
          <w:rFonts w:eastAsia="Times New Roman" w:cs="Arial"/>
          <w:color w:val="auto"/>
          <w:lang w:eastAsia="en-GB"/>
        </w:rPr>
      </w:pPr>
      <w:proofErr w:type="spellStart"/>
      <w:r w:rsidRPr="00C30098">
        <w:rPr>
          <w:rFonts w:eastAsia="Times New Roman" w:cs="Arial"/>
          <w:color w:val="auto"/>
          <w:lang w:eastAsia="en-GB"/>
        </w:rPr>
        <w:t>Kraczla</w:t>
      </w:r>
      <w:proofErr w:type="spellEnd"/>
      <w:r w:rsidRPr="00C30098">
        <w:rPr>
          <w:rFonts w:eastAsia="Times New Roman" w:cs="Arial"/>
          <w:color w:val="auto"/>
          <w:lang w:eastAsia="en-GB"/>
        </w:rPr>
        <w:t xml:space="preserve">, M. and Sławomir Króliczek (2026). </w:t>
      </w:r>
      <w:r w:rsidRPr="00C30098">
        <w:rPr>
          <w:rFonts w:eastAsia="Times New Roman" w:cs="Arial"/>
          <w:i/>
          <w:iCs/>
          <w:color w:val="auto"/>
          <w:lang w:eastAsia="en-GB"/>
        </w:rPr>
        <w:t>Leadership, Management and Organizational Culture</w:t>
      </w:r>
      <w:r w:rsidRPr="00C30098">
        <w:rPr>
          <w:rFonts w:eastAsia="Times New Roman" w:cs="Arial"/>
          <w:color w:val="auto"/>
          <w:lang w:eastAsia="en-GB"/>
        </w:rPr>
        <w:t>. Taylor &amp; Francis.</w:t>
      </w:r>
    </w:p>
    <w:p w14:paraId="23C663BD" w14:textId="77777777" w:rsidR="00C30098" w:rsidRPr="00C30098" w:rsidRDefault="00C30098" w:rsidP="00C30098">
      <w:pPr>
        <w:spacing w:after="240"/>
        <w:rPr>
          <w:rFonts w:eastAsia="Times New Roman" w:cs="Arial"/>
          <w:color w:val="auto"/>
          <w:lang w:eastAsia="en-GB"/>
        </w:rPr>
      </w:pPr>
      <w:proofErr w:type="spellStart"/>
      <w:r w:rsidRPr="00C30098">
        <w:rPr>
          <w:rFonts w:eastAsia="Times New Roman" w:cs="Arial"/>
          <w:color w:val="auto"/>
          <w:lang w:eastAsia="en-GB"/>
        </w:rPr>
        <w:t>Kumuthadevi</w:t>
      </w:r>
      <w:proofErr w:type="spellEnd"/>
      <w:r w:rsidRPr="00C30098">
        <w:rPr>
          <w:rFonts w:eastAsia="Times New Roman" w:cs="Arial"/>
          <w:color w:val="auto"/>
          <w:lang w:eastAsia="en-GB"/>
        </w:rPr>
        <w:t xml:space="preserve">, D.K., </w:t>
      </w:r>
      <w:proofErr w:type="spellStart"/>
      <w:r w:rsidRPr="00C30098">
        <w:rPr>
          <w:rFonts w:eastAsia="Times New Roman" w:cs="Arial"/>
          <w:color w:val="auto"/>
          <w:lang w:eastAsia="en-GB"/>
        </w:rPr>
        <w:t>Vengatesan</w:t>
      </w:r>
      <w:proofErr w:type="spellEnd"/>
      <w:r w:rsidRPr="00C30098">
        <w:rPr>
          <w:rFonts w:eastAsia="Times New Roman" w:cs="Arial"/>
          <w:color w:val="auto"/>
          <w:lang w:eastAsia="en-GB"/>
        </w:rPr>
        <w:t xml:space="preserve">, D.G. and Dr Niraj Kumar (2022). </w:t>
      </w:r>
      <w:r w:rsidRPr="00C30098">
        <w:rPr>
          <w:rFonts w:eastAsia="Times New Roman" w:cs="Arial"/>
          <w:i/>
          <w:iCs/>
          <w:color w:val="auto"/>
          <w:lang w:eastAsia="en-GB"/>
        </w:rPr>
        <w:t>Business analytics and intelligence in digital era</w:t>
      </w:r>
      <w:r w:rsidRPr="00C30098">
        <w:rPr>
          <w:rFonts w:eastAsia="Times New Roman" w:cs="Arial"/>
          <w:color w:val="auto"/>
          <w:lang w:eastAsia="en-GB"/>
        </w:rPr>
        <w:t xml:space="preserve">. </w:t>
      </w:r>
      <w:proofErr w:type="spellStart"/>
      <w:r w:rsidRPr="00C30098">
        <w:rPr>
          <w:rFonts w:eastAsia="Times New Roman" w:cs="Arial"/>
          <w:color w:val="auto"/>
          <w:lang w:eastAsia="en-GB"/>
        </w:rPr>
        <w:t>Alborear</w:t>
      </w:r>
      <w:proofErr w:type="spellEnd"/>
      <w:r w:rsidRPr="00C30098">
        <w:rPr>
          <w:rFonts w:eastAsia="Times New Roman" w:cs="Arial"/>
          <w:color w:val="auto"/>
          <w:lang w:eastAsia="en-GB"/>
        </w:rPr>
        <w:t xml:space="preserve"> (OPC) </w:t>
      </w:r>
      <w:proofErr w:type="spellStart"/>
      <w:r w:rsidRPr="00C30098">
        <w:rPr>
          <w:rFonts w:eastAsia="Times New Roman" w:cs="Arial"/>
          <w:color w:val="auto"/>
          <w:lang w:eastAsia="en-GB"/>
        </w:rPr>
        <w:t>Pvt.</w:t>
      </w:r>
      <w:proofErr w:type="spellEnd"/>
      <w:r w:rsidRPr="00C30098">
        <w:rPr>
          <w:rFonts w:eastAsia="Times New Roman" w:cs="Arial"/>
          <w:color w:val="auto"/>
          <w:lang w:eastAsia="en-GB"/>
        </w:rPr>
        <w:t xml:space="preserve"> Ltd.</w:t>
      </w:r>
    </w:p>
    <w:p w14:paraId="0CED1D82" w14:textId="77777777" w:rsidR="00C30098" w:rsidRPr="00C30098" w:rsidRDefault="00C30098" w:rsidP="00C30098">
      <w:pPr>
        <w:spacing w:after="240"/>
        <w:rPr>
          <w:rFonts w:eastAsia="Times New Roman" w:cs="Arial"/>
          <w:color w:val="auto"/>
          <w:lang w:eastAsia="en-GB"/>
        </w:rPr>
      </w:pPr>
      <w:proofErr w:type="spellStart"/>
      <w:r w:rsidRPr="00C30098">
        <w:rPr>
          <w:rFonts w:eastAsia="Times New Roman" w:cs="Arial"/>
          <w:color w:val="auto"/>
          <w:lang w:eastAsia="en-GB"/>
        </w:rPr>
        <w:t>Ndzabukelwako</w:t>
      </w:r>
      <w:proofErr w:type="spellEnd"/>
      <w:r w:rsidRPr="00C30098">
        <w:rPr>
          <w:rFonts w:eastAsia="Times New Roman" w:cs="Arial"/>
          <w:color w:val="auto"/>
          <w:lang w:eastAsia="en-GB"/>
        </w:rPr>
        <w:t xml:space="preserve">, Z., </w:t>
      </w:r>
      <w:proofErr w:type="spellStart"/>
      <w:r w:rsidRPr="00C30098">
        <w:rPr>
          <w:rFonts w:eastAsia="Times New Roman" w:cs="Arial"/>
          <w:color w:val="auto"/>
          <w:lang w:eastAsia="en-GB"/>
        </w:rPr>
        <w:t>Mereko</w:t>
      </w:r>
      <w:proofErr w:type="spellEnd"/>
      <w:r w:rsidRPr="00C30098">
        <w:rPr>
          <w:rFonts w:eastAsia="Times New Roman" w:cs="Arial"/>
          <w:color w:val="auto"/>
          <w:lang w:eastAsia="en-GB"/>
        </w:rPr>
        <w:t xml:space="preserve">, O., Sambo, T.V. and </w:t>
      </w:r>
      <w:proofErr w:type="spellStart"/>
      <w:r w:rsidRPr="00C30098">
        <w:rPr>
          <w:rFonts w:eastAsia="Times New Roman" w:cs="Arial"/>
          <w:color w:val="auto"/>
          <w:lang w:eastAsia="en-GB"/>
        </w:rPr>
        <w:t>Thango</w:t>
      </w:r>
      <w:proofErr w:type="spellEnd"/>
      <w:r w:rsidRPr="00C30098">
        <w:rPr>
          <w:rFonts w:eastAsia="Times New Roman" w:cs="Arial"/>
          <w:color w:val="auto"/>
          <w:lang w:eastAsia="en-GB"/>
        </w:rPr>
        <w:t xml:space="preserve">, B. (2024). The impact of Porter’s Five Forces model on SMEs performance: A systematic review. </w:t>
      </w:r>
      <w:r w:rsidRPr="00C30098">
        <w:rPr>
          <w:rFonts w:eastAsia="Times New Roman" w:cs="Arial"/>
          <w:i/>
          <w:iCs/>
          <w:color w:val="auto"/>
          <w:lang w:eastAsia="en-GB"/>
        </w:rPr>
        <w:t>The Impact of Porter’s Five Forces Model on SMEs Performance: A Systematic Review</w:t>
      </w:r>
      <w:r w:rsidRPr="00C30098">
        <w:rPr>
          <w:rFonts w:eastAsia="Times New Roman" w:cs="Arial"/>
          <w:color w:val="auto"/>
          <w:lang w:eastAsia="en-GB"/>
        </w:rPr>
        <w:t>. [online] doi:10.20944/preprints202410.0119.v1.</w:t>
      </w:r>
    </w:p>
    <w:p w14:paraId="7F91C184" w14:textId="77777777" w:rsidR="00C30098" w:rsidRPr="00C30098" w:rsidRDefault="00C30098" w:rsidP="00C30098">
      <w:pPr>
        <w:spacing w:after="240"/>
        <w:rPr>
          <w:rFonts w:eastAsia="Times New Roman" w:cs="Arial"/>
          <w:color w:val="auto"/>
          <w:lang w:eastAsia="en-GB"/>
        </w:rPr>
      </w:pPr>
      <w:r w:rsidRPr="00C30098">
        <w:rPr>
          <w:rFonts w:eastAsia="Times New Roman" w:cs="Arial"/>
          <w:color w:val="auto"/>
          <w:lang w:eastAsia="en-GB"/>
        </w:rPr>
        <w:t xml:space="preserve">Nissan Motor Co., Ltd. (2021). </w:t>
      </w:r>
      <w:r w:rsidRPr="00C30098">
        <w:rPr>
          <w:rFonts w:eastAsia="Times New Roman" w:cs="Arial"/>
          <w:i/>
          <w:iCs/>
          <w:color w:val="auto"/>
          <w:lang w:eastAsia="en-GB"/>
        </w:rPr>
        <w:t>Nissan unveils EV36Zero – a £1bn Electric Vehicle (EV) Hub to accelerate the journey to carbon neutrality</w:t>
      </w:r>
      <w:r w:rsidRPr="00C30098">
        <w:rPr>
          <w:rFonts w:eastAsia="Times New Roman" w:cs="Arial"/>
          <w:color w:val="auto"/>
          <w:lang w:eastAsia="en-GB"/>
        </w:rPr>
        <w:t xml:space="preserve">. [online] </w:t>
      </w:r>
      <w:r w:rsidRPr="00C30098">
        <w:rPr>
          <w:rFonts w:eastAsia="Times New Roman" w:cs="Arial"/>
          <w:i/>
          <w:iCs/>
          <w:color w:val="auto"/>
          <w:lang w:eastAsia="en-GB"/>
        </w:rPr>
        <w:t>Official Europe Newsroom</w:t>
      </w:r>
      <w:r w:rsidRPr="00C30098">
        <w:rPr>
          <w:rFonts w:eastAsia="Times New Roman" w:cs="Arial"/>
          <w:color w:val="auto"/>
          <w:lang w:eastAsia="en-GB"/>
        </w:rPr>
        <w:t>. Available at: https://europe.nissannews.com/en-GB/releases/nissan-unveils-ev36zero-a-1bn-electric-vehicle-ev-hub-to-accelerate-the-journey-to-carbon-neutrality [Accessed 31 July 2026].</w:t>
      </w:r>
    </w:p>
    <w:p w14:paraId="15B9D520" w14:textId="77777777" w:rsidR="00C30098" w:rsidRPr="00C30098" w:rsidRDefault="00C30098" w:rsidP="00C30098">
      <w:pPr>
        <w:spacing w:after="240"/>
        <w:rPr>
          <w:rFonts w:eastAsia="Times New Roman" w:cs="Arial"/>
          <w:color w:val="auto"/>
          <w:lang w:eastAsia="en-GB"/>
        </w:rPr>
      </w:pPr>
      <w:r w:rsidRPr="00C30098">
        <w:rPr>
          <w:rFonts w:eastAsia="Times New Roman" w:cs="Arial"/>
          <w:color w:val="auto"/>
          <w:lang w:eastAsia="en-GB"/>
        </w:rPr>
        <w:t xml:space="preserve">Nissan Motor Co., Ltd. (2025). Financial information of Nissan Motor Co., Ltd. In: </w:t>
      </w:r>
      <w:r w:rsidRPr="00C30098">
        <w:rPr>
          <w:rFonts w:eastAsia="Times New Roman" w:cs="Arial"/>
          <w:i/>
          <w:iCs/>
          <w:color w:val="auto"/>
          <w:lang w:eastAsia="en-GB"/>
        </w:rPr>
        <w:t>The English translation of the “</w:t>
      </w:r>
      <w:proofErr w:type="spellStart"/>
      <w:r w:rsidRPr="00C30098">
        <w:rPr>
          <w:rFonts w:eastAsia="Times New Roman" w:cs="Arial"/>
          <w:i/>
          <w:iCs/>
          <w:color w:val="auto"/>
          <w:lang w:eastAsia="en-GB"/>
        </w:rPr>
        <w:t>Yukashoken-Houkokusho</w:t>
      </w:r>
      <w:proofErr w:type="spellEnd"/>
      <w:r w:rsidRPr="00C30098">
        <w:rPr>
          <w:rFonts w:eastAsia="Times New Roman" w:cs="Arial"/>
          <w:i/>
          <w:iCs/>
          <w:color w:val="auto"/>
          <w:lang w:eastAsia="en-GB"/>
        </w:rPr>
        <w:t>” for the year ended March 31, 2024</w:t>
      </w:r>
      <w:r w:rsidRPr="00C30098">
        <w:rPr>
          <w:rFonts w:eastAsia="Times New Roman" w:cs="Arial"/>
          <w:color w:val="auto"/>
          <w:lang w:eastAsia="en-GB"/>
        </w:rPr>
        <w:t>. [online] Nissan Motor Co., Ltd. Available at: https://www.nissan-global.com/EN/IR/FINANCIAL_RESULTS/ASSETS/FR/2023/PDF/fr2023.pdf [Accessed 31 July 2026].</w:t>
      </w:r>
    </w:p>
    <w:p w14:paraId="1531DCF5" w14:textId="77777777" w:rsidR="00C30098" w:rsidRPr="00C30098" w:rsidRDefault="00C30098" w:rsidP="00C30098">
      <w:pPr>
        <w:spacing w:after="240"/>
        <w:rPr>
          <w:rFonts w:eastAsia="Times New Roman" w:cs="Arial"/>
          <w:color w:val="auto"/>
          <w:lang w:eastAsia="en-GB"/>
        </w:rPr>
      </w:pPr>
      <w:r w:rsidRPr="00C30098">
        <w:rPr>
          <w:rFonts w:eastAsia="Times New Roman" w:cs="Arial"/>
          <w:color w:val="auto"/>
          <w:lang w:eastAsia="en-GB"/>
        </w:rPr>
        <w:t xml:space="preserve">Rehman, A. and Shakeel Sadiq Jajja, M. (2025). Strategic adaptation in the Electric Vehicle supply chain: Navigating transformative trends in the automobile industry. </w:t>
      </w:r>
      <w:r w:rsidRPr="00C30098">
        <w:rPr>
          <w:rFonts w:eastAsia="Times New Roman" w:cs="Arial"/>
          <w:i/>
          <w:iCs/>
          <w:color w:val="auto"/>
          <w:lang w:eastAsia="en-GB"/>
        </w:rPr>
        <w:t>Journal of Enterprise Information Management</w:t>
      </w:r>
      <w:r w:rsidRPr="00C30098">
        <w:rPr>
          <w:rFonts w:eastAsia="Times New Roman" w:cs="Arial"/>
          <w:color w:val="auto"/>
          <w:lang w:eastAsia="en-GB"/>
        </w:rPr>
        <w:t>, [online] 1(1). doi:10.1108/jeim-10-2024-0554.</w:t>
      </w:r>
    </w:p>
    <w:p w14:paraId="34F65C8D" w14:textId="77777777" w:rsidR="00C30098" w:rsidRPr="00C30098" w:rsidRDefault="00C30098" w:rsidP="00C30098">
      <w:pPr>
        <w:spacing w:after="240"/>
        <w:rPr>
          <w:rFonts w:eastAsia="Times New Roman" w:cs="Arial"/>
          <w:color w:val="auto"/>
          <w:lang w:eastAsia="en-GB"/>
        </w:rPr>
      </w:pPr>
      <w:r w:rsidRPr="00C30098">
        <w:rPr>
          <w:rFonts w:eastAsia="Times New Roman" w:cs="Arial"/>
          <w:color w:val="auto"/>
          <w:lang w:eastAsia="en-GB"/>
        </w:rPr>
        <w:t xml:space="preserve">Roh, T., Lee, M. and Park, B.I. (2022). </w:t>
      </w:r>
      <w:r w:rsidRPr="00C30098">
        <w:rPr>
          <w:rFonts w:eastAsia="Times New Roman" w:cs="Arial"/>
          <w:i/>
          <w:iCs/>
          <w:color w:val="auto"/>
          <w:lang w:eastAsia="en-GB"/>
        </w:rPr>
        <w:t>Environmental, social, and corporate governance and sustainability</w:t>
      </w:r>
      <w:r w:rsidRPr="00C30098">
        <w:rPr>
          <w:rFonts w:eastAsia="Times New Roman" w:cs="Arial"/>
          <w:color w:val="auto"/>
          <w:lang w:eastAsia="en-GB"/>
        </w:rPr>
        <w:t>. Frontiers Media SA.</w:t>
      </w:r>
    </w:p>
    <w:p w14:paraId="6A4953E1" w14:textId="77777777" w:rsidR="00C30098" w:rsidRPr="00C30098" w:rsidRDefault="00C30098" w:rsidP="00C30098">
      <w:pPr>
        <w:spacing w:after="240"/>
        <w:rPr>
          <w:rFonts w:eastAsia="Times New Roman" w:cs="Arial"/>
          <w:color w:val="auto"/>
          <w:lang w:eastAsia="en-GB"/>
        </w:rPr>
      </w:pPr>
      <w:r w:rsidRPr="00C30098">
        <w:rPr>
          <w:rFonts w:eastAsia="Times New Roman" w:cs="Arial"/>
          <w:color w:val="auto"/>
          <w:lang w:eastAsia="en-GB"/>
        </w:rPr>
        <w:t xml:space="preserve">Saxena, S. (2022). </w:t>
      </w:r>
      <w:r w:rsidRPr="00C30098">
        <w:rPr>
          <w:rFonts w:eastAsia="Times New Roman" w:cs="Arial"/>
          <w:i/>
          <w:iCs/>
          <w:color w:val="auto"/>
          <w:lang w:eastAsia="en-GB"/>
        </w:rPr>
        <w:t>applied strategic management: distinctive positioning is the key to success</w:t>
      </w:r>
      <w:r w:rsidRPr="00C30098">
        <w:rPr>
          <w:rFonts w:eastAsia="Times New Roman" w:cs="Arial"/>
          <w:color w:val="auto"/>
          <w:lang w:eastAsia="en-GB"/>
        </w:rPr>
        <w:t xml:space="preserve">. </w:t>
      </w:r>
      <w:proofErr w:type="spellStart"/>
      <w:r w:rsidRPr="00C30098">
        <w:rPr>
          <w:rFonts w:eastAsia="Times New Roman" w:cs="Arial"/>
          <w:color w:val="auto"/>
          <w:lang w:eastAsia="en-GB"/>
        </w:rPr>
        <w:t>Orangebooks</w:t>
      </w:r>
      <w:proofErr w:type="spellEnd"/>
      <w:r w:rsidRPr="00C30098">
        <w:rPr>
          <w:rFonts w:eastAsia="Times New Roman" w:cs="Arial"/>
          <w:color w:val="auto"/>
          <w:lang w:eastAsia="en-GB"/>
        </w:rPr>
        <w:t xml:space="preserve"> Publication.</w:t>
      </w:r>
    </w:p>
    <w:p w14:paraId="1A23C398" w14:textId="77777777" w:rsidR="00C30098" w:rsidRPr="00C30098" w:rsidRDefault="00C30098" w:rsidP="00C30098">
      <w:pPr>
        <w:spacing w:after="240"/>
        <w:rPr>
          <w:rFonts w:eastAsia="Times New Roman" w:cs="Arial"/>
          <w:color w:val="auto"/>
          <w:lang w:eastAsia="en-GB"/>
        </w:rPr>
      </w:pPr>
      <w:r w:rsidRPr="00C30098">
        <w:rPr>
          <w:rFonts w:eastAsia="Times New Roman" w:cs="Arial"/>
          <w:color w:val="auto"/>
          <w:lang w:eastAsia="en-GB"/>
        </w:rPr>
        <w:lastRenderedPageBreak/>
        <w:t xml:space="preserve">Strittmatter, A.-M., Fahlén, J. and Houlihan, B. (2021). </w:t>
      </w:r>
      <w:r w:rsidRPr="00C30098">
        <w:rPr>
          <w:rFonts w:eastAsia="Times New Roman" w:cs="Arial"/>
          <w:i/>
          <w:iCs/>
          <w:color w:val="auto"/>
          <w:lang w:eastAsia="en-GB"/>
        </w:rPr>
        <w:t>Stakeholder Analysis and Sport Organisations</w:t>
      </w:r>
      <w:r w:rsidRPr="00C30098">
        <w:rPr>
          <w:rFonts w:eastAsia="Times New Roman" w:cs="Arial"/>
          <w:color w:val="auto"/>
          <w:lang w:eastAsia="en-GB"/>
        </w:rPr>
        <w:t>. Milton: Taylor &amp; Francis Group.</w:t>
      </w:r>
    </w:p>
    <w:p w14:paraId="6913646D" w14:textId="77777777" w:rsidR="00C30098" w:rsidRPr="00C30098" w:rsidRDefault="00C30098" w:rsidP="00C30098">
      <w:pPr>
        <w:spacing w:after="240"/>
        <w:rPr>
          <w:rFonts w:eastAsia="Times New Roman" w:cs="Arial"/>
          <w:color w:val="auto"/>
          <w:lang w:eastAsia="en-GB"/>
        </w:rPr>
      </w:pPr>
      <w:r w:rsidRPr="00C30098">
        <w:rPr>
          <w:rFonts w:eastAsia="Times New Roman" w:cs="Arial"/>
          <w:color w:val="auto"/>
          <w:lang w:eastAsia="en-GB"/>
        </w:rPr>
        <w:t xml:space="preserve">Taneja, M., Kiran, R. and Bose, S.C. (2022). Critical Analysis of Kolb Experiential Learning Process. </w:t>
      </w:r>
      <w:r w:rsidRPr="00C30098">
        <w:rPr>
          <w:rFonts w:eastAsia="Times New Roman" w:cs="Arial"/>
          <w:i/>
          <w:iCs/>
          <w:color w:val="auto"/>
          <w:lang w:eastAsia="en-GB"/>
        </w:rPr>
        <w:t>International journal of health sciences</w:t>
      </w:r>
      <w:r w:rsidRPr="00C30098">
        <w:rPr>
          <w:rFonts w:eastAsia="Times New Roman" w:cs="Arial"/>
          <w:color w:val="auto"/>
          <w:lang w:eastAsia="en-GB"/>
        </w:rPr>
        <w:t>, 6(S1), pp.8713–8723. doi:10.53730/ijhs.v6ns1.6962.</w:t>
      </w:r>
    </w:p>
    <w:p w14:paraId="28008B02" w14:textId="77777777" w:rsidR="00C30098" w:rsidRPr="00C30098" w:rsidRDefault="00C30098" w:rsidP="00C30098">
      <w:pPr>
        <w:spacing w:after="240"/>
        <w:rPr>
          <w:rFonts w:eastAsia="Times New Roman" w:cs="Arial"/>
          <w:color w:val="auto"/>
          <w:lang w:eastAsia="en-GB"/>
        </w:rPr>
      </w:pPr>
      <w:r w:rsidRPr="00C30098">
        <w:rPr>
          <w:rFonts w:eastAsia="Times New Roman" w:cs="Arial"/>
          <w:color w:val="auto"/>
          <w:lang w:eastAsia="en-GB"/>
        </w:rPr>
        <w:t xml:space="preserve">The Exp Group (2025). </w:t>
      </w:r>
      <w:r w:rsidRPr="00C30098">
        <w:rPr>
          <w:rFonts w:eastAsia="Times New Roman" w:cs="Arial"/>
          <w:i/>
          <w:iCs/>
          <w:color w:val="auto"/>
          <w:lang w:eastAsia="en-GB"/>
        </w:rPr>
        <w:t>Mendelow’s Matrix (Stakeholder Mapping)</w:t>
      </w:r>
      <w:r w:rsidRPr="00C30098">
        <w:rPr>
          <w:rFonts w:eastAsia="Times New Roman" w:cs="Arial"/>
          <w:color w:val="auto"/>
          <w:lang w:eastAsia="en-GB"/>
        </w:rPr>
        <w:t xml:space="preserve">. [online] The </w:t>
      </w:r>
      <w:proofErr w:type="spellStart"/>
      <w:r w:rsidRPr="00C30098">
        <w:rPr>
          <w:rFonts w:eastAsia="Times New Roman" w:cs="Arial"/>
          <w:color w:val="auto"/>
          <w:lang w:eastAsia="en-GB"/>
        </w:rPr>
        <w:t>ExP</w:t>
      </w:r>
      <w:proofErr w:type="spellEnd"/>
      <w:r w:rsidRPr="00C30098">
        <w:rPr>
          <w:rFonts w:eastAsia="Times New Roman" w:cs="Arial"/>
          <w:color w:val="auto"/>
          <w:lang w:eastAsia="en-GB"/>
        </w:rPr>
        <w:t xml:space="preserve"> Group. Available at: https://theexpgroup.com/blogs/knowledge-base/mendelow-8217-s-matrix-stakeholder-mapping?srsltid=AfmBOorWWn5hnF0flBmmVo8M936HEePuZlActNhw155kijMX9e3SYk_H [Accessed 31 July 2026].</w:t>
      </w:r>
    </w:p>
    <w:p w14:paraId="37E1844C" w14:textId="77777777" w:rsidR="00C30098" w:rsidRDefault="00C30098" w:rsidP="00C30098">
      <w:pPr>
        <w:spacing w:after="240"/>
        <w:rPr>
          <w:rFonts w:eastAsia="Times New Roman" w:cs="Arial"/>
          <w:color w:val="auto"/>
          <w:lang w:eastAsia="en-GB"/>
        </w:rPr>
      </w:pPr>
      <w:r w:rsidRPr="00C30098">
        <w:rPr>
          <w:rFonts w:eastAsia="Times New Roman" w:cs="Arial"/>
          <w:color w:val="auto"/>
          <w:lang w:eastAsia="en-GB"/>
        </w:rPr>
        <w:t xml:space="preserve">UNESCO and International Centre for Water Security and Sustainable Management (2025). Water management for climate change adaptation: Making science-based decisions. </w:t>
      </w:r>
      <w:r w:rsidRPr="00C30098">
        <w:rPr>
          <w:rFonts w:eastAsia="Times New Roman" w:cs="Arial"/>
          <w:i/>
          <w:iCs/>
          <w:color w:val="auto"/>
          <w:lang w:eastAsia="en-GB"/>
        </w:rPr>
        <w:t>Global water security issues series</w:t>
      </w:r>
      <w:r w:rsidRPr="00C30098">
        <w:rPr>
          <w:rFonts w:eastAsia="Times New Roman" w:cs="Arial"/>
          <w:color w:val="auto"/>
          <w:lang w:eastAsia="en-GB"/>
        </w:rPr>
        <w:t>, [online] 5(5). doi:10.54677/ozia7839.</w:t>
      </w:r>
    </w:p>
    <w:p w14:paraId="391060B9" w14:textId="77777777" w:rsidR="00C30098" w:rsidRPr="00C30098" w:rsidRDefault="00C30098" w:rsidP="00C30098">
      <w:pPr>
        <w:spacing w:after="240"/>
        <w:jc w:val="left"/>
        <w:rPr>
          <w:rFonts w:eastAsia="Times New Roman" w:cs="Arial"/>
          <w:color w:val="auto"/>
          <w:lang w:eastAsia="en-GB"/>
        </w:rPr>
      </w:pPr>
    </w:p>
    <w:p w14:paraId="0FD0F3B8" w14:textId="7D95450C" w:rsidR="000F02BF" w:rsidRPr="000F02BF" w:rsidRDefault="00ED62E8" w:rsidP="00A96E2B">
      <w:r w:rsidRPr="00A96E2B">
        <w:br w:type="page"/>
      </w:r>
    </w:p>
    <w:sectPr w:rsidR="000F02BF" w:rsidRPr="000F02BF" w:rsidSect="00731705">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6EF361" w14:textId="77777777" w:rsidR="000E708F" w:rsidRDefault="000E708F" w:rsidP="001834FC">
      <w:pPr>
        <w:spacing w:after="0" w:line="240" w:lineRule="auto"/>
      </w:pPr>
      <w:r>
        <w:separator/>
      </w:r>
    </w:p>
  </w:endnote>
  <w:endnote w:type="continuationSeparator" w:id="0">
    <w:p w14:paraId="1C213CF4" w14:textId="77777777" w:rsidR="000E708F" w:rsidRDefault="000E708F"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E4E1B3" w14:textId="77777777" w:rsidR="000E708F" w:rsidRDefault="000E708F" w:rsidP="001834FC">
      <w:pPr>
        <w:spacing w:after="0" w:line="240" w:lineRule="auto"/>
      </w:pPr>
      <w:r>
        <w:separator/>
      </w:r>
    </w:p>
  </w:footnote>
  <w:footnote w:type="continuationSeparator" w:id="0">
    <w:p w14:paraId="27F5F614" w14:textId="77777777" w:rsidR="000E708F" w:rsidRDefault="000E708F"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872C6F"/>
    <w:multiLevelType w:val="multilevel"/>
    <w:tmpl w:val="915AD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D17189"/>
    <w:multiLevelType w:val="hybridMultilevel"/>
    <w:tmpl w:val="D93ED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6E7B0E"/>
    <w:multiLevelType w:val="hybridMultilevel"/>
    <w:tmpl w:val="30184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BD674C"/>
    <w:multiLevelType w:val="hybridMultilevel"/>
    <w:tmpl w:val="4ECC5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7073317">
    <w:abstractNumId w:val="2"/>
  </w:num>
  <w:num w:numId="2" w16cid:durableId="513350851">
    <w:abstractNumId w:val="1"/>
  </w:num>
  <w:num w:numId="3" w16cid:durableId="1899241162">
    <w:abstractNumId w:val="0"/>
  </w:num>
  <w:num w:numId="4" w16cid:durableId="20084353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gUAits/OiwAAAA="/>
  </w:docVars>
  <w:rsids>
    <w:rsidRoot w:val="00A60069"/>
    <w:rsid w:val="0000632B"/>
    <w:rsid w:val="00024CED"/>
    <w:rsid w:val="000261C6"/>
    <w:rsid w:val="00052DE5"/>
    <w:rsid w:val="0008287D"/>
    <w:rsid w:val="000A4026"/>
    <w:rsid w:val="000C653B"/>
    <w:rsid w:val="000E047C"/>
    <w:rsid w:val="000E708F"/>
    <w:rsid w:val="000F02BF"/>
    <w:rsid w:val="000F53A8"/>
    <w:rsid w:val="000F584D"/>
    <w:rsid w:val="000F60A3"/>
    <w:rsid w:val="0012631F"/>
    <w:rsid w:val="001347D5"/>
    <w:rsid w:val="001538B4"/>
    <w:rsid w:val="00155F47"/>
    <w:rsid w:val="0017697A"/>
    <w:rsid w:val="001834FC"/>
    <w:rsid w:val="00184854"/>
    <w:rsid w:val="001873FA"/>
    <w:rsid w:val="001B4CAF"/>
    <w:rsid w:val="001D16F6"/>
    <w:rsid w:val="001D7B01"/>
    <w:rsid w:val="001E07C4"/>
    <w:rsid w:val="001E1042"/>
    <w:rsid w:val="001E2E1D"/>
    <w:rsid w:val="002010E2"/>
    <w:rsid w:val="00203ED6"/>
    <w:rsid w:val="002156D9"/>
    <w:rsid w:val="0022399E"/>
    <w:rsid w:val="00227818"/>
    <w:rsid w:val="00252195"/>
    <w:rsid w:val="002539BE"/>
    <w:rsid w:val="002627E1"/>
    <w:rsid w:val="002656B8"/>
    <w:rsid w:val="00266482"/>
    <w:rsid w:val="00290394"/>
    <w:rsid w:val="002A03BF"/>
    <w:rsid w:val="002B2EE2"/>
    <w:rsid w:val="002B6D6C"/>
    <w:rsid w:val="002D49BE"/>
    <w:rsid w:val="002F0F67"/>
    <w:rsid w:val="002F4B55"/>
    <w:rsid w:val="002F6387"/>
    <w:rsid w:val="002F6389"/>
    <w:rsid w:val="00315CEE"/>
    <w:rsid w:val="00361DDC"/>
    <w:rsid w:val="00363FD4"/>
    <w:rsid w:val="00365428"/>
    <w:rsid w:val="00377269"/>
    <w:rsid w:val="00386A34"/>
    <w:rsid w:val="00395990"/>
    <w:rsid w:val="003E1A14"/>
    <w:rsid w:val="003E63AA"/>
    <w:rsid w:val="003F2156"/>
    <w:rsid w:val="004065F0"/>
    <w:rsid w:val="004270D5"/>
    <w:rsid w:val="00436177"/>
    <w:rsid w:val="00436D29"/>
    <w:rsid w:val="004372C8"/>
    <w:rsid w:val="00442960"/>
    <w:rsid w:val="0044301B"/>
    <w:rsid w:val="00445BDA"/>
    <w:rsid w:val="00450DEF"/>
    <w:rsid w:val="00470BB0"/>
    <w:rsid w:val="00471679"/>
    <w:rsid w:val="00475E4A"/>
    <w:rsid w:val="004876AB"/>
    <w:rsid w:val="004A338B"/>
    <w:rsid w:val="004F1D60"/>
    <w:rsid w:val="004F38AB"/>
    <w:rsid w:val="004F4984"/>
    <w:rsid w:val="004F4E84"/>
    <w:rsid w:val="005058E0"/>
    <w:rsid w:val="00523F80"/>
    <w:rsid w:val="005441C5"/>
    <w:rsid w:val="0055376B"/>
    <w:rsid w:val="0056481B"/>
    <w:rsid w:val="00564ACD"/>
    <w:rsid w:val="005674A2"/>
    <w:rsid w:val="00572D31"/>
    <w:rsid w:val="005915AB"/>
    <w:rsid w:val="00595C8E"/>
    <w:rsid w:val="005B5615"/>
    <w:rsid w:val="005D1A56"/>
    <w:rsid w:val="005D7C64"/>
    <w:rsid w:val="005E27FD"/>
    <w:rsid w:val="005E2FD6"/>
    <w:rsid w:val="005E6BBC"/>
    <w:rsid w:val="005F4E4B"/>
    <w:rsid w:val="00615946"/>
    <w:rsid w:val="00621999"/>
    <w:rsid w:val="00621F8C"/>
    <w:rsid w:val="0066245D"/>
    <w:rsid w:val="006633C9"/>
    <w:rsid w:val="006649A9"/>
    <w:rsid w:val="00673D95"/>
    <w:rsid w:val="006B5FBC"/>
    <w:rsid w:val="006D09E2"/>
    <w:rsid w:val="006F3E7B"/>
    <w:rsid w:val="006F47FF"/>
    <w:rsid w:val="00715482"/>
    <w:rsid w:val="007251CA"/>
    <w:rsid w:val="00731304"/>
    <w:rsid w:val="00731705"/>
    <w:rsid w:val="007345DE"/>
    <w:rsid w:val="0073768F"/>
    <w:rsid w:val="00737D04"/>
    <w:rsid w:val="00791A2D"/>
    <w:rsid w:val="007B5558"/>
    <w:rsid w:val="007D2351"/>
    <w:rsid w:val="007F1E9B"/>
    <w:rsid w:val="007F5B1A"/>
    <w:rsid w:val="008057AE"/>
    <w:rsid w:val="00806748"/>
    <w:rsid w:val="00812F54"/>
    <w:rsid w:val="00814852"/>
    <w:rsid w:val="00816CE5"/>
    <w:rsid w:val="00822A5E"/>
    <w:rsid w:val="00843C66"/>
    <w:rsid w:val="008748DA"/>
    <w:rsid w:val="008912CD"/>
    <w:rsid w:val="0089798B"/>
    <w:rsid w:val="008A0864"/>
    <w:rsid w:val="008A6200"/>
    <w:rsid w:val="008B235E"/>
    <w:rsid w:val="008B5B64"/>
    <w:rsid w:val="008C03E1"/>
    <w:rsid w:val="008C0DCE"/>
    <w:rsid w:val="008D6958"/>
    <w:rsid w:val="008E0146"/>
    <w:rsid w:val="008E5585"/>
    <w:rsid w:val="008E5C2A"/>
    <w:rsid w:val="008E7F22"/>
    <w:rsid w:val="008F1AEC"/>
    <w:rsid w:val="009052FF"/>
    <w:rsid w:val="009136FA"/>
    <w:rsid w:val="00913C8F"/>
    <w:rsid w:val="009179F2"/>
    <w:rsid w:val="00934712"/>
    <w:rsid w:val="00934F9D"/>
    <w:rsid w:val="00943756"/>
    <w:rsid w:val="0094498E"/>
    <w:rsid w:val="00951CA8"/>
    <w:rsid w:val="009568EC"/>
    <w:rsid w:val="00961BDA"/>
    <w:rsid w:val="00975554"/>
    <w:rsid w:val="009835C5"/>
    <w:rsid w:val="009A260A"/>
    <w:rsid w:val="009B29BB"/>
    <w:rsid w:val="009B2B76"/>
    <w:rsid w:val="009C5CA3"/>
    <w:rsid w:val="009D11F1"/>
    <w:rsid w:val="009D167E"/>
    <w:rsid w:val="009E5215"/>
    <w:rsid w:val="009E5305"/>
    <w:rsid w:val="009E54B7"/>
    <w:rsid w:val="009F19F0"/>
    <w:rsid w:val="009F6500"/>
    <w:rsid w:val="00A067C5"/>
    <w:rsid w:val="00A14C96"/>
    <w:rsid w:val="00A16048"/>
    <w:rsid w:val="00A160C2"/>
    <w:rsid w:val="00A239F6"/>
    <w:rsid w:val="00A52B2E"/>
    <w:rsid w:val="00A54E46"/>
    <w:rsid w:val="00A57438"/>
    <w:rsid w:val="00A60069"/>
    <w:rsid w:val="00A6579E"/>
    <w:rsid w:val="00A728D5"/>
    <w:rsid w:val="00A914B2"/>
    <w:rsid w:val="00A96E2B"/>
    <w:rsid w:val="00AA796C"/>
    <w:rsid w:val="00AB12D0"/>
    <w:rsid w:val="00AB41B2"/>
    <w:rsid w:val="00AB4B3F"/>
    <w:rsid w:val="00AB64F1"/>
    <w:rsid w:val="00AC5743"/>
    <w:rsid w:val="00AF7433"/>
    <w:rsid w:val="00B07008"/>
    <w:rsid w:val="00B24A86"/>
    <w:rsid w:val="00B86B50"/>
    <w:rsid w:val="00BA2EF3"/>
    <w:rsid w:val="00BB6D54"/>
    <w:rsid w:val="00BC7DAF"/>
    <w:rsid w:val="00BD12C6"/>
    <w:rsid w:val="00BE6BE0"/>
    <w:rsid w:val="00BF1EA9"/>
    <w:rsid w:val="00C10525"/>
    <w:rsid w:val="00C23F01"/>
    <w:rsid w:val="00C25EAA"/>
    <w:rsid w:val="00C30098"/>
    <w:rsid w:val="00C40DF7"/>
    <w:rsid w:val="00C66421"/>
    <w:rsid w:val="00C6787C"/>
    <w:rsid w:val="00C764ED"/>
    <w:rsid w:val="00CB7F87"/>
    <w:rsid w:val="00CC03CC"/>
    <w:rsid w:val="00CC16FD"/>
    <w:rsid w:val="00CC2532"/>
    <w:rsid w:val="00CE4695"/>
    <w:rsid w:val="00D11918"/>
    <w:rsid w:val="00D12304"/>
    <w:rsid w:val="00D21DCF"/>
    <w:rsid w:val="00D33053"/>
    <w:rsid w:val="00D5220C"/>
    <w:rsid w:val="00D72D36"/>
    <w:rsid w:val="00D81F50"/>
    <w:rsid w:val="00D85501"/>
    <w:rsid w:val="00D90744"/>
    <w:rsid w:val="00D96B5B"/>
    <w:rsid w:val="00DA03CE"/>
    <w:rsid w:val="00DB2A56"/>
    <w:rsid w:val="00DB463C"/>
    <w:rsid w:val="00DE1A26"/>
    <w:rsid w:val="00DE43CB"/>
    <w:rsid w:val="00DE58FA"/>
    <w:rsid w:val="00DE5CE2"/>
    <w:rsid w:val="00DE747D"/>
    <w:rsid w:val="00DF46BC"/>
    <w:rsid w:val="00DF57FB"/>
    <w:rsid w:val="00E13862"/>
    <w:rsid w:val="00E216A7"/>
    <w:rsid w:val="00E33805"/>
    <w:rsid w:val="00E3420B"/>
    <w:rsid w:val="00E422E7"/>
    <w:rsid w:val="00E46418"/>
    <w:rsid w:val="00E4765B"/>
    <w:rsid w:val="00E4784E"/>
    <w:rsid w:val="00E702E8"/>
    <w:rsid w:val="00E71406"/>
    <w:rsid w:val="00E729DB"/>
    <w:rsid w:val="00E74640"/>
    <w:rsid w:val="00E847CC"/>
    <w:rsid w:val="00E95C2E"/>
    <w:rsid w:val="00E97F94"/>
    <w:rsid w:val="00EB3879"/>
    <w:rsid w:val="00EB7536"/>
    <w:rsid w:val="00EB7A2D"/>
    <w:rsid w:val="00EC0ABB"/>
    <w:rsid w:val="00EC16C3"/>
    <w:rsid w:val="00ED3363"/>
    <w:rsid w:val="00ED62E8"/>
    <w:rsid w:val="00EF659E"/>
    <w:rsid w:val="00F164EA"/>
    <w:rsid w:val="00F34756"/>
    <w:rsid w:val="00F353C7"/>
    <w:rsid w:val="00F45B50"/>
    <w:rsid w:val="00F47821"/>
    <w:rsid w:val="00F77B9E"/>
    <w:rsid w:val="00F852CE"/>
    <w:rsid w:val="00F878D0"/>
    <w:rsid w:val="00F87DFB"/>
    <w:rsid w:val="00F976EC"/>
    <w:rsid w:val="00FE00E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15:docId w15:val="{92105E15-917F-4DF3-9819-16290B7ABA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5CEE"/>
    <w:pPr>
      <w:spacing w:line="360" w:lineRule="auto"/>
      <w:jc w:val="both"/>
    </w:pPr>
    <w:rPr>
      <w:rFonts w:ascii="Arial" w:hAnsi="Arial"/>
      <w:color w:val="000000" w:themeColor="text1"/>
      <w:lang w:val="en-GB"/>
    </w:rPr>
  </w:style>
  <w:style w:type="paragraph" w:styleId="Heading1">
    <w:name w:val="heading 1"/>
    <w:basedOn w:val="Normal"/>
    <w:next w:val="Normal"/>
    <w:link w:val="Heading1Char"/>
    <w:uiPriority w:val="9"/>
    <w:qFormat/>
    <w:rsid w:val="00315CE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15CEE"/>
    <w:pPr>
      <w:keepNext/>
      <w:keepLines/>
      <w:spacing w:before="40" w:after="0"/>
      <w:outlineLvl w:val="1"/>
    </w:pPr>
    <w:rPr>
      <w:rFonts w:eastAsiaTheme="majorEastAsia" w:cstheme="majorBidi"/>
      <w:b/>
      <w:sz w:val="28"/>
      <w:szCs w:val="26"/>
      <w:lang w:val="en-US"/>
    </w:rPr>
  </w:style>
  <w:style w:type="paragraph" w:styleId="Heading3">
    <w:name w:val="heading 3"/>
    <w:basedOn w:val="Normal"/>
    <w:next w:val="Normal"/>
    <w:link w:val="Heading3Char"/>
    <w:uiPriority w:val="9"/>
    <w:semiHidden/>
    <w:unhideWhenUsed/>
    <w:qFormat/>
    <w:rsid w:val="00621999"/>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15CEE"/>
    <w:rPr>
      <w:rFonts w:ascii="Arial" w:eastAsiaTheme="majorEastAsia" w:hAnsi="Arial" w:cstheme="majorBidi"/>
      <w:b/>
      <w:color w:val="000000" w:themeColor="text1"/>
      <w:sz w:val="28"/>
      <w:szCs w:val="26"/>
    </w:rPr>
  </w:style>
  <w:style w:type="character" w:customStyle="1" w:styleId="Heading1Char">
    <w:name w:val="Heading 1 Char"/>
    <w:basedOn w:val="DefaultParagraphFont"/>
    <w:link w:val="Heading1"/>
    <w:uiPriority w:val="9"/>
    <w:rsid w:val="00315CEE"/>
    <w:rPr>
      <w:rFonts w:ascii="Arial" w:eastAsiaTheme="majorEastAsia" w:hAnsi="Arial"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table" w:styleId="TableGrid">
    <w:name w:val="Table Grid"/>
    <w:basedOn w:val="TableNormal"/>
    <w:uiPriority w:val="59"/>
    <w:rsid w:val="00A160C2"/>
    <w:pPr>
      <w:spacing w:after="0" w:line="240" w:lineRule="auto"/>
    </w:pPr>
    <w:rPr>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F6387"/>
    <w:pPr>
      <w:spacing w:before="100" w:beforeAutospacing="1" w:after="100" w:afterAutospacing="1" w:line="240" w:lineRule="auto"/>
      <w:jc w:val="left"/>
    </w:pPr>
    <w:rPr>
      <w:rFonts w:eastAsia="Times New Roman" w:cs="Times New Roman"/>
      <w:color w:val="auto"/>
      <w:szCs w:val="24"/>
      <w:lang w:eastAsia="en-GB"/>
    </w:rPr>
  </w:style>
  <w:style w:type="paragraph" w:styleId="ListParagraph">
    <w:name w:val="List Paragraph"/>
    <w:basedOn w:val="Normal"/>
    <w:uiPriority w:val="34"/>
    <w:qFormat/>
    <w:rsid w:val="00E729DB"/>
    <w:pPr>
      <w:ind w:left="720"/>
      <w:contextualSpacing/>
    </w:pPr>
  </w:style>
  <w:style w:type="character" w:customStyle="1" w:styleId="Heading3Char">
    <w:name w:val="Heading 3 Char"/>
    <w:basedOn w:val="DefaultParagraphFont"/>
    <w:link w:val="Heading3"/>
    <w:uiPriority w:val="9"/>
    <w:semiHidden/>
    <w:rsid w:val="00621999"/>
    <w:rPr>
      <w:rFonts w:asciiTheme="majorHAnsi" w:eastAsiaTheme="majorEastAsia" w:hAnsiTheme="majorHAnsi" w:cstheme="majorBidi"/>
      <w:color w:val="1F3763" w:themeColor="accent1" w:themeShade="7F"/>
      <w:sz w:val="24"/>
      <w:szCs w:val="24"/>
      <w:lang w:val="en-GB"/>
    </w:rPr>
  </w:style>
  <w:style w:type="paragraph" w:customStyle="1" w:styleId="Default">
    <w:name w:val="Default"/>
    <w:rsid w:val="00934F9D"/>
    <w:pPr>
      <w:autoSpaceDE w:val="0"/>
      <w:autoSpaceDN w:val="0"/>
      <w:adjustRightInd w:val="0"/>
      <w:spacing w:after="0" w:line="240" w:lineRule="auto"/>
    </w:pPr>
    <w:rPr>
      <w:rFonts w:ascii="Arial" w:hAnsi="Arial" w:cs="Arial"/>
      <w:color w:val="000000"/>
      <w:sz w:val="24"/>
      <w:szCs w:val="24"/>
      <w:lang w:val="en-GB"/>
    </w:rPr>
  </w:style>
  <w:style w:type="table" w:styleId="PlainTable2">
    <w:name w:val="Plain Table 2"/>
    <w:basedOn w:val="TableNormal"/>
    <w:uiPriority w:val="42"/>
    <w:rsid w:val="0000632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NoSpacing">
    <w:name w:val="No Spacing"/>
    <w:uiPriority w:val="1"/>
    <w:qFormat/>
    <w:rsid w:val="008C03E1"/>
    <w:pPr>
      <w:spacing w:after="0" w:line="240" w:lineRule="auto"/>
      <w:jc w:val="both"/>
    </w:pPr>
    <w:rPr>
      <w:rFonts w:ascii="Arial" w:hAnsi="Arial"/>
      <w:color w:val="000000" w:themeColor="text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5225</Words>
  <Characters>29787</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ALEJANDRA GIRALDO</cp:lastModifiedBy>
  <cp:revision>7</cp:revision>
  <dcterms:created xsi:type="dcterms:W3CDTF">2026-08-12T06:44:00Z</dcterms:created>
  <dcterms:modified xsi:type="dcterms:W3CDTF">2026-08-12T08:15:00Z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d23e16f6-b90a-4861-8835-52bf3eaf9992</vt:lpwstr>
  </property>
</Properties>
</file>