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1358E8" w14:textId="6CEE0EE5" w:rsidR="00C0772C" w:rsidRPr="00902CF1" w:rsidRDefault="00396F84" w:rsidP="00902CF1">
      <w:pPr>
        <w:spacing w:after="0" w:line="480" w:lineRule="auto"/>
        <w:jc w:val="center"/>
        <w:rPr>
          <w:rFonts w:cstheme="minorHAnsi"/>
          <w:b/>
          <w:bCs/>
          <w:sz w:val="36"/>
          <w:szCs w:val="36"/>
        </w:rPr>
      </w:pPr>
      <w:r w:rsidRPr="00902CF1">
        <w:rPr>
          <w:rFonts w:cstheme="minorHAnsi"/>
          <w:b/>
          <w:bCs/>
          <w:sz w:val="36"/>
          <w:szCs w:val="36"/>
        </w:rPr>
        <w:t xml:space="preserve">Impact of the Rising Cost of Academic Education on lower income background in </w:t>
      </w:r>
      <w:r w:rsidR="00175AC5" w:rsidRPr="00902CF1">
        <w:rPr>
          <w:rFonts w:cstheme="minorHAnsi"/>
          <w:b/>
          <w:bCs/>
          <w:sz w:val="36"/>
          <w:szCs w:val="36"/>
        </w:rPr>
        <w:t>India</w:t>
      </w:r>
      <w:r w:rsidR="00175AC5">
        <w:rPr>
          <w:rFonts w:cstheme="minorHAnsi"/>
          <w:b/>
          <w:bCs/>
          <w:sz w:val="36"/>
          <w:szCs w:val="36"/>
        </w:rPr>
        <w:t>: Mumbai</w:t>
      </w:r>
    </w:p>
    <w:p w14:paraId="2A731CEF" w14:textId="77777777" w:rsidR="00902CF1" w:rsidRPr="00902CF1" w:rsidRDefault="00902CF1" w:rsidP="00902CF1">
      <w:pPr>
        <w:spacing w:after="0" w:line="480" w:lineRule="auto"/>
        <w:jc w:val="center"/>
        <w:rPr>
          <w:rFonts w:cstheme="minorHAnsi"/>
          <w:b/>
          <w:bCs/>
          <w:sz w:val="36"/>
          <w:szCs w:val="36"/>
        </w:rPr>
      </w:pPr>
    </w:p>
    <w:p w14:paraId="64012445" w14:textId="77777777" w:rsidR="00902CF1" w:rsidRPr="00902CF1" w:rsidRDefault="00902CF1" w:rsidP="00902CF1">
      <w:pPr>
        <w:spacing w:after="0" w:line="480" w:lineRule="auto"/>
        <w:jc w:val="center"/>
        <w:rPr>
          <w:rFonts w:cstheme="minorHAnsi"/>
          <w:b/>
          <w:bCs/>
          <w:sz w:val="36"/>
          <w:szCs w:val="36"/>
        </w:rPr>
      </w:pPr>
    </w:p>
    <w:p w14:paraId="212EB0AA" w14:textId="77777777" w:rsidR="00902CF1" w:rsidRPr="00902CF1" w:rsidRDefault="00902CF1" w:rsidP="00902CF1">
      <w:pPr>
        <w:spacing w:after="0" w:line="480" w:lineRule="auto"/>
        <w:jc w:val="center"/>
        <w:rPr>
          <w:rFonts w:cstheme="minorHAnsi"/>
          <w:b/>
          <w:bCs/>
          <w:sz w:val="36"/>
          <w:szCs w:val="36"/>
        </w:rPr>
      </w:pPr>
    </w:p>
    <w:p w14:paraId="7A879DF4" w14:textId="77777777" w:rsidR="00902CF1" w:rsidRPr="00902CF1" w:rsidRDefault="00902CF1" w:rsidP="00902CF1">
      <w:pPr>
        <w:spacing w:after="0" w:line="480" w:lineRule="auto"/>
        <w:jc w:val="center"/>
        <w:rPr>
          <w:rFonts w:cstheme="minorHAnsi"/>
          <w:b/>
          <w:bCs/>
          <w:sz w:val="36"/>
          <w:szCs w:val="36"/>
        </w:rPr>
      </w:pPr>
    </w:p>
    <w:p w14:paraId="4DC0E77D" w14:textId="77777777" w:rsidR="00902CF1" w:rsidRPr="00902CF1" w:rsidRDefault="00902CF1" w:rsidP="00902CF1">
      <w:pPr>
        <w:spacing w:after="0" w:line="480" w:lineRule="auto"/>
        <w:jc w:val="center"/>
        <w:rPr>
          <w:rFonts w:cstheme="minorHAnsi"/>
          <w:b/>
          <w:bCs/>
          <w:sz w:val="36"/>
          <w:szCs w:val="36"/>
        </w:rPr>
      </w:pPr>
    </w:p>
    <w:p w14:paraId="76B37D26" w14:textId="77777777" w:rsidR="00902CF1" w:rsidRPr="00902CF1" w:rsidRDefault="00902CF1" w:rsidP="00902CF1">
      <w:pPr>
        <w:spacing w:after="0" w:line="480" w:lineRule="auto"/>
        <w:jc w:val="center"/>
        <w:rPr>
          <w:rFonts w:cstheme="minorHAnsi"/>
          <w:b/>
          <w:bCs/>
          <w:sz w:val="36"/>
          <w:szCs w:val="36"/>
        </w:rPr>
      </w:pPr>
    </w:p>
    <w:p w14:paraId="31B61F40" w14:textId="77777777" w:rsidR="00902CF1" w:rsidRPr="00902CF1" w:rsidRDefault="00902CF1" w:rsidP="00902CF1">
      <w:pPr>
        <w:spacing w:after="0" w:line="480" w:lineRule="auto"/>
        <w:jc w:val="center"/>
        <w:rPr>
          <w:rFonts w:cstheme="minorHAnsi"/>
          <w:b/>
          <w:bCs/>
          <w:sz w:val="36"/>
          <w:szCs w:val="36"/>
        </w:rPr>
      </w:pPr>
    </w:p>
    <w:p w14:paraId="612732D5" w14:textId="77777777" w:rsidR="00902CF1" w:rsidRPr="00902CF1" w:rsidRDefault="00902CF1" w:rsidP="00902CF1">
      <w:pPr>
        <w:spacing w:after="0" w:line="480" w:lineRule="auto"/>
        <w:jc w:val="center"/>
        <w:rPr>
          <w:rFonts w:cstheme="minorHAnsi"/>
          <w:b/>
          <w:bCs/>
          <w:sz w:val="36"/>
          <w:szCs w:val="36"/>
        </w:rPr>
      </w:pPr>
    </w:p>
    <w:p w14:paraId="286904EF" w14:textId="77777777" w:rsidR="00902CF1" w:rsidRPr="00902CF1" w:rsidRDefault="00902CF1" w:rsidP="00902CF1">
      <w:pPr>
        <w:spacing w:after="0" w:line="480" w:lineRule="auto"/>
        <w:jc w:val="center"/>
        <w:rPr>
          <w:rFonts w:cstheme="minorHAnsi"/>
          <w:b/>
          <w:bCs/>
          <w:sz w:val="36"/>
          <w:szCs w:val="36"/>
        </w:rPr>
      </w:pPr>
    </w:p>
    <w:p w14:paraId="73921043" w14:textId="77777777" w:rsidR="00902CF1" w:rsidRPr="00902CF1" w:rsidRDefault="00902CF1" w:rsidP="00902CF1">
      <w:pPr>
        <w:spacing w:after="0" w:line="480" w:lineRule="auto"/>
        <w:jc w:val="center"/>
        <w:rPr>
          <w:rFonts w:cstheme="minorHAnsi"/>
          <w:b/>
          <w:bCs/>
          <w:sz w:val="36"/>
          <w:szCs w:val="36"/>
        </w:rPr>
      </w:pPr>
    </w:p>
    <w:p w14:paraId="619A76E5" w14:textId="77777777" w:rsidR="00902CF1" w:rsidRPr="00902CF1" w:rsidRDefault="00902CF1" w:rsidP="00902CF1">
      <w:pPr>
        <w:spacing w:after="0" w:line="480" w:lineRule="auto"/>
        <w:jc w:val="center"/>
        <w:rPr>
          <w:rFonts w:cstheme="minorHAnsi"/>
          <w:b/>
          <w:bCs/>
          <w:sz w:val="36"/>
          <w:szCs w:val="36"/>
        </w:rPr>
      </w:pPr>
    </w:p>
    <w:p w14:paraId="31F15E54" w14:textId="76672355" w:rsidR="00902CF1" w:rsidRPr="00902CF1" w:rsidRDefault="00902CF1" w:rsidP="00902CF1">
      <w:pPr>
        <w:spacing w:after="0" w:line="480" w:lineRule="auto"/>
        <w:jc w:val="center"/>
        <w:rPr>
          <w:rFonts w:cstheme="minorHAnsi"/>
          <w:b/>
          <w:bCs/>
          <w:sz w:val="36"/>
          <w:szCs w:val="36"/>
        </w:rPr>
      </w:pPr>
      <w:r w:rsidRPr="00902CF1">
        <w:rPr>
          <w:rFonts w:cstheme="minorHAnsi"/>
          <w:b/>
          <w:bCs/>
          <w:sz w:val="36"/>
          <w:szCs w:val="36"/>
        </w:rPr>
        <w:t>Student name:</w:t>
      </w:r>
      <w:r w:rsidR="00BC380C">
        <w:rPr>
          <w:rFonts w:cstheme="minorHAnsi"/>
          <w:b/>
          <w:bCs/>
          <w:sz w:val="36"/>
          <w:szCs w:val="36"/>
        </w:rPr>
        <w:t xml:space="preserve"> Mandeep Kaur Saggu</w:t>
      </w:r>
    </w:p>
    <w:p w14:paraId="325F1259" w14:textId="4717BD91" w:rsidR="004B6724" w:rsidRPr="00902CF1" w:rsidRDefault="00902CF1" w:rsidP="00902CF1">
      <w:pPr>
        <w:spacing w:after="0" w:line="480" w:lineRule="auto"/>
        <w:jc w:val="center"/>
        <w:rPr>
          <w:rFonts w:cstheme="minorHAnsi"/>
          <w:b/>
          <w:bCs/>
          <w:sz w:val="36"/>
          <w:szCs w:val="36"/>
        </w:rPr>
      </w:pPr>
      <w:r w:rsidRPr="00902CF1">
        <w:rPr>
          <w:rFonts w:cstheme="minorHAnsi"/>
          <w:b/>
          <w:bCs/>
          <w:sz w:val="36"/>
          <w:szCs w:val="36"/>
        </w:rPr>
        <w:t>Student id:</w:t>
      </w:r>
      <w:r w:rsidR="00302D0D">
        <w:rPr>
          <w:rFonts w:cstheme="minorHAnsi"/>
          <w:b/>
          <w:bCs/>
          <w:sz w:val="36"/>
          <w:szCs w:val="36"/>
        </w:rPr>
        <w:t xml:space="preserve"> 2218282</w:t>
      </w:r>
    </w:p>
    <w:p w14:paraId="3C194564" w14:textId="30406B3F" w:rsidR="00396F84" w:rsidRPr="004B6724" w:rsidRDefault="00396F84" w:rsidP="00902CF1">
      <w:pPr>
        <w:pStyle w:val="Heading1"/>
        <w:spacing w:before="0"/>
        <w:rPr>
          <w:b/>
          <w:bCs/>
        </w:rPr>
      </w:pPr>
      <w:r w:rsidRPr="004B6724">
        <w:rPr>
          <w:b/>
          <w:bCs/>
        </w:rPr>
        <w:lastRenderedPageBreak/>
        <w:t>Introduction</w:t>
      </w:r>
    </w:p>
    <w:p w14:paraId="7EEFA4B9" w14:textId="45E70A69" w:rsidR="00396F84" w:rsidRPr="004B6724" w:rsidRDefault="00396F84" w:rsidP="00902CF1">
      <w:pPr>
        <w:spacing w:after="0" w:line="480" w:lineRule="auto"/>
        <w:jc w:val="both"/>
        <w:rPr>
          <w:rFonts w:cstheme="minorHAnsi"/>
          <w:sz w:val="24"/>
          <w:szCs w:val="24"/>
        </w:rPr>
      </w:pPr>
      <w:r w:rsidRPr="004B6724">
        <w:rPr>
          <w:rFonts w:cstheme="minorHAnsi"/>
          <w:sz w:val="24"/>
          <w:szCs w:val="24"/>
        </w:rPr>
        <w:t xml:space="preserve">It was simplest after India became an independent political entity that education unfold to a much broader and broader phase of society. In a contemporary society, the educational system tries to embody as many inexperienced persons as possible. The twenty-first century has added with it profound demanding situations to nature, values, and the rising fee of higher training in India. As </w:t>
      </w:r>
      <w:r w:rsidR="004B6724" w:rsidRPr="004B6724">
        <w:rPr>
          <w:rFonts w:cstheme="minorHAnsi"/>
          <w:sz w:val="24"/>
          <w:szCs w:val="24"/>
        </w:rPr>
        <w:t>an</w:t>
      </w:r>
      <w:r w:rsidRPr="004B6724">
        <w:rPr>
          <w:rFonts w:cstheme="minorHAnsi"/>
          <w:sz w:val="24"/>
          <w:szCs w:val="24"/>
        </w:rPr>
        <w:t xml:space="preserve"> end result of inflation, training fees, auxiliary expenses, and a developing call for </w:t>
      </w:r>
      <w:r w:rsidR="004B6724" w:rsidRPr="004B6724">
        <w:rPr>
          <w:rFonts w:cstheme="minorHAnsi"/>
          <w:sz w:val="24"/>
          <w:szCs w:val="24"/>
        </w:rPr>
        <w:t>specialized</w:t>
      </w:r>
      <w:r w:rsidRPr="004B6724">
        <w:rPr>
          <w:rFonts w:cstheme="minorHAnsi"/>
          <w:sz w:val="24"/>
          <w:szCs w:val="24"/>
        </w:rPr>
        <w:t xml:space="preserve"> publications, the fee of instructional schooling is on the upward push in India. For people from economically disadvantaged backgrounds, pursuing better training will become more and more elusive due to those elements. This phenomenon, therefore, exacerbates existing disparities in instructional get admission to and widens the gap between privileged and marginalized agencies</w:t>
      </w:r>
      <w:sdt>
        <w:sdtPr>
          <w:rPr>
            <w:rFonts w:cstheme="minorHAnsi"/>
            <w:sz w:val="24"/>
            <w:szCs w:val="24"/>
          </w:rPr>
          <w:id w:val="1105615534"/>
          <w:citation/>
        </w:sdtPr>
        <w:sdtEndPr/>
        <w:sdtContent>
          <w:r w:rsidRPr="004B6724">
            <w:rPr>
              <w:rFonts w:cstheme="minorHAnsi"/>
              <w:sz w:val="24"/>
              <w:szCs w:val="24"/>
            </w:rPr>
            <w:fldChar w:fldCharType="begin"/>
          </w:r>
          <w:r w:rsidRPr="004B6724">
            <w:rPr>
              <w:rFonts w:cstheme="minorHAnsi"/>
              <w:sz w:val="24"/>
              <w:szCs w:val="24"/>
            </w:rPr>
            <w:instrText xml:space="preserve"> CITATION Dip20 \l 1033 </w:instrText>
          </w:r>
          <w:r w:rsidRPr="004B6724">
            <w:rPr>
              <w:rFonts w:cstheme="minorHAnsi"/>
              <w:sz w:val="24"/>
              <w:szCs w:val="24"/>
            </w:rPr>
            <w:fldChar w:fldCharType="separate"/>
          </w:r>
          <w:r w:rsidRPr="004B6724">
            <w:rPr>
              <w:rFonts w:cstheme="minorHAnsi"/>
              <w:noProof/>
              <w:sz w:val="24"/>
              <w:szCs w:val="24"/>
            </w:rPr>
            <w:t xml:space="preserve"> (Baidya, 2020)</w:t>
          </w:r>
          <w:r w:rsidRPr="004B6724">
            <w:rPr>
              <w:rFonts w:cstheme="minorHAnsi"/>
              <w:sz w:val="24"/>
              <w:szCs w:val="24"/>
            </w:rPr>
            <w:fldChar w:fldCharType="end"/>
          </w:r>
        </w:sdtContent>
      </w:sdt>
      <w:r w:rsidRPr="004B6724">
        <w:rPr>
          <w:rFonts w:cstheme="minorHAnsi"/>
          <w:sz w:val="24"/>
          <w:szCs w:val="24"/>
        </w:rPr>
        <w:t>.</w:t>
      </w:r>
    </w:p>
    <w:p w14:paraId="12ADA011" w14:textId="4FB61895" w:rsidR="00396F84" w:rsidRPr="004B6724" w:rsidRDefault="00396F84" w:rsidP="00902CF1">
      <w:pPr>
        <w:spacing w:after="0" w:line="480" w:lineRule="auto"/>
        <w:jc w:val="both"/>
        <w:rPr>
          <w:rFonts w:cstheme="minorHAnsi"/>
          <w:sz w:val="24"/>
          <w:szCs w:val="24"/>
        </w:rPr>
      </w:pPr>
      <w:r w:rsidRPr="004B6724">
        <w:rPr>
          <w:rFonts w:cstheme="minorHAnsi"/>
          <w:sz w:val="24"/>
          <w:szCs w:val="24"/>
        </w:rPr>
        <w:t xml:space="preserve">A comprehensive observe has been carried out to observe the implications of the growing cost of instructional education in India on low-income businesses. Using quantitative and qualitative analysis, this </w:t>
      </w:r>
      <w:r w:rsidR="004B6724">
        <w:rPr>
          <w:rFonts w:cstheme="minorHAnsi"/>
          <w:sz w:val="24"/>
          <w:szCs w:val="24"/>
        </w:rPr>
        <w:t>study</w:t>
      </w:r>
      <w:r w:rsidRPr="004B6724">
        <w:rPr>
          <w:rFonts w:cstheme="minorHAnsi"/>
          <w:sz w:val="24"/>
          <w:szCs w:val="24"/>
        </w:rPr>
        <w:t xml:space="preserve"> </w:t>
      </w:r>
      <w:r w:rsidR="00902CF1" w:rsidRPr="004B6724">
        <w:rPr>
          <w:rFonts w:cstheme="minorHAnsi"/>
          <w:sz w:val="24"/>
          <w:szCs w:val="24"/>
        </w:rPr>
        <w:t>looks</w:t>
      </w:r>
      <w:r w:rsidRPr="004B6724">
        <w:rPr>
          <w:rFonts w:cstheme="minorHAnsi"/>
          <w:sz w:val="24"/>
          <w:szCs w:val="24"/>
        </w:rPr>
        <w:t xml:space="preserve"> at objectives to shed light at the elements contributing to educational inequities and advise evidence-based interventions to mitigate them. In this </w:t>
      </w:r>
      <w:r w:rsidR="004B6724">
        <w:rPr>
          <w:rFonts w:cstheme="minorHAnsi"/>
          <w:sz w:val="24"/>
          <w:szCs w:val="24"/>
        </w:rPr>
        <w:t>way</w:t>
      </w:r>
      <w:r w:rsidRPr="004B6724">
        <w:rPr>
          <w:rFonts w:cstheme="minorHAnsi"/>
          <w:sz w:val="24"/>
          <w:szCs w:val="24"/>
        </w:rPr>
        <w:t>, this study seeks to make a contribution to the wider communication approximately instructional equity and social justice in India.</w:t>
      </w:r>
    </w:p>
    <w:p w14:paraId="1207E340" w14:textId="6381465B" w:rsidR="00396F84" w:rsidRPr="004B6724" w:rsidRDefault="00396F84" w:rsidP="00902CF1">
      <w:pPr>
        <w:pStyle w:val="Heading1"/>
        <w:spacing w:before="0"/>
        <w:rPr>
          <w:b/>
          <w:bCs/>
        </w:rPr>
      </w:pPr>
      <w:r w:rsidRPr="004B6724">
        <w:rPr>
          <w:b/>
          <w:bCs/>
        </w:rPr>
        <w:t>Research Aim and Objectives</w:t>
      </w:r>
    </w:p>
    <w:p w14:paraId="2F3BB605" w14:textId="46A16AC5" w:rsidR="00396F84" w:rsidRPr="004B6724" w:rsidRDefault="00396F84" w:rsidP="00902CF1">
      <w:pPr>
        <w:spacing w:after="0" w:line="480" w:lineRule="auto"/>
        <w:jc w:val="both"/>
        <w:rPr>
          <w:rFonts w:cstheme="minorHAnsi"/>
          <w:b/>
          <w:bCs/>
          <w:sz w:val="24"/>
          <w:szCs w:val="24"/>
        </w:rPr>
      </w:pPr>
      <w:r w:rsidRPr="004B6724">
        <w:rPr>
          <w:rFonts w:cstheme="minorHAnsi"/>
          <w:b/>
          <w:bCs/>
          <w:sz w:val="24"/>
          <w:szCs w:val="24"/>
        </w:rPr>
        <w:t>Aim</w:t>
      </w:r>
    </w:p>
    <w:p w14:paraId="0B86AB8D" w14:textId="77777777" w:rsidR="00396F84" w:rsidRPr="004B6724" w:rsidRDefault="00396F84" w:rsidP="00902CF1">
      <w:pPr>
        <w:pStyle w:val="pb-2"/>
        <w:spacing w:before="0" w:beforeAutospacing="0" w:after="0" w:afterAutospacing="0" w:line="480" w:lineRule="auto"/>
        <w:jc w:val="both"/>
        <w:rPr>
          <w:rFonts w:asciiTheme="minorHAnsi" w:hAnsiTheme="minorHAnsi" w:cstheme="minorHAnsi"/>
        </w:rPr>
      </w:pPr>
      <w:r w:rsidRPr="004B6724">
        <w:rPr>
          <w:rFonts w:asciiTheme="minorHAnsi" w:hAnsiTheme="minorHAnsi" w:cstheme="minorHAnsi"/>
        </w:rPr>
        <w:t>The aim of this research is to investigate the impact of rising educational costs on lower-income individuals in India and propose interventions to mitigate them.</w:t>
      </w:r>
    </w:p>
    <w:p w14:paraId="7723A0C6" w14:textId="7632878A" w:rsidR="00396F84" w:rsidRPr="004B6724" w:rsidRDefault="00396F84" w:rsidP="00902CF1">
      <w:pPr>
        <w:pStyle w:val="pb-2"/>
        <w:spacing w:before="0" w:beforeAutospacing="0" w:after="0" w:afterAutospacing="0" w:line="480" w:lineRule="auto"/>
        <w:jc w:val="both"/>
        <w:rPr>
          <w:rFonts w:asciiTheme="minorHAnsi" w:hAnsiTheme="minorHAnsi" w:cstheme="minorHAnsi"/>
          <w:b/>
          <w:bCs/>
        </w:rPr>
      </w:pPr>
      <w:r w:rsidRPr="004B6724">
        <w:rPr>
          <w:rFonts w:asciiTheme="minorHAnsi" w:hAnsiTheme="minorHAnsi" w:cstheme="minorHAnsi"/>
          <w:b/>
          <w:bCs/>
        </w:rPr>
        <w:t>Objectives</w:t>
      </w:r>
    </w:p>
    <w:p w14:paraId="02B52284" w14:textId="77777777" w:rsidR="005344C4" w:rsidRPr="004B6724" w:rsidRDefault="005344C4" w:rsidP="00902CF1">
      <w:pPr>
        <w:pStyle w:val="pb-2"/>
        <w:numPr>
          <w:ilvl w:val="0"/>
          <w:numId w:val="1"/>
        </w:numPr>
        <w:spacing w:before="0" w:beforeAutospacing="0" w:after="0" w:afterAutospacing="0" w:line="480" w:lineRule="auto"/>
        <w:jc w:val="both"/>
        <w:rPr>
          <w:rFonts w:asciiTheme="minorHAnsi" w:hAnsiTheme="minorHAnsi" w:cstheme="minorHAnsi"/>
        </w:rPr>
      </w:pPr>
      <w:r w:rsidRPr="004B6724">
        <w:rPr>
          <w:rFonts w:asciiTheme="minorHAnsi" w:hAnsiTheme="minorHAnsi" w:cstheme="minorHAnsi"/>
        </w:rPr>
        <w:t>To Analyze the current landscape of Indian academic education costs</w:t>
      </w:r>
    </w:p>
    <w:p w14:paraId="79F9C6AA" w14:textId="77777777" w:rsidR="005344C4" w:rsidRPr="004B6724" w:rsidRDefault="005344C4" w:rsidP="00902CF1">
      <w:pPr>
        <w:pStyle w:val="pb-2"/>
        <w:numPr>
          <w:ilvl w:val="0"/>
          <w:numId w:val="1"/>
        </w:numPr>
        <w:spacing w:before="0" w:beforeAutospacing="0" w:after="0" w:afterAutospacing="0" w:line="480" w:lineRule="auto"/>
        <w:jc w:val="both"/>
        <w:rPr>
          <w:rFonts w:asciiTheme="minorHAnsi" w:hAnsiTheme="minorHAnsi" w:cstheme="minorHAnsi"/>
        </w:rPr>
      </w:pPr>
      <w:r w:rsidRPr="004B6724">
        <w:rPr>
          <w:rFonts w:asciiTheme="minorHAnsi" w:hAnsiTheme="minorHAnsi" w:cstheme="minorHAnsi"/>
        </w:rPr>
        <w:lastRenderedPageBreak/>
        <w:t>To find out what socioeconomic factors affect access to and affordability of education</w:t>
      </w:r>
    </w:p>
    <w:p w14:paraId="7E47681C" w14:textId="77777777" w:rsidR="005344C4" w:rsidRPr="004B6724" w:rsidRDefault="005344C4" w:rsidP="00902CF1">
      <w:pPr>
        <w:pStyle w:val="pb-2"/>
        <w:numPr>
          <w:ilvl w:val="0"/>
          <w:numId w:val="1"/>
        </w:numPr>
        <w:spacing w:before="0" w:beforeAutospacing="0" w:after="0" w:afterAutospacing="0" w:line="480" w:lineRule="auto"/>
        <w:jc w:val="both"/>
        <w:rPr>
          <w:rFonts w:asciiTheme="minorHAnsi" w:hAnsiTheme="minorHAnsi" w:cstheme="minorHAnsi"/>
        </w:rPr>
      </w:pPr>
      <w:r w:rsidRPr="004B6724">
        <w:rPr>
          <w:rFonts w:asciiTheme="minorHAnsi" w:hAnsiTheme="minorHAnsi" w:cstheme="minorHAnsi"/>
        </w:rPr>
        <w:t>To Identify challenges faced by individuals from lower-income backgrounds in accessing and completing higher education</w:t>
      </w:r>
    </w:p>
    <w:p w14:paraId="1471F0C9" w14:textId="3C0B7728" w:rsidR="005344C4" w:rsidRPr="004B6724" w:rsidRDefault="005344C4" w:rsidP="00902CF1">
      <w:pPr>
        <w:pStyle w:val="pb-2"/>
        <w:numPr>
          <w:ilvl w:val="0"/>
          <w:numId w:val="1"/>
        </w:numPr>
        <w:spacing w:before="0" w:beforeAutospacing="0" w:after="0" w:afterAutospacing="0" w:line="480" w:lineRule="auto"/>
        <w:jc w:val="both"/>
        <w:rPr>
          <w:rFonts w:asciiTheme="minorHAnsi" w:hAnsiTheme="minorHAnsi" w:cstheme="minorHAnsi"/>
        </w:rPr>
      </w:pPr>
      <w:r w:rsidRPr="004B6724">
        <w:rPr>
          <w:rFonts w:asciiTheme="minorHAnsi" w:hAnsiTheme="minorHAnsi" w:cstheme="minorHAnsi"/>
        </w:rPr>
        <w:t>To Recommend policies and interventions based on evidence</w:t>
      </w:r>
    </w:p>
    <w:p w14:paraId="16CA16BD" w14:textId="290C0F85" w:rsidR="005344C4" w:rsidRPr="004B6724" w:rsidRDefault="005344C4" w:rsidP="00902CF1">
      <w:pPr>
        <w:pStyle w:val="Heading1"/>
        <w:spacing w:before="0"/>
        <w:rPr>
          <w:b/>
          <w:bCs/>
        </w:rPr>
      </w:pPr>
      <w:r w:rsidRPr="004B6724">
        <w:rPr>
          <w:b/>
          <w:bCs/>
        </w:rPr>
        <w:t>Research Questions</w:t>
      </w:r>
    </w:p>
    <w:p w14:paraId="0D0D43BA" w14:textId="609C6203" w:rsidR="005344C4" w:rsidRPr="004B6724" w:rsidRDefault="005344C4" w:rsidP="00902CF1">
      <w:pPr>
        <w:pStyle w:val="pb-2"/>
        <w:numPr>
          <w:ilvl w:val="0"/>
          <w:numId w:val="3"/>
        </w:numPr>
        <w:spacing w:before="0" w:beforeAutospacing="0" w:after="0" w:afterAutospacing="0" w:line="480" w:lineRule="auto"/>
        <w:jc w:val="both"/>
        <w:rPr>
          <w:rFonts w:asciiTheme="minorHAnsi" w:hAnsiTheme="minorHAnsi" w:cstheme="minorHAnsi"/>
        </w:rPr>
      </w:pPr>
      <w:r w:rsidRPr="004B6724">
        <w:rPr>
          <w:rFonts w:asciiTheme="minorHAnsi" w:hAnsiTheme="minorHAnsi" w:cstheme="minorHAnsi"/>
        </w:rPr>
        <w:t>How is the cost of academic education in India changing across different levels and types of institutions?</w:t>
      </w:r>
    </w:p>
    <w:p w14:paraId="50EBE5B3" w14:textId="3C87BCBE" w:rsidR="005344C4" w:rsidRPr="004B6724" w:rsidRDefault="005344C4" w:rsidP="00902CF1">
      <w:pPr>
        <w:pStyle w:val="pb-2"/>
        <w:numPr>
          <w:ilvl w:val="0"/>
          <w:numId w:val="3"/>
        </w:numPr>
        <w:spacing w:before="0" w:beforeAutospacing="0" w:after="0" w:afterAutospacing="0" w:line="480" w:lineRule="auto"/>
        <w:jc w:val="both"/>
        <w:rPr>
          <w:rFonts w:asciiTheme="minorHAnsi" w:hAnsiTheme="minorHAnsi" w:cstheme="minorHAnsi"/>
        </w:rPr>
      </w:pPr>
      <w:r w:rsidRPr="004B6724">
        <w:rPr>
          <w:rFonts w:asciiTheme="minorHAnsi" w:hAnsiTheme="minorHAnsi" w:cstheme="minorHAnsi"/>
        </w:rPr>
        <w:t>Which socio-economic factors significantly affect access and affordability of education among Indians from low-income backgrounds?</w:t>
      </w:r>
    </w:p>
    <w:p w14:paraId="04D7E789" w14:textId="3E6097E5" w:rsidR="005344C4" w:rsidRPr="004B6724" w:rsidRDefault="005344C4" w:rsidP="00902CF1">
      <w:pPr>
        <w:pStyle w:val="pb-2"/>
        <w:numPr>
          <w:ilvl w:val="0"/>
          <w:numId w:val="3"/>
        </w:numPr>
        <w:spacing w:before="0" w:beforeAutospacing="0" w:after="0" w:afterAutospacing="0" w:line="480" w:lineRule="auto"/>
        <w:jc w:val="both"/>
        <w:rPr>
          <w:rFonts w:asciiTheme="minorHAnsi" w:hAnsiTheme="minorHAnsi" w:cstheme="minorHAnsi"/>
        </w:rPr>
      </w:pPr>
      <w:r w:rsidRPr="004B6724">
        <w:rPr>
          <w:rFonts w:asciiTheme="minorHAnsi" w:hAnsiTheme="minorHAnsi" w:cstheme="minorHAnsi"/>
        </w:rPr>
        <w:t>How do individuals from lower-income backgrounds find it difficult to access and complete higher education in India?</w:t>
      </w:r>
    </w:p>
    <w:p w14:paraId="69DA2EA3" w14:textId="1AB001FD" w:rsidR="005344C4" w:rsidRPr="004B6724" w:rsidRDefault="005344C4" w:rsidP="00902CF1">
      <w:pPr>
        <w:pStyle w:val="pb-2"/>
        <w:numPr>
          <w:ilvl w:val="0"/>
          <w:numId w:val="3"/>
        </w:numPr>
        <w:spacing w:before="0" w:beforeAutospacing="0" w:after="0" w:afterAutospacing="0" w:line="480" w:lineRule="auto"/>
        <w:jc w:val="both"/>
        <w:rPr>
          <w:rFonts w:asciiTheme="minorHAnsi" w:hAnsiTheme="minorHAnsi" w:cstheme="minorHAnsi"/>
        </w:rPr>
      </w:pPr>
      <w:r w:rsidRPr="004B6724">
        <w:rPr>
          <w:rFonts w:asciiTheme="minorHAnsi" w:hAnsiTheme="minorHAnsi" w:cstheme="minorHAnsi"/>
        </w:rPr>
        <w:t>How can policies and interventions be recommended to address the impact of rising education costs on low-income individuals in India?</w:t>
      </w:r>
    </w:p>
    <w:p w14:paraId="3C637162" w14:textId="7F11C00E" w:rsidR="005344C4" w:rsidRDefault="005344C4" w:rsidP="00902CF1">
      <w:pPr>
        <w:pStyle w:val="Heading1"/>
        <w:spacing w:before="0"/>
        <w:rPr>
          <w:b/>
          <w:bCs/>
        </w:rPr>
      </w:pPr>
      <w:r w:rsidRPr="004B6724">
        <w:rPr>
          <w:b/>
          <w:bCs/>
        </w:rPr>
        <w:t>Literature Review</w:t>
      </w:r>
    </w:p>
    <w:p w14:paraId="07E3BA58" w14:textId="77777777" w:rsidR="00372C52" w:rsidRPr="00372C52" w:rsidRDefault="00372C52" w:rsidP="00372C52">
      <w:pPr>
        <w:pStyle w:val="pb-2"/>
        <w:rPr>
          <w:b/>
          <w:bCs/>
          <w:i/>
          <w:iCs/>
        </w:rPr>
      </w:pPr>
      <w:r w:rsidRPr="00372C52">
        <w:rPr>
          <w:b/>
          <w:bCs/>
          <w:i/>
          <w:iCs/>
        </w:rPr>
        <w:t>Overview of Academic Education Costs in India</w:t>
      </w:r>
    </w:p>
    <w:p w14:paraId="398C4BC6" w14:textId="6869BAEE" w:rsidR="005344C4" w:rsidRDefault="005344C4" w:rsidP="00902CF1">
      <w:pPr>
        <w:pStyle w:val="pb-2"/>
        <w:spacing w:before="0" w:beforeAutospacing="0" w:after="0" w:afterAutospacing="0" w:line="480" w:lineRule="auto"/>
        <w:jc w:val="both"/>
        <w:rPr>
          <w:rFonts w:asciiTheme="minorHAnsi" w:hAnsiTheme="minorHAnsi" w:cstheme="minorHAnsi"/>
        </w:rPr>
      </w:pPr>
      <w:r w:rsidRPr="004B6724">
        <w:rPr>
          <w:rFonts w:asciiTheme="minorHAnsi" w:hAnsiTheme="minorHAnsi" w:cstheme="minorHAnsi"/>
          <w:noProof/>
        </w:rPr>
        <w:t>As per study conducted by Education for India, (</w:t>
      </w:r>
      <w:r w:rsidR="004B6724" w:rsidRPr="004B6724">
        <w:rPr>
          <w:rFonts w:asciiTheme="minorHAnsi" w:hAnsiTheme="minorHAnsi" w:cstheme="minorHAnsi"/>
          <w:noProof/>
        </w:rPr>
        <w:t>2023)</w:t>
      </w:r>
      <w:r w:rsidR="004B6724" w:rsidRPr="004B6724">
        <w:rPr>
          <w:rFonts w:asciiTheme="minorHAnsi" w:hAnsiTheme="minorHAnsi" w:cstheme="minorHAnsi"/>
        </w:rPr>
        <w:t xml:space="preserve"> It</w:t>
      </w:r>
      <w:r w:rsidRPr="004B6724">
        <w:rPr>
          <w:rFonts w:asciiTheme="minorHAnsi" w:hAnsiTheme="minorHAnsi" w:cstheme="minorHAnsi"/>
        </w:rPr>
        <w:t xml:space="preserve"> is broadly recognized that training is a fundamental human proper and a key determinant of socioeconomic improvement. It is greater correct to say that higher training charges have skyrocketed in recent years, posing demanding situations for aspiring students and their families, because of the rising cost of education in </w:t>
      </w:r>
      <w:r w:rsidR="004B6724" w:rsidRPr="004B6724">
        <w:rPr>
          <w:rFonts w:asciiTheme="minorHAnsi" w:hAnsiTheme="minorHAnsi" w:cstheme="minorHAnsi"/>
        </w:rPr>
        <w:t>India. However</w:t>
      </w:r>
      <w:r w:rsidRPr="004B6724">
        <w:rPr>
          <w:rFonts w:asciiTheme="minorHAnsi" w:hAnsiTheme="minorHAnsi" w:cstheme="minorHAnsi"/>
        </w:rPr>
        <w:t xml:space="preserve">, in India, better training has witnessed a tremendous upward thrust in expenses, which include undergraduate and postgraduate publications. The GER in higher schooling for the 18-23 age institution was 27.1% in 2020-21. However, regardless of this improvement, many eligible </w:t>
      </w:r>
      <w:r w:rsidRPr="004B6724">
        <w:rPr>
          <w:rFonts w:asciiTheme="minorHAnsi" w:hAnsiTheme="minorHAnsi" w:cstheme="minorHAnsi"/>
        </w:rPr>
        <w:lastRenderedPageBreak/>
        <w:t>college students still are not able to find the money for higher training. The excessive fee of schooling strains own family budgets, main to stress and tension for parents, making it tough for households to save for different crucial costs.</w:t>
      </w:r>
    </w:p>
    <w:p w14:paraId="390FE57F" w14:textId="6997DCBC" w:rsidR="00372C52" w:rsidRPr="00372C52" w:rsidRDefault="00372C52" w:rsidP="00372C52">
      <w:pPr>
        <w:pStyle w:val="pb-2"/>
        <w:rPr>
          <w:b/>
          <w:bCs/>
          <w:i/>
          <w:iCs/>
        </w:rPr>
      </w:pPr>
      <w:r w:rsidRPr="00372C52">
        <w:rPr>
          <w:b/>
          <w:bCs/>
          <w:i/>
          <w:iCs/>
        </w:rPr>
        <w:t>Socio</w:t>
      </w:r>
      <w:r>
        <w:rPr>
          <w:b/>
          <w:bCs/>
          <w:i/>
          <w:iCs/>
        </w:rPr>
        <w:t xml:space="preserve"> </w:t>
      </w:r>
      <w:r w:rsidRPr="00372C52">
        <w:rPr>
          <w:b/>
          <w:bCs/>
          <w:i/>
          <w:iCs/>
        </w:rPr>
        <w:t>economic Factors Influencing Access to Education</w:t>
      </w:r>
    </w:p>
    <w:p w14:paraId="21E3A44C" w14:textId="1B68D684" w:rsidR="005344C4" w:rsidRDefault="004B6724" w:rsidP="00902CF1">
      <w:pPr>
        <w:pStyle w:val="pb-2"/>
        <w:spacing w:before="0" w:beforeAutospacing="0" w:after="0" w:afterAutospacing="0" w:line="480" w:lineRule="auto"/>
        <w:jc w:val="both"/>
        <w:rPr>
          <w:rFonts w:asciiTheme="minorHAnsi" w:hAnsiTheme="minorHAnsi" w:cstheme="minorHAnsi"/>
        </w:rPr>
      </w:pPr>
      <w:r w:rsidRPr="004B6724">
        <w:rPr>
          <w:rFonts w:asciiTheme="minorHAnsi" w:hAnsiTheme="minorHAnsi" w:cstheme="minorHAnsi"/>
        </w:rPr>
        <w:t>Similarly,</w:t>
      </w:r>
      <w:r w:rsidR="005344C4" w:rsidRPr="004B6724">
        <w:rPr>
          <w:rFonts w:asciiTheme="minorHAnsi" w:hAnsiTheme="minorHAnsi" w:cstheme="minorHAnsi"/>
        </w:rPr>
        <w:t xml:space="preserve"> </w:t>
      </w:r>
      <w:r w:rsidRPr="004B6724">
        <w:rPr>
          <w:rFonts w:asciiTheme="minorHAnsi" w:hAnsiTheme="minorHAnsi" w:cstheme="minorHAnsi"/>
        </w:rPr>
        <w:t>another</w:t>
      </w:r>
      <w:r w:rsidR="005344C4" w:rsidRPr="004B6724">
        <w:rPr>
          <w:rFonts w:asciiTheme="minorHAnsi" w:hAnsiTheme="minorHAnsi" w:cstheme="minorHAnsi"/>
        </w:rPr>
        <w:t xml:space="preserve"> survey conducted by </w:t>
      </w:r>
      <w:r w:rsidR="005344C4" w:rsidRPr="004B6724">
        <w:rPr>
          <w:rFonts w:asciiTheme="minorHAnsi" w:hAnsiTheme="minorHAnsi" w:cstheme="minorHAnsi"/>
          <w:noProof/>
        </w:rPr>
        <w:t xml:space="preserve">Chandrasekhar, (2020) founds that </w:t>
      </w:r>
      <w:r w:rsidR="005344C4" w:rsidRPr="004B6724">
        <w:rPr>
          <w:rFonts w:asciiTheme="minorHAnsi" w:hAnsiTheme="minorHAnsi" w:cstheme="minorHAnsi"/>
        </w:rPr>
        <w:t xml:space="preserve">among the few factors of Indian improvement which have visible a few </w:t>
      </w:r>
      <w:r w:rsidRPr="004B6724">
        <w:rPr>
          <w:rFonts w:asciiTheme="minorHAnsi" w:hAnsiTheme="minorHAnsi" w:cstheme="minorHAnsi"/>
        </w:rPr>
        <w:t>fulfillments</w:t>
      </w:r>
      <w:r w:rsidR="005344C4" w:rsidRPr="004B6724">
        <w:rPr>
          <w:rFonts w:asciiTheme="minorHAnsi" w:hAnsiTheme="minorHAnsi" w:cstheme="minorHAnsi"/>
        </w:rPr>
        <w:t xml:space="preserve"> in recent years is training. In school and higher education, enrollment has improved drastically, and the gender hole has reduced up to secondary college stage. From July 2017 to June 2018, the 75th Round of NSSO's survey of "Household Social Consumption of Education in India" discovered some very demanding consequences. With the expansion of schooling, households were increasingly pressured to pay for it, main to a state of affairs where training past secondary college is largely unaffordable for maximum working people, or even college training may be very pricey for families.</w:t>
      </w:r>
    </w:p>
    <w:p w14:paraId="3EEBA7A5" w14:textId="7DDD2D7A" w:rsidR="00372C52" w:rsidRDefault="00372C52" w:rsidP="00902CF1">
      <w:pPr>
        <w:pStyle w:val="pb-2"/>
        <w:spacing w:before="0" w:beforeAutospacing="0" w:after="0" w:afterAutospacing="0" w:line="480" w:lineRule="auto"/>
        <w:jc w:val="both"/>
        <w:rPr>
          <w:b/>
          <w:bCs/>
          <w:i/>
          <w:iCs/>
        </w:rPr>
      </w:pPr>
      <w:r w:rsidRPr="00372C52">
        <w:rPr>
          <w:b/>
          <w:bCs/>
          <w:i/>
          <w:iCs/>
        </w:rPr>
        <w:t>Rising Education Costs in India: A Theoretical Framework</w:t>
      </w:r>
    </w:p>
    <w:p w14:paraId="2E9628DD" w14:textId="0A1C59DD" w:rsidR="00175AC5" w:rsidRPr="00175AC5" w:rsidRDefault="00175AC5" w:rsidP="00902CF1">
      <w:pPr>
        <w:pStyle w:val="pb-2"/>
        <w:spacing w:before="0" w:beforeAutospacing="0" w:after="0" w:afterAutospacing="0" w:line="480" w:lineRule="auto"/>
        <w:jc w:val="both"/>
        <w:rPr>
          <w:rFonts w:asciiTheme="minorHAnsi" w:hAnsiTheme="minorHAnsi" w:cstheme="minorHAnsi"/>
          <w:b/>
          <w:bCs/>
          <w:u w:val="single"/>
        </w:rPr>
      </w:pPr>
      <w:r w:rsidRPr="00175AC5">
        <w:rPr>
          <w:rFonts w:asciiTheme="minorHAnsi" w:hAnsiTheme="minorHAnsi" w:cstheme="minorHAnsi"/>
          <w:b/>
          <w:bCs/>
          <w:u w:val="single"/>
        </w:rPr>
        <w:t>Human Capital Theory</w:t>
      </w:r>
    </w:p>
    <w:p w14:paraId="0E94E3F4" w14:textId="19DA8F75" w:rsidR="00175AC5" w:rsidRDefault="00175AC5" w:rsidP="00902CF1">
      <w:pPr>
        <w:pStyle w:val="pb-2"/>
        <w:spacing w:before="0" w:beforeAutospacing="0" w:after="0" w:afterAutospacing="0" w:line="480" w:lineRule="auto"/>
        <w:jc w:val="both"/>
        <w:rPr>
          <w:rFonts w:asciiTheme="minorHAnsi" w:hAnsiTheme="minorHAnsi" w:cstheme="minorHAnsi"/>
        </w:rPr>
      </w:pPr>
      <w:r w:rsidRPr="00175AC5">
        <w:rPr>
          <w:rFonts w:asciiTheme="minorHAnsi" w:hAnsiTheme="minorHAnsi" w:cstheme="minorHAnsi"/>
          <w:noProof/>
        </w:rPr>
        <w:t xml:space="preserve">Kukreja, (2018)stated that </w:t>
      </w:r>
      <w:r w:rsidRPr="00175AC5">
        <w:rPr>
          <w:rFonts w:asciiTheme="minorHAnsi" w:hAnsiTheme="minorHAnsi" w:cstheme="minorHAnsi"/>
        </w:rPr>
        <w:t xml:space="preserve">The Human Capital Theory suggests that training and schooling are tremendous members to economic success. As a result of schooling, talents development, and education, people are higher geared up to make a contribution to monetary boom and societal development. Human Capital Theory indicates that nice schooling performs a vital function in shaping the prospects of people, specifically those from lower-income backgrounds, given the rising expenses of training in India. In contrast, the growing price of training may additionally save lower-earnings people from amassing human capital, perpetuating socioeconomic disparities. </w:t>
      </w:r>
      <w:r w:rsidRPr="00175AC5">
        <w:rPr>
          <w:rFonts w:asciiTheme="minorHAnsi" w:hAnsiTheme="minorHAnsi" w:cstheme="minorHAnsi"/>
        </w:rPr>
        <w:lastRenderedPageBreak/>
        <w:t>Therefore, knowledge the results of growing training prices thru the lens of Human Capital Theory is critical to addressing the demanding situations faced by way of marginalized groups.</w:t>
      </w:r>
    </w:p>
    <w:p w14:paraId="05DEF11A" w14:textId="77777777" w:rsidR="00175AC5" w:rsidRPr="00175AC5" w:rsidRDefault="00175AC5" w:rsidP="00175AC5">
      <w:pPr>
        <w:pStyle w:val="pb-2"/>
        <w:rPr>
          <w:rFonts w:asciiTheme="minorHAnsi" w:hAnsiTheme="minorHAnsi" w:cstheme="minorHAnsi"/>
          <w:b/>
          <w:bCs/>
          <w:u w:val="single"/>
        </w:rPr>
      </w:pPr>
      <w:r w:rsidRPr="00175AC5">
        <w:rPr>
          <w:rFonts w:asciiTheme="minorHAnsi" w:hAnsiTheme="minorHAnsi" w:cstheme="minorHAnsi"/>
          <w:b/>
          <w:bCs/>
          <w:u w:val="single"/>
        </w:rPr>
        <w:t>Capability Approach Theory</w:t>
      </w:r>
    </w:p>
    <w:p w14:paraId="5B4FC78B" w14:textId="60262D2E" w:rsidR="00175AC5" w:rsidRPr="00175AC5" w:rsidRDefault="00175AC5" w:rsidP="00175AC5">
      <w:pPr>
        <w:pStyle w:val="pb-2"/>
        <w:spacing w:line="480" w:lineRule="auto"/>
        <w:jc w:val="both"/>
        <w:rPr>
          <w:rFonts w:asciiTheme="minorHAnsi" w:hAnsiTheme="minorHAnsi" w:cstheme="minorHAnsi"/>
        </w:rPr>
      </w:pPr>
      <w:r w:rsidRPr="00175AC5">
        <w:rPr>
          <w:rFonts w:asciiTheme="minorHAnsi" w:hAnsiTheme="minorHAnsi" w:cstheme="minorHAnsi"/>
        </w:rPr>
        <w:t xml:space="preserve">As per </w:t>
      </w:r>
      <w:r w:rsidRPr="00175AC5">
        <w:rPr>
          <w:rFonts w:asciiTheme="minorHAnsi" w:hAnsiTheme="minorHAnsi" w:cstheme="minorHAnsi"/>
          <w:noProof/>
        </w:rPr>
        <w:t>Murray, (2024)</w:t>
      </w:r>
      <w:r w:rsidRPr="00175AC5">
        <w:rPr>
          <w:rFonts w:asciiTheme="minorHAnsi" w:hAnsiTheme="minorHAnsi" w:cstheme="minorHAnsi"/>
        </w:rPr>
        <w:t xml:space="preserve"> Amartya Sen and Martha Nussbaum developed the Capability Approach to have a look at human improvement and properly-being. In assessment to traditional monetary theories, which emphasize fabric wealth and profits as signs of welfare, the Capability Approach emphasizes individuals' capacities to live pleasant lives. The Capability Approach emphasizes the significance of assessing no longer simply get admission to training, however the major freedoms and possibilities it allows. It entails selecting educational paths that meet one's aspirations, developing critical questioning abilities, engaging in meaningful social interactions, and in the end main a flourishing life. The Capability Approach consequently calls for assessing how escalating education prices may also limit individuals' talents and constrain their opportunities for human flourishing in India. Rather than surely thinking about training as an input for economic productivity, the Capability Approach presents a framework for expertise how growing training costs affect people' nicely-being and general improvement.</w:t>
      </w:r>
    </w:p>
    <w:p w14:paraId="75C0E42B" w14:textId="684286BD" w:rsidR="005344C4" w:rsidRPr="00902CF1" w:rsidRDefault="005344C4" w:rsidP="00902CF1">
      <w:pPr>
        <w:pStyle w:val="Heading1"/>
        <w:spacing w:before="0"/>
        <w:rPr>
          <w:b/>
          <w:bCs/>
        </w:rPr>
      </w:pPr>
      <w:r w:rsidRPr="00902CF1">
        <w:rPr>
          <w:b/>
          <w:bCs/>
        </w:rPr>
        <w:t>Research Methodology</w:t>
      </w:r>
    </w:p>
    <w:p w14:paraId="6D7974DD" w14:textId="202A32D6" w:rsidR="004B6724" w:rsidRPr="004B6724" w:rsidRDefault="004B6724" w:rsidP="00902CF1">
      <w:pPr>
        <w:pStyle w:val="pb-2"/>
        <w:spacing w:before="0" w:beforeAutospacing="0" w:after="0" w:afterAutospacing="0" w:line="480" w:lineRule="auto"/>
        <w:jc w:val="both"/>
        <w:rPr>
          <w:rFonts w:asciiTheme="minorHAnsi" w:hAnsiTheme="minorHAnsi" w:cstheme="minorHAnsi"/>
          <w:b/>
          <w:bCs/>
        </w:rPr>
      </w:pPr>
      <w:r w:rsidRPr="004B6724">
        <w:rPr>
          <w:rFonts w:asciiTheme="minorHAnsi" w:hAnsiTheme="minorHAnsi" w:cstheme="minorHAnsi"/>
          <w:b/>
          <w:bCs/>
        </w:rPr>
        <w:t>Research Design</w:t>
      </w:r>
    </w:p>
    <w:p w14:paraId="3919C9EB" w14:textId="0ECC3F9C" w:rsidR="004B6724" w:rsidRPr="004B6724" w:rsidRDefault="000F2868" w:rsidP="00902CF1">
      <w:pPr>
        <w:pStyle w:val="pb-2"/>
        <w:spacing w:before="0" w:beforeAutospacing="0" w:after="0" w:afterAutospacing="0" w:line="480" w:lineRule="auto"/>
        <w:jc w:val="both"/>
        <w:rPr>
          <w:rFonts w:asciiTheme="minorHAnsi" w:hAnsiTheme="minorHAnsi" w:cstheme="minorHAnsi"/>
        </w:rPr>
      </w:pPr>
      <w:r>
        <w:rPr>
          <w:rFonts w:asciiTheme="minorHAnsi" w:hAnsiTheme="minorHAnsi" w:cstheme="minorHAnsi"/>
        </w:rPr>
        <w:t xml:space="preserve">The study will </w:t>
      </w:r>
      <w:r w:rsidR="00902CF1">
        <w:rPr>
          <w:rFonts w:asciiTheme="minorHAnsi" w:hAnsiTheme="minorHAnsi" w:cstheme="minorHAnsi"/>
        </w:rPr>
        <w:t>be based</w:t>
      </w:r>
      <w:r>
        <w:rPr>
          <w:rFonts w:asciiTheme="minorHAnsi" w:hAnsiTheme="minorHAnsi" w:cstheme="minorHAnsi"/>
        </w:rPr>
        <w:t xml:space="preserve"> on Descriptive Research </w:t>
      </w:r>
      <w:r w:rsidR="00902CF1">
        <w:rPr>
          <w:rFonts w:asciiTheme="minorHAnsi" w:hAnsiTheme="minorHAnsi" w:cstheme="minorHAnsi"/>
        </w:rPr>
        <w:t>Design.</w:t>
      </w:r>
      <w:r w:rsidR="00902CF1" w:rsidRPr="004B6724">
        <w:rPr>
          <w:rFonts w:asciiTheme="minorHAnsi" w:hAnsiTheme="minorHAnsi" w:cstheme="minorHAnsi"/>
        </w:rPr>
        <w:t xml:space="preserve"> An</w:t>
      </w:r>
      <w:r w:rsidR="004B6724" w:rsidRPr="004B6724">
        <w:rPr>
          <w:rFonts w:asciiTheme="minorHAnsi" w:hAnsiTheme="minorHAnsi" w:cstheme="minorHAnsi"/>
        </w:rPr>
        <w:t xml:space="preserve"> evaluation of present-day academic training prices in India </w:t>
      </w:r>
      <w:r>
        <w:rPr>
          <w:rFonts w:asciiTheme="minorHAnsi" w:hAnsiTheme="minorHAnsi" w:cstheme="minorHAnsi"/>
        </w:rPr>
        <w:t>will</w:t>
      </w:r>
      <w:r w:rsidR="004B6724" w:rsidRPr="004B6724">
        <w:rPr>
          <w:rFonts w:asciiTheme="minorHAnsi" w:hAnsiTheme="minorHAnsi" w:cstheme="minorHAnsi"/>
        </w:rPr>
        <w:t xml:space="preserve"> be conducted using a </w:t>
      </w:r>
      <w:r>
        <w:rPr>
          <w:rFonts w:asciiTheme="minorHAnsi" w:hAnsiTheme="minorHAnsi" w:cstheme="minorHAnsi"/>
        </w:rPr>
        <w:t>D</w:t>
      </w:r>
      <w:r w:rsidR="004B6724" w:rsidRPr="004B6724">
        <w:rPr>
          <w:rFonts w:asciiTheme="minorHAnsi" w:hAnsiTheme="minorHAnsi" w:cstheme="minorHAnsi"/>
        </w:rPr>
        <w:t xml:space="preserve">escriptive </w:t>
      </w:r>
      <w:r>
        <w:rPr>
          <w:rFonts w:asciiTheme="minorHAnsi" w:hAnsiTheme="minorHAnsi" w:cstheme="minorHAnsi"/>
        </w:rPr>
        <w:t>R</w:t>
      </w:r>
      <w:r w:rsidR="004B6724" w:rsidRPr="004B6724">
        <w:rPr>
          <w:rFonts w:asciiTheme="minorHAnsi" w:hAnsiTheme="minorHAnsi" w:cstheme="minorHAnsi"/>
        </w:rPr>
        <w:t xml:space="preserve">esearch layout to discover socioeconomic factors affecting get admission to training amongst people from lower income backgrounds. As the research goal is to recognize developments and styles within existing information, descriptive research is selected. With this design, marginalized populations can </w:t>
      </w:r>
      <w:r w:rsidR="004B6724" w:rsidRPr="004B6724">
        <w:rPr>
          <w:rFonts w:asciiTheme="minorHAnsi" w:hAnsiTheme="minorHAnsi" w:cstheme="minorHAnsi"/>
        </w:rPr>
        <w:lastRenderedPageBreak/>
        <w:t>discover the effect of rising education expenses and secondary statistics sources may be successfully accessed, ensuring time and useful resource efficiency</w:t>
      </w:r>
      <w:sdt>
        <w:sdtPr>
          <w:rPr>
            <w:rFonts w:asciiTheme="minorHAnsi" w:hAnsiTheme="minorHAnsi" w:cstheme="minorHAnsi"/>
          </w:rPr>
          <w:id w:val="593593004"/>
          <w:citation/>
        </w:sdtPr>
        <w:sdtEndPr/>
        <w:sdtContent>
          <w:r>
            <w:rPr>
              <w:rFonts w:asciiTheme="minorHAnsi" w:hAnsiTheme="minorHAnsi" w:cstheme="minorHAnsi"/>
            </w:rPr>
            <w:fldChar w:fldCharType="begin"/>
          </w:r>
          <w:r>
            <w:rPr>
              <w:rFonts w:asciiTheme="minorHAnsi" w:hAnsiTheme="minorHAnsi" w:cstheme="minorHAnsi"/>
            </w:rPr>
            <w:instrText xml:space="preserve"> CITATION Rak191 \l 1033 </w:instrText>
          </w:r>
          <w:r>
            <w:rPr>
              <w:rFonts w:asciiTheme="minorHAnsi" w:hAnsiTheme="minorHAnsi" w:cstheme="minorHAnsi"/>
            </w:rPr>
            <w:fldChar w:fldCharType="separate"/>
          </w:r>
          <w:r>
            <w:rPr>
              <w:rFonts w:asciiTheme="minorHAnsi" w:hAnsiTheme="minorHAnsi" w:cstheme="minorHAnsi"/>
              <w:noProof/>
            </w:rPr>
            <w:t xml:space="preserve"> </w:t>
          </w:r>
          <w:r w:rsidRPr="000F2868">
            <w:rPr>
              <w:rFonts w:asciiTheme="minorHAnsi" w:hAnsiTheme="minorHAnsi" w:cstheme="minorHAnsi"/>
              <w:noProof/>
            </w:rPr>
            <w:t>(Aggarwal &amp; Ranganathan, 2019)</w:t>
          </w:r>
          <w:r>
            <w:rPr>
              <w:rFonts w:asciiTheme="minorHAnsi" w:hAnsiTheme="minorHAnsi" w:cstheme="minorHAnsi"/>
            </w:rPr>
            <w:fldChar w:fldCharType="end"/>
          </w:r>
        </w:sdtContent>
      </w:sdt>
      <w:r>
        <w:rPr>
          <w:rFonts w:asciiTheme="minorHAnsi" w:hAnsiTheme="minorHAnsi" w:cstheme="minorHAnsi"/>
        </w:rPr>
        <w:t>.</w:t>
      </w:r>
    </w:p>
    <w:p w14:paraId="13665678" w14:textId="77777777" w:rsidR="00175AC5" w:rsidRDefault="004B6724" w:rsidP="00175AC5">
      <w:pPr>
        <w:pStyle w:val="pb-2"/>
        <w:spacing w:before="0" w:beforeAutospacing="0" w:after="0" w:afterAutospacing="0" w:line="480" w:lineRule="auto"/>
        <w:jc w:val="both"/>
        <w:rPr>
          <w:rFonts w:asciiTheme="minorHAnsi" w:hAnsiTheme="minorHAnsi" w:cstheme="minorHAnsi"/>
          <w:b/>
          <w:bCs/>
        </w:rPr>
      </w:pPr>
      <w:r w:rsidRPr="000F2868">
        <w:rPr>
          <w:rFonts w:asciiTheme="minorHAnsi" w:hAnsiTheme="minorHAnsi" w:cstheme="minorHAnsi"/>
          <w:b/>
          <w:bCs/>
        </w:rPr>
        <w:t>Research Approach</w:t>
      </w:r>
    </w:p>
    <w:p w14:paraId="081C8C7C" w14:textId="0E0EAA6D" w:rsidR="004B6724" w:rsidRPr="00175AC5" w:rsidRDefault="000F2868" w:rsidP="00175AC5">
      <w:pPr>
        <w:pStyle w:val="pb-2"/>
        <w:spacing w:before="0" w:beforeAutospacing="0" w:after="0" w:afterAutospacing="0" w:line="480" w:lineRule="auto"/>
        <w:jc w:val="both"/>
        <w:rPr>
          <w:rFonts w:asciiTheme="minorHAnsi" w:hAnsiTheme="minorHAnsi" w:cstheme="minorHAnsi"/>
          <w:b/>
          <w:bCs/>
        </w:rPr>
      </w:pPr>
      <w:r w:rsidRPr="00175AC5">
        <w:rPr>
          <w:rFonts w:asciiTheme="minorHAnsi" w:hAnsiTheme="minorHAnsi" w:cstheme="minorHAnsi"/>
        </w:rPr>
        <w:t xml:space="preserve">The study will used Mixed Research </w:t>
      </w:r>
      <w:r w:rsidR="00902CF1" w:rsidRPr="00175AC5">
        <w:rPr>
          <w:rFonts w:asciiTheme="minorHAnsi" w:hAnsiTheme="minorHAnsi" w:cstheme="minorHAnsi"/>
        </w:rPr>
        <w:t>approach. In</w:t>
      </w:r>
      <w:r w:rsidR="004B6724" w:rsidRPr="00175AC5">
        <w:rPr>
          <w:rFonts w:asciiTheme="minorHAnsi" w:hAnsiTheme="minorHAnsi" w:cstheme="minorHAnsi"/>
        </w:rPr>
        <w:t xml:space="preserve"> order to provide a complete knowledge of the impact of growing training expenses on individuals from lower-income backgrounds in India, the present have a look at will integrate quantitative and qualitative techniques</w:t>
      </w:r>
      <w:sdt>
        <w:sdtPr>
          <w:rPr>
            <w:rFonts w:asciiTheme="minorHAnsi" w:hAnsiTheme="minorHAnsi" w:cstheme="minorHAnsi"/>
          </w:rPr>
          <w:id w:val="1078950312"/>
          <w:citation/>
        </w:sdtPr>
        <w:sdtEndPr/>
        <w:sdtContent>
          <w:r w:rsidRPr="00175AC5">
            <w:rPr>
              <w:rFonts w:asciiTheme="minorHAnsi" w:hAnsiTheme="minorHAnsi" w:cstheme="minorHAnsi"/>
            </w:rPr>
            <w:fldChar w:fldCharType="begin"/>
          </w:r>
          <w:r w:rsidRPr="00175AC5">
            <w:rPr>
              <w:rFonts w:asciiTheme="minorHAnsi" w:hAnsiTheme="minorHAnsi" w:cstheme="minorHAnsi"/>
            </w:rPr>
            <w:instrText xml:space="preserve"> CITATION Sha22 \l 1033 </w:instrText>
          </w:r>
          <w:r w:rsidRPr="00175AC5">
            <w:rPr>
              <w:rFonts w:asciiTheme="minorHAnsi" w:hAnsiTheme="minorHAnsi" w:cstheme="minorHAnsi"/>
            </w:rPr>
            <w:fldChar w:fldCharType="separate"/>
          </w:r>
          <w:r w:rsidRPr="00175AC5">
            <w:rPr>
              <w:rFonts w:asciiTheme="minorHAnsi" w:hAnsiTheme="minorHAnsi" w:cstheme="minorHAnsi"/>
              <w:noProof/>
            </w:rPr>
            <w:t xml:space="preserve"> (Wasti &amp; Simkhada, 2022)</w:t>
          </w:r>
          <w:r w:rsidRPr="00175AC5">
            <w:rPr>
              <w:rFonts w:asciiTheme="minorHAnsi" w:hAnsiTheme="minorHAnsi" w:cstheme="minorHAnsi"/>
            </w:rPr>
            <w:fldChar w:fldCharType="end"/>
          </w:r>
        </w:sdtContent>
      </w:sdt>
      <w:r w:rsidRPr="00175AC5">
        <w:rPr>
          <w:rFonts w:asciiTheme="minorHAnsi" w:hAnsiTheme="minorHAnsi" w:cstheme="minorHAnsi"/>
        </w:rPr>
        <w:t>.</w:t>
      </w:r>
      <w:r w:rsidR="004B6724" w:rsidRPr="00175AC5">
        <w:rPr>
          <w:rFonts w:asciiTheme="minorHAnsi" w:hAnsiTheme="minorHAnsi" w:cstheme="minorHAnsi"/>
        </w:rPr>
        <w:t xml:space="preserve"> Existing secondary facts on educational training costs and socioeconomic factors could be analyzed quantitatively, allowing the identity of traits and styles. Furthermore, qualitative methods together with </w:t>
      </w:r>
      <w:r w:rsidRPr="00175AC5">
        <w:rPr>
          <w:rFonts w:asciiTheme="minorHAnsi" w:hAnsiTheme="minorHAnsi" w:cstheme="minorHAnsi"/>
        </w:rPr>
        <w:t>already</w:t>
      </w:r>
      <w:r w:rsidR="004B6724" w:rsidRPr="00175AC5">
        <w:rPr>
          <w:rFonts w:asciiTheme="minorHAnsi" w:hAnsiTheme="minorHAnsi" w:cstheme="minorHAnsi"/>
        </w:rPr>
        <w:t xml:space="preserve"> conducted surveys and case studies can be used to benefit insights into the lived stories and perspectives of people facing financial boundaries to education. </w:t>
      </w:r>
      <w:r w:rsidR="00175AC5" w:rsidRPr="00175AC5">
        <w:rPr>
          <w:rFonts w:asciiTheme="minorHAnsi" w:hAnsiTheme="minorHAnsi" w:cstheme="minorHAnsi"/>
        </w:rPr>
        <w:t>The study will examine secondary facts on academic education fees and socioeconomic elements for the quantitative component. In order to observe the quantitative aspects of the research subject matter, statistical analyses could be performed to show traits, patterns, and correlations within the statistics. This</w:t>
      </w:r>
      <w:r w:rsidR="004B6724" w:rsidRPr="00175AC5">
        <w:rPr>
          <w:rFonts w:asciiTheme="minorHAnsi" w:hAnsiTheme="minorHAnsi" w:cstheme="minorHAnsi"/>
        </w:rPr>
        <w:t xml:space="preserve"> combined research approach integrates quantitative and qualitative data with a view to offer a nuanced understanding of the demanding situations and possibilities related to instructional get admission to and affordability for marginalized populations.</w:t>
      </w:r>
    </w:p>
    <w:p w14:paraId="1AF4ECFF" w14:textId="768C9CF8" w:rsidR="004B6724" w:rsidRPr="000F2868" w:rsidRDefault="004B6724" w:rsidP="00902CF1">
      <w:pPr>
        <w:pStyle w:val="pb-2"/>
        <w:spacing w:before="0" w:beforeAutospacing="0" w:after="0" w:afterAutospacing="0" w:line="480" w:lineRule="auto"/>
        <w:jc w:val="both"/>
        <w:rPr>
          <w:rFonts w:asciiTheme="minorHAnsi" w:hAnsiTheme="minorHAnsi" w:cstheme="minorHAnsi"/>
          <w:b/>
          <w:bCs/>
        </w:rPr>
      </w:pPr>
      <w:r w:rsidRPr="000F2868">
        <w:rPr>
          <w:rFonts w:asciiTheme="minorHAnsi" w:hAnsiTheme="minorHAnsi" w:cstheme="minorHAnsi"/>
          <w:b/>
          <w:bCs/>
        </w:rPr>
        <w:t>Data Collection</w:t>
      </w:r>
    </w:p>
    <w:p w14:paraId="0AD7081B" w14:textId="0AABC6E4" w:rsidR="004B6724" w:rsidRPr="004B6724" w:rsidRDefault="000F2868" w:rsidP="00902CF1">
      <w:pPr>
        <w:pStyle w:val="pb-2"/>
        <w:spacing w:before="0" w:beforeAutospacing="0" w:after="0" w:afterAutospacing="0" w:line="480" w:lineRule="auto"/>
        <w:jc w:val="both"/>
        <w:rPr>
          <w:rFonts w:asciiTheme="minorHAnsi" w:hAnsiTheme="minorHAnsi" w:cstheme="minorHAnsi"/>
        </w:rPr>
      </w:pPr>
      <w:r>
        <w:rPr>
          <w:rFonts w:asciiTheme="minorHAnsi" w:hAnsiTheme="minorHAnsi" w:cstheme="minorHAnsi"/>
        </w:rPr>
        <w:t xml:space="preserve">Secondary </w:t>
      </w:r>
      <w:r w:rsidR="00902CF1">
        <w:rPr>
          <w:rFonts w:asciiTheme="minorHAnsi" w:hAnsiTheme="minorHAnsi" w:cstheme="minorHAnsi"/>
        </w:rPr>
        <w:t>method</w:t>
      </w:r>
      <w:r>
        <w:rPr>
          <w:rFonts w:asciiTheme="minorHAnsi" w:hAnsiTheme="minorHAnsi" w:cstheme="minorHAnsi"/>
        </w:rPr>
        <w:t xml:space="preserve"> of data collection will be used to conduct this </w:t>
      </w:r>
      <w:r w:rsidR="00902CF1">
        <w:rPr>
          <w:rFonts w:asciiTheme="minorHAnsi" w:hAnsiTheme="minorHAnsi" w:cstheme="minorHAnsi"/>
        </w:rPr>
        <w:t>study. The</w:t>
      </w:r>
      <w:r>
        <w:rPr>
          <w:rFonts w:asciiTheme="minorHAnsi" w:hAnsiTheme="minorHAnsi" w:cstheme="minorHAnsi"/>
        </w:rPr>
        <w:t xml:space="preserve"> data will be obtained by </w:t>
      </w:r>
      <w:r w:rsidR="00902CF1">
        <w:rPr>
          <w:rFonts w:asciiTheme="minorHAnsi" w:hAnsiTheme="minorHAnsi" w:cstheme="minorHAnsi"/>
        </w:rPr>
        <w:t xml:space="preserve">using </w:t>
      </w:r>
      <w:r w:rsidR="00902CF1" w:rsidRPr="004B6724">
        <w:rPr>
          <w:rFonts w:asciiTheme="minorHAnsi" w:hAnsiTheme="minorHAnsi" w:cstheme="minorHAnsi"/>
        </w:rPr>
        <w:t>Scholar</w:t>
      </w:r>
      <w:r>
        <w:rPr>
          <w:rFonts w:asciiTheme="minorHAnsi" w:hAnsiTheme="minorHAnsi" w:cstheme="minorHAnsi"/>
        </w:rPr>
        <w:t xml:space="preserve"> </w:t>
      </w:r>
      <w:r w:rsidR="004B6724" w:rsidRPr="004B6724">
        <w:rPr>
          <w:rFonts w:asciiTheme="minorHAnsi" w:hAnsiTheme="minorHAnsi" w:cstheme="minorHAnsi"/>
        </w:rPr>
        <w:t xml:space="preserve">reviews, academic journals, and databases. In order to benefit get admission to a huge variety of relevant statistics approximately educational training expenses and socioeconomic elements in India, this method is selected for its fee-effectiveness and efficiency. </w:t>
      </w:r>
      <w:r w:rsidR="004B6724" w:rsidRPr="004B6724">
        <w:rPr>
          <w:rFonts w:asciiTheme="minorHAnsi" w:hAnsiTheme="minorHAnsi" w:cstheme="minorHAnsi"/>
        </w:rPr>
        <w:lastRenderedPageBreak/>
        <w:t>Secondary facts resources provide a wealth of historical and present-day records, making an allowance for complete evaluation of traits and styles. Using secondary facts allows this look at to cope with the studies objectives correctly and provide treasured insight into the effect of the rising fee of instructional schooling on decrease-income people in India.</w:t>
      </w:r>
    </w:p>
    <w:p w14:paraId="3625B319" w14:textId="12BDDCE8" w:rsidR="004B6724" w:rsidRPr="000F2868" w:rsidRDefault="004B6724" w:rsidP="00902CF1">
      <w:pPr>
        <w:pStyle w:val="pb-2"/>
        <w:spacing w:before="0" w:beforeAutospacing="0" w:after="0" w:afterAutospacing="0" w:line="480" w:lineRule="auto"/>
        <w:jc w:val="both"/>
        <w:rPr>
          <w:rFonts w:asciiTheme="minorHAnsi" w:hAnsiTheme="minorHAnsi" w:cstheme="minorHAnsi"/>
          <w:b/>
          <w:bCs/>
        </w:rPr>
      </w:pPr>
      <w:r w:rsidRPr="000F2868">
        <w:rPr>
          <w:rFonts w:asciiTheme="minorHAnsi" w:hAnsiTheme="minorHAnsi" w:cstheme="minorHAnsi"/>
          <w:b/>
          <w:bCs/>
        </w:rPr>
        <w:t>Data Analysis</w:t>
      </w:r>
    </w:p>
    <w:p w14:paraId="0D36BF29" w14:textId="216E721B" w:rsidR="004B6724" w:rsidRPr="004B6724" w:rsidRDefault="000F2868" w:rsidP="00902CF1">
      <w:pPr>
        <w:pStyle w:val="pb-2"/>
        <w:spacing w:before="0" w:beforeAutospacing="0" w:after="0" w:afterAutospacing="0" w:line="480" w:lineRule="auto"/>
        <w:jc w:val="both"/>
        <w:rPr>
          <w:rFonts w:asciiTheme="minorHAnsi" w:hAnsiTheme="minorHAnsi" w:cstheme="minorHAnsi"/>
        </w:rPr>
      </w:pPr>
      <w:r>
        <w:rPr>
          <w:rFonts w:asciiTheme="minorHAnsi" w:hAnsiTheme="minorHAnsi" w:cstheme="minorHAnsi"/>
        </w:rPr>
        <w:t xml:space="preserve">Thematic Analysis will be used to analyzed the data collected from secondary </w:t>
      </w:r>
      <w:r w:rsidR="00902CF1">
        <w:rPr>
          <w:rFonts w:asciiTheme="minorHAnsi" w:hAnsiTheme="minorHAnsi" w:cstheme="minorHAnsi"/>
        </w:rPr>
        <w:t>sources.</w:t>
      </w:r>
      <w:r w:rsidR="00902CF1" w:rsidRPr="004B6724">
        <w:rPr>
          <w:rFonts w:asciiTheme="minorHAnsi" w:hAnsiTheme="minorHAnsi" w:cstheme="minorHAnsi"/>
        </w:rPr>
        <w:t xml:space="preserve"> In</w:t>
      </w:r>
      <w:r w:rsidR="004B6724" w:rsidRPr="004B6724">
        <w:rPr>
          <w:rFonts w:asciiTheme="minorHAnsi" w:hAnsiTheme="minorHAnsi" w:cstheme="minorHAnsi"/>
        </w:rPr>
        <w:t xml:space="preserve"> thematic evaluation, patterns, subject matters, and developments </w:t>
      </w:r>
      <w:r w:rsidR="00902CF1">
        <w:rPr>
          <w:rFonts w:asciiTheme="minorHAnsi" w:hAnsiTheme="minorHAnsi" w:cstheme="minorHAnsi"/>
        </w:rPr>
        <w:t>will</w:t>
      </w:r>
      <w:r w:rsidR="004B6724" w:rsidRPr="004B6724">
        <w:rPr>
          <w:rFonts w:asciiTheme="minorHAnsi" w:hAnsiTheme="minorHAnsi" w:cstheme="minorHAnsi"/>
        </w:rPr>
        <w:t xml:space="preserve"> </w:t>
      </w:r>
      <w:r w:rsidR="00902CF1" w:rsidRPr="004B6724">
        <w:rPr>
          <w:rFonts w:asciiTheme="minorHAnsi" w:hAnsiTheme="minorHAnsi" w:cstheme="minorHAnsi"/>
        </w:rPr>
        <w:t>be identified</w:t>
      </w:r>
      <w:r w:rsidR="004B6724" w:rsidRPr="004B6724">
        <w:rPr>
          <w:rFonts w:asciiTheme="minorHAnsi" w:hAnsiTheme="minorHAnsi" w:cstheme="minorHAnsi"/>
        </w:rPr>
        <w:t xml:space="preserve"> by way of systematically coding and categorizing qualitative statistics</w:t>
      </w:r>
      <w:sdt>
        <w:sdtPr>
          <w:rPr>
            <w:rFonts w:asciiTheme="minorHAnsi" w:hAnsiTheme="minorHAnsi" w:cstheme="minorHAnsi"/>
          </w:rPr>
          <w:id w:val="1733039936"/>
          <w:citation/>
        </w:sdtPr>
        <w:sdtEndPr/>
        <w:sdtContent>
          <w:r>
            <w:rPr>
              <w:rFonts w:asciiTheme="minorHAnsi" w:hAnsiTheme="minorHAnsi" w:cstheme="minorHAnsi"/>
            </w:rPr>
            <w:fldChar w:fldCharType="begin"/>
          </w:r>
          <w:r>
            <w:rPr>
              <w:rFonts w:asciiTheme="minorHAnsi" w:hAnsiTheme="minorHAnsi" w:cstheme="minorHAnsi"/>
            </w:rPr>
            <w:instrText xml:space="preserve"> CITATION Lor17 \l 1033 </w:instrText>
          </w:r>
          <w:r>
            <w:rPr>
              <w:rFonts w:asciiTheme="minorHAnsi" w:hAnsiTheme="minorHAnsi" w:cstheme="minorHAnsi"/>
            </w:rPr>
            <w:fldChar w:fldCharType="separate"/>
          </w:r>
          <w:r>
            <w:rPr>
              <w:rFonts w:asciiTheme="minorHAnsi" w:hAnsiTheme="minorHAnsi" w:cstheme="minorHAnsi"/>
              <w:noProof/>
            </w:rPr>
            <w:t xml:space="preserve"> </w:t>
          </w:r>
          <w:r w:rsidRPr="000F2868">
            <w:rPr>
              <w:rFonts w:asciiTheme="minorHAnsi" w:hAnsiTheme="minorHAnsi" w:cstheme="minorHAnsi"/>
              <w:noProof/>
            </w:rPr>
            <w:t>(lnowel &amp; Jill M. Norris, 2017)</w:t>
          </w:r>
          <w:r>
            <w:rPr>
              <w:rFonts w:asciiTheme="minorHAnsi" w:hAnsiTheme="minorHAnsi" w:cstheme="minorHAnsi"/>
            </w:rPr>
            <w:fldChar w:fldCharType="end"/>
          </w:r>
        </w:sdtContent>
      </w:sdt>
      <w:r>
        <w:rPr>
          <w:rFonts w:asciiTheme="minorHAnsi" w:hAnsiTheme="minorHAnsi" w:cstheme="minorHAnsi"/>
        </w:rPr>
        <w:t>.</w:t>
      </w:r>
      <w:r w:rsidR="004B6724" w:rsidRPr="004B6724">
        <w:rPr>
          <w:rFonts w:asciiTheme="minorHAnsi" w:hAnsiTheme="minorHAnsi" w:cstheme="minorHAnsi"/>
        </w:rPr>
        <w:t xml:space="preserve"> This approach </w:t>
      </w:r>
      <w:r>
        <w:rPr>
          <w:rFonts w:asciiTheme="minorHAnsi" w:hAnsiTheme="minorHAnsi" w:cstheme="minorHAnsi"/>
        </w:rPr>
        <w:t>helps</w:t>
      </w:r>
      <w:r w:rsidR="004B6724" w:rsidRPr="004B6724">
        <w:rPr>
          <w:rFonts w:asciiTheme="minorHAnsi" w:hAnsiTheme="minorHAnsi" w:cstheme="minorHAnsi"/>
        </w:rPr>
        <w:t xml:space="preserve"> to discover key issues and problems associated with the impact of rising academic education costs on people from low-income backgrounds in India. In this observe, commonplace patterns in lived experiences, challenges, and views of people dealing with financial boundaries to training may be diagnosed and analyzed via thematic analysis. In addition to permitting a deep and nuanced exploration of qualitative statistics to find underlying issues and meanings, this methodological choice aligns with the research objective of know-how marginalized populations' challenges having access to and affording training.</w:t>
      </w:r>
    </w:p>
    <w:p w14:paraId="59D4263C" w14:textId="77777777" w:rsidR="000F2868" w:rsidRPr="00902CF1" w:rsidRDefault="000F2868" w:rsidP="000F2868">
      <w:pPr>
        <w:pStyle w:val="Heading3"/>
        <w:rPr>
          <w:b/>
          <w:bCs/>
          <w:color w:val="auto"/>
          <w:lang w:val="en-GB"/>
        </w:rPr>
      </w:pPr>
      <w:r w:rsidRPr="00902CF1">
        <w:rPr>
          <w:b/>
          <w:bCs/>
          <w:color w:val="auto"/>
          <w:lang w:val="en-GB"/>
        </w:rPr>
        <w:t>Time Horizon</w:t>
      </w:r>
    </w:p>
    <w:tbl>
      <w:tblPr>
        <w:tblW w:w="8775" w:type="dxa"/>
        <w:tblBorders>
          <w:top w:val="nil"/>
          <w:left w:val="nil"/>
          <w:bottom w:val="nil"/>
          <w:right w:val="nil"/>
          <w:insideH w:val="nil"/>
          <w:insideV w:val="nil"/>
        </w:tblBorders>
        <w:tblLayout w:type="fixed"/>
        <w:tblLook w:val="0600" w:firstRow="0" w:lastRow="0" w:firstColumn="0" w:lastColumn="0" w:noHBand="1" w:noVBand="1"/>
      </w:tblPr>
      <w:tblGrid>
        <w:gridCol w:w="2715"/>
        <w:gridCol w:w="435"/>
        <w:gridCol w:w="435"/>
        <w:gridCol w:w="435"/>
        <w:gridCol w:w="435"/>
        <w:gridCol w:w="435"/>
        <w:gridCol w:w="435"/>
        <w:gridCol w:w="435"/>
        <w:gridCol w:w="435"/>
        <w:gridCol w:w="435"/>
        <w:gridCol w:w="720"/>
        <w:gridCol w:w="705"/>
        <w:gridCol w:w="720"/>
      </w:tblGrid>
      <w:tr w:rsidR="00902CF1" w:rsidRPr="0031655D" w14:paraId="6A094091" w14:textId="77777777" w:rsidTr="00611AAF">
        <w:trPr>
          <w:trHeight w:val="315"/>
        </w:trPr>
        <w:tc>
          <w:tcPr>
            <w:tcW w:w="2715" w:type="dxa"/>
            <w:vMerge w:val="restart"/>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0E89169E" w14:textId="77777777" w:rsidR="00902CF1" w:rsidRPr="0031655D" w:rsidRDefault="00902CF1" w:rsidP="00611AAF">
            <w:pPr>
              <w:spacing w:after="0" w:line="480" w:lineRule="auto"/>
              <w:jc w:val="both"/>
              <w:rPr>
                <w:rFonts w:ascii="Times New Roman" w:hAnsi="Times New Roman" w:cs="Times New Roman"/>
                <w:b/>
                <w:sz w:val="24"/>
                <w:szCs w:val="24"/>
              </w:rPr>
            </w:pPr>
            <w:r w:rsidRPr="0031655D">
              <w:rPr>
                <w:rFonts w:ascii="Times New Roman" w:hAnsi="Times New Roman" w:cs="Times New Roman"/>
                <w:b/>
                <w:sz w:val="24"/>
                <w:szCs w:val="24"/>
              </w:rPr>
              <w:t>Action</w:t>
            </w:r>
          </w:p>
        </w:tc>
        <w:tc>
          <w:tcPr>
            <w:tcW w:w="6060" w:type="dxa"/>
            <w:gridSpan w:val="12"/>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3C357654" w14:textId="77777777" w:rsidR="00902CF1" w:rsidRPr="0031655D" w:rsidRDefault="00902CF1" w:rsidP="00611AAF">
            <w:pPr>
              <w:spacing w:after="0" w:line="480" w:lineRule="auto"/>
              <w:jc w:val="both"/>
              <w:rPr>
                <w:rFonts w:ascii="Times New Roman" w:hAnsi="Times New Roman" w:cs="Times New Roman"/>
                <w:b/>
                <w:sz w:val="24"/>
                <w:szCs w:val="24"/>
              </w:rPr>
            </w:pPr>
            <w:r w:rsidRPr="0031655D">
              <w:rPr>
                <w:rFonts w:ascii="Times New Roman" w:hAnsi="Times New Roman" w:cs="Times New Roman"/>
                <w:b/>
                <w:sz w:val="24"/>
                <w:szCs w:val="24"/>
              </w:rPr>
              <w:t>Weeks</w:t>
            </w:r>
          </w:p>
        </w:tc>
      </w:tr>
      <w:tr w:rsidR="00902CF1" w:rsidRPr="0031655D" w14:paraId="0887D473" w14:textId="77777777" w:rsidTr="00611AAF">
        <w:trPr>
          <w:trHeight w:val="315"/>
        </w:trPr>
        <w:tc>
          <w:tcPr>
            <w:tcW w:w="2715" w:type="dxa"/>
            <w:vMerge/>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FFEE286" w14:textId="77777777" w:rsidR="00902CF1" w:rsidRPr="0031655D" w:rsidRDefault="00902CF1" w:rsidP="00611AAF">
            <w:pPr>
              <w:spacing w:after="0" w:line="480" w:lineRule="auto"/>
              <w:jc w:val="both"/>
              <w:rPr>
                <w:rFonts w:ascii="Times New Roman" w:hAnsi="Times New Roman" w:cs="Times New Roman"/>
                <w:sz w:val="24"/>
                <w:szCs w:val="24"/>
              </w:rPr>
            </w:pP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70452570" w14:textId="77777777" w:rsidR="00902CF1" w:rsidRPr="0031655D" w:rsidRDefault="00902CF1" w:rsidP="00611AAF">
            <w:pPr>
              <w:spacing w:after="0" w:line="480" w:lineRule="auto"/>
              <w:jc w:val="both"/>
              <w:rPr>
                <w:rFonts w:ascii="Times New Roman" w:hAnsi="Times New Roman" w:cs="Times New Roman"/>
                <w:b/>
                <w:sz w:val="24"/>
                <w:szCs w:val="24"/>
              </w:rPr>
            </w:pPr>
            <w:r w:rsidRPr="0031655D">
              <w:rPr>
                <w:rFonts w:ascii="Times New Roman" w:hAnsi="Times New Roman" w:cs="Times New Roman"/>
                <w:b/>
                <w:sz w:val="24"/>
                <w:szCs w:val="24"/>
              </w:rPr>
              <w:t>1</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27BA3625" w14:textId="77777777" w:rsidR="00902CF1" w:rsidRPr="0031655D" w:rsidRDefault="00902CF1" w:rsidP="00611AAF">
            <w:pPr>
              <w:spacing w:after="0" w:line="480" w:lineRule="auto"/>
              <w:jc w:val="both"/>
              <w:rPr>
                <w:rFonts w:ascii="Times New Roman" w:hAnsi="Times New Roman" w:cs="Times New Roman"/>
                <w:b/>
                <w:sz w:val="24"/>
                <w:szCs w:val="24"/>
              </w:rPr>
            </w:pPr>
            <w:r w:rsidRPr="0031655D">
              <w:rPr>
                <w:rFonts w:ascii="Times New Roman" w:hAnsi="Times New Roman" w:cs="Times New Roman"/>
                <w:b/>
                <w:sz w:val="24"/>
                <w:szCs w:val="24"/>
              </w:rPr>
              <w:t>2</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2DBBF80B" w14:textId="77777777" w:rsidR="00902CF1" w:rsidRPr="0031655D" w:rsidRDefault="00902CF1" w:rsidP="00611AAF">
            <w:pPr>
              <w:spacing w:after="0" w:line="480" w:lineRule="auto"/>
              <w:jc w:val="both"/>
              <w:rPr>
                <w:rFonts w:ascii="Times New Roman" w:hAnsi="Times New Roman" w:cs="Times New Roman"/>
                <w:b/>
                <w:sz w:val="24"/>
                <w:szCs w:val="24"/>
              </w:rPr>
            </w:pPr>
            <w:r w:rsidRPr="0031655D">
              <w:rPr>
                <w:rFonts w:ascii="Times New Roman" w:hAnsi="Times New Roman" w:cs="Times New Roman"/>
                <w:b/>
                <w:sz w:val="24"/>
                <w:szCs w:val="24"/>
              </w:rPr>
              <w:t>3</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1F27863B" w14:textId="77777777" w:rsidR="00902CF1" w:rsidRPr="0031655D" w:rsidRDefault="00902CF1" w:rsidP="00611AAF">
            <w:pPr>
              <w:spacing w:after="0" w:line="480" w:lineRule="auto"/>
              <w:jc w:val="both"/>
              <w:rPr>
                <w:rFonts w:ascii="Times New Roman" w:hAnsi="Times New Roman" w:cs="Times New Roman"/>
                <w:b/>
                <w:sz w:val="24"/>
                <w:szCs w:val="24"/>
              </w:rPr>
            </w:pPr>
            <w:r w:rsidRPr="0031655D">
              <w:rPr>
                <w:rFonts w:ascii="Times New Roman" w:hAnsi="Times New Roman" w:cs="Times New Roman"/>
                <w:b/>
                <w:sz w:val="24"/>
                <w:szCs w:val="24"/>
              </w:rPr>
              <w:t>4</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4A553CCE" w14:textId="77777777" w:rsidR="00902CF1" w:rsidRPr="0031655D" w:rsidRDefault="00902CF1" w:rsidP="00611AAF">
            <w:pPr>
              <w:spacing w:after="0" w:line="480" w:lineRule="auto"/>
              <w:jc w:val="both"/>
              <w:rPr>
                <w:rFonts w:ascii="Times New Roman" w:hAnsi="Times New Roman" w:cs="Times New Roman"/>
                <w:b/>
                <w:sz w:val="24"/>
                <w:szCs w:val="24"/>
              </w:rPr>
            </w:pPr>
            <w:r w:rsidRPr="0031655D">
              <w:rPr>
                <w:rFonts w:ascii="Times New Roman" w:hAnsi="Times New Roman" w:cs="Times New Roman"/>
                <w:b/>
                <w:sz w:val="24"/>
                <w:szCs w:val="24"/>
              </w:rPr>
              <w:t>5</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430A8D97" w14:textId="77777777" w:rsidR="00902CF1" w:rsidRPr="0031655D" w:rsidRDefault="00902CF1" w:rsidP="00611AAF">
            <w:pPr>
              <w:spacing w:after="0" w:line="480" w:lineRule="auto"/>
              <w:jc w:val="both"/>
              <w:rPr>
                <w:rFonts w:ascii="Times New Roman" w:hAnsi="Times New Roman" w:cs="Times New Roman"/>
                <w:b/>
                <w:sz w:val="24"/>
                <w:szCs w:val="24"/>
              </w:rPr>
            </w:pPr>
            <w:r w:rsidRPr="0031655D">
              <w:rPr>
                <w:rFonts w:ascii="Times New Roman" w:hAnsi="Times New Roman" w:cs="Times New Roman"/>
                <w:b/>
                <w:sz w:val="24"/>
                <w:szCs w:val="24"/>
              </w:rPr>
              <w:t>6</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06E6C322" w14:textId="77777777" w:rsidR="00902CF1" w:rsidRPr="0031655D" w:rsidRDefault="00902CF1" w:rsidP="00611AAF">
            <w:pPr>
              <w:spacing w:after="0" w:line="480" w:lineRule="auto"/>
              <w:jc w:val="both"/>
              <w:rPr>
                <w:rFonts w:ascii="Times New Roman" w:hAnsi="Times New Roman" w:cs="Times New Roman"/>
                <w:b/>
                <w:sz w:val="24"/>
                <w:szCs w:val="24"/>
              </w:rPr>
            </w:pPr>
            <w:r w:rsidRPr="0031655D">
              <w:rPr>
                <w:rFonts w:ascii="Times New Roman" w:hAnsi="Times New Roman" w:cs="Times New Roman"/>
                <w:b/>
                <w:sz w:val="24"/>
                <w:szCs w:val="24"/>
              </w:rPr>
              <w:t>7</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5DD8AAB1" w14:textId="77777777" w:rsidR="00902CF1" w:rsidRPr="0031655D" w:rsidRDefault="00902CF1" w:rsidP="00611AAF">
            <w:pPr>
              <w:spacing w:after="0" w:line="480" w:lineRule="auto"/>
              <w:jc w:val="both"/>
              <w:rPr>
                <w:rFonts w:ascii="Times New Roman" w:hAnsi="Times New Roman" w:cs="Times New Roman"/>
                <w:b/>
                <w:sz w:val="24"/>
                <w:szCs w:val="24"/>
              </w:rPr>
            </w:pPr>
            <w:r w:rsidRPr="0031655D">
              <w:rPr>
                <w:rFonts w:ascii="Times New Roman" w:hAnsi="Times New Roman" w:cs="Times New Roman"/>
                <w:b/>
                <w:sz w:val="24"/>
                <w:szCs w:val="24"/>
              </w:rPr>
              <w:t>8</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5C19431B" w14:textId="77777777" w:rsidR="00902CF1" w:rsidRPr="0031655D" w:rsidRDefault="00902CF1" w:rsidP="00611AAF">
            <w:pPr>
              <w:spacing w:after="0" w:line="480" w:lineRule="auto"/>
              <w:jc w:val="both"/>
              <w:rPr>
                <w:rFonts w:ascii="Times New Roman" w:hAnsi="Times New Roman" w:cs="Times New Roman"/>
                <w:b/>
                <w:sz w:val="24"/>
                <w:szCs w:val="24"/>
              </w:rPr>
            </w:pPr>
            <w:r w:rsidRPr="0031655D">
              <w:rPr>
                <w:rFonts w:ascii="Times New Roman" w:hAnsi="Times New Roman" w:cs="Times New Roman"/>
                <w:b/>
                <w:sz w:val="24"/>
                <w:szCs w:val="24"/>
              </w:rPr>
              <w:t>9</w:t>
            </w:r>
          </w:p>
        </w:tc>
        <w:tc>
          <w:tcPr>
            <w:tcW w:w="72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503057D9" w14:textId="77777777" w:rsidR="00902CF1" w:rsidRPr="0031655D" w:rsidRDefault="00902CF1" w:rsidP="00611AAF">
            <w:pPr>
              <w:spacing w:after="0" w:line="480" w:lineRule="auto"/>
              <w:jc w:val="both"/>
              <w:rPr>
                <w:rFonts w:ascii="Times New Roman" w:hAnsi="Times New Roman" w:cs="Times New Roman"/>
                <w:b/>
                <w:sz w:val="24"/>
                <w:szCs w:val="24"/>
              </w:rPr>
            </w:pPr>
            <w:r w:rsidRPr="0031655D">
              <w:rPr>
                <w:rFonts w:ascii="Times New Roman" w:hAnsi="Times New Roman" w:cs="Times New Roman"/>
                <w:b/>
                <w:sz w:val="24"/>
                <w:szCs w:val="24"/>
              </w:rPr>
              <w:t>10</w:t>
            </w:r>
          </w:p>
        </w:tc>
        <w:tc>
          <w:tcPr>
            <w:tcW w:w="70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69A6EF07" w14:textId="77777777" w:rsidR="00902CF1" w:rsidRPr="0031655D" w:rsidRDefault="00902CF1" w:rsidP="00611AAF">
            <w:pPr>
              <w:spacing w:after="0" w:line="480" w:lineRule="auto"/>
              <w:jc w:val="both"/>
              <w:rPr>
                <w:rFonts w:ascii="Times New Roman" w:hAnsi="Times New Roman" w:cs="Times New Roman"/>
                <w:b/>
                <w:sz w:val="24"/>
                <w:szCs w:val="24"/>
              </w:rPr>
            </w:pPr>
            <w:r w:rsidRPr="0031655D">
              <w:rPr>
                <w:rFonts w:ascii="Times New Roman" w:hAnsi="Times New Roman" w:cs="Times New Roman"/>
                <w:b/>
                <w:sz w:val="24"/>
                <w:szCs w:val="24"/>
              </w:rPr>
              <w:t>11</w:t>
            </w:r>
          </w:p>
        </w:tc>
        <w:tc>
          <w:tcPr>
            <w:tcW w:w="72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442CDF85" w14:textId="77777777" w:rsidR="00902CF1" w:rsidRPr="0031655D" w:rsidRDefault="00902CF1" w:rsidP="00611AAF">
            <w:pPr>
              <w:spacing w:after="0" w:line="480" w:lineRule="auto"/>
              <w:jc w:val="both"/>
              <w:rPr>
                <w:rFonts w:ascii="Times New Roman" w:hAnsi="Times New Roman" w:cs="Times New Roman"/>
                <w:b/>
                <w:sz w:val="24"/>
                <w:szCs w:val="24"/>
              </w:rPr>
            </w:pPr>
            <w:r w:rsidRPr="0031655D">
              <w:rPr>
                <w:rFonts w:ascii="Times New Roman" w:hAnsi="Times New Roman" w:cs="Times New Roman"/>
                <w:b/>
                <w:sz w:val="24"/>
                <w:szCs w:val="24"/>
              </w:rPr>
              <w:t>12</w:t>
            </w:r>
          </w:p>
        </w:tc>
      </w:tr>
      <w:tr w:rsidR="00902CF1" w:rsidRPr="0031655D" w14:paraId="652A6F1B" w14:textId="77777777" w:rsidTr="00611AAF">
        <w:trPr>
          <w:trHeight w:val="315"/>
        </w:trPr>
        <w:tc>
          <w:tcPr>
            <w:tcW w:w="2715" w:type="dxa"/>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5DEDFF2A"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Initiates</w:t>
            </w:r>
          </w:p>
        </w:tc>
        <w:tc>
          <w:tcPr>
            <w:tcW w:w="435" w:type="dxa"/>
            <w:tcBorders>
              <w:top w:val="nil"/>
              <w:left w:val="nil"/>
              <w:bottom w:val="single" w:sz="8" w:space="0" w:color="000000"/>
              <w:right w:val="single" w:sz="8" w:space="0" w:color="000000"/>
            </w:tcBorders>
            <w:shd w:val="clear" w:color="auto" w:fill="FFFF00"/>
            <w:tcMar>
              <w:top w:w="0" w:type="dxa"/>
              <w:left w:w="100" w:type="dxa"/>
              <w:bottom w:w="0" w:type="dxa"/>
              <w:right w:w="100" w:type="dxa"/>
            </w:tcMar>
            <w:vAlign w:val="bottom"/>
          </w:tcPr>
          <w:p w14:paraId="0E62E1BA"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027A4C87"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28D6941C"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4AFCD170"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5FFB894E"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4FCF6A73"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633393F1"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4CBF8068"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69ADF949"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72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524147C0"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70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2D6A6F9C"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72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67488BDC"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r>
      <w:tr w:rsidR="00902CF1" w:rsidRPr="0031655D" w14:paraId="7638C5CE" w14:textId="77777777" w:rsidTr="00611AAF">
        <w:trPr>
          <w:trHeight w:val="315"/>
        </w:trPr>
        <w:tc>
          <w:tcPr>
            <w:tcW w:w="2715" w:type="dxa"/>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27F54623"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Planning</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079072B4"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435" w:type="dxa"/>
            <w:tcBorders>
              <w:top w:val="nil"/>
              <w:left w:val="nil"/>
              <w:bottom w:val="single" w:sz="8" w:space="0" w:color="000000"/>
              <w:right w:val="single" w:sz="8" w:space="0" w:color="000000"/>
            </w:tcBorders>
            <w:shd w:val="clear" w:color="auto" w:fill="806000"/>
            <w:tcMar>
              <w:top w:w="0" w:type="dxa"/>
              <w:left w:w="100" w:type="dxa"/>
              <w:bottom w:w="0" w:type="dxa"/>
              <w:right w:w="100" w:type="dxa"/>
            </w:tcMar>
            <w:vAlign w:val="bottom"/>
          </w:tcPr>
          <w:p w14:paraId="4B8D0987"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435" w:type="dxa"/>
            <w:tcBorders>
              <w:top w:val="nil"/>
              <w:left w:val="nil"/>
              <w:bottom w:val="single" w:sz="8" w:space="0" w:color="000000"/>
              <w:right w:val="single" w:sz="8" w:space="0" w:color="000000"/>
            </w:tcBorders>
            <w:shd w:val="clear" w:color="auto" w:fill="806000"/>
            <w:tcMar>
              <w:top w:w="0" w:type="dxa"/>
              <w:left w:w="100" w:type="dxa"/>
              <w:bottom w:w="0" w:type="dxa"/>
              <w:right w:w="100" w:type="dxa"/>
            </w:tcMar>
            <w:vAlign w:val="bottom"/>
          </w:tcPr>
          <w:p w14:paraId="7CB36B56"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0A29C6A5"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7FB659EA"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11A46C22"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6BD50D38"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67691860"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45D8FE9B"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72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30AC5115"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70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5DAF6520"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72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2CC755F1"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r>
      <w:tr w:rsidR="00902CF1" w:rsidRPr="0031655D" w14:paraId="06214E06" w14:textId="77777777" w:rsidTr="00611AAF">
        <w:trPr>
          <w:trHeight w:val="315"/>
        </w:trPr>
        <w:tc>
          <w:tcPr>
            <w:tcW w:w="2715" w:type="dxa"/>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7B096612"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Decision</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329DB2A8"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66DBA315"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130C447C"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435" w:type="dxa"/>
            <w:tcBorders>
              <w:top w:val="nil"/>
              <w:left w:val="nil"/>
              <w:bottom w:val="single" w:sz="8" w:space="0" w:color="000000"/>
              <w:right w:val="single" w:sz="8" w:space="0" w:color="000000"/>
            </w:tcBorders>
            <w:shd w:val="clear" w:color="auto" w:fill="0070C0"/>
            <w:tcMar>
              <w:top w:w="0" w:type="dxa"/>
              <w:left w:w="100" w:type="dxa"/>
              <w:bottom w:w="0" w:type="dxa"/>
              <w:right w:w="100" w:type="dxa"/>
            </w:tcMar>
            <w:vAlign w:val="bottom"/>
          </w:tcPr>
          <w:p w14:paraId="58ABF315"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579942A5"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2D9EA1DD"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39B460AB"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57ED619A"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48C636D9"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72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7732FDDE"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70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7A422215"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72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56228A52"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r>
      <w:tr w:rsidR="00902CF1" w:rsidRPr="0031655D" w14:paraId="72FCA8C2" w14:textId="77777777" w:rsidTr="00611AAF">
        <w:trPr>
          <w:trHeight w:val="315"/>
        </w:trPr>
        <w:tc>
          <w:tcPr>
            <w:tcW w:w="2715" w:type="dxa"/>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46BAF4AD"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Selection of methodology</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0D49690B"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544F7674"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07802778"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5A76EC93"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435" w:type="dxa"/>
            <w:tcBorders>
              <w:top w:val="nil"/>
              <w:left w:val="nil"/>
              <w:bottom w:val="single" w:sz="8" w:space="0" w:color="000000"/>
              <w:right w:val="single" w:sz="8" w:space="0" w:color="000000"/>
            </w:tcBorders>
            <w:shd w:val="clear" w:color="auto" w:fill="7030A0"/>
            <w:tcMar>
              <w:top w:w="0" w:type="dxa"/>
              <w:left w:w="100" w:type="dxa"/>
              <w:bottom w:w="0" w:type="dxa"/>
              <w:right w:w="100" w:type="dxa"/>
            </w:tcMar>
            <w:vAlign w:val="bottom"/>
          </w:tcPr>
          <w:p w14:paraId="1F5EB645"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435" w:type="dxa"/>
            <w:tcBorders>
              <w:top w:val="nil"/>
              <w:left w:val="nil"/>
              <w:bottom w:val="single" w:sz="8" w:space="0" w:color="000000"/>
              <w:right w:val="single" w:sz="8" w:space="0" w:color="000000"/>
            </w:tcBorders>
            <w:shd w:val="clear" w:color="auto" w:fill="7030A0"/>
            <w:tcMar>
              <w:top w:w="0" w:type="dxa"/>
              <w:left w:w="100" w:type="dxa"/>
              <w:bottom w:w="0" w:type="dxa"/>
              <w:right w:w="100" w:type="dxa"/>
            </w:tcMar>
            <w:vAlign w:val="bottom"/>
          </w:tcPr>
          <w:p w14:paraId="0F833A01"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3854F009"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2D896189"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0A6F9D90"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72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76FC5A27"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70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4A1B76E3"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72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1AACD1E3"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r>
      <w:tr w:rsidR="00902CF1" w:rsidRPr="0031655D" w14:paraId="78FC189E" w14:textId="77777777" w:rsidTr="00611AAF">
        <w:trPr>
          <w:trHeight w:val="315"/>
        </w:trPr>
        <w:tc>
          <w:tcPr>
            <w:tcW w:w="2715" w:type="dxa"/>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61E31CA0"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lastRenderedPageBreak/>
              <w:t>Literature review</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60CE1398"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5CD29684"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15E5402A"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16DB488D"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757B1306"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0D95CA2A"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435" w:type="dxa"/>
            <w:tcBorders>
              <w:top w:val="nil"/>
              <w:left w:val="nil"/>
              <w:bottom w:val="single" w:sz="8" w:space="0" w:color="000000"/>
              <w:right w:val="single" w:sz="8" w:space="0" w:color="000000"/>
            </w:tcBorders>
            <w:shd w:val="clear" w:color="auto" w:fill="00B050"/>
            <w:tcMar>
              <w:top w:w="0" w:type="dxa"/>
              <w:left w:w="100" w:type="dxa"/>
              <w:bottom w:w="0" w:type="dxa"/>
              <w:right w:w="100" w:type="dxa"/>
            </w:tcMar>
            <w:vAlign w:val="bottom"/>
          </w:tcPr>
          <w:p w14:paraId="46795FD6" w14:textId="77777777" w:rsidR="00902CF1" w:rsidRPr="0031655D" w:rsidRDefault="00902CF1" w:rsidP="00611AAF">
            <w:pPr>
              <w:spacing w:after="0" w:line="480" w:lineRule="auto"/>
              <w:jc w:val="both"/>
              <w:rPr>
                <w:rFonts w:ascii="Times New Roman" w:hAnsi="Times New Roman" w:cs="Times New Roman"/>
                <w:color w:val="FF0000"/>
                <w:sz w:val="24"/>
                <w:szCs w:val="24"/>
              </w:rPr>
            </w:pPr>
            <w:r w:rsidRPr="0031655D">
              <w:rPr>
                <w:rFonts w:ascii="Times New Roman" w:hAnsi="Times New Roman" w:cs="Times New Roman"/>
                <w:color w:val="FF0000"/>
                <w:sz w:val="24"/>
                <w:szCs w:val="24"/>
              </w:rPr>
              <w:t xml:space="preserve"> </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395E5F85"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748355CB"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72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6D7F3CD6"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70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454DD3C1"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72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55C17040"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r>
      <w:tr w:rsidR="00902CF1" w:rsidRPr="0031655D" w14:paraId="6A6B4A25" w14:textId="77777777" w:rsidTr="00611AAF">
        <w:trPr>
          <w:trHeight w:val="315"/>
        </w:trPr>
        <w:tc>
          <w:tcPr>
            <w:tcW w:w="2715" w:type="dxa"/>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7A496FA3"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Findings</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6E4CC55C"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123C5216"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2F25CC9E"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58278CD5"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0052B381"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7FBD1375"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13A0672B"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0BA2A1A2"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791F827D"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720" w:type="dxa"/>
            <w:tcBorders>
              <w:top w:val="nil"/>
              <w:left w:val="nil"/>
              <w:bottom w:val="single" w:sz="8" w:space="0" w:color="000000"/>
              <w:right w:val="single" w:sz="8" w:space="0" w:color="000000"/>
            </w:tcBorders>
            <w:shd w:val="clear" w:color="auto" w:fill="92D050"/>
            <w:tcMar>
              <w:top w:w="0" w:type="dxa"/>
              <w:left w:w="100" w:type="dxa"/>
              <w:bottom w:w="0" w:type="dxa"/>
              <w:right w:w="100" w:type="dxa"/>
            </w:tcMar>
            <w:vAlign w:val="bottom"/>
          </w:tcPr>
          <w:p w14:paraId="48DDEFEB"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705" w:type="dxa"/>
            <w:tcBorders>
              <w:top w:val="nil"/>
              <w:left w:val="nil"/>
              <w:bottom w:val="single" w:sz="8" w:space="0" w:color="000000"/>
              <w:right w:val="single" w:sz="8" w:space="0" w:color="000000"/>
            </w:tcBorders>
            <w:shd w:val="clear" w:color="auto" w:fill="92D050"/>
            <w:tcMar>
              <w:top w:w="0" w:type="dxa"/>
              <w:left w:w="100" w:type="dxa"/>
              <w:bottom w:w="0" w:type="dxa"/>
              <w:right w:w="100" w:type="dxa"/>
            </w:tcMar>
            <w:vAlign w:val="bottom"/>
          </w:tcPr>
          <w:p w14:paraId="0549E39D"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72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7EADBE52"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r>
      <w:tr w:rsidR="00902CF1" w:rsidRPr="0031655D" w14:paraId="29BD9BB3" w14:textId="77777777" w:rsidTr="00611AAF">
        <w:trPr>
          <w:trHeight w:val="315"/>
        </w:trPr>
        <w:tc>
          <w:tcPr>
            <w:tcW w:w="2715" w:type="dxa"/>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31085F1C"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Summary</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29357DB4"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042435A4"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7C2A807C"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058FFFD3"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0055EEFD"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7BBE0F43"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455C75C0"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071E2B15"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2B67806C"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72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3CB68720"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705" w:type="dxa"/>
            <w:tcBorders>
              <w:top w:val="nil"/>
              <w:left w:val="nil"/>
              <w:bottom w:val="single" w:sz="8" w:space="0" w:color="000000"/>
              <w:right w:val="single" w:sz="8" w:space="0" w:color="000000"/>
            </w:tcBorders>
            <w:shd w:val="clear" w:color="auto" w:fill="FF0000"/>
            <w:tcMar>
              <w:top w:w="0" w:type="dxa"/>
              <w:left w:w="100" w:type="dxa"/>
              <w:bottom w:w="0" w:type="dxa"/>
              <w:right w:w="100" w:type="dxa"/>
            </w:tcMar>
            <w:vAlign w:val="bottom"/>
          </w:tcPr>
          <w:p w14:paraId="416AB2F0"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72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355F72A3"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r>
      <w:tr w:rsidR="00902CF1" w:rsidRPr="0031655D" w14:paraId="10C7CFB6" w14:textId="77777777" w:rsidTr="00611AAF">
        <w:trPr>
          <w:trHeight w:val="315"/>
        </w:trPr>
        <w:tc>
          <w:tcPr>
            <w:tcW w:w="2715" w:type="dxa"/>
            <w:tcBorders>
              <w:top w:val="nil"/>
              <w:left w:val="single" w:sz="8" w:space="0" w:color="000000"/>
              <w:bottom w:val="single" w:sz="8" w:space="0" w:color="000000"/>
              <w:right w:val="single" w:sz="8" w:space="0" w:color="000000"/>
            </w:tcBorders>
            <w:shd w:val="clear" w:color="auto" w:fill="auto"/>
            <w:tcMar>
              <w:top w:w="0" w:type="dxa"/>
              <w:left w:w="100" w:type="dxa"/>
              <w:bottom w:w="0" w:type="dxa"/>
              <w:right w:w="100" w:type="dxa"/>
            </w:tcMar>
            <w:vAlign w:val="bottom"/>
          </w:tcPr>
          <w:p w14:paraId="6A0AFC9D"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Submission</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428A0407"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43C95716"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1E1EB8F7"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1BAAAAA2"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7D60C697"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04AF8279"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5C2D19EC"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494854E4"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43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76ED86B7"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720"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11561D29"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705" w:type="dxa"/>
            <w:tcBorders>
              <w:top w:val="nil"/>
              <w:left w:val="nil"/>
              <w:bottom w:val="single" w:sz="8" w:space="0" w:color="000000"/>
              <w:right w:val="single" w:sz="8" w:space="0" w:color="000000"/>
            </w:tcBorders>
            <w:shd w:val="clear" w:color="auto" w:fill="auto"/>
            <w:tcMar>
              <w:top w:w="0" w:type="dxa"/>
              <w:left w:w="100" w:type="dxa"/>
              <w:bottom w:w="0" w:type="dxa"/>
              <w:right w:w="100" w:type="dxa"/>
            </w:tcMar>
            <w:vAlign w:val="bottom"/>
          </w:tcPr>
          <w:p w14:paraId="2FA958FB"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c>
          <w:tcPr>
            <w:tcW w:w="720" w:type="dxa"/>
            <w:tcBorders>
              <w:top w:val="nil"/>
              <w:left w:val="nil"/>
              <w:bottom w:val="single" w:sz="8" w:space="0" w:color="000000"/>
              <w:right w:val="single" w:sz="8" w:space="0" w:color="000000"/>
            </w:tcBorders>
            <w:shd w:val="clear" w:color="auto" w:fill="0D0D0D"/>
            <w:tcMar>
              <w:top w:w="0" w:type="dxa"/>
              <w:left w:w="100" w:type="dxa"/>
              <w:bottom w:w="0" w:type="dxa"/>
              <w:right w:w="100" w:type="dxa"/>
            </w:tcMar>
            <w:vAlign w:val="bottom"/>
          </w:tcPr>
          <w:p w14:paraId="0EC759AC" w14:textId="77777777" w:rsidR="00902CF1" w:rsidRPr="0031655D" w:rsidRDefault="00902CF1" w:rsidP="00611AAF">
            <w:pPr>
              <w:spacing w:after="0" w:line="480" w:lineRule="auto"/>
              <w:jc w:val="both"/>
              <w:rPr>
                <w:rFonts w:ascii="Times New Roman" w:hAnsi="Times New Roman" w:cs="Times New Roman"/>
                <w:sz w:val="24"/>
                <w:szCs w:val="24"/>
              </w:rPr>
            </w:pPr>
            <w:r w:rsidRPr="0031655D">
              <w:rPr>
                <w:rFonts w:ascii="Times New Roman" w:hAnsi="Times New Roman" w:cs="Times New Roman"/>
                <w:sz w:val="24"/>
                <w:szCs w:val="24"/>
              </w:rPr>
              <w:t xml:space="preserve"> </w:t>
            </w:r>
          </w:p>
        </w:tc>
      </w:tr>
    </w:tbl>
    <w:p w14:paraId="48F94A3A" w14:textId="58729CC9" w:rsidR="00902CF1" w:rsidRPr="00902CF1" w:rsidRDefault="00902CF1" w:rsidP="00902CF1">
      <w:pPr>
        <w:pStyle w:val="Heading4"/>
        <w:jc w:val="center"/>
        <w:rPr>
          <w:rFonts w:asciiTheme="minorHAnsi" w:hAnsiTheme="minorHAnsi" w:cstheme="minorHAnsi"/>
          <w:color w:val="auto"/>
          <w:sz w:val="24"/>
          <w:szCs w:val="24"/>
          <w:lang w:val="en-GB"/>
        </w:rPr>
      </w:pPr>
      <w:bookmarkStart w:id="0" w:name="_Toc158217624"/>
      <w:bookmarkStart w:id="1" w:name="_Toc158220837"/>
      <w:r w:rsidRPr="00902CF1">
        <w:rPr>
          <w:rFonts w:asciiTheme="minorHAnsi" w:hAnsiTheme="minorHAnsi" w:cstheme="minorHAnsi"/>
          <w:color w:val="auto"/>
          <w:sz w:val="24"/>
          <w:szCs w:val="24"/>
          <w:lang w:val="en-GB"/>
        </w:rPr>
        <w:t>Figure 1: Time horizon for the research</w:t>
      </w:r>
      <w:bookmarkEnd w:id="0"/>
      <w:bookmarkEnd w:id="1"/>
    </w:p>
    <w:p w14:paraId="1EA1706F" w14:textId="3FF5BE7C" w:rsidR="00902CF1" w:rsidRPr="00902CF1" w:rsidRDefault="00902CF1" w:rsidP="00902CF1">
      <w:pPr>
        <w:pStyle w:val="Normal2"/>
        <w:spacing w:line="480" w:lineRule="auto"/>
        <w:jc w:val="center"/>
        <w:rPr>
          <w:rFonts w:asciiTheme="minorHAnsi" w:eastAsia="Times New Roman" w:hAnsiTheme="minorHAnsi" w:cstheme="minorHAnsi"/>
          <w:b/>
          <w:sz w:val="24"/>
          <w:szCs w:val="24"/>
          <w:lang w:val="en-GB"/>
        </w:rPr>
      </w:pPr>
      <w:r w:rsidRPr="00902CF1">
        <w:rPr>
          <w:rFonts w:asciiTheme="minorHAnsi" w:eastAsia="Times New Roman" w:hAnsiTheme="minorHAnsi" w:cstheme="minorHAnsi"/>
          <w:sz w:val="24"/>
          <w:szCs w:val="24"/>
          <w:lang w:val="en-GB"/>
        </w:rPr>
        <w:t>(Source: Self-created)</w:t>
      </w:r>
    </w:p>
    <w:sdt>
      <w:sdtPr>
        <w:rPr>
          <w:rFonts w:eastAsiaTheme="minorHAnsi" w:cstheme="minorBidi"/>
          <w:color w:val="auto"/>
          <w:sz w:val="22"/>
          <w:szCs w:val="22"/>
        </w:rPr>
        <w:id w:val="749466258"/>
        <w:docPartObj>
          <w:docPartGallery w:val="Bibliographies"/>
          <w:docPartUnique/>
        </w:docPartObj>
      </w:sdtPr>
      <w:sdtEndPr/>
      <w:sdtContent>
        <w:p w14:paraId="10C58C65" w14:textId="3ABD96FB" w:rsidR="00902CF1" w:rsidRDefault="00902CF1">
          <w:pPr>
            <w:pStyle w:val="Heading1"/>
          </w:pPr>
          <w:r>
            <w:t>References</w:t>
          </w:r>
        </w:p>
        <w:p w14:paraId="2FA6DA43" w14:textId="74ACA816" w:rsidR="00902CF1" w:rsidRDefault="00902CF1" w:rsidP="00902CF1">
          <w:pPr>
            <w:pStyle w:val="Bibliography"/>
            <w:rPr>
              <w:noProof/>
              <w:kern w:val="0"/>
              <w:sz w:val="24"/>
              <w:szCs w:val="24"/>
              <w14:ligatures w14:val="none"/>
            </w:rPr>
          </w:pPr>
          <w:r>
            <w:rPr>
              <w:noProof/>
            </w:rPr>
            <w:t xml:space="preserve">Aggarwal, R. &amp; Ranganathan, P., 2019. Study designs: Part 2 – Descriptive studies. </w:t>
          </w:r>
          <w:r>
            <w:rPr>
              <w:i/>
              <w:iCs/>
              <w:noProof/>
            </w:rPr>
            <w:t xml:space="preserve">Perspect Clin Res. , </w:t>
          </w:r>
          <w:r>
            <w:rPr>
              <w:noProof/>
            </w:rPr>
            <w:t>p. 34–36.</w:t>
          </w:r>
        </w:p>
        <w:p w14:paraId="2F10077F" w14:textId="77777777" w:rsidR="00902CF1" w:rsidRDefault="00902CF1" w:rsidP="00902CF1">
          <w:pPr>
            <w:pStyle w:val="Bibliography"/>
            <w:rPr>
              <w:noProof/>
            </w:rPr>
          </w:pPr>
          <w:r>
            <w:rPr>
              <w:noProof/>
            </w:rPr>
            <w:t xml:space="preserve">Baidya, D., 2020. </w:t>
          </w:r>
          <w:r>
            <w:rPr>
              <w:i/>
              <w:iCs/>
              <w:noProof/>
            </w:rPr>
            <w:t xml:space="preserve">INCREASING COST OF HIGHER EDUCATION IN INDIA: SOMEREFLECTIONS ON PROBLEMS AND PROSPECT, </w:t>
          </w:r>
          <w:r>
            <w:rPr>
              <w:noProof/>
            </w:rPr>
            <w:t>s.l.: s.n.</w:t>
          </w:r>
        </w:p>
        <w:p w14:paraId="14FC4DBC" w14:textId="39230D96" w:rsidR="00902CF1" w:rsidRDefault="00902CF1" w:rsidP="00902CF1">
          <w:pPr>
            <w:pStyle w:val="Bibliography"/>
            <w:rPr>
              <w:noProof/>
            </w:rPr>
          </w:pPr>
          <w:r>
            <w:rPr>
              <w:noProof/>
            </w:rPr>
            <w:t xml:space="preserve">Chandrasekhar, C., 2020. </w:t>
          </w:r>
          <w:r>
            <w:rPr>
              <w:i/>
              <w:iCs/>
              <w:noProof/>
            </w:rPr>
            <w:t xml:space="preserve">The alarming rise in education costs in New India. </w:t>
          </w:r>
          <w:r>
            <w:rPr>
              <w:noProof/>
            </w:rPr>
            <w:t xml:space="preserve">[Online] </w:t>
          </w:r>
          <w:r>
            <w:rPr>
              <w:noProof/>
            </w:rPr>
            <w:br/>
            <w:t xml:space="preserve">Available at: </w:t>
          </w:r>
          <w:hyperlink r:id="rId6" w:history="1">
            <w:r w:rsidRPr="00A239E9">
              <w:rPr>
                <w:rStyle w:val="Hyperlink"/>
                <w:noProof/>
              </w:rPr>
              <w:t>https://www.thehindubusinessline.com/opinion/columns/c-p-chandrasekhar/the-alarming-rise-in-education-costs-in-new-india/article33215181.ece</w:t>
            </w:r>
          </w:hyperlink>
          <w:r>
            <w:rPr>
              <w:noProof/>
              <w:u w:val="single"/>
            </w:rPr>
            <w:t xml:space="preserve"> </w:t>
          </w:r>
        </w:p>
        <w:p w14:paraId="2E3EDA6C" w14:textId="7AE4895D" w:rsidR="00902CF1" w:rsidRDefault="00902CF1" w:rsidP="00902CF1">
          <w:pPr>
            <w:pStyle w:val="Bibliography"/>
            <w:rPr>
              <w:noProof/>
            </w:rPr>
          </w:pPr>
          <w:r>
            <w:rPr>
              <w:noProof/>
            </w:rPr>
            <w:t xml:space="preserve">Education for India, 2023. </w:t>
          </w:r>
          <w:r>
            <w:rPr>
              <w:i/>
              <w:iCs/>
              <w:noProof/>
            </w:rPr>
            <w:t xml:space="preserve">The Rising Challenge of Increasing Education Costs for Families in India (2023). </w:t>
          </w:r>
          <w:r>
            <w:rPr>
              <w:noProof/>
            </w:rPr>
            <w:t xml:space="preserve">[Online] </w:t>
          </w:r>
          <w:r>
            <w:rPr>
              <w:noProof/>
            </w:rPr>
            <w:br/>
            <w:t xml:space="preserve">Available at: </w:t>
          </w:r>
          <w:hyperlink r:id="rId7" w:history="1">
            <w:r w:rsidRPr="00A239E9">
              <w:rPr>
                <w:rStyle w:val="Hyperlink"/>
                <w:noProof/>
              </w:rPr>
              <w:t>https://educationforallinindia.com/rising-challenge-of-increasing-education-costs/</w:t>
            </w:r>
          </w:hyperlink>
          <w:r>
            <w:rPr>
              <w:noProof/>
              <w:u w:val="single"/>
            </w:rPr>
            <w:t xml:space="preserve"> </w:t>
          </w:r>
        </w:p>
        <w:p w14:paraId="3C4E32C2" w14:textId="77777777" w:rsidR="00902CF1" w:rsidRDefault="00902CF1" w:rsidP="00902CF1">
          <w:pPr>
            <w:pStyle w:val="Bibliography"/>
            <w:rPr>
              <w:noProof/>
            </w:rPr>
          </w:pPr>
          <w:r>
            <w:rPr>
              <w:noProof/>
            </w:rPr>
            <w:t xml:space="preserve">lnowel, L. S. N. &amp; Jill M. Norris, 2017. Thematic Analysis:Striving to Meet the Trustworthiness Criteria. </w:t>
          </w:r>
          <w:r>
            <w:rPr>
              <w:i/>
              <w:iCs/>
              <w:noProof/>
            </w:rPr>
            <w:t xml:space="preserve">International Journal of Qualitative Methods, </w:t>
          </w:r>
          <w:r>
            <w:rPr>
              <w:noProof/>
            </w:rPr>
            <w:t>pp. 1-11.</w:t>
          </w:r>
        </w:p>
        <w:p w14:paraId="1EFE07EF" w14:textId="77777777" w:rsidR="00902CF1" w:rsidRDefault="00902CF1" w:rsidP="00902CF1">
          <w:pPr>
            <w:pStyle w:val="Bibliography"/>
            <w:rPr>
              <w:noProof/>
            </w:rPr>
          </w:pPr>
          <w:r>
            <w:rPr>
              <w:noProof/>
            </w:rPr>
            <w:t xml:space="preserve">Wasti, S. P. &amp; Simkhada, P., 2022. The Growing Importance of Mixed-Methods Research in Health. </w:t>
          </w:r>
          <w:r>
            <w:rPr>
              <w:i/>
              <w:iCs/>
              <w:noProof/>
            </w:rPr>
            <w:t xml:space="preserve">Nepal J Epidemiol. , </w:t>
          </w:r>
          <w:r>
            <w:rPr>
              <w:noProof/>
            </w:rPr>
            <w:t>p. 1175–1178.</w:t>
          </w:r>
        </w:p>
        <w:p w14:paraId="05A7C773" w14:textId="309C3BBE" w:rsidR="00902CF1" w:rsidRDefault="00302D0D" w:rsidP="00902CF1"/>
      </w:sdtContent>
    </w:sdt>
    <w:p w14:paraId="3263123D" w14:textId="77777777" w:rsidR="00902CF1" w:rsidRPr="004B6724" w:rsidRDefault="00902CF1" w:rsidP="00902CF1">
      <w:pPr>
        <w:pStyle w:val="pb-2"/>
        <w:spacing w:before="0" w:beforeAutospacing="0" w:after="0" w:afterAutospacing="0" w:line="480" w:lineRule="auto"/>
        <w:jc w:val="both"/>
        <w:rPr>
          <w:rFonts w:asciiTheme="minorHAnsi" w:hAnsiTheme="minorHAnsi" w:cstheme="minorHAnsi"/>
        </w:rPr>
      </w:pPr>
    </w:p>
    <w:p w14:paraId="5DDED75F" w14:textId="77777777" w:rsidR="00902CF1" w:rsidRPr="0031655D" w:rsidRDefault="00902CF1" w:rsidP="00902CF1">
      <w:pPr>
        <w:spacing w:after="0" w:line="480" w:lineRule="auto"/>
        <w:jc w:val="both"/>
        <w:rPr>
          <w:rFonts w:ascii="Times New Roman" w:hAnsi="Times New Roman" w:cs="Times New Roman"/>
          <w:sz w:val="24"/>
          <w:szCs w:val="24"/>
        </w:rPr>
      </w:pPr>
    </w:p>
    <w:p w14:paraId="3ACBA782" w14:textId="511B53D8" w:rsidR="000F2868" w:rsidRPr="009E71AE" w:rsidRDefault="000F2868" w:rsidP="000F2868">
      <w:pPr>
        <w:pStyle w:val="Normal2"/>
        <w:spacing w:line="480" w:lineRule="auto"/>
        <w:jc w:val="center"/>
        <w:rPr>
          <w:rFonts w:ascii="Times New Roman" w:eastAsia="Times New Roman" w:hAnsi="Times New Roman" w:cs="Times New Roman"/>
          <w:sz w:val="24"/>
          <w:szCs w:val="24"/>
          <w:lang w:val="en-GB"/>
        </w:rPr>
      </w:pPr>
    </w:p>
    <w:p w14:paraId="24EE8DF3" w14:textId="77777777" w:rsidR="005344C4" w:rsidRPr="004B6724" w:rsidRDefault="005344C4" w:rsidP="004B6724">
      <w:pPr>
        <w:pStyle w:val="pb-2"/>
        <w:spacing w:before="0" w:beforeAutospacing="0" w:after="0" w:afterAutospacing="0" w:line="480" w:lineRule="auto"/>
        <w:jc w:val="both"/>
        <w:rPr>
          <w:rFonts w:asciiTheme="minorHAnsi" w:hAnsiTheme="minorHAnsi" w:cstheme="minorHAnsi"/>
        </w:rPr>
      </w:pPr>
    </w:p>
    <w:p w14:paraId="57FF61C3" w14:textId="77777777" w:rsidR="005344C4" w:rsidRPr="004B6724" w:rsidRDefault="005344C4" w:rsidP="004B6724">
      <w:pPr>
        <w:pStyle w:val="pb-2"/>
        <w:spacing w:before="0" w:beforeAutospacing="0" w:after="0" w:afterAutospacing="0" w:line="480" w:lineRule="auto"/>
        <w:jc w:val="both"/>
        <w:rPr>
          <w:rFonts w:asciiTheme="minorHAnsi" w:hAnsiTheme="minorHAnsi" w:cstheme="minorHAnsi"/>
        </w:rPr>
      </w:pPr>
    </w:p>
    <w:p w14:paraId="052C1448" w14:textId="77777777" w:rsidR="00396F84" w:rsidRPr="004B6724" w:rsidRDefault="00396F84" w:rsidP="004B6724">
      <w:pPr>
        <w:spacing w:after="0" w:line="480" w:lineRule="auto"/>
        <w:jc w:val="both"/>
        <w:rPr>
          <w:rFonts w:cstheme="minorHAnsi"/>
          <w:sz w:val="24"/>
          <w:szCs w:val="24"/>
        </w:rPr>
      </w:pPr>
    </w:p>
    <w:p w14:paraId="4321F941" w14:textId="77777777" w:rsidR="00396F84" w:rsidRPr="004B6724" w:rsidRDefault="00396F84" w:rsidP="004B6724">
      <w:pPr>
        <w:spacing w:after="0" w:line="480" w:lineRule="auto"/>
        <w:jc w:val="both"/>
        <w:rPr>
          <w:rFonts w:cstheme="minorHAnsi"/>
          <w:sz w:val="24"/>
          <w:szCs w:val="24"/>
        </w:rPr>
      </w:pPr>
    </w:p>
    <w:sectPr w:rsidR="00396F84" w:rsidRPr="004B672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042583"/>
    <w:multiLevelType w:val="hybridMultilevel"/>
    <w:tmpl w:val="7FECDE66"/>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C792DDA"/>
    <w:multiLevelType w:val="hybridMultilevel"/>
    <w:tmpl w:val="78560F3A"/>
    <w:lvl w:ilvl="0" w:tplc="04090003">
      <w:start w:val="1"/>
      <w:numFmt w:val="bullet"/>
      <w:lvlText w:val="o"/>
      <w:lvlJc w:val="left"/>
      <w:pPr>
        <w:ind w:left="720" w:hanging="360"/>
      </w:pPr>
      <w:rPr>
        <w:rFonts w:ascii="Courier New" w:hAnsi="Courier New" w:cs="Courier New"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7D91684"/>
    <w:multiLevelType w:val="hybridMultilevel"/>
    <w:tmpl w:val="D14CF698"/>
    <w:lvl w:ilvl="0" w:tplc="04090003">
      <w:start w:val="1"/>
      <w:numFmt w:val="bullet"/>
      <w:lvlText w:val="o"/>
      <w:lvlJc w:val="left"/>
      <w:pPr>
        <w:ind w:left="720" w:hanging="360"/>
      </w:pPr>
      <w:rPr>
        <w:rFonts w:ascii="Courier New" w:hAnsi="Courier New" w:cs="Courier New" w:hint="default"/>
      </w:rPr>
    </w:lvl>
    <w:lvl w:ilvl="1" w:tplc="DC9E4A44">
      <w:numFmt w:val="bullet"/>
      <w:lvlText w:val=""/>
      <w:lvlJc w:val="left"/>
      <w:pPr>
        <w:ind w:left="1440" w:hanging="360"/>
      </w:pPr>
      <w:rPr>
        <w:rFonts w:ascii="Symbol" w:eastAsia="Times New Roman" w:hAnsi="Symbol" w:cs="Times New Roman"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75756165">
    <w:abstractNumId w:val="2"/>
  </w:num>
  <w:num w:numId="2" w16cid:durableId="380595588">
    <w:abstractNumId w:val="1"/>
  </w:num>
  <w:num w:numId="3" w16cid:durableId="4112034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6F84"/>
    <w:rsid w:val="000F2868"/>
    <w:rsid w:val="00175AC5"/>
    <w:rsid w:val="00302D0D"/>
    <w:rsid w:val="00351D62"/>
    <w:rsid w:val="00372C52"/>
    <w:rsid w:val="00396F84"/>
    <w:rsid w:val="004B6724"/>
    <w:rsid w:val="005344C4"/>
    <w:rsid w:val="00902CF1"/>
    <w:rsid w:val="00BC380C"/>
    <w:rsid w:val="00C077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868AAA"/>
  <w15:chartTrackingRefBased/>
  <w15:docId w15:val="{5C220AE7-E357-4B4C-86ED-55D405C739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6724"/>
    <w:pPr>
      <w:keepNext/>
      <w:keepLines/>
      <w:spacing w:before="240" w:after="0"/>
      <w:outlineLvl w:val="0"/>
    </w:pPr>
    <w:rPr>
      <w:rFonts w:eastAsiaTheme="majorEastAsia" w:cstheme="majorBidi"/>
      <w:color w:val="365F91" w:themeColor="accent1" w:themeShade="BF"/>
      <w:sz w:val="28"/>
      <w:szCs w:val="32"/>
    </w:rPr>
  </w:style>
  <w:style w:type="paragraph" w:styleId="Heading3">
    <w:name w:val="heading 3"/>
    <w:basedOn w:val="Normal"/>
    <w:next w:val="Normal"/>
    <w:link w:val="Heading3Char"/>
    <w:uiPriority w:val="9"/>
    <w:semiHidden/>
    <w:unhideWhenUsed/>
    <w:qFormat/>
    <w:rsid w:val="000F2868"/>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0F2868"/>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b-2">
    <w:name w:val="pb-2"/>
    <w:basedOn w:val="Normal"/>
    <w:rsid w:val="00396F84"/>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eading1Char">
    <w:name w:val="Heading 1 Char"/>
    <w:basedOn w:val="DefaultParagraphFont"/>
    <w:link w:val="Heading1"/>
    <w:uiPriority w:val="9"/>
    <w:rsid w:val="004B6724"/>
    <w:rPr>
      <w:rFonts w:eastAsiaTheme="majorEastAsia" w:cstheme="majorBidi"/>
      <w:color w:val="365F91" w:themeColor="accent1" w:themeShade="BF"/>
      <w:sz w:val="28"/>
      <w:szCs w:val="32"/>
    </w:rPr>
  </w:style>
  <w:style w:type="character" w:customStyle="1" w:styleId="Heading3Char">
    <w:name w:val="Heading 3 Char"/>
    <w:basedOn w:val="DefaultParagraphFont"/>
    <w:link w:val="Heading3"/>
    <w:uiPriority w:val="9"/>
    <w:semiHidden/>
    <w:rsid w:val="000F2868"/>
    <w:rPr>
      <w:rFonts w:asciiTheme="majorHAnsi" w:eastAsiaTheme="majorEastAsia" w:hAnsiTheme="majorHAnsi" w:cstheme="majorBidi"/>
      <w:color w:val="243F60" w:themeColor="accent1" w:themeShade="7F"/>
      <w:sz w:val="24"/>
      <w:szCs w:val="24"/>
    </w:rPr>
  </w:style>
  <w:style w:type="character" w:customStyle="1" w:styleId="Heading4Char">
    <w:name w:val="Heading 4 Char"/>
    <w:basedOn w:val="DefaultParagraphFont"/>
    <w:link w:val="Heading4"/>
    <w:uiPriority w:val="9"/>
    <w:semiHidden/>
    <w:rsid w:val="000F2868"/>
    <w:rPr>
      <w:rFonts w:asciiTheme="majorHAnsi" w:eastAsiaTheme="majorEastAsia" w:hAnsiTheme="majorHAnsi" w:cstheme="majorBidi"/>
      <w:i/>
      <w:iCs/>
      <w:color w:val="365F91" w:themeColor="accent1" w:themeShade="BF"/>
    </w:rPr>
  </w:style>
  <w:style w:type="paragraph" w:customStyle="1" w:styleId="Normal2">
    <w:name w:val="Normal2"/>
    <w:rsid w:val="000F2868"/>
    <w:pPr>
      <w:spacing w:after="0"/>
    </w:pPr>
    <w:rPr>
      <w:rFonts w:ascii="Arial" w:eastAsia="Arial" w:hAnsi="Arial" w:cs="Arial"/>
      <w:kern w:val="0"/>
      <w14:ligatures w14:val="none"/>
    </w:rPr>
  </w:style>
  <w:style w:type="paragraph" w:styleId="Bibliography">
    <w:name w:val="Bibliography"/>
    <w:basedOn w:val="Normal"/>
    <w:next w:val="Normal"/>
    <w:uiPriority w:val="37"/>
    <w:unhideWhenUsed/>
    <w:rsid w:val="00902CF1"/>
  </w:style>
  <w:style w:type="character" w:styleId="Hyperlink">
    <w:name w:val="Hyperlink"/>
    <w:basedOn w:val="DefaultParagraphFont"/>
    <w:uiPriority w:val="99"/>
    <w:unhideWhenUsed/>
    <w:rsid w:val="00902CF1"/>
    <w:rPr>
      <w:color w:val="0000FF" w:themeColor="hyperlink"/>
      <w:u w:val="single"/>
    </w:rPr>
  </w:style>
  <w:style w:type="character" w:styleId="UnresolvedMention">
    <w:name w:val="Unresolved Mention"/>
    <w:basedOn w:val="DefaultParagraphFont"/>
    <w:uiPriority w:val="99"/>
    <w:semiHidden/>
    <w:unhideWhenUsed/>
    <w:rsid w:val="00902C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818036">
      <w:bodyDiv w:val="1"/>
      <w:marLeft w:val="0"/>
      <w:marRight w:val="0"/>
      <w:marTop w:val="0"/>
      <w:marBottom w:val="0"/>
      <w:divBdr>
        <w:top w:val="none" w:sz="0" w:space="0" w:color="auto"/>
        <w:left w:val="none" w:sz="0" w:space="0" w:color="auto"/>
        <w:bottom w:val="none" w:sz="0" w:space="0" w:color="auto"/>
        <w:right w:val="none" w:sz="0" w:space="0" w:color="auto"/>
      </w:divBdr>
    </w:div>
    <w:div w:id="182327208">
      <w:bodyDiv w:val="1"/>
      <w:marLeft w:val="0"/>
      <w:marRight w:val="0"/>
      <w:marTop w:val="0"/>
      <w:marBottom w:val="0"/>
      <w:divBdr>
        <w:top w:val="none" w:sz="0" w:space="0" w:color="auto"/>
        <w:left w:val="none" w:sz="0" w:space="0" w:color="auto"/>
        <w:bottom w:val="none" w:sz="0" w:space="0" w:color="auto"/>
        <w:right w:val="none" w:sz="0" w:space="0" w:color="auto"/>
      </w:divBdr>
    </w:div>
    <w:div w:id="603852260">
      <w:bodyDiv w:val="1"/>
      <w:marLeft w:val="0"/>
      <w:marRight w:val="0"/>
      <w:marTop w:val="0"/>
      <w:marBottom w:val="0"/>
      <w:divBdr>
        <w:top w:val="none" w:sz="0" w:space="0" w:color="auto"/>
        <w:left w:val="none" w:sz="0" w:space="0" w:color="auto"/>
        <w:bottom w:val="none" w:sz="0" w:space="0" w:color="auto"/>
        <w:right w:val="none" w:sz="0" w:space="0" w:color="auto"/>
      </w:divBdr>
    </w:div>
    <w:div w:id="603853618">
      <w:bodyDiv w:val="1"/>
      <w:marLeft w:val="0"/>
      <w:marRight w:val="0"/>
      <w:marTop w:val="0"/>
      <w:marBottom w:val="0"/>
      <w:divBdr>
        <w:top w:val="none" w:sz="0" w:space="0" w:color="auto"/>
        <w:left w:val="none" w:sz="0" w:space="0" w:color="auto"/>
        <w:bottom w:val="none" w:sz="0" w:space="0" w:color="auto"/>
        <w:right w:val="none" w:sz="0" w:space="0" w:color="auto"/>
      </w:divBdr>
    </w:div>
    <w:div w:id="1020860779">
      <w:bodyDiv w:val="1"/>
      <w:marLeft w:val="0"/>
      <w:marRight w:val="0"/>
      <w:marTop w:val="0"/>
      <w:marBottom w:val="0"/>
      <w:divBdr>
        <w:top w:val="none" w:sz="0" w:space="0" w:color="auto"/>
        <w:left w:val="none" w:sz="0" w:space="0" w:color="auto"/>
        <w:bottom w:val="none" w:sz="0" w:space="0" w:color="auto"/>
        <w:right w:val="none" w:sz="0" w:space="0" w:color="auto"/>
      </w:divBdr>
    </w:div>
    <w:div w:id="1273590387">
      <w:bodyDiv w:val="1"/>
      <w:marLeft w:val="0"/>
      <w:marRight w:val="0"/>
      <w:marTop w:val="0"/>
      <w:marBottom w:val="0"/>
      <w:divBdr>
        <w:top w:val="none" w:sz="0" w:space="0" w:color="auto"/>
        <w:left w:val="none" w:sz="0" w:space="0" w:color="auto"/>
        <w:bottom w:val="none" w:sz="0" w:space="0" w:color="auto"/>
        <w:right w:val="none" w:sz="0" w:space="0" w:color="auto"/>
      </w:divBdr>
    </w:div>
    <w:div w:id="1280070068">
      <w:bodyDiv w:val="1"/>
      <w:marLeft w:val="0"/>
      <w:marRight w:val="0"/>
      <w:marTop w:val="0"/>
      <w:marBottom w:val="0"/>
      <w:divBdr>
        <w:top w:val="none" w:sz="0" w:space="0" w:color="auto"/>
        <w:left w:val="none" w:sz="0" w:space="0" w:color="auto"/>
        <w:bottom w:val="none" w:sz="0" w:space="0" w:color="auto"/>
        <w:right w:val="none" w:sz="0" w:space="0" w:color="auto"/>
      </w:divBdr>
    </w:div>
    <w:div w:id="1297182120">
      <w:bodyDiv w:val="1"/>
      <w:marLeft w:val="0"/>
      <w:marRight w:val="0"/>
      <w:marTop w:val="0"/>
      <w:marBottom w:val="0"/>
      <w:divBdr>
        <w:top w:val="none" w:sz="0" w:space="0" w:color="auto"/>
        <w:left w:val="none" w:sz="0" w:space="0" w:color="auto"/>
        <w:bottom w:val="none" w:sz="0" w:space="0" w:color="auto"/>
        <w:right w:val="none" w:sz="0" w:space="0" w:color="auto"/>
      </w:divBdr>
    </w:div>
    <w:div w:id="1315993403">
      <w:bodyDiv w:val="1"/>
      <w:marLeft w:val="0"/>
      <w:marRight w:val="0"/>
      <w:marTop w:val="0"/>
      <w:marBottom w:val="0"/>
      <w:divBdr>
        <w:top w:val="none" w:sz="0" w:space="0" w:color="auto"/>
        <w:left w:val="none" w:sz="0" w:space="0" w:color="auto"/>
        <w:bottom w:val="none" w:sz="0" w:space="0" w:color="auto"/>
        <w:right w:val="none" w:sz="0" w:space="0" w:color="auto"/>
      </w:divBdr>
    </w:div>
    <w:div w:id="1373311612">
      <w:bodyDiv w:val="1"/>
      <w:marLeft w:val="0"/>
      <w:marRight w:val="0"/>
      <w:marTop w:val="0"/>
      <w:marBottom w:val="0"/>
      <w:divBdr>
        <w:top w:val="none" w:sz="0" w:space="0" w:color="auto"/>
        <w:left w:val="none" w:sz="0" w:space="0" w:color="auto"/>
        <w:bottom w:val="none" w:sz="0" w:space="0" w:color="auto"/>
        <w:right w:val="none" w:sz="0" w:space="0" w:color="auto"/>
      </w:divBdr>
    </w:div>
    <w:div w:id="1392655771">
      <w:bodyDiv w:val="1"/>
      <w:marLeft w:val="0"/>
      <w:marRight w:val="0"/>
      <w:marTop w:val="0"/>
      <w:marBottom w:val="0"/>
      <w:divBdr>
        <w:top w:val="none" w:sz="0" w:space="0" w:color="auto"/>
        <w:left w:val="none" w:sz="0" w:space="0" w:color="auto"/>
        <w:bottom w:val="none" w:sz="0" w:space="0" w:color="auto"/>
        <w:right w:val="none" w:sz="0" w:space="0" w:color="auto"/>
      </w:divBdr>
    </w:div>
    <w:div w:id="1503426978">
      <w:bodyDiv w:val="1"/>
      <w:marLeft w:val="0"/>
      <w:marRight w:val="0"/>
      <w:marTop w:val="0"/>
      <w:marBottom w:val="0"/>
      <w:divBdr>
        <w:top w:val="none" w:sz="0" w:space="0" w:color="auto"/>
        <w:left w:val="none" w:sz="0" w:space="0" w:color="auto"/>
        <w:bottom w:val="none" w:sz="0" w:space="0" w:color="auto"/>
        <w:right w:val="none" w:sz="0" w:space="0" w:color="auto"/>
      </w:divBdr>
    </w:div>
    <w:div w:id="1764498620">
      <w:bodyDiv w:val="1"/>
      <w:marLeft w:val="0"/>
      <w:marRight w:val="0"/>
      <w:marTop w:val="0"/>
      <w:marBottom w:val="0"/>
      <w:divBdr>
        <w:top w:val="none" w:sz="0" w:space="0" w:color="auto"/>
        <w:left w:val="none" w:sz="0" w:space="0" w:color="auto"/>
        <w:bottom w:val="none" w:sz="0" w:space="0" w:color="auto"/>
        <w:right w:val="none" w:sz="0" w:space="0" w:color="auto"/>
      </w:divBdr>
    </w:div>
    <w:div w:id="1782920151">
      <w:bodyDiv w:val="1"/>
      <w:marLeft w:val="0"/>
      <w:marRight w:val="0"/>
      <w:marTop w:val="0"/>
      <w:marBottom w:val="0"/>
      <w:divBdr>
        <w:top w:val="none" w:sz="0" w:space="0" w:color="auto"/>
        <w:left w:val="none" w:sz="0" w:space="0" w:color="auto"/>
        <w:bottom w:val="none" w:sz="0" w:space="0" w:color="auto"/>
        <w:right w:val="none" w:sz="0" w:space="0" w:color="auto"/>
      </w:divBdr>
    </w:div>
    <w:div w:id="1821849881">
      <w:bodyDiv w:val="1"/>
      <w:marLeft w:val="0"/>
      <w:marRight w:val="0"/>
      <w:marTop w:val="0"/>
      <w:marBottom w:val="0"/>
      <w:divBdr>
        <w:top w:val="none" w:sz="0" w:space="0" w:color="auto"/>
        <w:left w:val="none" w:sz="0" w:space="0" w:color="auto"/>
        <w:bottom w:val="none" w:sz="0" w:space="0" w:color="auto"/>
        <w:right w:val="none" w:sz="0" w:space="0" w:color="auto"/>
      </w:divBdr>
    </w:div>
    <w:div w:id="1945770143">
      <w:bodyDiv w:val="1"/>
      <w:marLeft w:val="0"/>
      <w:marRight w:val="0"/>
      <w:marTop w:val="0"/>
      <w:marBottom w:val="0"/>
      <w:divBdr>
        <w:top w:val="none" w:sz="0" w:space="0" w:color="auto"/>
        <w:left w:val="none" w:sz="0" w:space="0" w:color="auto"/>
        <w:bottom w:val="none" w:sz="0" w:space="0" w:color="auto"/>
        <w:right w:val="none" w:sz="0" w:space="0" w:color="auto"/>
      </w:divBdr>
    </w:div>
    <w:div w:id="1960069089">
      <w:bodyDiv w:val="1"/>
      <w:marLeft w:val="0"/>
      <w:marRight w:val="0"/>
      <w:marTop w:val="0"/>
      <w:marBottom w:val="0"/>
      <w:divBdr>
        <w:top w:val="none" w:sz="0" w:space="0" w:color="auto"/>
        <w:left w:val="none" w:sz="0" w:space="0" w:color="auto"/>
        <w:bottom w:val="none" w:sz="0" w:space="0" w:color="auto"/>
        <w:right w:val="none" w:sz="0" w:space="0" w:color="auto"/>
      </w:divBdr>
    </w:div>
    <w:div w:id="2135757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hyperlink" Target="https://educationforallinindia.com/rising-challenge-of-increasing-education-costs/" TargetMode="Externa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hyperlink" Target="https://www.thehindubusinessline.com/opinion/columns/c-p-chandrasekhar/the-alarming-rise-in-education-costs-in-new-india/article33215181.ece" TargetMode="External" /><Relationship Id="rId5" Type="http://schemas.openxmlformats.org/officeDocument/2006/relationships/webSettings" Target="webSettings.xml" /><Relationship Id="rId4" Type="http://schemas.openxmlformats.org/officeDocument/2006/relationships/settings" Target="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Dip20</b:Tag>
    <b:SourceType>Report</b:SourceType>
    <b:Guid>{71F515D8-C1ED-44BE-B81B-7A17A9382E9A}</b:Guid>
    <b:Title>INCREASING COST OF HIGHER EDUCATION IN INDIA: SOMEREFLECTIONS ON PROBLEMS AND PROSPECT</b:Title>
    <b:Year>2020</b:Year>
    <b:Author>
      <b:Author>
        <b:NameList>
          <b:Person>
            <b:Last>Baidya</b:Last>
            <b:First>Dipankar</b:First>
          </b:Person>
        </b:NameList>
      </b:Author>
    </b:Author>
    <b:RefOrder>1</b:RefOrder>
  </b:Source>
  <b:Source>
    <b:Tag>Edu23</b:Tag>
    <b:SourceType>InternetSite</b:SourceType>
    <b:Guid>{42078F56-EC79-4D04-BE26-F21F86F7D661}</b:Guid>
    <b:Title>The Rising Challenge of Increasing Education Costs for Families in India (2023)</b:Title>
    <b:Year>2023</b:Year>
    <b:Author>
      <b:Author>
        <b:Corporate>Education for India</b:Corporate>
      </b:Author>
    </b:Author>
    <b:URL>https://educationforallinindia.com/rising-challenge-of-increasing-education-costs/</b:URL>
    <b:RefOrder>6</b:RefOrder>
  </b:Source>
  <b:Source>
    <b:Tag>CPC20</b:Tag>
    <b:SourceType>InternetSite</b:SourceType>
    <b:Guid>{E02F9D99-5EBF-4878-A24D-DB30731A5C45}</b:Guid>
    <b:Author>
      <b:Author>
        <b:NameList>
          <b:Person>
            <b:Last>Chandrasekhar</b:Last>
            <b:First>CP</b:First>
          </b:Person>
        </b:NameList>
      </b:Author>
    </b:Author>
    <b:Title>The alarming rise in education costs in New India</b:Title>
    <b:Year>2020</b:Year>
    <b:MonthAccessed>NOV</b:MonthAccessed>
    <b:DayAccessed>30</b:DayAccessed>
    <b:URL>https://www.thehindubusinessline.com/opinion/columns/c-p-chandrasekhar/the-alarming-rise-in-education-costs-in-new-india/article33215181.ece</b:URL>
    <b:RefOrder>7</b:RefOrder>
  </b:Source>
  <b:Source>
    <b:Tag>Rak191</b:Tag>
    <b:SourceType>JournalArticle</b:SourceType>
    <b:Guid>{A9775326-0216-47A2-A754-6D47DF3AC556}</b:Guid>
    <b:Title>Study designs: Part 2 – Descriptive studies</b:Title>
    <b:Year>2019</b:Year>
    <b:Author>
      <b:Author>
        <b:NameList>
          <b:Person>
            <b:Last>Aggarwal</b:Last>
            <b:First>Rakesh</b:First>
          </b:Person>
          <b:Person>
            <b:Last>Ranganathan</b:Last>
            <b:First>Priya</b:First>
          </b:Person>
        </b:NameList>
      </b:Author>
    </b:Author>
    <b:JournalName>Perspect Clin Res. </b:JournalName>
    <b:Pages>34–36</b:Pages>
    <b:RefOrder>3</b:RefOrder>
  </b:Source>
  <b:Source>
    <b:Tag>Sha22</b:Tag>
    <b:SourceType>JournalArticle</b:SourceType>
    <b:Guid>{57CDB58A-034E-4FEF-9354-25D8651CFD86}</b:Guid>
    <b:Author>
      <b:Author>
        <b:NameList>
          <b:Person>
            <b:Last>Wasti</b:Last>
            <b:First>Sharada</b:First>
            <b:Middle>Prasad</b:Middle>
          </b:Person>
          <b:Person>
            <b:Last>Simkhada</b:Last>
            <b:First>Padam</b:First>
          </b:Person>
        </b:NameList>
      </b:Author>
    </b:Author>
    <b:Title>The Growing Importance of Mixed-Methods Research in Health</b:Title>
    <b:JournalName>Nepal J Epidemiol. </b:JournalName>
    <b:Year>2022</b:Year>
    <b:Pages>1175–1178</b:Pages>
    <b:RefOrder>4</b:RefOrder>
  </b:Source>
  <b:Source>
    <b:Tag>Lor17</b:Tag>
    <b:SourceType>JournalArticle</b:SourceType>
    <b:Guid>{1AD700F7-C35F-4BBB-B14A-CCF7167E531A}</b:Guid>
    <b:Author>
      <b:Author>
        <b:NameList>
          <b:Person>
            <b:Last>lnowel</b:Last>
            <b:First>Lorelli</b:First>
            <b:Middle>S. Nowell</b:Middle>
          </b:Person>
          <b:Person>
            <b:Last>Jill M. Norris</b:Last>
          </b:Person>
        </b:NameList>
      </b:Author>
    </b:Author>
    <b:Title>Thematic Analysis:Striving to Meet the Trustworthiness Criteria</b:Title>
    <b:JournalName>International Journal of Qualitative Methods</b:JournalName>
    <b:Year>2017</b:Year>
    <b:Pages>1-11</b:Pages>
    <b:RefOrder>5</b:RefOrder>
  </b:Source>
  <b:Source>
    <b:Tag>Man18</b:Tag>
    <b:SourceType>JournalArticle</b:SourceType>
    <b:Guid>{D42E4914-5E60-4BFB-95BE-A29DDCB0852F}</b:Guid>
    <b:Title>EDUCATION AS AN INTEGRAL PART OF HUMAN CAPITAL FORMATION IN INDIA</b:Title>
    <b:Year>2018</b:Year>
    <b:Author>
      <b:Author>
        <b:NameList>
          <b:Person>
            <b:Last>Kukreja</b:Last>
            <b:First>Mansi</b:First>
          </b:Person>
        </b:NameList>
      </b:Author>
    </b:Author>
    <b:JournalName>International Journal of Scientific and Engineering Research</b:JournalName>
    <b:Pages>1-11</b:Pages>
    <b:RefOrder>8</b:RefOrder>
  </b:Source>
  <b:Source>
    <b:Tag>Row24</b:Tag>
    <b:SourceType>JournalArticle</b:SourceType>
    <b:Guid>{A22CFB6D-1C04-47FC-B2BE-A70F4F60062C}</b:Guid>
    <b:Author>
      <b:Author>
        <b:NameList>
          <b:Person>
            <b:Last>Murray</b:Last>
            <b:First>Rowan</b:First>
          </b:Person>
        </b:NameList>
      </b:Author>
    </b:Author>
    <b:Title>The Capability Approach, Pedagogic Rights and Course Design: Developing Autonomy and Reflection through Student-Led, Individually Created Courses</b:Title>
    <b:JournalName>Journal of Human Development and Capabilities </b:JournalName>
    <b:Year>2024</b:Year>
    <b:Pages>1-11</b:Pages>
    <b:RefOrder>2</b:RefOrder>
  </b:Source>
</b:Sources>
</file>

<file path=customXml/itemProps1.xml><?xml version="1.0" encoding="utf-8"?>
<ds:datastoreItem xmlns:ds="http://schemas.openxmlformats.org/officeDocument/2006/customXml" ds:itemID="{22CFF95A-4D91-4E0A-A17F-0FCDB63ED5A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1766</Words>
  <Characters>10072</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Deepak Kumar</cp:lastModifiedBy>
  <cp:revision>2</cp:revision>
  <dcterms:created xsi:type="dcterms:W3CDTF">2024-02-16T15:44:00Z</dcterms:created>
  <dcterms:modified xsi:type="dcterms:W3CDTF">2024-02-16T15:44:00Z</dcterms:modified>
</cp:coreProperties>
</file>