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52D27" w:rsidRDefault="00D52D27" w:rsidP="00D52D27">
      <w:pPr>
        <w:jc w:val="both"/>
        <w:rPr>
          <w:lang w:val="en-GB" w:eastAsia="en-GB"/>
        </w:rPr>
      </w:pPr>
      <w:bookmarkStart w:id="0" w:name="_GoBack"/>
      <w:bookmarkEnd w:id="0"/>
    </w:p>
    <w:p w:rsidR="00D52D27" w:rsidRDefault="00D52D27" w:rsidP="00D52D27">
      <w:pPr>
        <w:jc w:val="center"/>
        <w:rPr>
          <w:b/>
          <w:sz w:val="40"/>
          <w:szCs w:val="40"/>
          <w:lang w:val="en-GB" w:eastAsia="en-GB"/>
        </w:rPr>
      </w:pPr>
      <w:r>
        <w:rPr>
          <w:b/>
          <w:sz w:val="40"/>
          <w:szCs w:val="40"/>
          <w:lang w:val="en-GB" w:eastAsia="en-GB"/>
        </w:rPr>
        <w:t>An Evaluation of the</w:t>
      </w:r>
    </w:p>
    <w:p w:rsidR="00D52D27" w:rsidRDefault="00D52D27" w:rsidP="00D52D27">
      <w:pPr>
        <w:jc w:val="center"/>
        <w:rPr>
          <w:b/>
          <w:lang w:val="en-GB" w:eastAsia="en-GB"/>
        </w:rPr>
      </w:pPr>
    </w:p>
    <w:p w:rsidR="00D52D27" w:rsidRDefault="00D52D27" w:rsidP="00D52D27">
      <w:pPr>
        <w:jc w:val="center"/>
        <w:rPr>
          <w:b/>
          <w:sz w:val="48"/>
          <w:szCs w:val="48"/>
          <w:lang w:val="en-GB" w:eastAsia="en-GB"/>
        </w:rPr>
      </w:pPr>
      <w:r>
        <w:rPr>
          <w:b/>
          <w:sz w:val="48"/>
          <w:szCs w:val="48"/>
          <w:lang w:val="en-GB" w:eastAsia="en-GB"/>
        </w:rPr>
        <w:t>Eco-Schools Programme in Wales</w:t>
      </w: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r>
        <w:rPr>
          <w:noProof/>
          <w:lang w:val="en-GB" w:eastAsia="en-GB"/>
        </w:rPr>
        <w:drawing>
          <wp:anchor distT="0" distB="0" distL="114300" distR="114300" simplePos="0" relativeHeight="251663360" behindDoc="1" locked="0" layoutInCell="1" allowOverlap="1">
            <wp:simplePos x="0" y="0"/>
            <wp:positionH relativeFrom="column">
              <wp:posOffset>1708150</wp:posOffset>
            </wp:positionH>
            <wp:positionV relativeFrom="paragraph">
              <wp:posOffset>5080</wp:posOffset>
            </wp:positionV>
            <wp:extent cx="1926590" cy="2072640"/>
            <wp:effectExtent l="0" t="0" r="0" b="3810"/>
            <wp:wrapTight wrapText="bothSides">
              <wp:wrapPolygon edited="0">
                <wp:start x="0" y="0"/>
                <wp:lineTo x="0" y="21441"/>
                <wp:lineTo x="21358" y="21441"/>
                <wp:lineTo x="2135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26590" cy="2072640"/>
                    </a:xfrm>
                    <a:prstGeom prst="rect">
                      <a:avLst/>
                    </a:prstGeom>
                    <a:noFill/>
                  </pic:spPr>
                </pic:pic>
              </a:graphicData>
            </a:graphic>
            <wp14:sizeRelH relativeFrom="page">
              <wp14:pctWidth>0</wp14:pctWidth>
            </wp14:sizeRelH>
            <wp14:sizeRelV relativeFrom="page">
              <wp14:pctHeight>0</wp14:pctHeight>
            </wp14:sizeRelV>
          </wp:anchor>
        </w:drawing>
      </w: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center"/>
        <w:rPr>
          <w:b/>
          <w:sz w:val="36"/>
          <w:szCs w:val="36"/>
          <w:lang w:val="en-GB" w:eastAsia="en-GB"/>
        </w:rPr>
      </w:pPr>
      <w:r>
        <w:rPr>
          <w:b/>
          <w:sz w:val="36"/>
          <w:szCs w:val="36"/>
          <w:lang w:val="en-GB" w:eastAsia="en-GB"/>
        </w:rPr>
        <w:t>Final Report</w:t>
      </w:r>
    </w:p>
    <w:p w:rsidR="00D52D27" w:rsidRDefault="00D52D27" w:rsidP="00D52D27">
      <w:pPr>
        <w:jc w:val="center"/>
        <w:rPr>
          <w:b/>
          <w:sz w:val="36"/>
          <w:szCs w:val="36"/>
          <w:lang w:val="en-GB" w:eastAsia="en-GB"/>
        </w:rPr>
      </w:pPr>
      <w:r>
        <w:rPr>
          <w:b/>
          <w:sz w:val="36"/>
          <w:szCs w:val="36"/>
          <w:lang w:val="en-GB" w:eastAsia="en-GB"/>
        </w:rPr>
        <w:t>June 2014</w:t>
      </w:r>
    </w:p>
    <w:p w:rsidR="00D52D27" w:rsidRDefault="00D52D27" w:rsidP="00D52D27">
      <w:pPr>
        <w:jc w:val="center"/>
        <w:rPr>
          <w:lang w:val="en-GB" w:eastAsia="en-GB"/>
        </w:rPr>
      </w:pPr>
    </w:p>
    <w:p w:rsidR="00D52D27" w:rsidRDefault="00D52D27" w:rsidP="00D52D27">
      <w:pPr>
        <w:jc w:val="center"/>
        <w:rPr>
          <w:lang w:val="en-GB" w:eastAsia="en-GB"/>
        </w:rPr>
      </w:pPr>
    </w:p>
    <w:p w:rsidR="00D52D27" w:rsidRDefault="00D52D27" w:rsidP="00D52D27">
      <w:pPr>
        <w:jc w:val="center"/>
        <w:rPr>
          <w:lang w:val="en-GB" w:eastAsia="en-GB"/>
        </w:rPr>
      </w:pPr>
    </w:p>
    <w:p w:rsidR="00D52D27" w:rsidRDefault="00D52D27" w:rsidP="00D52D27">
      <w:pPr>
        <w:jc w:val="center"/>
        <w:rPr>
          <w:lang w:val="en-GB" w:eastAsia="en-GB"/>
        </w:rPr>
      </w:pPr>
    </w:p>
    <w:p w:rsidR="00D52D27" w:rsidRDefault="00D52D27" w:rsidP="00D52D27">
      <w:pPr>
        <w:jc w:val="center"/>
        <w:rPr>
          <w:lang w:val="en-GB" w:eastAsia="en-GB"/>
        </w:rPr>
      </w:pPr>
    </w:p>
    <w:p w:rsidR="00D52D27" w:rsidRDefault="00D52D27" w:rsidP="00D52D27">
      <w:pPr>
        <w:jc w:val="center"/>
        <w:rPr>
          <w:b/>
          <w:sz w:val="28"/>
          <w:szCs w:val="28"/>
          <w:lang w:val="en-GB" w:eastAsia="en-GB"/>
        </w:rPr>
      </w:pPr>
      <w:r>
        <w:rPr>
          <w:b/>
          <w:sz w:val="28"/>
          <w:szCs w:val="28"/>
          <w:lang w:val="en-GB" w:eastAsia="en-GB"/>
        </w:rPr>
        <w:t>Report produced by a team of researchers led by</w:t>
      </w:r>
    </w:p>
    <w:p w:rsidR="00D52D27" w:rsidRDefault="00D52D27" w:rsidP="00D52D27">
      <w:pPr>
        <w:jc w:val="center"/>
        <w:rPr>
          <w:b/>
          <w:sz w:val="28"/>
          <w:szCs w:val="28"/>
          <w:lang w:val="en-GB" w:eastAsia="en-GB"/>
        </w:rPr>
      </w:pPr>
      <w:r>
        <w:rPr>
          <w:b/>
          <w:sz w:val="28"/>
          <w:szCs w:val="28"/>
          <w:lang w:val="en-GB" w:eastAsia="en-GB"/>
        </w:rPr>
        <w:t>The University of Wales Trinity Saint David</w:t>
      </w:r>
    </w:p>
    <w:p w:rsidR="00D52D27" w:rsidRDefault="00D52D27" w:rsidP="00D52D27">
      <w:pPr>
        <w:jc w:val="both"/>
        <w:rPr>
          <w:lang w:val="en-GB" w:eastAsia="en-GB"/>
        </w:rPr>
      </w:pPr>
    </w:p>
    <w:p w:rsidR="00D52D27" w:rsidRDefault="00D52D27" w:rsidP="00D52D27">
      <w:pPr>
        <w:jc w:val="both"/>
        <w:rPr>
          <w:lang w:val="en-GB" w:eastAsia="en-GB"/>
        </w:rPr>
      </w:pPr>
      <w:r>
        <w:rPr>
          <w:lang w:val="en-GB" w:eastAsia="en-GB"/>
        </w:rPr>
        <w:t>Eileen Merriman, Angie Rekers-Power, Dr Glenda Tinney, Ann MacGarry</w:t>
      </w: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b/>
          <w:lang w:val="en-GB" w:eastAsia="en-GB"/>
        </w:rPr>
      </w:pPr>
      <w:r>
        <w:rPr>
          <w:noProof/>
          <w:lang w:val="en-GB" w:eastAsia="en-GB"/>
        </w:rPr>
        <w:drawing>
          <wp:anchor distT="0" distB="0" distL="114300" distR="114300" simplePos="0" relativeHeight="251662336" behindDoc="1" locked="0" layoutInCell="1" allowOverlap="1">
            <wp:simplePos x="0" y="0"/>
            <wp:positionH relativeFrom="column">
              <wp:posOffset>3787140</wp:posOffset>
            </wp:positionH>
            <wp:positionV relativeFrom="paragraph">
              <wp:posOffset>178435</wp:posOffset>
            </wp:positionV>
            <wp:extent cx="1630680" cy="647700"/>
            <wp:effectExtent l="0" t="0" r="7620" b="0"/>
            <wp:wrapTight wrapText="bothSides">
              <wp:wrapPolygon edited="0">
                <wp:start x="0" y="0"/>
                <wp:lineTo x="0" y="14612"/>
                <wp:lineTo x="2019" y="20329"/>
                <wp:lineTo x="2523" y="20965"/>
                <wp:lineTo x="21449" y="20965"/>
                <wp:lineTo x="21449" y="0"/>
                <wp:lineTo x="0" y="0"/>
              </wp:wrapPolygon>
            </wp:wrapTight>
            <wp:docPr id="4" name="Picture 4" descr="NewTSDtrans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ewTSDtransp.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30680" cy="647700"/>
                    </a:xfrm>
                    <a:prstGeom prst="rect">
                      <a:avLst/>
                    </a:prstGeom>
                    <a:noFill/>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61312" behindDoc="1" locked="0" layoutInCell="1" allowOverlap="1">
            <wp:simplePos x="0" y="0"/>
            <wp:positionH relativeFrom="column">
              <wp:posOffset>1828800</wp:posOffset>
            </wp:positionH>
            <wp:positionV relativeFrom="paragraph">
              <wp:posOffset>144780</wp:posOffset>
            </wp:positionV>
            <wp:extent cx="1920240" cy="647700"/>
            <wp:effectExtent l="0" t="0" r="3810" b="0"/>
            <wp:wrapTight wrapText="bothSides">
              <wp:wrapPolygon edited="0">
                <wp:start x="0" y="0"/>
                <wp:lineTo x="0" y="20965"/>
                <wp:lineTo x="21429" y="20965"/>
                <wp:lineTo x="21429" y="0"/>
                <wp:lineTo x="0" y="0"/>
              </wp:wrapPolygon>
            </wp:wrapTight>
            <wp:docPr id="3" name="Picture 3" descr="WG_Funded_land_mon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G_Funded_land_mon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20240" cy="647700"/>
                    </a:xfrm>
                    <a:prstGeom prst="rect">
                      <a:avLst/>
                    </a:prstGeom>
                    <a:noFill/>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60288" behindDoc="1" locked="0" layoutInCell="1" allowOverlap="1">
            <wp:simplePos x="0" y="0"/>
            <wp:positionH relativeFrom="column">
              <wp:posOffset>1066800</wp:posOffset>
            </wp:positionH>
            <wp:positionV relativeFrom="paragraph">
              <wp:posOffset>91440</wp:posOffset>
            </wp:positionV>
            <wp:extent cx="640080" cy="723900"/>
            <wp:effectExtent l="0" t="0" r="7620" b="0"/>
            <wp:wrapTight wrapText="bothSides">
              <wp:wrapPolygon edited="0">
                <wp:start x="0" y="0"/>
                <wp:lineTo x="0" y="21032"/>
                <wp:lineTo x="21214" y="21032"/>
                <wp:lineTo x="21214" y="0"/>
                <wp:lineTo x="0" y="0"/>
              </wp:wrapPolygon>
            </wp:wrapTight>
            <wp:docPr id="2" name="Picture 2" descr="KWT new logo colou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KWT new logo colour.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0080" cy="723900"/>
                    </a:xfrm>
                    <a:prstGeom prst="rect">
                      <a:avLst/>
                    </a:prstGeom>
                    <a:noFill/>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59264" behindDoc="1" locked="0" layoutInCell="1" allowOverlap="1">
            <wp:simplePos x="0" y="0"/>
            <wp:positionH relativeFrom="column">
              <wp:posOffset>-182880</wp:posOffset>
            </wp:positionH>
            <wp:positionV relativeFrom="paragraph">
              <wp:posOffset>15240</wp:posOffset>
            </wp:positionV>
            <wp:extent cx="1249680" cy="800100"/>
            <wp:effectExtent l="0" t="0" r="7620" b="0"/>
            <wp:wrapTight wrapText="bothSides">
              <wp:wrapPolygon edited="0">
                <wp:start x="0" y="0"/>
                <wp:lineTo x="0" y="21086"/>
                <wp:lineTo x="21402" y="21086"/>
                <wp:lineTo x="21402" y="0"/>
                <wp:lineTo x="0" y="0"/>
              </wp:wrapPolygon>
            </wp:wrapTight>
            <wp:docPr id="1" name="Picture 1" descr="nrw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rw2.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49680" cy="800100"/>
                    </a:xfrm>
                    <a:prstGeom prst="rect">
                      <a:avLst/>
                    </a:prstGeom>
                    <a:noFill/>
                  </pic:spPr>
                </pic:pic>
              </a:graphicData>
            </a:graphic>
            <wp14:sizeRelH relativeFrom="page">
              <wp14:pctWidth>0</wp14:pctWidth>
            </wp14:sizeRelH>
            <wp14:sizeRelV relativeFrom="page">
              <wp14:pctHeight>0</wp14:pctHeight>
            </wp14:sizeRelV>
          </wp:anchor>
        </w:drawing>
      </w: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lastRenderedPageBreak/>
        <w:t xml:space="preserve">Acknowledgements: </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As project coordinator, Eileen Merriman would like to acknowledge the significant input to this research from several colleagues:</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Angie Rekers-Power for writing the majority of the report;</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Members of the main research team: Angie Rekers-Power, Dr. Glenda Tinney, Ann MacGarry);</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Sue Crabtree, Sioned Vaughan Hughes, Eira Jones, Glenda Jones, Susan Smith for conducting many of the interviews and focus groups;</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Dr Liz Jones for collating the interviews and focus group feedback;</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Project secretaries Sarah Kelley and Sally Hewes for editing support;</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Hywel Davies and Duncan Gardner for supporting the bid;</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Steering committee members;</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All personnel and schools involved in interviews;</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Natural Resources Wales for funding the research.</w:t>
      </w: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rPr>
      </w:pPr>
    </w:p>
    <w:p w:rsidR="00D52D27" w:rsidRDefault="00D52D27" w:rsidP="00D52D27">
      <w:pPr>
        <w:jc w:val="both"/>
        <w:rPr>
          <w:lang w:val="en-GB" w:eastAsia="en-GB"/>
        </w:rPr>
      </w:pPr>
    </w:p>
    <w:p w:rsidR="00D52D27" w:rsidRDefault="00D52D27" w:rsidP="00D52D27">
      <w:pPr>
        <w:rPr>
          <w:lang w:val="en-GB" w:eastAsia="en-GB"/>
        </w:rPr>
      </w:pPr>
    </w:p>
    <w:p w:rsidR="00D52D27" w:rsidRDefault="00D52D27" w:rsidP="00D52D27">
      <w:pPr>
        <w:rPr>
          <w:lang w:val="en-GB" w:eastAsia="en-GB"/>
        </w:rPr>
        <w:sectPr w:rsidR="00D52D27">
          <w:footerReference w:type="default" r:id="rId12"/>
          <w:pgSz w:w="11906" w:h="16838"/>
          <w:pgMar w:top="1440" w:right="1800" w:bottom="1440" w:left="1800" w:header="708" w:footer="708" w:gutter="0"/>
          <w:pgNumType w:fmt="lowerLetter" w:start="1"/>
          <w:cols w:space="720"/>
        </w:sectPr>
      </w:pPr>
    </w:p>
    <w:p w:rsidR="00D52D27" w:rsidRDefault="00D52D27" w:rsidP="00D52D27">
      <w:pPr>
        <w:pStyle w:val="Heading1"/>
        <w:jc w:val="both"/>
        <w:rPr>
          <w:lang w:val="en-GB"/>
        </w:rPr>
      </w:pPr>
      <w:r>
        <w:rPr>
          <w:lang w:val="en-GB"/>
        </w:rPr>
        <w:t>EXECUTIVE SUMMARY</w:t>
      </w:r>
    </w:p>
    <w:p w:rsidR="00D52D27" w:rsidRDefault="00D52D27" w:rsidP="00D52D27">
      <w:pPr>
        <w:jc w:val="both"/>
        <w:rPr>
          <w:lang w:val="en-GB" w:eastAsia="en-GB"/>
        </w:rPr>
      </w:pPr>
      <w:r>
        <w:rPr>
          <w:lang w:val="en-GB" w:eastAsia="en-GB"/>
        </w:rPr>
        <w:t xml:space="preserve">            </w:t>
      </w:r>
    </w:p>
    <w:p w:rsidR="00D52D27" w:rsidRDefault="00D52D27" w:rsidP="00D52D27">
      <w:pPr>
        <w:jc w:val="both"/>
        <w:rPr>
          <w:b/>
          <w:sz w:val="28"/>
          <w:szCs w:val="28"/>
          <w:u w:val="single"/>
          <w:lang w:val="en-GB" w:eastAsia="en-GB"/>
        </w:rPr>
      </w:pPr>
      <w:r>
        <w:rPr>
          <w:b/>
          <w:sz w:val="28"/>
          <w:szCs w:val="28"/>
          <w:u w:val="single"/>
          <w:lang w:val="en-GB" w:eastAsia="en-GB"/>
        </w:rPr>
        <w:t>BACKGROUND OF ECO-SCHOOLS PROGRAMME</w:t>
      </w:r>
    </w:p>
    <w:p w:rsidR="00D52D27" w:rsidRDefault="00D52D27" w:rsidP="00D52D27">
      <w:pPr>
        <w:jc w:val="both"/>
        <w:rPr>
          <w:lang w:val="en-GB" w:eastAsia="en-GB"/>
        </w:rPr>
      </w:pPr>
    </w:p>
    <w:p w:rsidR="00D52D27" w:rsidRDefault="00D52D27" w:rsidP="00D52D27">
      <w:pPr>
        <w:jc w:val="both"/>
        <w:rPr>
          <w:lang w:val="en-GB" w:eastAsia="en-GB"/>
        </w:rPr>
      </w:pPr>
      <w:r>
        <w:rPr>
          <w:lang w:val="en-GB" w:eastAsia="en-GB"/>
        </w:rPr>
        <w:t>Eco-Schools was established in 1994 in response to the need, identified at the 1992 United Nations Conference on Environment &amp; Development (Earth Summit), to involve young people in the search for local solutions to the challenge of achieving sustainable development. The programme was developed by the Foundation for Environmental Education (FEE) and is run in Wales by Keep Wales Tidy (KWT).</w:t>
      </w:r>
    </w:p>
    <w:p w:rsidR="00D52D27" w:rsidRDefault="00D52D27" w:rsidP="00D52D27">
      <w:pPr>
        <w:jc w:val="both"/>
        <w:rPr>
          <w:lang w:val="en-GB" w:eastAsia="en-GB"/>
        </w:rPr>
      </w:pPr>
    </w:p>
    <w:p w:rsidR="00D52D27" w:rsidRDefault="00D52D27" w:rsidP="00D52D27">
      <w:pPr>
        <w:jc w:val="both"/>
        <w:rPr>
          <w:lang w:val="en-GB" w:eastAsia="en-GB"/>
        </w:rPr>
      </w:pPr>
      <w:r>
        <w:rPr>
          <w:lang w:val="en-GB" w:eastAsia="en-GB"/>
        </w:rPr>
        <w:t xml:space="preserve">In order to encourage pupils to engage with environmental and sustainable development issues, the programme provides a long-term structure for the environmental management of schools. The Eight Topic Areas are Litter, Waste Minimisation, Transport, Healthy Living, Energy, Water, Developing School Grounds for Biodiversity, and Global Citizenship.  The Eco-Schools International Green Flag, awarded to schools that have implemented the programme in full, is a recognised and respected eco-label for performance in Education for Sustainable Development and Global Citizenship (ESDGC). </w:t>
      </w:r>
    </w:p>
    <w:p w:rsidR="00D52D27" w:rsidRDefault="00D52D27" w:rsidP="00D52D27">
      <w:pPr>
        <w:jc w:val="both"/>
        <w:rPr>
          <w:lang w:val="en-GB" w:eastAsia="en-GB"/>
        </w:rPr>
      </w:pPr>
    </w:p>
    <w:p w:rsidR="00D52D27" w:rsidRDefault="00D52D27" w:rsidP="00D52D27">
      <w:pPr>
        <w:jc w:val="both"/>
        <w:rPr>
          <w:lang w:val="en-GB" w:eastAsia="en-GB"/>
        </w:rPr>
      </w:pPr>
      <w:r>
        <w:rPr>
          <w:lang w:val="en-GB" w:eastAsia="en-GB"/>
        </w:rPr>
        <w:t xml:space="preserve">Importantly, pupils of all ages and abilities take key roles in decision-making and participation in order to reduce the environmental impact of the school, thus extending learning beyond the classroom and developing responsible citizenship attitudes at home, in their community and globally.  </w:t>
      </w:r>
    </w:p>
    <w:p w:rsidR="00D52D27" w:rsidRDefault="00D52D27" w:rsidP="00D52D27">
      <w:pPr>
        <w:jc w:val="both"/>
        <w:rPr>
          <w:lang w:val="en-GB" w:eastAsia="en-GB"/>
        </w:rPr>
      </w:pPr>
    </w:p>
    <w:p w:rsidR="00D52D27" w:rsidRDefault="00D52D27" w:rsidP="00D52D27">
      <w:pPr>
        <w:jc w:val="both"/>
        <w:rPr>
          <w:b/>
          <w:sz w:val="28"/>
          <w:szCs w:val="28"/>
          <w:u w:val="single"/>
          <w:lang w:val="en-GB" w:eastAsia="en-GB"/>
        </w:rPr>
      </w:pPr>
      <w:r>
        <w:rPr>
          <w:b/>
          <w:sz w:val="28"/>
          <w:szCs w:val="28"/>
          <w:u w:val="single"/>
          <w:lang w:val="en-GB" w:eastAsia="en-GB"/>
        </w:rPr>
        <w:t>REVIEW OF THE PROGRAMME IN WALES</w:t>
      </w:r>
    </w:p>
    <w:p w:rsidR="00D52D27" w:rsidRDefault="00D52D27" w:rsidP="00D52D27">
      <w:pPr>
        <w:jc w:val="both"/>
        <w:rPr>
          <w:lang w:val="en-GB" w:eastAsia="en-GB"/>
        </w:rPr>
      </w:pPr>
    </w:p>
    <w:p w:rsidR="00D52D27" w:rsidRDefault="00D52D27" w:rsidP="00D52D27">
      <w:pPr>
        <w:jc w:val="both"/>
        <w:rPr>
          <w:lang w:val="en-GB" w:eastAsia="en-GB"/>
        </w:rPr>
      </w:pPr>
      <w:r>
        <w:rPr>
          <w:lang w:val="en-GB" w:eastAsia="en-GB"/>
        </w:rPr>
        <w:t>After 20 years of delivery in Wales, close to 90% of all schools are registered on the programme; nearly 40% of those have achieved Green Flag or Platinum Award status.  In order to determine how to most effectively build on this success and to identify potential areas for improvement, this study, funded by Natural Resources Wales, was undertaken to review the programme and consider how effectively it achieves the following:</w:t>
      </w:r>
    </w:p>
    <w:p w:rsidR="00D52D27" w:rsidRDefault="00D52D27" w:rsidP="00D52D27">
      <w:pPr>
        <w:jc w:val="both"/>
        <w:rPr>
          <w:lang w:val="en-GB" w:eastAsia="en-GB"/>
        </w:rPr>
      </w:pPr>
    </w:p>
    <w:p w:rsidR="00D52D27" w:rsidRDefault="00D52D27" w:rsidP="00D52D27">
      <w:pPr>
        <w:pStyle w:val="ListParagraph"/>
        <w:numPr>
          <w:ilvl w:val="0"/>
          <w:numId w:val="2"/>
        </w:numPr>
        <w:jc w:val="both"/>
        <w:rPr>
          <w:rFonts w:ascii="Arial" w:hAnsi="Arial" w:cs="Arial"/>
          <w:lang w:val="en-GB" w:eastAsia="en-GB"/>
        </w:rPr>
      </w:pPr>
      <w:r>
        <w:rPr>
          <w:rFonts w:ascii="Arial" w:hAnsi="Arial" w:cs="Arial"/>
          <w:lang w:val="en-GB" w:eastAsia="en-GB"/>
        </w:rPr>
        <w:t xml:space="preserve">provides an inclusive and whole school approach to Education for Sustainable Development and Global Citizenship; </w:t>
      </w:r>
    </w:p>
    <w:p w:rsidR="00D52D27" w:rsidRDefault="00D52D27" w:rsidP="00D52D27">
      <w:pPr>
        <w:pStyle w:val="ListParagraph"/>
        <w:numPr>
          <w:ilvl w:val="0"/>
          <w:numId w:val="2"/>
        </w:numPr>
        <w:jc w:val="both"/>
        <w:rPr>
          <w:rFonts w:ascii="Arial" w:hAnsi="Arial" w:cs="Arial"/>
          <w:lang w:val="en-GB" w:eastAsia="en-GB"/>
        </w:rPr>
      </w:pPr>
      <w:r>
        <w:rPr>
          <w:rFonts w:ascii="Arial" w:hAnsi="Arial" w:cs="Arial"/>
          <w:lang w:val="en-GB" w:eastAsia="en-GB"/>
        </w:rPr>
        <w:t>supports curriculum subject areas, learning and skills across the curriculum and a range of educational needs; and,</w:t>
      </w:r>
    </w:p>
    <w:p w:rsidR="00D52D27" w:rsidRDefault="00D52D27" w:rsidP="00D52D27">
      <w:pPr>
        <w:pStyle w:val="ListParagraph"/>
        <w:numPr>
          <w:ilvl w:val="0"/>
          <w:numId w:val="2"/>
        </w:numPr>
        <w:jc w:val="both"/>
        <w:rPr>
          <w:rFonts w:ascii="Arial" w:hAnsi="Arial" w:cs="Arial"/>
          <w:lang w:val="en-GB" w:eastAsia="en-GB"/>
        </w:rPr>
      </w:pPr>
      <w:r>
        <w:rPr>
          <w:rFonts w:ascii="Arial" w:hAnsi="Arial" w:cs="Arial"/>
          <w:lang w:val="en-GB" w:eastAsia="en-GB"/>
        </w:rPr>
        <w:t>monitors the impact on changing attitudes towards the environment amongst pupils, teachers, governors, parents and the wider community; and,</w:t>
      </w:r>
    </w:p>
    <w:p w:rsidR="00D52D27" w:rsidRDefault="00D52D27" w:rsidP="00D52D27">
      <w:pPr>
        <w:pStyle w:val="ListParagraph"/>
        <w:numPr>
          <w:ilvl w:val="0"/>
          <w:numId w:val="2"/>
        </w:numPr>
        <w:jc w:val="both"/>
        <w:rPr>
          <w:rFonts w:ascii="Arial" w:hAnsi="Arial" w:cs="Arial"/>
          <w:lang w:val="en-GB" w:eastAsia="en-GB"/>
        </w:rPr>
      </w:pPr>
      <w:r>
        <w:rPr>
          <w:rFonts w:ascii="Arial" w:hAnsi="Arial" w:cs="Arial"/>
          <w:lang w:val="en-GB" w:eastAsia="en-GB"/>
        </w:rPr>
        <w:t>monitors the impact on environmental outcomes in terms of reducing CO2, energy use, minimising waste and reducing school costs.</w:t>
      </w:r>
    </w:p>
    <w:p w:rsidR="00D52D27" w:rsidRDefault="00D52D27" w:rsidP="00D52D27">
      <w:pPr>
        <w:jc w:val="both"/>
        <w:rPr>
          <w:lang w:val="en-GB" w:eastAsia="en-GB"/>
        </w:rPr>
      </w:pPr>
    </w:p>
    <w:p w:rsidR="00D52D27" w:rsidRDefault="00D52D27" w:rsidP="00D52D27">
      <w:pPr>
        <w:jc w:val="both"/>
        <w:rPr>
          <w:b/>
          <w:sz w:val="28"/>
          <w:szCs w:val="28"/>
          <w:lang w:val="en-GB" w:eastAsia="en-GB"/>
        </w:rPr>
      </w:pPr>
    </w:p>
    <w:p w:rsidR="00D52D27" w:rsidRDefault="00D52D27" w:rsidP="00D52D27">
      <w:pPr>
        <w:jc w:val="both"/>
        <w:rPr>
          <w:b/>
          <w:sz w:val="28"/>
          <w:szCs w:val="28"/>
          <w:lang w:val="en-GB" w:eastAsia="en-GB"/>
        </w:rPr>
      </w:pPr>
    </w:p>
    <w:p w:rsidR="00D52D27" w:rsidRDefault="00D52D27" w:rsidP="00D52D27">
      <w:pPr>
        <w:jc w:val="both"/>
        <w:rPr>
          <w:b/>
          <w:sz w:val="28"/>
          <w:szCs w:val="28"/>
          <w:u w:val="single"/>
          <w:lang w:val="en-GB" w:eastAsia="en-GB"/>
        </w:rPr>
      </w:pPr>
      <w:r>
        <w:rPr>
          <w:b/>
          <w:sz w:val="28"/>
          <w:szCs w:val="28"/>
          <w:u w:val="single"/>
          <w:lang w:val="en-GB" w:eastAsia="en-GB"/>
        </w:rPr>
        <w:t>METHODS</w:t>
      </w:r>
    </w:p>
    <w:p w:rsidR="00D52D27" w:rsidRDefault="00D52D27" w:rsidP="00D52D27">
      <w:pPr>
        <w:jc w:val="both"/>
        <w:rPr>
          <w:lang w:val="en-GB" w:eastAsia="en-GB"/>
        </w:rPr>
      </w:pPr>
      <w:r>
        <w:rPr>
          <w:lang w:val="en-GB" w:eastAsia="en-GB"/>
        </w:rPr>
        <w:t xml:space="preserve">The research was undertaken in three stages during 2013 - 2014. </w:t>
      </w:r>
    </w:p>
    <w:p w:rsidR="00D52D27" w:rsidRDefault="00D52D27" w:rsidP="00D52D27">
      <w:pPr>
        <w:jc w:val="both"/>
        <w:rPr>
          <w:b/>
          <w:lang w:val="en-GB" w:eastAsia="en-GB"/>
        </w:rPr>
      </w:pPr>
    </w:p>
    <w:p w:rsidR="00D52D27" w:rsidRDefault="00D52D27" w:rsidP="00D52D27">
      <w:pPr>
        <w:jc w:val="both"/>
        <w:rPr>
          <w:lang w:val="en-GB" w:eastAsia="en-GB"/>
        </w:rPr>
      </w:pPr>
      <w:r>
        <w:rPr>
          <w:b/>
          <w:lang w:val="en-GB" w:eastAsia="en-GB"/>
        </w:rPr>
        <w:t>Stage 1)</w:t>
      </w:r>
      <w:r>
        <w:rPr>
          <w:lang w:val="en-GB" w:eastAsia="en-GB"/>
        </w:rPr>
        <w:t xml:space="preserve"> An overview of two decades’ provision, considering successes, challenges,  development, and uptake; links to relevant Welsh Government policy;  and, comparisons of progression and approach in UK, Ireland, Malta and USA using desktop research and interviews/questionnaires with International Eco-Schools Project Officers.</w:t>
      </w:r>
    </w:p>
    <w:p w:rsidR="00D52D27" w:rsidRDefault="00D52D27" w:rsidP="00D52D27">
      <w:pPr>
        <w:jc w:val="both"/>
        <w:rPr>
          <w:lang w:val="en-GB" w:eastAsia="en-GB"/>
        </w:rPr>
      </w:pPr>
    </w:p>
    <w:p w:rsidR="00D52D27" w:rsidRDefault="00D52D27" w:rsidP="00D52D27">
      <w:pPr>
        <w:jc w:val="both"/>
        <w:rPr>
          <w:lang w:val="en-GB" w:eastAsia="en-GB"/>
        </w:rPr>
      </w:pPr>
      <w:r>
        <w:rPr>
          <w:b/>
          <w:lang w:val="en-GB" w:eastAsia="en-GB"/>
        </w:rPr>
        <w:t>Stage 2)</w:t>
      </w:r>
      <w:r>
        <w:rPr>
          <w:lang w:val="en-GB" w:eastAsia="en-GB"/>
        </w:rPr>
        <w:t xml:space="preserve"> An investigation of the direct impact of the Eco-Schools programme on pupils, teachers, governors, parents and wider community; and, its impact on delivering the curriculum and other key WG agendas/policies, particularly Learning, Child Poverty, Sustainable Living, Health and Wellbeing.  The methodology consisted of questionnaires sent to schools and interviews undertaken with key stakeholders and participants, including parents, school children, governors, teaching staff, and non-teaching school staff. </w:t>
      </w:r>
    </w:p>
    <w:p w:rsidR="00D52D27" w:rsidRDefault="00D52D27" w:rsidP="00D52D27">
      <w:pPr>
        <w:jc w:val="both"/>
        <w:rPr>
          <w:lang w:val="en-GB" w:eastAsia="en-GB"/>
        </w:rPr>
      </w:pPr>
      <w:r>
        <w:rPr>
          <w:lang w:val="en-GB" w:eastAsia="en-GB"/>
        </w:rPr>
        <w:t xml:space="preserve"> </w:t>
      </w:r>
    </w:p>
    <w:p w:rsidR="00D52D27" w:rsidRDefault="00D52D27" w:rsidP="00D52D27">
      <w:pPr>
        <w:jc w:val="both"/>
        <w:rPr>
          <w:lang w:val="en-GB" w:eastAsia="en-GB"/>
        </w:rPr>
      </w:pPr>
      <w:r>
        <w:rPr>
          <w:b/>
          <w:lang w:val="en-GB" w:eastAsia="en-GB"/>
        </w:rPr>
        <w:t>Stage 3)</w:t>
      </w:r>
      <w:r>
        <w:rPr>
          <w:lang w:val="en-GB" w:eastAsia="en-GB"/>
        </w:rPr>
        <w:t xml:space="preserve"> A review of existing monitoring systems and further development of recommended monitoring arrangements for the 8 Topic Areas which can easily be incorporated within the day to day running of the programme.  Methodology included gathering feedback by semi-structured interviews and questionnaires of the recommended monitoring arrangements with a sample of flagship schools to review.</w:t>
      </w:r>
    </w:p>
    <w:p w:rsidR="00D52D27" w:rsidRDefault="00D52D27" w:rsidP="00D52D27">
      <w:pPr>
        <w:jc w:val="both"/>
        <w:rPr>
          <w:lang w:val="en-GB" w:eastAsia="en-GB"/>
        </w:rPr>
      </w:pPr>
    </w:p>
    <w:p w:rsidR="00D52D27" w:rsidRDefault="00D52D27" w:rsidP="00D52D27">
      <w:pPr>
        <w:jc w:val="both"/>
        <w:rPr>
          <w:b/>
          <w:sz w:val="28"/>
          <w:szCs w:val="28"/>
          <w:u w:val="single"/>
          <w:lang w:val="en-GB" w:eastAsia="en-GB"/>
        </w:rPr>
      </w:pPr>
      <w:r>
        <w:rPr>
          <w:b/>
          <w:sz w:val="28"/>
          <w:szCs w:val="28"/>
          <w:u w:val="single"/>
          <w:lang w:val="en-GB" w:eastAsia="en-GB"/>
        </w:rPr>
        <w:t>KEY FINDINGS</w:t>
      </w:r>
    </w:p>
    <w:p w:rsidR="00D52D27" w:rsidRDefault="00D52D27" w:rsidP="00D52D27">
      <w:pPr>
        <w:jc w:val="both"/>
        <w:rPr>
          <w:lang w:val="en-GB" w:eastAsia="en-GB"/>
        </w:rPr>
      </w:pPr>
    </w:p>
    <w:p w:rsidR="00D52D27" w:rsidRDefault="00D52D27" w:rsidP="00D52D27">
      <w:pPr>
        <w:jc w:val="both"/>
        <w:rPr>
          <w:lang w:val="en-GB" w:eastAsia="en-GB"/>
        </w:rPr>
      </w:pPr>
      <w:r>
        <w:rPr>
          <w:lang w:val="en-GB" w:eastAsia="en-GB"/>
        </w:rPr>
        <w:t xml:space="preserve">Of the 52 countries participating, Wales is one of the most successful Eco-Schools programmes internationally. Wales has 8% of the global total of Green Flags, and 430,000 children are in schools that are registered on the programme. There is still considerable potential for reaching yet more teachers, children and households.  By comparing the programme in Wales with those in other countries, it is evident that the key to its success is the Project Officers who deliver direct support to schools as well as Green Flag and Platinum Award assessment site visits.  </w:t>
      </w:r>
    </w:p>
    <w:p w:rsidR="00D52D27" w:rsidRDefault="00D52D27" w:rsidP="00D52D27">
      <w:pPr>
        <w:jc w:val="both"/>
        <w:rPr>
          <w:lang w:val="en-GB" w:eastAsia="en-GB"/>
        </w:rPr>
      </w:pPr>
    </w:p>
    <w:p w:rsidR="00D52D27" w:rsidRDefault="00D52D27" w:rsidP="00D52D27">
      <w:pPr>
        <w:jc w:val="both"/>
        <w:rPr>
          <w:b/>
          <w:lang w:val="en-GB" w:eastAsia="en-GB"/>
        </w:rPr>
      </w:pPr>
      <w:r>
        <w:rPr>
          <w:lang w:val="en-GB" w:eastAsia="en-GB"/>
        </w:rPr>
        <w:t>Much has been achieved since its commencement, and the programme is an effective means for delivering key WG agendas/policies, particularly Learning, Child Poverty, Sustainable Living, Climate Change, and Health and Wellbeing.  It is evident that the programme has strong social, economic and environmental impact across Wales.</w:t>
      </w:r>
    </w:p>
    <w:p w:rsidR="00D52D27" w:rsidRDefault="00D52D27" w:rsidP="00D52D27">
      <w:pPr>
        <w:jc w:val="both"/>
        <w:rPr>
          <w:lang w:val="en-GB" w:eastAsia="en-GB"/>
        </w:rPr>
      </w:pPr>
    </w:p>
    <w:p w:rsidR="00D52D27" w:rsidRDefault="00D52D27" w:rsidP="00D52D27">
      <w:pPr>
        <w:jc w:val="both"/>
        <w:rPr>
          <w:b/>
          <w:lang w:val="en-GB" w:eastAsia="en-GB"/>
        </w:rPr>
      </w:pPr>
      <w:r>
        <w:rPr>
          <w:b/>
          <w:lang w:val="en-GB" w:eastAsia="en-GB"/>
        </w:rPr>
        <w:t>SOCIO-ECONOMIC IMPACT</w:t>
      </w:r>
    </w:p>
    <w:p w:rsidR="00D52D27" w:rsidRDefault="00D52D27" w:rsidP="00D52D27">
      <w:pPr>
        <w:jc w:val="both"/>
        <w:rPr>
          <w:lang w:val="en-GB" w:eastAsia="en-GB"/>
        </w:rPr>
      </w:pPr>
      <w:r>
        <w:rPr>
          <w:lang w:val="en-GB" w:eastAsia="en-GB"/>
        </w:rPr>
        <w:t xml:space="preserve">This review found that Eco-Schools provides participative opportunities for those facing social and economic deprivation across Wales.  Teachers reported an increase in positive social and economic effects on whole families and communities by the transference of skills and learning to the wider community and the opportunities it afforded pupils to participate and feel empowered for change.  The ethos of the programme lends itself to inclusion with roles for all ages and abilities, and opportunities to work within the local community whilst learning about the global community.  </w:t>
      </w:r>
    </w:p>
    <w:p w:rsidR="00D52D27" w:rsidRDefault="00D52D27" w:rsidP="00D52D27">
      <w:pPr>
        <w:jc w:val="both"/>
        <w:rPr>
          <w:lang w:val="en-GB" w:eastAsia="en-GB"/>
        </w:rPr>
      </w:pPr>
    </w:p>
    <w:p w:rsidR="00D52D27" w:rsidRDefault="00D52D27" w:rsidP="00D52D27">
      <w:pPr>
        <w:jc w:val="both"/>
        <w:rPr>
          <w:b/>
          <w:lang w:val="en-GB" w:eastAsia="en-GB"/>
        </w:rPr>
      </w:pPr>
      <w:r>
        <w:rPr>
          <w:b/>
          <w:lang w:val="en-GB" w:eastAsia="en-GB"/>
        </w:rPr>
        <w:t>IMPACT ON EDUCATION</w:t>
      </w:r>
    </w:p>
    <w:p w:rsidR="00D52D27" w:rsidRDefault="00D52D27" w:rsidP="00D52D27">
      <w:pPr>
        <w:jc w:val="both"/>
        <w:rPr>
          <w:b/>
          <w:lang w:val="en-GB" w:eastAsia="en-GB"/>
        </w:rPr>
      </w:pPr>
      <w:r>
        <w:rPr>
          <w:b/>
          <w:lang w:val="en-GB" w:eastAsia="en-GB"/>
        </w:rPr>
        <w:t>Lifelong Learning and Wider Skills Development</w:t>
      </w:r>
    </w:p>
    <w:p w:rsidR="00D52D27" w:rsidRDefault="00D52D27" w:rsidP="00D52D27">
      <w:pPr>
        <w:jc w:val="both"/>
        <w:rPr>
          <w:lang w:val="en-GB" w:eastAsia="en-GB"/>
        </w:rPr>
      </w:pPr>
      <w:r>
        <w:rPr>
          <w:lang w:val="en-GB" w:eastAsia="en-GB"/>
        </w:rPr>
        <w:t>Additionally, the programme provides practical education for lifestyle change, including learning how to save money by conserving energy and how to improve health and well-being. Eco-Schools was found to provide multiple opportunities for engagement in learning and wider skills development, not only for students but for their families and communities.  The programme stimulates community involvement and skill sharing, provides ‘real-life’ learning through problem solving and project-based activities, and can be easily adapted to all ages and abilities.  Several schools provided examples of community members of all ages participating and gaining benefits from inclusion in the programme, including opportunities to acquire skills essential for future employment.</w:t>
      </w:r>
    </w:p>
    <w:p w:rsidR="00D52D27" w:rsidRDefault="00D52D27" w:rsidP="00D52D27">
      <w:pPr>
        <w:jc w:val="both"/>
        <w:rPr>
          <w:lang w:val="en-GB" w:eastAsia="en-GB"/>
        </w:rPr>
      </w:pPr>
    </w:p>
    <w:p w:rsidR="00D52D27" w:rsidRDefault="00D52D27" w:rsidP="00D52D27">
      <w:pPr>
        <w:jc w:val="both"/>
        <w:rPr>
          <w:b/>
          <w:lang w:val="en-GB" w:eastAsia="en-GB"/>
        </w:rPr>
      </w:pPr>
      <w:r>
        <w:rPr>
          <w:b/>
          <w:lang w:val="en-GB" w:eastAsia="en-GB"/>
        </w:rPr>
        <w:t>Curriculum and Key Skills Delivery</w:t>
      </w:r>
    </w:p>
    <w:p w:rsidR="00D52D27" w:rsidRDefault="00D52D27" w:rsidP="00D52D27">
      <w:pPr>
        <w:jc w:val="both"/>
        <w:rPr>
          <w:lang w:val="en-GB" w:eastAsia="en-GB"/>
        </w:rPr>
      </w:pPr>
      <w:r>
        <w:rPr>
          <w:lang w:val="en-GB" w:eastAsia="en-GB"/>
        </w:rPr>
        <w:t xml:space="preserve">The programme is well suited to deliver literacy and numeracy aims across subject areas, as well as ESDGC, at all levels of learning. The majority of teachers at primary school level and in special education schools interviewed are able to deliver the programme with a whole school, cross curricular approach which supports learning and development.  Some secondary schools in Wales use the programme within several subjects such as science, mathematics, design and technology, PSE and geography, bringing those areas to life with ‘real-world’ learning; there remains potential for greater cross-subject delivery, for the programme to deliver aims of the Welsh Baccalaureate, and for all ages within Key Stages 3 &amp; 4 to be engaged.    </w:t>
      </w:r>
    </w:p>
    <w:p w:rsidR="00D52D27" w:rsidRDefault="00D52D27" w:rsidP="00D52D27">
      <w:pPr>
        <w:jc w:val="both"/>
        <w:rPr>
          <w:lang w:val="en-GB" w:eastAsia="en-GB"/>
        </w:rPr>
      </w:pPr>
    </w:p>
    <w:p w:rsidR="00D52D27" w:rsidRDefault="00D52D27" w:rsidP="00D52D27">
      <w:pPr>
        <w:jc w:val="both"/>
        <w:rPr>
          <w:b/>
          <w:lang w:val="en-GB" w:eastAsia="en-GB"/>
        </w:rPr>
      </w:pPr>
      <w:r>
        <w:rPr>
          <w:b/>
          <w:lang w:val="en-GB" w:eastAsia="en-GB"/>
        </w:rPr>
        <w:t>ENVIRONMENTAL IMPACT</w:t>
      </w:r>
    </w:p>
    <w:p w:rsidR="00D52D27" w:rsidRDefault="00D52D27" w:rsidP="00D52D27">
      <w:pPr>
        <w:jc w:val="both"/>
        <w:rPr>
          <w:lang w:val="en-GB" w:eastAsia="en-GB"/>
        </w:rPr>
      </w:pPr>
      <w:r>
        <w:rPr>
          <w:lang w:val="en-GB" w:eastAsia="en-GB"/>
        </w:rPr>
        <w:t xml:space="preserve">It was observed that the programme made a significant contribution to the aims of sustainability by targeting climate change, biodiversity, waste minimization, litter, transport, water and energy, local and global citizenship.   Most schools indicated that they were having an improved environmental impact, which they attributed to the programme.  As there is a gap in uniform quantitative evidence to demonstrate impact across Wales, monitoring and evaluation were investigated more fully in Stage 3 and recommendations made to better support schools in recording their activities and impact. </w:t>
      </w: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sz w:val="28"/>
          <w:szCs w:val="28"/>
          <w:lang w:val="en-GB" w:eastAsia="en-GB"/>
        </w:rPr>
      </w:pPr>
      <w:r>
        <w:rPr>
          <w:b/>
          <w:sz w:val="28"/>
          <w:szCs w:val="28"/>
          <w:u w:val="single"/>
          <w:lang w:val="en-GB" w:eastAsia="en-GB"/>
        </w:rPr>
        <w:t>RECOMMENDATIONS</w:t>
      </w:r>
      <w:r>
        <w:rPr>
          <w:sz w:val="28"/>
          <w:szCs w:val="28"/>
          <w:lang w:val="en-GB" w:eastAsia="en-GB"/>
        </w:rPr>
        <w:t xml:space="preserve"> </w:t>
      </w:r>
    </w:p>
    <w:p w:rsidR="00D52D27" w:rsidRDefault="00D52D27" w:rsidP="00D52D27">
      <w:pPr>
        <w:jc w:val="both"/>
        <w:rPr>
          <w:lang w:val="en-GB" w:eastAsia="en-GB"/>
        </w:rPr>
      </w:pPr>
    </w:p>
    <w:p w:rsidR="00D52D27" w:rsidRDefault="00D52D27" w:rsidP="00D52D27">
      <w:pPr>
        <w:jc w:val="both"/>
        <w:rPr>
          <w:lang w:val="en-GB" w:eastAsia="en-GB"/>
        </w:rPr>
      </w:pPr>
      <w:r>
        <w:rPr>
          <w:lang w:val="en-GB" w:eastAsia="en-GB"/>
        </w:rPr>
        <w:t>Wales has the potential to be an international example of Best Practice, if multiple stakeholders provide support.  Considering the cost effectiveness of the programme to deliver multiple agendas and policy aims, a stronger lead from local and national government is needed, acknowledging the role that Eco-Schools can play in Tackling Poverty, supporting Sustainability, Healthy Living, ESDGC and Literacy and Numeracy Frameworks. Specific support is identified below in recognition of the impact the programme can have on home and school environments, and the long-term benefits of participation in education for sustainability: empowerment, lifelong learning, and sense of achievement for pupils and their communities.</w:t>
      </w:r>
    </w:p>
    <w:p w:rsidR="00D52D27" w:rsidRDefault="00D52D27" w:rsidP="00D52D27">
      <w:pPr>
        <w:jc w:val="both"/>
        <w:rPr>
          <w:lang w:val="en-GB" w:eastAsia="en-GB"/>
        </w:rPr>
      </w:pPr>
      <w:r>
        <w:rPr>
          <w:lang w:val="en-GB" w:eastAsia="en-GB"/>
        </w:rPr>
        <w:t>It is crucial that Project Officers are well supported to deliver the programme, as direct contact with Project Officers is shown to be essential for engagement, learning and achievement.  It is also imperative to develop efficient resources, improve information dissemination, and increase training and networking to ensure that significant social, economic and environmental benefits are sustained, increased, and can be measured.</w:t>
      </w:r>
    </w:p>
    <w:p w:rsidR="00D52D27" w:rsidRDefault="00D52D27" w:rsidP="00D52D27">
      <w:pPr>
        <w:spacing w:after="200" w:line="276" w:lineRule="auto"/>
        <w:jc w:val="center"/>
        <w:rPr>
          <w:rFonts w:eastAsiaTheme="minorHAnsi"/>
          <w:b/>
          <w:sz w:val="28"/>
          <w:szCs w:val="28"/>
          <w:u w:val="single"/>
          <w:lang w:val="en-GB"/>
        </w:rPr>
      </w:pPr>
      <w:r>
        <w:rPr>
          <w:rFonts w:eastAsiaTheme="minorHAnsi"/>
          <w:b/>
          <w:sz w:val="28"/>
          <w:szCs w:val="28"/>
          <w:u w:val="single"/>
          <w:lang w:val="en-GB"/>
        </w:rPr>
        <w:t>RECOMMENDATIONS</w:t>
      </w:r>
    </w:p>
    <w:p w:rsidR="00D52D27" w:rsidRDefault="00D52D27" w:rsidP="00D52D27">
      <w:pPr>
        <w:jc w:val="both"/>
        <w:rPr>
          <w:lang w:val="en-GB"/>
        </w:rPr>
      </w:pPr>
      <w:r>
        <w:rPr>
          <w:lang w:val="en-GB"/>
        </w:rPr>
        <w:t>The following table presents recommendations for</w:t>
      </w:r>
      <w:r>
        <w:rPr>
          <w:b/>
          <w:lang w:val="en-GB"/>
        </w:rPr>
        <w:t xml:space="preserve"> Welsh Government (G), Local Authority Government (L), Natural Resources Wales (N), Estyn (E), Waste Awareness Wales (W), Foundation for Environmental Education (FEE), and Keep Wales Tidy (K) </w:t>
      </w:r>
      <w:r>
        <w:rPr>
          <w:lang w:val="en-GB"/>
        </w:rPr>
        <w:t>in order to ensure continued growth and success of the programme in Wales.</w:t>
      </w:r>
    </w:p>
    <w:p w:rsidR="00D52D27" w:rsidRDefault="00D52D27" w:rsidP="00D52D27">
      <w:pPr>
        <w:jc w:val="both"/>
        <w:rPr>
          <w:lang w:val="en-GB"/>
        </w:rPr>
      </w:pPr>
    </w:p>
    <w:tbl>
      <w:tblPr>
        <w:tblW w:w="84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4395"/>
      </w:tblGrid>
      <w:tr w:rsidR="00D52D27" w:rsidTr="00D52D27">
        <w:tc>
          <w:tcPr>
            <w:tcW w:w="4077" w:type="dxa"/>
            <w:tcBorders>
              <w:top w:val="single" w:sz="4" w:space="0" w:color="auto"/>
              <w:left w:val="single" w:sz="4" w:space="0" w:color="auto"/>
              <w:bottom w:val="single" w:sz="4" w:space="0" w:color="auto"/>
              <w:right w:val="single" w:sz="4" w:space="0" w:color="auto"/>
            </w:tcBorders>
            <w:shd w:val="clear" w:color="auto" w:fill="BFBFBF"/>
            <w:hideMark/>
          </w:tcPr>
          <w:p w:rsidR="00D52D27" w:rsidRDefault="00D52D27">
            <w:pPr>
              <w:jc w:val="both"/>
              <w:rPr>
                <w:b/>
                <w:lang w:val="en-GB"/>
              </w:rPr>
            </w:pPr>
            <w:r>
              <w:rPr>
                <w:b/>
                <w:lang w:val="en-GB"/>
              </w:rPr>
              <w:t xml:space="preserve">Recommendation </w:t>
            </w:r>
          </w:p>
          <w:p w:rsidR="00D52D27" w:rsidRDefault="00D52D27">
            <w:pPr>
              <w:jc w:val="both"/>
              <w:rPr>
                <w:lang w:val="en-GB"/>
              </w:rPr>
            </w:pPr>
            <w:r>
              <w:rPr>
                <w:b/>
                <w:lang w:val="en-GB"/>
              </w:rPr>
              <w:t>for Government (with link to specific Department)</w:t>
            </w:r>
          </w:p>
        </w:tc>
        <w:tc>
          <w:tcPr>
            <w:tcW w:w="4395" w:type="dxa"/>
            <w:tcBorders>
              <w:top w:val="single" w:sz="4" w:space="0" w:color="auto"/>
              <w:left w:val="single" w:sz="4" w:space="0" w:color="auto"/>
              <w:bottom w:val="single" w:sz="4" w:space="0" w:color="auto"/>
              <w:right w:val="single" w:sz="4" w:space="0" w:color="auto"/>
            </w:tcBorders>
            <w:shd w:val="clear" w:color="auto" w:fill="BFBFBF"/>
          </w:tcPr>
          <w:p w:rsidR="00D52D27" w:rsidRDefault="00D52D27">
            <w:pPr>
              <w:jc w:val="both"/>
              <w:rPr>
                <w:b/>
                <w:lang w:val="en-GB"/>
              </w:rPr>
            </w:pPr>
            <w:r>
              <w:rPr>
                <w:b/>
                <w:lang w:val="en-GB"/>
              </w:rPr>
              <w:t xml:space="preserve">Justification for Recommendation (cross-referenced to example sections of report). </w:t>
            </w:r>
          </w:p>
          <w:p w:rsidR="00D52D27" w:rsidRDefault="00D52D27">
            <w:pPr>
              <w:jc w:val="both"/>
              <w:rPr>
                <w:b/>
                <w:lang w:val="en-GB"/>
              </w:rPr>
            </w:pPr>
          </w:p>
          <w:p w:rsidR="00D52D27" w:rsidRDefault="00D52D27">
            <w:pPr>
              <w:jc w:val="both"/>
              <w:rPr>
                <w:lang w:val="en-GB"/>
              </w:rPr>
            </w:pPr>
            <w:r>
              <w:rPr>
                <w:b/>
                <w:lang w:val="en-GB"/>
              </w:rPr>
              <w:t>Potential Impact for the Programme to build on existing success.</w:t>
            </w: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b/>
                <w:lang w:val="en-GB"/>
              </w:rPr>
            </w:pPr>
            <w:r>
              <w:rPr>
                <w:b/>
                <w:lang w:val="en-GB"/>
              </w:rPr>
              <w:t>G1.</w:t>
            </w:r>
            <w:r>
              <w:rPr>
                <w:lang w:val="en-GB"/>
              </w:rPr>
              <w:t xml:space="preserve"> Enable funding to sustain and potentially increase the number of Project Officers and the resources and training they can provide to schools. (Natural Resources and Food).</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Evidence presented that: a) direct contact with Project Officers is pivotal for client confidence and progression through the awards </w:t>
            </w:r>
            <w:r>
              <w:rPr>
                <w:b/>
                <w:lang w:val="en-GB"/>
              </w:rPr>
              <w:t>(3.1.2c)</w:t>
            </w:r>
            <w:r>
              <w:rPr>
                <w:lang w:val="en-GB"/>
              </w:rPr>
              <w:t>;</w:t>
            </w:r>
          </w:p>
          <w:p w:rsidR="00D52D27" w:rsidRDefault="00D52D27">
            <w:pPr>
              <w:jc w:val="both"/>
              <w:rPr>
                <w:b/>
                <w:lang w:val="en-GB"/>
              </w:rPr>
            </w:pPr>
            <w:r>
              <w:rPr>
                <w:lang w:val="en-GB"/>
              </w:rPr>
              <w:t xml:space="preserve">b) current lack of time restricts the amount of support available to schools </w:t>
            </w:r>
            <w:r>
              <w:rPr>
                <w:b/>
                <w:lang w:val="en-GB"/>
              </w:rPr>
              <w:t>(3.2.3b; 3.2.2).</w:t>
            </w:r>
          </w:p>
          <w:p w:rsidR="00D52D27" w:rsidRDefault="00D52D27">
            <w:pPr>
              <w:jc w:val="both"/>
              <w:rPr>
                <w:color w:val="4F81BD"/>
                <w:lang w:val="en-GB"/>
              </w:rPr>
            </w:pPr>
            <w:r>
              <w:rPr>
                <w:lang w:val="en-GB"/>
              </w:rPr>
              <w:t>c) schools need direct support for monitoring and evaluation</w:t>
            </w:r>
            <w:r>
              <w:rPr>
                <w:b/>
                <w:lang w:val="en-GB"/>
              </w:rPr>
              <w:t xml:space="preserve"> (3.3.1b; 3.3.2).</w:t>
            </w:r>
          </w:p>
          <w:p w:rsidR="00D52D27" w:rsidRDefault="00D52D27">
            <w:pPr>
              <w:jc w:val="both"/>
              <w:rPr>
                <w:lang w:val="en-GB"/>
              </w:rPr>
            </w:pPr>
          </w:p>
          <w:p w:rsidR="00D52D27" w:rsidRDefault="00D52D27">
            <w:pPr>
              <w:jc w:val="both"/>
              <w:rPr>
                <w:color w:val="4F81BD"/>
                <w:lang w:val="en-GB"/>
              </w:rPr>
            </w:pPr>
            <w:r>
              <w:rPr>
                <w:lang w:val="en-GB"/>
              </w:rPr>
              <w:t>Additional time/staff for direct communication, support and training would increase teachers’ confidence and engagement in using the Programme to deliver both sustainability and curriculum aims.</w:t>
            </w: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G2.</w:t>
            </w:r>
            <w:r>
              <w:rPr>
                <w:lang w:val="en-GB"/>
              </w:rPr>
              <w:t xml:space="preserve"> Sustain and raise the profile of Eco-Schools within Government, demonstrating the success and potential for Eco-Schools to deliver agenda for Sustainability, Health and Well-being, Education for Sustainable Development and Global Citizenship, Tackle Poverty, Increase Social Inclusion and other relevant policies. (Cross-Government departments).</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 xml:space="preserve">The Programme benefits education and engagement, and was found to deliver direct social, environmental, economic and educational benefits for pupils, staff, families and communities </w:t>
            </w:r>
            <w:r>
              <w:rPr>
                <w:b/>
                <w:lang w:val="en-GB"/>
              </w:rPr>
              <w:t>(3.1.2d, 3.1.4, 3.2.5, 3.2.7b)</w:t>
            </w:r>
            <w:r>
              <w:rPr>
                <w:lang w:val="en-GB"/>
              </w:rPr>
              <w:t>.</w:t>
            </w:r>
          </w:p>
          <w:p w:rsidR="00D52D27" w:rsidRDefault="00D52D27">
            <w:pPr>
              <w:jc w:val="both"/>
              <w:rPr>
                <w:lang w:val="en-GB"/>
              </w:rPr>
            </w:pPr>
          </w:p>
          <w:p w:rsidR="00D52D27" w:rsidRDefault="00D52D27">
            <w:pPr>
              <w:jc w:val="both"/>
              <w:rPr>
                <w:lang w:val="en-GB"/>
              </w:rPr>
            </w:pPr>
          </w:p>
          <w:p w:rsidR="00D52D27" w:rsidRDefault="00D52D27">
            <w:pPr>
              <w:jc w:val="both"/>
              <w:rPr>
                <w:lang w:val="en-GB"/>
              </w:rPr>
            </w:pPr>
            <w:r>
              <w:rPr>
                <w:lang w:val="en-GB" w:eastAsia="en-GB"/>
              </w:rPr>
              <w:t>The Programme has the potential to reach every child, their family and community in Wales.  More support would a) increase numbers of schools getting involved, sustaining engagement and embedding the ethos; (b) provide more children and young people with meaningful learning experiences, including an increase in participation, well-being,  empowerment and academic achievement (c) enable the Programme to achieve even more impact on the environment and conserving natural resources.</w:t>
            </w: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G3.</w:t>
            </w:r>
            <w:r>
              <w:rPr>
                <w:lang w:val="en-GB"/>
              </w:rPr>
              <w:t xml:space="preserve"> In addition to the funding from the Natural Resources and Food department, support should also be received from the Education department in view of the learning developed through the Programme, to further support the delivery of targets relating to literacy, numeracy and ESDGC. (Cross-Government departments).</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Evidence presented of the links to ESDGC, literacy and numeracy across the curriculum, yet many schools, secondary schools in particular, are unaware of the opportunities the Programme provides </w:t>
            </w:r>
            <w:r>
              <w:rPr>
                <w:b/>
                <w:lang w:val="en-GB"/>
              </w:rPr>
              <w:t>(3.1.4, 3.2.5a, 3.2.7a)</w:t>
            </w:r>
            <w:r>
              <w:rPr>
                <w:lang w:val="en-GB"/>
              </w:rPr>
              <w:t xml:space="preserve"> Teachers requested more resources to enable them to deliver the programme, to increase awareness of links to NLNF and ESDGC, and to better monitor and evaluate </w:t>
            </w:r>
            <w:r>
              <w:rPr>
                <w:b/>
                <w:lang w:val="en-GB"/>
              </w:rPr>
              <w:t>(3.2.6b, 3.3.1, 3.3.2)</w:t>
            </w:r>
            <w:r>
              <w:rPr>
                <w:lang w:val="en-GB"/>
              </w:rPr>
              <w:t>.</w:t>
            </w:r>
          </w:p>
          <w:p w:rsidR="00D52D27" w:rsidRDefault="00D52D27">
            <w:pPr>
              <w:jc w:val="both"/>
              <w:rPr>
                <w:lang w:val="en-GB"/>
              </w:rPr>
            </w:pPr>
          </w:p>
          <w:p w:rsidR="00D52D27" w:rsidRDefault="00D52D27">
            <w:pPr>
              <w:jc w:val="both"/>
              <w:rPr>
                <w:lang w:val="en-GB"/>
              </w:rPr>
            </w:pPr>
          </w:p>
          <w:p w:rsidR="00D52D27" w:rsidRDefault="00D52D27">
            <w:pPr>
              <w:jc w:val="both"/>
              <w:rPr>
                <w:lang w:val="en-GB"/>
              </w:rPr>
            </w:pPr>
            <w:r>
              <w:rPr>
                <w:lang w:val="en-GB"/>
              </w:rPr>
              <w:t>To fully embed ESDGC and literacy and numeracy into each area of the curriculum, particularly in secondary schools, additional funding could enable KWT to add to the existing bank of curriculum resources plus potentially provide more funded training in curriculum links.</w:t>
            </w: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color w:val="FF0000"/>
                <w:lang w:val="en-GB"/>
              </w:rPr>
            </w:pPr>
            <w:r>
              <w:rPr>
                <w:b/>
                <w:lang w:val="en-GB"/>
              </w:rPr>
              <w:t>G4.</w:t>
            </w:r>
            <w:r>
              <w:rPr>
                <w:lang w:val="en-GB"/>
              </w:rPr>
              <w:t xml:space="preserve"> Increase communication between government departments, local authorities and the third sector, thus enabling an integrated approach to Sustainable Development.</w:t>
            </w:r>
            <w:r>
              <w:rPr>
                <w:color w:val="FF0000"/>
                <w:lang w:val="en-GB"/>
              </w:rPr>
              <w:t xml:space="preserve"> </w:t>
            </w:r>
            <w:r>
              <w:rPr>
                <w:lang w:val="en-GB"/>
              </w:rPr>
              <w:t>(Natural Resources and Food; Education and Skills; Community and Tackling Poverty).</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Sustainable Development is underpinned by cooperation, and partnerships have been shown to increase the benefits of the Programme </w:t>
            </w:r>
            <w:r>
              <w:rPr>
                <w:b/>
                <w:lang w:val="en-GB"/>
              </w:rPr>
              <w:t>(3.1.3)</w:t>
            </w:r>
            <w:r>
              <w:rPr>
                <w:lang w:val="en-GB"/>
              </w:rPr>
              <w:t xml:space="preserve">. The Programme has cross-agency benefits </w:t>
            </w:r>
            <w:r>
              <w:rPr>
                <w:b/>
                <w:lang w:val="en-GB"/>
              </w:rPr>
              <w:t>(3.1.4, 3.2.7,3.3.1)</w:t>
            </w:r>
            <w:r>
              <w:rPr>
                <w:lang w:val="en-GB"/>
              </w:rPr>
              <w:t>.</w:t>
            </w:r>
          </w:p>
          <w:p w:rsidR="00D52D27" w:rsidRDefault="00D52D27">
            <w:pPr>
              <w:jc w:val="both"/>
              <w:rPr>
                <w:lang w:val="en-GB"/>
              </w:rPr>
            </w:pPr>
          </w:p>
          <w:p w:rsidR="00D52D27" w:rsidRDefault="00D52D27">
            <w:pPr>
              <w:jc w:val="both"/>
              <w:rPr>
                <w:lang w:val="en-GB"/>
              </w:rPr>
            </w:pPr>
            <w:r>
              <w:rPr>
                <w:lang w:val="en-GB"/>
              </w:rPr>
              <w:t>Development of a coordinated, partnership-focused, joined up approach would further support the potential for teaching staff, pupils and wider community gaining an understanding of sustainability and being able to evidence through documented monitoring and evaluation.</w:t>
            </w: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t>G5</w:t>
            </w:r>
            <w:r>
              <w:rPr>
                <w:lang w:val="en-GB"/>
              </w:rPr>
              <w:t xml:space="preserve">. Working with the WLGA, find ways to motivate Local Authorities so that they can best support schools to increase their positive environmental impact. </w:t>
            </w:r>
          </w:p>
          <w:p w:rsidR="00D52D27" w:rsidRDefault="00D52D27">
            <w:pPr>
              <w:jc w:val="both"/>
              <w:rPr>
                <w:lang w:val="en-GB"/>
              </w:rPr>
            </w:pPr>
          </w:p>
          <w:p w:rsidR="00D52D27" w:rsidRDefault="00D52D27">
            <w:pPr>
              <w:jc w:val="both"/>
              <w:rPr>
                <w:lang w:val="en-GB"/>
              </w:rPr>
            </w:pPr>
            <w:r>
              <w:rPr>
                <w:lang w:val="en-GB"/>
              </w:rPr>
              <w:t xml:space="preserve">For example, encourage Local Authorities to arrange smart meters to be installed in every school and to provide suitable waste collection. </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School staff feedback indicated inability to monitor energy and water use, due to inaccessible meters; and, recycling efforts often hampered by LA </w:t>
            </w:r>
            <w:r>
              <w:rPr>
                <w:b/>
                <w:lang w:val="en-GB"/>
              </w:rPr>
              <w:t>(3.2.4a, 3.3.1b).</w:t>
            </w:r>
            <w:r>
              <w:rPr>
                <w:lang w:val="en-GB"/>
              </w:rPr>
              <w:t xml:space="preserve"> </w:t>
            </w:r>
          </w:p>
          <w:p w:rsidR="00D52D27" w:rsidRDefault="00D52D27">
            <w:pPr>
              <w:jc w:val="both"/>
              <w:rPr>
                <w:lang w:val="en-GB"/>
              </w:rPr>
            </w:pPr>
            <w:r>
              <w:rPr>
                <w:lang w:val="en-GB"/>
              </w:rPr>
              <w:t xml:space="preserve"> Local Authority support showed an increase potential positive environmental impact </w:t>
            </w:r>
            <w:r>
              <w:rPr>
                <w:b/>
                <w:lang w:val="en-GB"/>
              </w:rPr>
              <w:t>(3.2.4e, 3.3.1b)</w:t>
            </w:r>
            <w:r>
              <w:rPr>
                <w:lang w:val="en-GB"/>
              </w:rPr>
              <w:t>.</w:t>
            </w:r>
          </w:p>
          <w:p w:rsidR="00D52D27" w:rsidRDefault="00D52D27">
            <w:pPr>
              <w:jc w:val="both"/>
              <w:rPr>
                <w:lang w:val="en-GB"/>
              </w:rPr>
            </w:pPr>
          </w:p>
          <w:p w:rsidR="00D52D27" w:rsidRDefault="00D52D27">
            <w:pPr>
              <w:jc w:val="both"/>
              <w:rPr>
                <w:lang w:val="en-GB"/>
              </w:rPr>
            </w:pPr>
            <w:r>
              <w:rPr>
                <w:lang w:val="en-GB"/>
              </w:rPr>
              <w:t>An improvement in the potential for lifelong learning with its knock-on effects to financial savings/reduction in poverty for schools and households. Pupils would be further enabled to develop practical skills and meet criteria for progression through awards.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G6</w:t>
            </w:r>
            <w:r>
              <w:rPr>
                <w:lang w:val="en-GB"/>
              </w:rPr>
              <w:t xml:space="preserve">. Work with the Higher Education Sector and the WLGA to ensure that teachers and support staff are fully versed with ESDGC during initial and on-going training. (Education and Skills). </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 xml:space="preserve">Evidence shows that many schools, in particular secondary schools, are still challenged relating to understanding cross-curricular and whole school delivery </w:t>
            </w:r>
            <w:r>
              <w:rPr>
                <w:b/>
                <w:lang w:val="en-GB"/>
              </w:rPr>
              <w:t>(3.2.6a</w:t>
            </w:r>
            <w:r>
              <w:rPr>
                <w:lang w:val="en-GB"/>
              </w:rPr>
              <w:t xml:space="preserve">). School success in the Programme is often dependent on one teacher who is an ‘environmentalist’; continuity is lost when that person leaves the school </w:t>
            </w:r>
            <w:r>
              <w:rPr>
                <w:b/>
                <w:lang w:val="en-GB"/>
              </w:rPr>
              <w:t>(3.2.5, 3.2.3b)</w:t>
            </w:r>
            <w:r>
              <w:rPr>
                <w:lang w:val="en-GB"/>
              </w:rPr>
              <w:t>.</w:t>
            </w:r>
          </w:p>
          <w:p w:rsidR="00D52D27" w:rsidRDefault="00D52D27">
            <w:pPr>
              <w:jc w:val="both"/>
              <w:rPr>
                <w:lang w:val="en-GB"/>
              </w:rPr>
            </w:pPr>
          </w:p>
          <w:p w:rsidR="00D52D27" w:rsidRDefault="00D52D27">
            <w:pPr>
              <w:jc w:val="both"/>
              <w:rPr>
                <w:color w:val="4F81BD"/>
                <w:lang w:val="en-GB"/>
              </w:rPr>
            </w:pPr>
            <w:r>
              <w:rPr>
                <w:lang w:val="en-GB"/>
              </w:rPr>
              <w:t>To enable increased understanding of ESDGC and motivation to deliver it across the curriculum. This would ease the responsibilities of the Project Officer as well.</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G7.</w:t>
            </w:r>
            <w:r>
              <w:rPr>
                <w:lang w:val="en-GB"/>
              </w:rPr>
              <w:t xml:space="preserve"> Consider altering the existing funding format from an annual to a three year funding basis. (Natural Resources and Food).</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This format has proven successful from other funders </w:t>
            </w:r>
            <w:r>
              <w:rPr>
                <w:b/>
                <w:lang w:val="en-GB"/>
              </w:rPr>
              <w:t>(3.2.3b)</w:t>
            </w:r>
            <w:r>
              <w:rPr>
                <w:lang w:val="en-GB"/>
              </w:rPr>
              <w:t>.</w:t>
            </w:r>
            <w:r>
              <w:rPr>
                <w:b/>
                <w:lang w:val="en-GB"/>
              </w:rPr>
              <w:t xml:space="preserve">  </w:t>
            </w:r>
            <w:r>
              <w:rPr>
                <w:lang w:val="en-GB"/>
              </w:rPr>
              <w:t xml:space="preserve">Achievement is attributed to direct contact and support with Project Officers </w:t>
            </w:r>
            <w:r>
              <w:rPr>
                <w:b/>
                <w:lang w:val="en-GB"/>
              </w:rPr>
              <w:t>(3.1.2c)</w:t>
            </w:r>
            <w:r>
              <w:rPr>
                <w:lang w:val="en-GB"/>
              </w:rPr>
              <w:t>.</w:t>
            </w:r>
          </w:p>
          <w:p w:rsidR="00D52D27" w:rsidRDefault="00D52D27">
            <w:pPr>
              <w:jc w:val="both"/>
              <w:rPr>
                <w:lang w:val="en-GB"/>
              </w:rPr>
            </w:pPr>
          </w:p>
          <w:p w:rsidR="00D52D27" w:rsidRDefault="00D52D27">
            <w:pPr>
              <w:jc w:val="both"/>
              <w:rPr>
                <w:lang w:val="en-GB"/>
              </w:rPr>
            </w:pPr>
            <w:r>
              <w:rPr>
                <w:lang w:val="en-GB"/>
              </w:rPr>
              <w:t>To support project planning and increase Programme security.</w:t>
            </w:r>
          </w:p>
        </w:tc>
      </w:tr>
      <w:tr w:rsidR="00D52D27" w:rsidTr="00D52D27">
        <w:tc>
          <w:tcPr>
            <w:tcW w:w="4077" w:type="dxa"/>
            <w:tcBorders>
              <w:top w:val="single" w:sz="4" w:space="0" w:color="auto"/>
              <w:left w:val="single" w:sz="4" w:space="0" w:color="auto"/>
              <w:bottom w:val="single" w:sz="4" w:space="0" w:color="auto"/>
              <w:right w:val="single" w:sz="4" w:space="0" w:color="auto"/>
            </w:tcBorders>
            <w:shd w:val="clear" w:color="auto" w:fill="BFBFBF"/>
            <w:hideMark/>
          </w:tcPr>
          <w:p w:rsidR="00D52D27" w:rsidRDefault="00D52D27">
            <w:pPr>
              <w:jc w:val="both"/>
              <w:rPr>
                <w:b/>
                <w:lang w:val="en-GB"/>
              </w:rPr>
            </w:pPr>
            <w:r>
              <w:rPr>
                <w:b/>
                <w:lang w:val="en-GB"/>
              </w:rPr>
              <w:t>Recommendation for Natural Resources Wales (NRW)</w:t>
            </w:r>
          </w:p>
        </w:tc>
        <w:tc>
          <w:tcPr>
            <w:tcW w:w="4395" w:type="dxa"/>
            <w:tcBorders>
              <w:top w:val="single" w:sz="4" w:space="0" w:color="auto"/>
              <w:left w:val="single" w:sz="4" w:space="0" w:color="auto"/>
              <w:bottom w:val="single" w:sz="4" w:space="0" w:color="auto"/>
              <w:right w:val="single" w:sz="4" w:space="0" w:color="auto"/>
            </w:tcBorders>
            <w:shd w:val="clear" w:color="auto" w:fill="BFBFBF"/>
          </w:tcPr>
          <w:p w:rsidR="00D52D27" w:rsidRDefault="00D52D27">
            <w:pPr>
              <w:jc w:val="both"/>
              <w:rPr>
                <w:b/>
                <w:lang w:val="en-GB"/>
              </w:rPr>
            </w:pPr>
            <w:r>
              <w:rPr>
                <w:b/>
                <w:lang w:val="en-GB"/>
              </w:rPr>
              <w:t>Justification for recommendation  (cross-referenced to example sections of report)</w:t>
            </w:r>
          </w:p>
          <w:p w:rsidR="00D52D27" w:rsidRDefault="00D52D27">
            <w:pPr>
              <w:jc w:val="both"/>
              <w:rPr>
                <w:b/>
                <w:lang w:val="en-GB"/>
              </w:rPr>
            </w:pPr>
          </w:p>
          <w:p w:rsidR="00D52D27" w:rsidRDefault="00D52D27">
            <w:pPr>
              <w:jc w:val="both"/>
              <w:rPr>
                <w:lang w:val="en-GB"/>
              </w:rPr>
            </w:pPr>
            <w:r>
              <w:rPr>
                <w:b/>
                <w:lang w:val="en-GB"/>
              </w:rPr>
              <w:t>Potential impact for the Programme to build on existing success.</w:t>
            </w: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b/>
                <w:lang w:val="en-GB"/>
              </w:rPr>
            </w:pPr>
            <w:r>
              <w:rPr>
                <w:b/>
                <w:lang w:val="en-GB"/>
              </w:rPr>
              <w:t>N1.</w:t>
            </w:r>
            <w:r>
              <w:rPr>
                <w:lang w:val="en-GB"/>
              </w:rPr>
              <w:t xml:space="preserve"> Continuation of funding for Eco-Schools to support NRW’s key outcomes, including Enhancing the Environment; Improving the Nation’s Health; Vibrant and Viable Places; Delivering Social Justice, and Supporting Skills and Knowledge.</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color w:val="4F81BD"/>
                <w:lang w:val="en-GB"/>
              </w:rPr>
            </w:pPr>
            <w:r>
              <w:rPr>
                <w:lang w:val="en-GB"/>
              </w:rPr>
              <w:t xml:space="preserve">Numerous examples evidence the success of the Programme to help deliver the Sustainable Development agenda in Wales, including examples of direct environmental and social impacts and of sustainability messages being taken home and improvements made in the local community as a result of pupil learning from the Programme </w:t>
            </w:r>
            <w:r>
              <w:rPr>
                <w:b/>
                <w:lang w:val="en-GB"/>
              </w:rPr>
              <w:t>(3.1.2d, 3.1.4, 3.2.5, 3.2.7b, 3.3.1)</w:t>
            </w:r>
            <w:r>
              <w:rPr>
                <w:lang w:val="en-GB"/>
              </w:rPr>
              <w:t>.</w:t>
            </w:r>
          </w:p>
          <w:p w:rsidR="00D52D27" w:rsidRDefault="00D52D27">
            <w:pPr>
              <w:jc w:val="both"/>
              <w:rPr>
                <w:lang w:val="en-GB"/>
              </w:rPr>
            </w:pPr>
          </w:p>
          <w:p w:rsidR="00D52D27" w:rsidRDefault="00D52D27">
            <w:pPr>
              <w:jc w:val="both"/>
              <w:rPr>
                <w:lang w:val="en-GB"/>
              </w:rPr>
            </w:pPr>
            <w:r>
              <w:rPr>
                <w:lang w:val="en-GB"/>
              </w:rPr>
              <w:t>Additional time for face to face support; further improvements to the website; potential increase of skills development, understanding of sustainability issues, attitude and behaviour change shared at home, and improvements made in the local community. More confidence in monitoring and evaluating impact.</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shd w:val="clear" w:color="auto" w:fill="BFBFBF"/>
            <w:hideMark/>
          </w:tcPr>
          <w:p w:rsidR="00D52D27" w:rsidRDefault="00D52D27">
            <w:pPr>
              <w:jc w:val="both"/>
              <w:rPr>
                <w:b/>
                <w:lang w:val="en-GB"/>
              </w:rPr>
            </w:pPr>
            <w:r>
              <w:rPr>
                <w:b/>
                <w:lang w:val="en-GB"/>
              </w:rPr>
              <w:t>Recommendation for Waste Awareness Wales</w:t>
            </w:r>
          </w:p>
        </w:tc>
        <w:tc>
          <w:tcPr>
            <w:tcW w:w="4395" w:type="dxa"/>
            <w:tcBorders>
              <w:top w:val="single" w:sz="4" w:space="0" w:color="auto"/>
              <w:left w:val="single" w:sz="4" w:space="0" w:color="auto"/>
              <w:bottom w:val="single" w:sz="4" w:space="0" w:color="auto"/>
              <w:right w:val="single" w:sz="4" w:space="0" w:color="auto"/>
            </w:tcBorders>
            <w:shd w:val="clear" w:color="auto" w:fill="BFBFBF"/>
          </w:tcPr>
          <w:p w:rsidR="00D52D27" w:rsidRDefault="00D52D27">
            <w:pPr>
              <w:jc w:val="both"/>
              <w:rPr>
                <w:b/>
                <w:lang w:val="en-GB"/>
              </w:rPr>
            </w:pPr>
            <w:r>
              <w:rPr>
                <w:b/>
                <w:lang w:val="en-GB"/>
              </w:rPr>
              <w:t>Justification for Recommendation  (cross-referenced to example sections of report)</w:t>
            </w:r>
          </w:p>
          <w:p w:rsidR="00D52D27" w:rsidRDefault="00D52D27">
            <w:pPr>
              <w:jc w:val="both"/>
              <w:rPr>
                <w:b/>
                <w:lang w:val="en-GB"/>
              </w:rPr>
            </w:pPr>
          </w:p>
          <w:p w:rsidR="00D52D27" w:rsidRDefault="00D52D27">
            <w:pPr>
              <w:jc w:val="both"/>
              <w:rPr>
                <w:lang w:val="en-GB"/>
              </w:rPr>
            </w:pPr>
            <w:r>
              <w:rPr>
                <w:b/>
                <w:lang w:val="en-GB"/>
              </w:rPr>
              <w:t>Potential impact for the Programme to build on existing success.</w:t>
            </w: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lang w:val="en-GB"/>
              </w:rPr>
              <w:t xml:space="preserve">W1. Further develop support, training and resources for </w:t>
            </w:r>
            <w:r>
              <w:rPr>
                <w:i/>
                <w:lang w:val="en-GB"/>
              </w:rPr>
              <w:t>all</w:t>
            </w:r>
            <w:r>
              <w:rPr>
                <w:lang w:val="en-GB"/>
              </w:rPr>
              <w:t xml:space="preserve"> school personnel in understanding the difference between the terms ‘reduce, reuse, recycle’.</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 xml:space="preserve">Examples cited by schools currently demonstrate confusion and hindrance to monitoring </w:t>
            </w:r>
            <w:r>
              <w:rPr>
                <w:b/>
                <w:lang w:val="en-GB"/>
              </w:rPr>
              <w:t>(3.2.4a, 3.3.1b)</w:t>
            </w:r>
            <w:r>
              <w:rPr>
                <w:lang w:val="en-GB"/>
              </w:rPr>
              <w:t>.</w:t>
            </w:r>
          </w:p>
          <w:p w:rsidR="00D52D27" w:rsidRDefault="00D52D27">
            <w:pPr>
              <w:jc w:val="both"/>
              <w:rPr>
                <w:lang w:val="en-GB"/>
              </w:rPr>
            </w:pPr>
          </w:p>
          <w:p w:rsidR="00D52D27" w:rsidRDefault="00D52D27">
            <w:pPr>
              <w:jc w:val="both"/>
              <w:rPr>
                <w:lang w:val="en-GB"/>
              </w:rPr>
            </w:pPr>
            <w:r>
              <w:rPr>
                <w:lang w:val="en-GB"/>
              </w:rPr>
              <w:t>Pupils and staff would be further enabled to develop understanding, practical skills and meet criteria for progression through awards.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shd w:val="clear" w:color="auto" w:fill="BFBFBF"/>
            <w:hideMark/>
          </w:tcPr>
          <w:p w:rsidR="00D52D27" w:rsidRDefault="00D52D27">
            <w:pPr>
              <w:jc w:val="both"/>
              <w:rPr>
                <w:b/>
                <w:lang w:val="en-GB"/>
              </w:rPr>
            </w:pPr>
            <w:r>
              <w:rPr>
                <w:b/>
                <w:lang w:val="en-GB"/>
              </w:rPr>
              <w:t>Recommendations for Local Authorities (LA)</w:t>
            </w:r>
          </w:p>
        </w:tc>
        <w:tc>
          <w:tcPr>
            <w:tcW w:w="4395" w:type="dxa"/>
            <w:tcBorders>
              <w:top w:val="single" w:sz="4" w:space="0" w:color="auto"/>
              <w:left w:val="single" w:sz="4" w:space="0" w:color="auto"/>
              <w:bottom w:val="single" w:sz="4" w:space="0" w:color="auto"/>
              <w:right w:val="single" w:sz="4" w:space="0" w:color="auto"/>
            </w:tcBorders>
            <w:shd w:val="clear" w:color="auto" w:fill="BFBFBF"/>
          </w:tcPr>
          <w:p w:rsidR="00D52D27" w:rsidRDefault="00D52D27">
            <w:pPr>
              <w:jc w:val="both"/>
              <w:rPr>
                <w:b/>
                <w:lang w:val="en-GB"/>
              </w:rPr>
            </w:pPr>
            <w:r>
              <w:rPr>
                <w:b/>
                <w:lang w:val="en-GB"/>
              </w:rPr>
              <w:t>Justification for Recommendation  (cross-referenced to example sections of report)</w:t>
            </w:r>
          </w:p>
          <w:p w:rsidR="00D52D27" w:rsidRDefault="00D52D27">
            <w:pPr>
              <w:jc w:val="both"/>
              <w:rPr>
                <w:b/>
                <w:lang w:val="en-GB"/>
              </w:rPr>
            </w:pPr>
          </w:p>
          <w:p w:rsidR="00D52D27" w:rsidRDefault="00D52D27">
            <w:pPr>
              <w:jc w:val="both"/>
              <w:rPr>
                <w:lang w:val="en-GB"/>
              </w:rPr>
            </w:pPr>
            <w:r>
              <w:rPr>
                <w:b/>
                <w:lang w:val="en-GB"/>
              </w:rPr>
              <w:t>Potential Impact for the Programme to build on existing success.</w:t>
            </w: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L1</w:t>
            </w:r>
            <w:r>
              <w:rPr>
                <w:color w:val="4F81BD"/>
                <w:lang w:val="en-GB"/>
              </w:rPr>
              <w:t xml:space="preserve">. </w:t>
            </w:r>
            <w:r>
              <w:rPr>
                <w:lang w:val="en-GB"/>
              </w:rPr>
              <w:t xml:space="preserve">Support Eco-Schools in order to evidence implementation of the requirements of the Future Generations Bill, and Carbon Reduction Commitments. </w:t>
            </w:r>
          </w:p>
          <w:p w:rsidR="00D52D27" w:rsidRDefault="00D52D27">
            <w:pPr>
              <w:jc w:val="both"/>
              <w:rPr>
                <w:lang w:val="en-GB"/>
              </w:rPr>
            </w:pPr>
          </w:p>
          <w:p w:rsidR="00D52D27" w:rsidRDefault="00D52D27">
            <w:pPr>
              <w:jc w:val="both"/>
              <w:rPr>
                <w:lang w:val="en-GB"/>
              </w:rPr>
            </w:pPr>
            <w:r>
              <w:rPr>
                <w:lang w:val="en-GB"/>
              </w:rPr>
              <w:t>Local authorities could provide accessible means, training and support for environmental auditing and evaluation.</w:t>
            </w:r>
          </w:p>
          <w:p w:rsidR="00D52D27" w:rsidRDefault="00D52D27">
            <w:pPr>
              <w:jc w:val="both"/>
              <w:rPr>
                <w:lang w:val="en-GB"/>
              </w:rPr>
            </w:pPr>
          </w:p>
          <w:p w:rsidR="00D52D27" w:rsidRDefault="00D52D27">
            <w:pPr>
              <w:jc w:val="both"/>
              <w:rPr>
                <w:lang w:val="en-GB"/>
              </w:rPr>
            </w:pP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color w:val="4F81BD"/>
                <w:lang w:val="en-GB"/>
              </w:rPr>
            </w:pPr>
            <w:r>
              <w:rPr>
                <w:lang w:val="en-GB"/>
              </w:rPr>
              <w:t xml:space="preserve">Schools with service level agreements are alerted to levels of/changes in consumption, and are then able to attempt reduction in energy/water use, in turn reducing costs. Schools need more training, time and support from Local Authorities to be effective </w:t>
            </w:r>
            <w:r>
              <w:rPr>
                <w:b/>
                <w:lang w:val="en-GB"/>
              </w:rPr>
              <w:t>(3.1.4b; 3.2.4e; 3.2.4g, 3.3.2)</w:t>
            </w:r>
            <w:r>
              <w:rPr>
                <w:lang w:val="en-GB"/>
              </w:rPr>
              <w:t xml:space="preserve">. </w:t>
            </w:r>
          </w:p>
          <w:p w:rsidR="00D52D27" w:rsidRDefault="00D52D27">
            <w:pPr>
              <w:jc w:val="both"/>
              <w:rPr>
                <w:lang w:val="en-GB"/>
              </w:rPr>
            </w:pPr>
            <w:r>
              <w:rPr>
                <w:lang w:val="en-GB"/>
              </w:rPr>
              <w:t>Examples: monitoring models of Newport and the Vale to support school identification of energy and water consumption.</w:t>
            </w:r>
          </w:p>
          <w:p w:rsidR="00D52D27" w:rsidRDefault="00D52D27">
            <w:pPr>
              <w:jc w:val="both"/>
              <w:rPr>
                <w:lang w:val="en-GB"/>
              </w:rPr>
            </w:pPr>
          </w:p>
          <w:p w:rsidR="00D52D27" w:rsidRDefault="00D52D27">
            <w:pPr>
              <w:jc w:val="both"/>
              <w:rPr>
                <w:lang w:val="en-GB"/>
              </w:rPr>
            </w:pPr>
            <w:r>
              <w:rPr>
                <w:lang w:val="en-GB"/>
              </w:rPr>
              <w:t>Training and support for environmental auditing, which many schools find particularly challenging, would impact upon the quantification and recording of environmental impacts locally, nationally and internationally.</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t>L2.</w:t>
            </w:r>
            <w:r>
              <w:rPr>
                <w:lang w:val="en-GB"/>
              </w:rPr>
              <w:t xml:space="preserve"> Encourage school senior management support for eco-coordinators and eco-committees to enable improved whole school approach and cross-curricular learning. </w:t>
            </w:r>
          </w:p>
          <w:p w:rsidR="00D52D27" w:rsidRDefault="00D52D27">
            <w:pPr>
              <w:jc w:val="both"/>
              <w:rPr>
                <w:lang w:val="en-GB"/>
              </w:rPr>
            </w:pPr>
          </w:p>
          <w:p w:rsidR="00D52D27" w:rsidRDefault="00D52D27">
            <w:pPr>
              <w:jc w:val="both"/>
              <w:rPr>
                <w:lang w:val="en-GB"/>
              </w:rPr>
            </w:pPr>
            <w:r>
              <w:rPr>
                <w:lang w:val="en-GB"/>
              </w:rPr>
              <w:t>To encourage schools to view eco-coordination as a team process as opposed to just an individual; in secondary schools to encourage a cross-subject and key stage steering committee</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Evidence of lack of knowledge relating to the Programme from some senior managers, such as Head teachers and Governors. This has resulted in a stagnation of focus when the eco-coordinator leaves, and lack of whole school support </w:t>
            </w:r>
            <w:r>
              <w:rPr>
                <w:b/>
                <w:lang w:val="en-GB"/>
              </w:rPr>
              <w:t>(3.2.5f)</w:t>
            </w:r>
            <w:r>
              <w:rPr>
                <w:lang w:val="en-GB"/>
              </w:rPr>
              <w:t>.</w:t>
            </w:r>
          </w:p>
          <w:p w:rsidR="00D52D27" w:rsidRDefault="00D52D27">
            <w:pPr>
              <w:jc w:val="both"/>
              <w:rPr>
                <w:color w:val="4F81BD"/>
                <w:lang w:val="en-GB"/>
              </w:rPr>
            </w:pPr>
            <w:r>
              <w:rPr>
                <w:lang w:val="en-GB"/>
              </w:rPr>
              <w:t xml:space="preserve">In secondary schools in particular, there is a need for increased whole school involvement and cross-curricular planning </w:t>
            </w:r>
            <w:r>
              <w:rPr>
                <w:b/>
                <w:lang w:val="en-GB"/>
              </w:rPr>
              <w:t>(3.2.5f)</w:t>
            </w:r>
            <w:r>
              <w:rPr>
                <w:lang w:val="en-GB"/>
              </w:rPr>
              <w:t>.</w:t>
            </w:r>
          </w:p>
          <w:p w:rsidR="00D52D27" w:rsidRDefault="00D52D27">
            <w:pPr>
              <w:jc w:val="both"/>
              <w:rPr>
                <w:lang w:val="en-GB"/>
              </w:rPr>
            </w:pPr>
          </w:p>
          <w:p w:rsidR="00D52D27" w:rsidRDefault="00D52D27">
            <w:pPr>
              <w:jc w:val="both"/>
              <w:rPr>
                <w:lang w:val="en-GB"/>
              </w:rPr>
            </w:pPr>
            <w:r>
              <w:rPr>
                <w:lang w:val="en-GB"/>
              </w:rPr>
              <w:t xml:space="preserve">Address stagnation, lack of coordination due to staff changes, staff disengagement; improvement in consistent whole school approach across all age ranges and staff. </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t>L3.</w:t>
            </w:r>
            <w:r>
              <w:rPr>
                <w:lang w:val="en-GB"/>
              </w:rPr>
              <w:t xml:space="preserve"> Increase awareness and understanding of all school personnel of the ESDGC Common Understanding Framework and how their work for Eco-Schools supports this requirement.</w:t>
            </w:r>
          </w:p>
          <w:p w:rsidR="00D52D27" w:rsidRDefault="00D52D27">
            <w:pPr>
              <w:jc w:val="both"/>
              <w:rPr>
                <w:lang w:val="en-GB"/>
              </w:rPr>
            </w:pP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The Programme supports schools in meeting the requirements of this Framework, including how to monitor and evaluate their actions </w:t>
            </w:r>
            <w:r>
              <w:rPr>
                <w:b/>
                <w:lang w:val="en-GB"/>
              </w:rPr>
              <w:t>(3.1.5b)</w:t>
            </w:r>
            <w:r>
              <w:rPr>
                <w:lang w:val="en-GB"/>
              </w:rPr>
              <w:t>.</w:t>
            </w:r>
          </w:p>
          <w:p w:rsidR="00D52D27" w:rsidRDefault="00D52D27">
            <w:pPr>
              <w:jc w:val="both"/>
              <w:rPr>
                <w:lang w:val="en-GB"/>
              </w:rPr>
            </w:pPr>
            <w:r>
              <w:rPr>
                <w:lang w:val="en-GB"/>
              </w:rPr>
              <w:t xml:space="preserve">Teaching staff mentioned that they now had to focus on a new framework (NLNF), getting signals that ESDGC is no longer a required focus </w:t>
            </w:r>
            <w:r>
              <w:rPr>
                <w:b/>
                <w:lang w:val="en-GB"/>
              </w:rPr>
              <w:t>(3.1.4e)</w:t>
            </w:r>
            <w:r>
              <w:rPr>
                <w:lang w:val="en-GB"/>
              </w:rPr>
              <w:t>.</w:t>
            </w:r>
          </w:p>
          <w:p w:rsidR="00D52D27" w:rsidRDefault="00D52D27">
            <w:pPr>
              <w:jc w:val="both"/>
              <w:rPr>
                <w:lang w:val="en-GB"/>
              </w:rPr>
            </w:pPr>
          </w:p>
          <w:p w:rsidR="00D52D27" w:rsidRDefault="00D52D27">
            <w:pPr>
              <w:jc w:val="both"/>
              <w:rPr>
                <w:lang w:val="en-GB"/>
              </w:rPr>
            </w:pPr>
            <w:r>
              <w:rPr>
                <w:lang w:val="en-GB"/>
              </w:rPr>
              <w:t>Use of the ESDGC Common Understanding Framework would enable increased cross-curricular and whole-school approach to learning, supporting Programme aims and progression through awards.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t>L4.</w:t>
            </w:r>
            <w:r>
              <w:rPr>
                <w:lang w:val="en-GB"/>
              </w:rPr>
              <w:t xml:space="preserve"> Raise awareness of school senior managers to the holistic learning value of the Programme and to include ESDGC in the school development plan, as opposed to merely gaining the award as a ‘tick box’ exercise. </w:t>
            </w:r>
          </w:p>
          <w:p w:rsidR="00D52D27" w:rsidRDefault="00D52D27">
            <w:pPr>
              <w:jc w:val="both"/>
              <w:rPr>
                <w:lang w:val="en-GB"/>
              </w:rPr>
            </w:pP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Some senior managers were unaware of the potential of the Programme, both in terms of curriculum engagement and in meeting policy requirements </w:t>
            </w:r>
            <w:r>
              <w:rPr>
                <w:b/>
                <w:lang w:val="en-GB"/>
              </w:rPr>
              <w:t>(3.1.2d, 3.1.4, 3.2.1)</w:t>
            </w:r>
            <w:r>
              <w:rPr>
                <w:lang w:val="en-GB"/>
              </w:rPr>
              <w:t>.</w:t>
            </w:r>
          </w:p>
          <w:p w:rsidR="00D52D27" w:rsidRDefault="00D52D27">
            <w:pPr>
              <w:jc w:val="both"/>
              <w:rPr>
                <w:b/>
                <w:lang w:val="en-GB"/>
              </w:rPr>
            </w:pPr>
            <w:r>
              <w:rPr>
                <w:lang w:val="en-GB"/>
              </w:rPr>
              <w:t>In secondary schools in particular, there is a need for increased whole school planning</w:t>
            </w:r>
            <w:r>
              <w:rPr>
                <w:color w:val="4F81BD"/>
                <w:lang w:val="en-GB"/>
              </w:rPr>
              <w:t xml:space="preserve"> </w:t>
            </w:r>
            <w:r>
              <w:rPr>
                <w:b/>
                <w:lang w:val="en-GB"/>
              </w:rPr>
              <w:t>(3.2.5f; 3.2.6a; 3.2.7d)</w:t>
            </w:r>
            <w:r>
              <w:rPr>
                <w:lang w:val="en-GB"/>
              </w:rPr>
              <w:t>.</w:t>
            </w:r>
          </w:p>
          <w:p w:rsidR="00D52D27" w:rsidRDefault="00D52D27">
            <w:pPr>
              <w:jc w:val="both"/>
              <w:rPr>
                <w:lang w:val="en-GB"/>
              </w:rPr>
            </w:pPr>
          </w:p>
          <w:p w:rsidR="00D52D27" w:rsidRDefault="00D52D27">
            <w:pPr>
              <w:jc w:val="both"/>
              <w:rPr>
                <w:lang w:val="en-GB"/>
              </w:rPr>
            </w:pPr>
            <w:r>
              <w:rPr>
                <w:lang w:val="en-GB"/>
              </w:rPr>
              <w:t>Increased take up and engagement amongst schools will increase the environmental, economic and social impact of the Programme; improved whole school focus and support for eco-committee, enabling progression through awards.</w:t>
            </w:r>
          </w:p>
          <w:p w:rsidR="00D52D27" w:rsidRDefault="00D52D27">
            <w:pPr>
              <w:jc w:val="both"/>
              <w:rPr>
                <w:lang w:val="en-GB"/>
              </w:rPr>
            </w:pPr>
            <w:r>
              <w:rPr>
                <w:lang w:val="en-GB"/>
              </w:rPr>
              <w:t>Improvement in consistent whole school approach leading to ease of gaining and maintaining award status.</w:t>
            </w:r>
          </w:p>
          <w:p w:rsidR="00D52D27" w:rsidRDefault="00D52D27">
            <w:pPr>
              <w:jc w:val="both"/>
              <w:rPr>
                <w:color w:val="4F81BD"/>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t>L5.</w:t>
            </w:r>
            <w:r>
              <w:rPr>
                <w:lang w:val="en-GB"/>
              </w:rPr>
              <w:t xml:space="preserve"> Advise schools to ensure that any contact changes, such as for eco-coordinators, are promptly reported to the local Project Officer and Keep Wales Tidy.</w:t>
            </w:r>
          </w:p>
          <w:p w:rsidR="00D52D27" w:rsidRDefault="00D52D27">
            <w:pPr>
              <w:jc w:val="both"/>
              <w:rPr>
                <w:lang w:val="en-GB"/>
              </w:rPr>
            </w:pP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 xml:space="preserve">Difficulty in maintaining a current database of contact details, resulting in frustrated attempts at communication </w:t>
            </w:r>
            <w:r>
              <w:rPr>
                <w:b/>
                <w:lang w:val="en-GB"/>
              </w:rPr>
              <w:t>(3.2.2)</w:t>
            </w:r>
            <w:r>
              <w:rPr>
                <w:lang w:val="en-GB"/>
              </w:rPr>
              <w:t>.</w:t>
            </w:r>
          </w:p>
          <w:p w:rsidR="00D52D27" w:rsidRDefault="00D52D27">
            <w:pPr>
              <w:jc w:val="both"/>
              <w:rPr>
                <w:lang w:val="en-GB"/>
              </w:rPr>
            </w:pPr>
          </w:p>
          <w:p w:rsidR="00D52D27" w:rsidRDefault="00D52D27">
            <w:pPr>
              <w:jc w:val="both"/>
              <w:rPr>
                <w:lang w:val="en-GB"/>
              </w:rPr>
            </w:pPr>
            <w:r>
              <w:rPr>
                <w:lang w:val="en-GB"/>
              </w:rPr>
              <w:t>Better communication will increase access to support, training and resources.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L6.</w:t>
            </w:r>
            <w:r>
              <w:rPr>
                <w:lang w:val="en-GB"/>
              </w:rPr>
              <w:t xml:space="preserve"> Encourage school staff attendance at the Eco-Schools networking/cluster group meetings.</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 xml:space="preserve">Secondary schools could build upon the cross-curricular practices of primary schools </w:t>
            </w:r>
            <w:r>
              <w:rPr>
                <w:b/>
                <w:lang w:val="en-GB"/>
              </w:rPr>
              <w:t>(3.2.5f)</w:t>
            </w:r>
            <w:r>
              <w:rPr>
                <w:lang w:val="en-GB"/>
              </w:rPr>
              <w:t>.</w:t>
            </w:r>
          </w:p>
          <w:p w:rsidR="00D52D27" w:rsidRDefault="00D52D27">
            <w:pPr>
              <w:jc w:val="both"/>
              <w:rPr>
                <w:lang w:val="en-GB"/>
              </w:rPr>
            </w:pPr>
            <w:r>
              <w:rPr>
                <w:lang w:val="en-GB"/>
              </w:rPr>
              <w:t xml:space="preserve">Teachers unaware of cluster groups and networking opportunities </w:t>
            </w:r>
            <w:r>
              <w:rPr>
                <w:b/>
                <w:lang w:val="en-GB"/>
              </w:rPr>
              <w:t>(3.2.3b)</w:t>
            </w:r>
            <w:r>
              <w:rPr>
                <w:lang w:val="en-GB"/>
              </w:rPr>
              <w:t>.</w:t>
            </w:r>
          </w:p>
          <w:p w:rsidR="00D52D27" w:rsidRDefault="00D52D27">
            <w:pPr>
              <w:jc w:val="both"/>
              <w:rPr>
                <w:lang w:val="en-GB"/>
              </w:rPr>
            </w:pPr>
          </w:p>
          <w:p w:rsidR="00D52D27" w:rsidRDefault="00D52D27">
            <w:pPr>
              <w:jc w:val="both"/>
              <w:rPr>
                <w:lang w:val="en-GB"/>
              </w:rPr>
            </w:pPr>
            <w:r>
              <w:rPr>
                <w:lang w:val="en-GB"/>
              </w:rPr>
              <w:t>Support for pupil holistic learning and improving progression through awards. Peer support for school staff, including mentoring by exemplar schools, support opportunities from third sector organisations highlighted.</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color w:val="FF0000"/>
                <w:lang w:val="en-GB"/>
              </w:rPr>
            </w:pPr>
            <w:r>
              <w:rPr>
                <w:b/>
                <w:lang w:val="en-GB"/>
              </w:rPr>
              <w:t>L7.</w:t>
            </w:r>
            <w:r>
              <w:rPr>
                <w:lang w:val="en-GB"/>
              </w:rPr>
              <w:t xml:space="preserve"> Publicise exemplary Eco-Schools on council website or provide links to updated Eco-Schools Wales website. </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Community involvement important benefit of Programme </w:t>
            </w:r>
            <w:r>
              <w:rPr>
                <w:b/>
                <w:lang w:val="en-GB"/>
              </w:rPr>
              <w:t>(3.2.5c)</w:t>
            </w:r>
            <w:r>
              <w:rPr>
                <w:lang w:val="en-GB"/>
              </w:rPr>
              <w:t xml:space="preserve">. </w:t>
            </w:r>
          </w:p>
          <w:p w:rsidR="00D52D27" w:rsidRDefault="00D52D27">
            <w:pPr>
              <w:jc w:val="both"/>
              <w:rPr>
                <w:lang w:val="en-GB"/>
              </w:rPr>
            </w:pPr>
            <w:r>
              <w:rPr>
                <w:lang w:val="en-GB"/>
              </w:rPr>
              <w:t xml:space="preserve">Need for more training and resources and networking for teaching staff and volunteers </w:t>
            </w:r>
            <w:r>
              <w:rPr>
                <w:b/>
                <w:lang w:val="en-GB"/>
              </w:rPr>
              <w:t>(3.2.3b)</w:t>
            </w:r>
            <w:r>
              <w:rPr>
                <w:lang w:val="en-GB"/>
              </w:rPr>
              <w:t>.</w:t>
            </w:r>
          </w:p>
          <w:p w:rsidR="00D52D27" w:rsidRDefault="00D52D27">
            <w:pPr>
              <w:jc w:val="both"/>
              <w:rPr>
                <w:lang w:val="en-GB"/>
              </w:rPr>
            </w:pPr>
          </w:p>
          <w:p w:rsidR="00D52D27" w:rsidRDefault="00D52D27">
            <w:pPr>
              <w:jc w:val="both"/>
              <w:rPr>
                <w:lang w:val="en-GB"/>
              </w:rPr>
            </w:pPr>
            <w:r>
              <w:rPr>
                <w:lang w:val="en-GB"/>
              </w:rPr>
              <w:t>Impact on community increased.</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L8.</w:t>
            </w:r>
            <w:r>
              <w:rPr>
                <w:lang w:val="en-GB"/>
              </w:rPr>
              <w:t xml:space="preserve"> Support schools which lack confidence in the Transport topic area, due to its importance for both climate change and Active Travel policies.</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Evidence that some schools find this topic area challenging</w:t>
            </w:r>
            <w:r>
              <w:rPr>
                <w:b/>
                <w:lang w:val="en-GB"/>
              </w:rPr>
              <w:t xml:space="preserve"> (3.2.4c)</w:t>
            </w:r>
            <w:r>
              <w:rPr>
                <w:lang w:val="en-GB"/>
              </w:rPr>
              <w:t>.</w:t>
            </w:r>
          </w:p>
          <w:p w:rsidR="00D52D27" w:rsidRDefault="00D52D27">
            <w:pPr>
              <w:jc w:val="both"/>
              <w:rPr>
                <w:lang w:val="en-GB"/>
              </w:rPr>
            </w:pPr>
          </w:p>
          <w:p w:rsidR="00D52D27" w:rsidRDefault="00D52D27">
            <w:pPr>
              <w:jc w:val="both"/>
              <w:rPr>
                <w:lang w:val="en-GB"/>
              </w:rPr>
            </w:pPr>
            <w:r>
              <w:rPr>
                <w:lang w:val="en-GB"/>
              </w:rPr>
              <w:t>To support meeting targets for reducing impact on climate change, to support Health and Well-being.</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t>L9.</w:t>
            </w:r>
            <w:r>
              <w:rPr>
                <w:lang w:val="en-GB"/>
              </w:rPr>
              <w:t xml:space="preserve"> Encourage active partnerships between multiple stakeholders.  </w:t>
            </w:r>
          </w:p>
          <w:p w:rsidR="00D52D27" w:rsidRDefault="00D52D27">
            <w:pPr>
              <w:jc w:val="both"/>
              <w:rPr>
                <w:lang w:val="en-GB"/>
              </w:rPr>
            </w:pPr>
          </w:p>
          <w:p w:rsidR="00D52D27" w:rsidRDefault="00D52D27">
            <w:pPr>
              <w:jc w:val="both"/>
              <w:rPr>
                <w:lang w:val="en-GB"/>
              </w:rPr>
            </w:pPr>
            <w:r>
              <w:rPr>
                <w:lang w:val="en-GB"/>
              </w:rPr>
              <w:t>For instance, emulate the model of Carmarthenshire’s steering committee for school support, consisting of officers from Education and Environment departments, the area project officers from Eco-Schools and Healthy Schools plus other linked agencies.</w:t>
            </w:r>
          </w:p>
          <w:p w:rsidR="00D52D27" w:rsidRDefault="00D52D27">
            <w:pPr>
              <w:jc w:val="both"/>
              <w:rPr>
                <w:lang w:val="en-GB"/>
              </w:rPr>
            </w:pP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color w:val="4F81BD"/>
                <w:lang w:val="en-GB"/>
              </w:rPr>
            </w:pPr>
            <w:r>
              <w:rPr>
                <w:lang w:val="en-GB"/>
              </w:rPr>
              <w:t xml:space="preserve">Successful ‘joined up approach’ to school support, with consistent guidance provided by local authority and Eco-Schools project officers. </w:t>
            </w:r>
            <w:r>
              <w:rPr>
                <w:b/>
                <w:lang w:val="en-GB"/>
              </w:rPr>
              <w:t>(3.2.7e)</w:t>
            </w:r>
            <w:r>
              <w:rPr>
                <w:lang w:val="en-GB"/>
              </w:rPr>
              <w:t>.</w:t>
            </w:r>
          </w:p>
          <w:p w:rsidR="00D52D27" w:rsidRDefault="00D52D27">
            <w:pPr>
              <w:jc w:val="both"/>
              <w:rPr>
                <w:lang w:val="en-GB"/>
              </w:rPr>
            </w:pPr>
          </w:p>
          <w:p w:rsidR="00D52D27" w:rsidRDefault="00D52D27">
            <w:pPr>
              <w:jc w:val="both"/>
              <w:rPr>
                <w:lang w:val="en-GB"/>
              </w:rPr>
            </w:pPr>
            <w:r>
              <w:rPr>
                <w:lang w:val="en-GB"/>
              </w:rPr>
              <w:t>Support of school cross-referencing evidence between Programme and other initiatives  and schemes, thus supporting school staff and school achievement of award status.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shd w:val="clear" w:color="auto" w:fill="BFBFBF"/>
            <w:hideMark/>
          </w:tcPr>
          <w:p w:rsidR="00D52D27" w:rsidRDefault="00D52D27">
            <w:pPr>
              <w:jc w:val="both"/>
              <w:rPr>
                <w:b/>
                <w:lang w:val="en-GB"/>
              </w:rPr>
            </w:pPr>
            <w:r>
              <w:rPr>
                <w:b/>
                <w:lang w:val="en-GB"/>
              </w:rPr>
              <w:t>Recommendations for Estyn</w:t>
            </w:r>
          </w:p>
        </w:tc>
        <w:tc>
          <w:tcPr>
            <w:tcW w:w="4395" w:type="dxa"/>
            <w:tcBorders>
              <w:top w:val="single" w:sz="4" w:space="0" w:color="auto"/>
              <w:left w:val="single" w:sz="4" w:space="0" w:color="auto"/>
              <w:bottom w:val="single" w:sz="4" w:space="0" w:color="auto"/>
              <w:right w:val="single" w:sz="4" w:space="0" w:color="auto"/>
            </w:tcBorders>
            <w:shd w:val="clear" w:color="auto" w:fill="BFBFBF"/>
          </w:tcPr>
          <w:p w:rsidR="00D52D27" w:rsidRDefault="00D52D27">
            <w:pPr>
              <w:jc w:val="both"/>
              <w:rPr>
                <w:b/>
                <w:lang w:val="en-GB"/>
              </w:rPr>
            </w:pPr>
            <w:r>
              <w:rPr>
                <w:b/>
                <w:lang w:val="en-GB"/>
              </w:rPr>
              <w:t>Justification for Recommendation  (cross-referenced to example sections of report)</w:t>
            </w:r>
          </w:p>
          <w:p w:rsidR="00D52D27" w:rsidRDefault="00D52D27">
            <w:pPr>
              <w:jc w:val="both"/>
              <w:rPr>
                <w:b/>
                <w:lang w:val="en-GB"/>
              </w:rPr>
            </w:pPr>
          </w:p>
          <w:p w:rsidR="00D52D27" w:rsidRDefault="00D52D27">
            <w:pPr>
              <w:jc w:val="both"/>
              <w:rPr>
                <w:lang w:val="en-GB"/>
              </w:rPr>
            </w:pPr>
            <w:r>
              <w:rPr>
                <w:b/>
                <w:lang w:val="en-GB"/>
              </w:rPr>
              <w:t>Potential impact for the Programme to build on existing success.</w:t>
            </w: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E1.</w:t>
            </w:r>
            <w:r>
              <w:rPr>
                <w:lang w:val="en-GB"/>
              </w:rPr>
              <w:t xml:space="preserve"> Promote to schools, further education colleges and higher education institutions the opportunities provided by the Eco-Schools Programme to achieve the following:</w:t>
            </w:r>
          </w:p>
          <w:p w:rsidR="00D52D27" w:rsidRDefault="00D52D27">
            <w:pPr>
              <w:jc w:val="both"/>
              <w:rPr>
                <w:lang w:val="en-GB"/>
              </w:rPr>
            </w:pPr>
            <w:r>
              <w:rPr>
                <w:lang w:val="en-GB"/>
              </w:rPr>
              <w:t xml:space="preserve">a) motivate pupils’ reading, writing and practical understanding of maths; </w:t>
            </w:r>
          </w:p>
          <w:p w:rsidR="00D52D27" w:rsidRDefault="00D52D27">
            <w:pPr>
              <w:jc w:val="both"/>
              <w:rPr>
                <w:lang w:val="en-GB"/>
              </w:rPr>
            </w:pPr>
            <w:r>
              <w:rPr>
                <w:lang w:val="en-GB"/>
              </w:rPr>
              <w:t>b) support pupil understanding of ESDGC;</w:t>
            </w:r>
          </w:p>
          <w:p w:rsidR="00D52D27" w:rsidRDefault="00D52D27">
            <w:pPr>
              <w:jc w:val="both"/>
              <w:rPr>
                <w:lang w:val="en-GB"/>
              </w:rPr>
            </w:pPr>
            <w:r>
              <w:rPr>
                <w:lang w:val="en-GB"/>
              </w:rPr>
              <w:t>c) use the outdoors for learning across the curriculum</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Need for schools to be aware of how strategies overlap and support each other </w:t>
            </w:r>
            <w:r>
              <w:rPr>
                <w:b/>
                <w:lang w:val="en-GB"/>
              </w:rPr>
              <w:t>(3.1.4)</w:t>
            </w:r>
            <w:r>
              <w:rPr>
                <w:lang w:val="en-GB"/>
              </w:rPr>
              <w:t xml:space="preserve">. Evidence presented that the programme contributes to ‘real-life’ opportunities for learning, in particular using literacy and numeracy across the curriculum </w:t>
            </w:r>
            <w:r>
              <w:rPr>
                <w:b/>
                <w:lang w:val="en-GB"/>
              </w:rPr>
              <w:t>(3.3.2)</w:t>
            </w:r>
          </w:p>
          <w:p w:rsidR="00D52D27" w:rsidRDefault="00D52D27">
            <w:pPr>
              <w:jc w:val="both"/>
              <w:rPr>
                <w:lang w:val="en-GB"/>
              </w:rPr>
            </w:pPr>
          </w:p>
          <w:p w:rsidR="00D52D27" w:rsidRDefault="00D52D27">
            <w:pPr>
              <w:jc w:val="both"/>
              <w:rPr>
                <w:b/>
                <w:lang w:val="en-GB"/>
              </w:rPr>
            </w:pPr>
            <w:r>
              <w:rPr>
                <w:lang w:val="en-GB"/>
              </w:rPr>
              <w:t xml:space="preserve">Numerous examples of good practice identified </w:t>
            </w:r>
            <w:r>
              <w:rPr>
                <w:b/>
                <w:lang w:val="en-GB"/>
              </w:rPr>
              <w:t>(3.2.6a; 3.2.6b; 3.2.7a)</w:t>
            </w:r>
            <w:r>
              <w:rPr>
                <w:lang w:val="en-GB"/>
              </w:rPr>
              <w:t>.</w:t>
            </w:r>
          </w:p>
          <w:p w:rsidR="00D52D27" w:rsidRDefault="00D52D27">
            <w:pPr>
              <w:jc w:val="both"/>
              <w:rPr>
                <w:lang w:val="en-GB"/>
              </w:rPr>
            </w:pPr>
          </w:p>
          <w:p w:rsidR="00D52D27" w:rsidRDefault="00D52D27">
            <w:pPr>
              <w:jc w:val="both"/>
              <w:rPr>
                <w:lang w:val="en-GB"/>
              </w:rPr>
            </w:pPr>
            <w:r>
              <w:rPr>
                <w:lang w:val="en-GB"/>
              </w:rPr>
              <w:t>Schools would further cross-reference work completed for an Eco-Schools award to meet criteria for successful Estyn inspection.</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shd w:val="clear" w:color="auto" w:fill="BFBFBF"/>
            <w:hideMark/>
          </w:tcPr>
          <w:p w:rsidR="00D52D27" w:rsidRDefault="00D52D27">
            <w:pPr>
              <w:jc w:val="both"/>
              <w:rPr>
                <w:b/>
                <w:lang w:val="en-GB"/>
              </w:rPr>
            </w:pPr>
            <w:r>
              <w:rPr>
                <w:b/>
                <w:lang w:val="en-GB"/>
              </w:rPr>
              <w:t>Recommendation for Foundation for Environmental Education (FEE)</w:t>
            </w:r>
          </w:p>
        </w:tc>
        <w:tc>
          <w:tcPr>
            <w:tcW w:w="4395" w:type="dxa"/>
            <w:tcBorders>
              <w:top w:val="single" w:sz="4" w:space="0" w:color="auto"/>
              <w:left w:val="single" w:sz="4" w:space="0" w:color="auto"/>
              <w:bottom w:val="single" w:sz="4" w:space="0" w:color="auto"/>
              <w:right w:val="single" w:sz="4" w:space="0" w:color="auto"/>
            </w:tcBorders>
            <w:shd w:val="clear" w:color="auto" w:fill="BFBFBF"/>
          </w:tcPr>
          <w:p w:rsidR="00D52D27" w:rsidRDefault="00D52D27">
            <w:pPr>
              <w:jc w:val="both"/>
              <w:rPr>
                <w:b/>
                <w:lang w:val="en-GB"/>
              </w:rPr>
            </w:pPr>
            <w:r>
              <w:rPr>
                <w:b/>
                <w:lang w:val="en-GB"/>
              </w:rPr>
              <w:t>Justification for Recommendation  (cross-referenced to example sections of report)</w:t>
            </w:r>
          </w:p>
          <w:p w:rsidR="00D52D27" w:rsidRDefault="00D52D27">
            <w:pPr>
              <w:jc w:val="both"/>
              <w:rPr>
                <w:b/>
                <w:lang w:val="en-GB"/>
              </w:rPr>
            </w:pPr>
          </w:p>
          <w:p w:rsidR="00D52D27" w:rsidRDefault="00D52D27">
            <w:pPr>
              <w:jc w:val="both"/>
              <w:rPr>
                <w:b/>
                <w:lang w:val="en-GB"/>
              </w:rPr>
            </w:pPr>
            <w:r>
              <w:rPr>
                <w:b/>
                <w:lang w:val="en-GB"/>
              </w:rPr>
              <w:t>Potential impact for the Programme to build on existing success.</w:t>
            </w: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t>F1.</w:t>
            </w:r>
            <w:r>
              <w:rPr>
                <w:lang w:val="en-GB"/>
              </w:rPr>
              <w:t xml:space="preserve"> Increase communication between Eco-Schools across countries in order to:</w:t>
            </w:r>
          </w:p>
          <w:p w:rsidR="00D52D27" w:rsidRDefault="00D52D27">
            <w:pPr>
              <w:jc w:val="both"/>
              <w:rPr>
                <w:lang w:val="en-GB"/>
              </w:rPr>
            </w:pPr>
          </w:p>
          <w:p w:rsidR="00D52D27" w:rsidRDefault="00D52D27">
            <w:pPr>
              <w:jc w:val="both"/>
              <w:rPr>
                <w:lang w:val="en-GB"/>
              </w:rPr>
            </w:pPr>
            <w:r>
              <w:rPr>
                <w:lang w:val="en-GB"/>
              </w:rPr>
              <w:t xml:space="preserve">a) raise awareness of experience and good practice in other countries; </w:t>
            </w:r>
          </w:p>
          <w:p w:rsidR="00D52D27" w:rsidRDefault="00D52D27">
            <w:pPr>
              <w:jc w:val="both"/>
              <w:rPr>
                <w:lang w:val="en-GB"/>
              </w:rPr>
            </w:pPr>
          </w:p>
          <w:p w:rsidR="00D52D27" w:rsidRDefault="00D52D27">
            <w:pPr>
              <w:jc w:val="both"/>
              <w:rPr>
                <w:lang w:val="en-GB"/>
              </w:rPr>
            </w:pPr>
            <w:r>
              <w:rPr>
                <w:lang w:val="en-GB"/>
              </w:rPr>
              <w:t>b) support ‘twinning’ Eco-Schools from different countries.</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color w:val="4F81BD"/>
                <w:lang w:val="en-GB"/>
              </w:rPr>
            </w:pPr>
            <w:r>
              <w:rPr>
                <w:lang w:val="en-GB"/>
              </w:rPr>
              <w:t xml:space="preserve">Evidence that many schools find Global Citizenship difficult to link to other sustainability topics and to monitor </w:t>
            </w:r>
            <w:r>
              <w:rPr>
                <w:b/>
                <w:lang w:val="en-GB"/>
              </w:rPr>
              <w:t>(3.2.4h)</w:t>
            </w:r>
            <w:r>
              <w:rPr>
                <w:lang w:val="en-GB"/>
              </w:rPr>
              <w:t>.</w:t>
            </w:r>
          </w:p>
          <w:p w:rsidR="00D52D27" w:rsidRDefault="00D52D27">
            <w:pPr>
              <w:jc w:val="both"/>
              <w:rPr>
                <w:lang w:val="en-GB"/>
              </w:rPr>
            </w:pPr>
          </w:p>
          <w:p w:rsidR="00D52D27" w:rsidRDefault="00D52D27">
            <w:pPr>
              <w:jc w:val="both"/>
              <w:rPr>
                <w:lang w:val="en-GB"/>
              </w:rPr>
            </w:pPr>
            <w:r>
              <w:rPr>
                <w:lang w:val="en-GB"/>
              </w:rPr>
              <w:t xml:space="preserve">Increased support of school understanding of links to Global Citizenship. </w:t>
            </w:r>
          </w:p>
          <w:p w:rsidR="00D52D27" w:rsidRDefault="00D52D27">
            <w:pPr>
              <w:jc w:val="both"/>
              <w:rPr>
                <w:lang w:val="en-GB"/>
              </w:rPr>
            </w:pPr>
            <w:r>
              <w:rPr>
                <w:lang w:val="en-GB"/>
              </w:rPr>
              <w:t>Ease learner understanding of links between local action and global effect.</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shd w:val="clear" w:color="auto" w:fill="BFBFBF"/>
            <w:hideMark/>
          </w:tcPr>
          <w:p w:rsidR="00D52D27" w:rsidRDefault="00D52D27">
            <w:pPr>
              <w:jc w:val="both"/>
              <w:rPr>
                <w:b/>
                <w:lang w:val="en-GB"/>
              </w:rPr>
            </w:pPr>
            <w:r>
              <w:rPr>
                <w:b/>
                <w:lang w:val="en-GB"/>
              </w:rPr>
              <w:t>Recommendations for Keep Wales Tidy (KWT)</w:t>
            </w:r>
          </w:p>
        </w:tc>
        <w:tc>
          <w:tcPr>
            <w:tcW w:w="4395" w:type="dxa"/>
            <w:tcBorders>
              <w:top w:val="single" w:sz="4" w:space="0" w:color="auto"/>
              <w:left w:val="single" w:sz="4" w:space="0" w:color="auto"/>
              <w:bottom w:val="single" w:sz="4" w:space="0" w:color="auto"/>
              <w:right w:val="single" w:sz="4" w:space="0" w:color="auto"/>
            </w:tcBorders>
            <w:shd w:val="clear" w:color="auto" w:fill="BFBFBF"/>
          </w:tcPr>
          <w:p w:rsidR="00D52D27" w:rsidRDefault="00D52D27">
            <w:pPr>
              <w:jc w:val="both"/>
              <w:rPr>
                <w:b/>
                <w:lang w:val="en-GB"/>
              </w:rPr>
            </w:pPr>
            <w:r>
              <w:rPr>
                <w:b/>
                <w:lang w:val="en-GB"/>
              </w:rPr>
              <w:t>Justification for Recommendation  (cross-referenced to example sections of report)</w:t>
            </w:r>
          </w:p>
          <w:p w:rsidR="00D52D27" w:rsidRDefault="00D52D27">
            <w:pPr>
              <w:jc w:val="both"/>
              <w:rPr>
                <w:b/>
                <w:lang w:val="en-GB"/>
              </w:rPr>
            </w:pPr>
          </w:p>
          <w:p w:rsidR="00D52D27" w:rsidRDefault="00D52D27">
            <w:pPr>
              <w:jc w:val="both"/>
              <w:rPr>
                <w:lang w:val="en-GB"/>
              </w:rPr>
            </w:pPr>
            <w:r>
              <w:rPr>
                <w:b/>
                <w:lang w:val="en-GB"/>
              </w:rPr>
              <w:t>Potential impact for the Programme to build on existing success.</w:t>
            </w: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K1.</w:t>
            </w:r>
            <w:r>
              <w:rPr>
                <w:lang w:val="en-GB"/>
              </w:rPr>
              <w:t xml:space="preserve"> Continue to review the website, in order to better support the Programme; </w:t>
            </w:r>
            <w:r>
              <w:rPr>
                <w:i/>
                <w:lang w:val="en-GB"/>
              </w:rPr>
              <w:t>i.e.,</w:t>
            </w:r>
            <w:r>
              <w:rPr>
                <w:lang w:val="en-GB"/>
              </w:rPr>
              <w:t xml:space="preserve"> incorporating a detailed toolbar and including specific links to research, government policy, curriculum, teaching resources, monitoring guidelines, Hwb, partner organisations and training opportunities, including video-tutorials and Power Point presentations. </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color w:val="4F81BD"/>
                <w:lang w:val="en-GB"/>
              </w:rPr>
            </w:pPr>
            <w:r>
              <w:rPr>
                <w:lang w:val="en-GB"/>
              </w:rPr>
              <w:t xml:space="preserve">School, International and stakeholder evidence of the importance of website information and the need for ease of access </w:t>
            </w:r>
            <w:r>
              <w:rPr>
                <w:b/>
                <w:lang w:val="en-GB"/>
              </w:rPr>
              <w:t>(3.1.2, 3.1.3, 3.2.3, 3.3.1)</w:t>
            </w:r>
            <w:r>
              <w:rPr>
                <w:lang w:val="en-GB"/>
              </w:rPr>
              <w:t>.</w:t>
            </w:r>
          </w:p>
          <w:p w:rsidR="00D52D27" w:rsidRDefault="00D52D27">
            <w:pPr>
              <w:jc w:val="both"/>
              <w:rPr>
                <w:lang w:val="en-GB"/>
              </w:rPr>
            </w:pPr>
          </w:p>
          <w:p w:rsidR="00D52D27" w:rsidRDefault="00D52D27">
            <w:pPr>
              <w:jc w:val="both"/>
              <w:rPr>
                <w:lang w:val="en-GB"/>
              </w:rPr>
            </w:pPr>
            <w:r>
              <w:rPr>
                <w:lang w:val="en-GB"/>
              </w:rPr>
              <w:t>To improve communication, increase teaching confidence, support community awareness, provide access to resources, contribute to successful monitoring and evaluation, all of which will support gaining and maintaining award status.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 xml:space="preserve">K2. </w:t>
            </w:r>
            <w:r>
              <w:rPr>
                <w:lang w:val="en-GB"/>
              </w:rPr>
              <w:t>Develop methods to increase engagement within secondary schools in the Programme, such as through a cross-subject staff group on the eco-committee which would ultimately benefit cross-curricular learning relating to sustainability.</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Several sources cite the lack of whole school approach and cross-subject learning</w:t>
            </w:r>
            <w:r>
              <w:rPr>
                <w:color w:val="4F81BD"/>
                <w:lang w:val="en-GB"/>
              </w:rPr>
              <w:t xml:space="preserve"> </w:t>
            </w:r>
            <w:r>
              <w:rPr>
                <w:b/>
                <w:lang w:val="en-GB"/>
              </w:rPr>
              <w:t>(3.2.4)</w:t>
            </w:r>
            <w:r>
              <w:rPr>
                <w:lang w:val="en-GB"/>
              </w:rPr>
              <w:t xml:space="preserve">. Research from California State Education and Environment Roundtable shows that this approach benefits whole secondary school involvement </w:t>
            </w:r>
            <w:r>
              <w:rPr>
                <w:b/>
                <w:lang w:val="en-GB"/>
              </w:rPr>
              <w:t>(3.1.2).</w:t>
            </w:r>
          </w:p>
          <w:p w:rsidR="00D52D27" w:rsidRDefault="00D52D27">
            <w:pPr>
              <w:jc w:val="both"/>
              <w:rPr>
                <w:lang w:val="en-GB"/>
              </w:rPr>
            </w:pPr>
          </w:p>
          <w:p w:rsidR="00D52D27" w:rsidRDefault="00D52D27">
            <w:pPr>
              <w:jc w:val="both"/>
              <w:rPr>
                <w:color w:val="4F81BD"/>
                <w:lang w:val="en-GB"/>
              </w:rPr>
            </w:pPr>
            <w:r>
              <w:rPr>
                <w:lang w:val="en-GB"/>
              </w:rPr>
              <w:t>Potential increase in a whole school approach and holistic learning across all ages, abilities and subjects.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b/>
                <w:lang w:val="en-GB"/>
              </w:rPr>
            </w:pPr>
            <w:r>
              <w:rPr>
                <w:b/>
                <w:lang w:val="en-GB"/>
              </w:rPr>
              <w:t>K3.</w:t>
            </w:r>
            <w:r>
              <w:rPr>
                <w:lang w:val="en-GB"/>
              </w:rPr>
              <w:t xml:space="preserve"> Increase provision of lesson plans and other resources which highlight the relevance of Eco-Schools work across the curriculum and between ages and abilities. This should include resources to support monitoring and evaluation/ training in monitoring and evaluation early on in the programme.</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 xml:space="preserve">Large numbers of requests for additional support, such as sample lesson plans, schemes of work, and monitoring help, including differentiation according to age/ability </w:t>
            </w:r>
            <w:r>
              <w:rPr>
                <w:b/>
                <w:lang w:val="en-GB"/>
              </w:rPr>
              <w:t>(3.1.2f, 3.2.3b, 3.2.4, 3.3.1, 3.3.2)</w:t>
            </w:r>
            <w:r>
              <w:rPr>
                <w:lang w:val="en-GB"/>
              </w:rPr>
              <w:t>.</w:t>
            </w:r>
          </w:p>
          <w:p w:rsidR="00D52D27" w:rsidRDefault="00D52D27">
            <w:pPr>
              <w:jc w:val="both"/>
              <w:rPr>
                <w:lang w:val="en-GB"/>
              </w:rPr>
            </w:pPr>
          </w:p>
          <w:p w:rsidR="00D52D27" w:rsidRDefault="00D52D27">
            <w:pPr>
              <w:jc w:val="both"/>
              <w:rPr>
                <w:lang w:val="en-GB"/>
              </w:rPr>
            </w:pPr>
          </w:p>
          <w:p w:rsidR="00D52D27" w:rsidRDefault="00D52D27">
            <w:pPr>
              <w:jc w:val="both"/>
              <w:rPr>
                <w:lang w:val="en-GB"/>
              </w:rPr>
            </w:pPr>
            <w:r>
              <w:rPr>
                <w:lang w:val="en-GB"/>
              </w:rPr>
              <w:t>Additional support to increase teacher understanding and confidence in using Programme to deliver curriculum aims, in monitoring and gaining award status.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K4.</w:t>
            </w:r>
            <w:r>
              <w:rPr>
                <w:lang w:val="en-GB"/>
              </w:rPr>
              <w:t xml:space="preserve"> Increase support for schools to help them engage in all eight topic areas. This would include increasing provision of, and raising awareness of existing information on resources, training opportunities and good practice that different schools can emulate.</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Not all topic areas are approached with equal levels of confidence</w:t>
            </w:r>
            <w:r>
              <w:rPr>
                <w:b/>
                <w:lang w:val="en-GB"/>
              </w:rPr>
              <w:t xml:space="preserve"> (3.2.4)</w:t>
            </w:r>
            <w:r>
              <w:rPr>
                <w:lang w:val="en-GB"/>
              </w:rPr>
              <w:t>.</w:t>
            </w:r>
          </w:p>
          <w:p w:rsidR="00D52D27" w:rsidRDefault="00D52D27">
            <w:pPr>
              <w:jc w:val="both"/>
              <w:rPr>
                <w:color w:val="4F81BD"/>
                <w:lang w:val="en-GB"/>
              </w:rPr>
            </w:pPr>
            <w:r>
              <w:rPr>
                <w:lang w:val="en-GB"/>
              </w:rPr>
              <w:t>More resources and training, including for non-teaching staff such as caretakers, are necessary</w:t>
            </w:r>
            <w:r>
              <w:rPr>
                <w:color w:val="4F81BD"/>
                <w:lang w:val="en-GB"/>
              </w:rPr>
              <w:t xml:space="preserve"> </w:t>
            </w:r>
            <w:r>
              <w:rPr>
                <w:b/>
                <w:lang w:val="en-GB"/>
              </w:rPr>
              <w:t>(3.2.2, 3.2.3)</w:t>
            </w:r>
            <w:r>
              <w:rPr>
                <w:lang w:val="en-GB"/>
              </w:rPr>
              <w:t>. Key Performance Indicators welcomed by teachers interviewed (</w:t>
            </w:r>
            <w:r>
              <w:rPr>
                <w:b/>
                <w:lang w:val="en-GB"/>
              </w:rPr>
              <w:t>3.3.2</w:t>
            </w:r>
            <w:r>
              <w:rPr>
                <w:lang w:val="en-GB"/>
              </w:rPr>
              <w:t>)</w:t>
            </w:r>
          </w:p>
          <w:p w:rsidR="00D52D27" w:rsidRDefault="00D52D27">
            <w:pPr>
              <w:jc w:val="both"/>
              <w:rPr>
                <w:lang w:val="en-GB"/>
              </w:rPr>
            </w:pPr>
          </w:p>
          <w:p w:rsidR="00D52D27" w:rsidRDefault="00D52D27">
            <w:pPr>
              <w:jc w:val="both"/>
              <w:rPr>
                <w:color w:val="4F81BD"/>
                <w:lang w:val="en-GB"/>
              </w:rPr>
            </w:pPr>
            <w:r>
              <w:rPr>
                <w:lang w:val="en-GB"/>
              </w:rPr>
              <w:t>Additional support should address current barriers that stop some schools taking on topic areas they currently find challenging; increase skills and confidence for monitoring and gaining award status.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K5.</w:t>
            </w:r>
            <w:r>
              <w:rPr>
                <w:lang w:val="en-GB"/>
              </w:rPr>
              <w:t xml:space="preserve"> Support transition arrangements to continue pupil interest on moving to secondary schools, as well as linking with Welsh Baccalaureate to engage older secondary school pupils.</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 xml:space="preserve">Impetus has a tendency to wane amongst older secondary school pupils; less whole school participation </w:t>
            </w:r>
            <w:r>
              <w:rPr>
                <w:b/>
                <w:lang w:val="en-GB"/>
              </w:rPr>
              <w:t>(3.2.4)</w:t>
            </w:r>
            <w:r>
              <w:rPr>
                <w:lang w:val="en-GB"/>
              </w:rPr>
              <w:t>.</w:t>
            </w:r>
          </w:p>
          <w:p w:rsidR="00D52D27" w:rsidRDefault="00D52D27">
            <w:pPr>
              <w:jc w:val="both"/>
              <w:rPr>
                <w:lang w:val="en-GB"/>
              </w:rPr>
            </w:pPr>
          </w:p>
          <w:p w:rsidR="00D52D27" w:rsidRDefault="00D52D27">
            <w:pPr>
              <w:jc w:val="both"/>
              <w:rPr>
                <w:b/>
                <w:lang w:val="en-GB"/>
              </w:rPr>
            </w:pPr>
            <w:r>
              <w:rPr>
                <w:lang w:val="en-GB"/>
              </w:rPr>
              <w:t>Developments such as using Eco Youth Forum raise profile of participation</w:t>
            </w:r>
            <w:r>
              <w:rPr>
                <w:b/>
                <w:lang w:val="en-GB"/>
              </w:rPr>
              <w:t xml:space="preserve"> (3.1.1d)</w:t>
            </w:r>
            <w:r>
              <w:rPr>
                <w:lang w:val="en-GB"/>
              </w:rPr>
              <w:t>.</w:t>
            </w:r>
          </w:p>
          <w:p w:rsidR="00D52D27" w:rsidRDefault="00D52D27">
            <w:pPr>
              <w:jc w:val="both"/>
              <w:rPr>
                <w:lang w:val="en-GB"/>
              </w:rPr>
            </w:pPr>
          </w:p>
          <w:p w:rsidR="00D52D27" w:rsidRDefault="00D52D27">
            <w:pPr>
              <w:jc w:val="both"/>
              <w:rPr>
                <w:lang w:val="en-GB"/>
              </w:rPr>
            </w:pPr>
            <w:r>
              <w:rPr>
                <w:lang w:val="en-GB"/>
              </w:rPr>
              <w:t xml:space="preserve">An increase in secondary schools achieving </w:t>
            </w:r>
            <w:r>
              <w:rPr>
                <w:b/>
                <w:lang w:val="en-GB"/>
              </w:rPr>
              <w:t>embedded</w:t>
            </w:r>
            <w:r>
              <w:rPr>
                <w:lang w:val="en-GB"/>
              </w:rPr>
              <w:t xml:space="preserve"> Eco-Schools ethos, reflected in Green Flag and Platinum awards.  Increase in older pupils gaining an understanding of sustainability issues as they move into Further Education, Higher Education and the Workplace.</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K6.</w:t>
            </w:r>
            <w:r>
              <w:rPr>
                <w:lang w:val="en-GB"/>
              </w:rPr>
              <w:t xml:space="preserve"> Enable and encourage schools to focus on energy as one of their three topics for the Green Flag award. </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i/>
                <w:lang w:val="en-GB"/>
              </w:rPr>
            </w:pPr>
            <w:r>
              <w:rPr>
                <w:lang w:val="en-GB"/>
              </w:rPr>
              <w:t xml:space="preserve">Energy was ranked the lowest in terms of schools feeling they had achieved success in this area </w:t>
            </w:r>
            <w:r>
              <w:rPr>
                <w:b/>
                <w:lang w:val="en-GB"/>
              </w:rPr>
              <w:t>(3.2.4e)</w:t>
            </w:r>
            <w:r>
              <w:rPr>
                <w:lang w:val="en-GB"/>
              </w:rPr>
              <w:t>.</w:t>
            </w:r>
            <w:r>
              <w:rPr>
                <w:b/>
                <w:lang w:val="en-GB"/>
              </w:rPr>
              <w:t xml:space="preserve"> </w:t>
            </w:r>
            <w:r>
              <w:rPr>
                <w:lang w:val="en-GB"/>
              </w:rPr>
              <w:t>Using recommended additions to monitoring forms can support this</w:t>
            </w:r>
            <w:r>
              <w:rPr>
                <w:b/>
                <w:lang w:val="en-GB"/>
              </w:rPr>
              <w:t xml:space="preserve"> (3.3.1a). </w:t>
            </w:r>
            <w:r>
              <w:rPr>
                <w:i/>
                <w:lang w:val="en-GB"/>
              </w:rPr>
              <w:t>See Appendix 6</w:t>
            </w:r>
          </w:p>
          <w:p w:rsidR="00D52D27" w:rsidRDefault="00D52D27">
            <w:pPr>
              <w:jc w:val="both"/>
              <w:rPr>
                <w:lang w:val="en-GB"/>
              </w:rPr>
            </w:pPr>
          </w:p>
          <w:p w:rsidR="00D52D27" w:rsidRDefault="00D52D27">
            <w:pPr>
              <w:jc w:val="both"/>
              <w:rPr>
                <w:lang w:val="en-GB"/>
              </w:rPr>
            </w:pPr>
            <w:r>
              <w:rPr>
                <w:lang w:val="en-GB"/>
              </w:rPr>
              <w:t>Increased support of pupil understanding could have lifelong learning effects with messages about climate change, conservation of resources and financial savings transferred to the home and community. Financial savings for Local Authorities and schools.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K7.</w:t>
            </w:r>
            <w:r>
              <w:rPr>
                <w:lang w:val="en-GB"/>
              </w:rPr>
              <w:t xml:space="preserve"> Support schools in developing projects relating to the Pollinators Plan for Wales and other initiatives which promote using school grounds to improve biodiversity.</w:t>
            </w:r>
            <w:r>
              <w:rPr>
                <w:lang w:val="en-GB"/>
              </w:rPr>
              <w:tab/>
            </w:r>
          </w:p>
          <w:p w:rsidR="00D52D27" w:rsidRDefault="00D52D27">
            <w:pPr>
              <w:jc w:val="both"/>
              <w:rPr>
                <w:lang w:val="en-GB"/>
              </w:rPr>
            </w:pPr>
            <w:r>
              <w:rPr>
                <w:lang w:val="en-GB"/>
              </w:rPr>
              <w:tab/>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color w:val="00B0F0"/>
                <w:lang w:val="en-GB"/>
              </w:rPr>
            </w:pPr>
            <w:r>
              <w:rPr>
                <w:lang w:val="en-GB"/>
              </w:rPr>
              <w:t xml:space="preserve">Need shown to relate school grounds development to biodiversity </w:t>
            </w:r>
            <w:r>
              <w:rPr>
                <w:b/>
                <w:lang w:val="en-GB"/>
              </w:rPr>
              <w:t>(3.2.4g)</w:t>
            </w:r>
            <w:r>
              <w:rPr>
                <w:lang w:val="en-GB"/>
              </w:rPr>
              <w:t>.</w:t>
            </w:r>
          </w:p>
          <w:p w:rsidR="00D52D27" w:rsidRDefault="00D52D27">
            <w:pPr>
              <w:jc w:val="both"/>
              <w:rPr>
                <w:lang w:val="en-GB"/>
              </w:rPr>
            </w:pPr>
          </w:p>
          <w:p w:rsidR="00D52D27" w:rsidRDefault="00D52D27">
            <w:pPr>
              <w:jc w:val="both"/>
              <w:rPr>
                <w:lang w:val="en-GB"/>
              </w:rPr>
            </w:pPr>
            <w:r>
              <w:rPr>
                <w:lang w:val="en-GB"/>
              </w:rPr>
              <w:t>Encourage biodiversity.  Greater understanding of ecological cycles.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t>K8.</w:t>
            </w:r>
            <w:r>
              <w:rPr>
                <w:lang w:val="en-GB"/>
              </w:rPr>
              <w:t xml:space="preserve"> Support schools to view global citizenship as a theme to link with the other topic areas, as well as being a discreet topic, in order to address climate change and sustainable development. </w:t>
            </w:r>
          </w:p>
          <w:p w:rsidR="00D52D27" w:rsidRDefault="00D52D27">
            <w:pPr>
              <w:jc w:val="both"/>
              <w:rPr>
                <w:lang w:val="en-GB"/>
              </w:rPr>
            </w:pPr>
          </w:p>
          <w:p w:rsidR="00D52D27" w:rsidRDefault="00D52D27">
            <w:pPr>
              <w:jc w:val="both"/>
              <w:rPr>
                <w:lang w:val="en-GB"/>
              </w:rPr>
            </w:pPr>
            <w:r>
              <w:rPr>
                <w:lang w:val="en-GB"/>
              </w:rPr>
              <w:t xml:space="preserve">This should include the relationship between richer and poorer countries; how local actions have a global effect; how social, economic and environmental issues all contribute to attitudes and behaviour for sustainable development.  </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color w:val="4F81BD"/>
                <w:lang w:val="en-GB"/>
              </w:rPr>
            </w:pPr>
            <w:r>
              <w:rPr>
                <w:lang w:val="en-GB"/>
              </w:rPr>
              <w:t xml:space="preserve">Many schools report that they currently find difficulty in supporting pupil understanding of Global Citizenship. It could be linked to the other topic areas, such as through the umbrella themes of rights/citizenship/climate change or as overarching theme within other topics as well as a discreet topic </w:t>
            </w:r>
            <w:r>
              <w:rPr>
                <w:b/>
                <w:lang w:val="en-GB"/>
              </w:rPr>
              <w:t>(3.1.3c, 3.1.2e, 3.2.4h)</w:t>
            </w:r>
            <w:r>
              <w:rPr>
                <w:lang w:val="en-GB"/>
              </w:rPr>
              <w:t>.</w:t>
            </w:r>
          </w:p>
          <w:p w:rsidR="00D52D27" w:rsidRDefault="00D52D27">
            <w:pPr>
              <w:jc w:val="both"/>
              <w:rPr>
                <w:lang w:val="en-GB"/>
              </w:rPr>
            </w:pPr>
          </w:p>
          <w:p w:rsidR="00D52D27" w:rsidRDefault="00D52D27">
            <w:pPr>
              <w:jc w:val="both"/>
              <w:rPr>
                <w:b/>
                <w:lang w:val="en-GB"/>
              </w:rPr>
            </w:pPr>
            <w:r>
              <w:rPr>
                <w:lang w:val="en-GB"/>
              </w:rPr>
              <w:t xml:space="preserve">Some schools currently view global citizenship only in terms of collecting money/resources to send to these countries, rather than reflecting on long term effects of their actions in their own country </w:t>
            </w:r>
            <w:r>
              <w:rPr>
                <w:b/>
                <w:lang w:val="en-GB"/>
              </w:rPr>
              <w:t>(3.1.1e; 3.2.4h, 3.3.2)</w:t>
            </w:r>
            <w:r>
              <w:rPr>
                <w:lang w:val="en-GB"/>
              </w:rPr>
              <w:t>.</w:t>
            </w:r>
          </w:p>
          <w:p w:rsidR="00D52D27" w:rsidRDefault="00D52D27">
            <w:pPr>
              <w:jc w:val="both"/>
              <w:rPr>
                <w:lang w:val="en-GB"/>
              </w:rPr>
            </w:pPr>
          </w:p>
          <w:p w:rsidR="00D52D27" w:rsidRDefault="00D52D27">
            <w:pPr>
              <w:jc w:val="both"/>
              <w:rPr>
                <w:lang w:val="en-GB"/>
              </w:rPr>
            </w:pPr>
            <w:r>
              <w:rPr>
                <w:lang w:val="en-GB"/>
              </w:rPr>
              <w:t>Increased pupil understanding of links between local action and global effect. It could give deeper meaning to saving energy and water, for example.</w:t>
            </w:r>
          </w:p>
          <w:p w:rsidR="00D52D27" w:rsidRDefault="00D52D27">
            <w:pPr>
              <w:jc w:val="both"/>
              <w:rPr>
                <w:lang w:val="en-GB"/>
              </w:rPr>
            </w:pPr>
          </w:p>
          <w:p w:rsidR="00D52D27" w:rsidRDefault="00D52D27">
            <w:pPr>
              <w:jc w:val="both"/>
              <w:rPr>
                <w:i/>
                <w:lang w:val="en-GB"/>
              </w:rPr>
            </w:pPr>
            <w:r>
              <w:rPr>
                <w:i/>
                <w:lang w:val="en-GB"/>
              </w:rPr>
              <w:t>Note: Key Performance Indicators developed in Stage 3 should support the current challenge experienced by many schools in understanding this topic area.</w:t>
            </w:r>
            <w:r>
              <w:rPr>
                <w:i/>
                <w:color w:val="00B0F0"/>
                <w:lang w:val="en-GB"/>
              </w:rPr>
              <w:tab/>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t>K9.</w:t>
            </w:r>
            <w:r>
              <w:rPr>
                <w:lang w:val="en-GB"/>
              </w:rPr>
              <w:t xml:space="preserve"> Further encourage and support mutually beneficial activities between schools, homes and local communities and develop appropriate methods to monitor this activity.</w:t>
            </w:r>
          </w:p>
          <w:p w:rsidR="00D52D27" w:rsidRDefault="00D52D27">
            <w:pPr>
              <w:jc w:val="both"/>
              <w:rPr>
                <w:lang w:val="en-GB"/>
              </w:rPr>
            </w:pP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color w:val="00B0F0"/>
                <w:lang w:val="en-GB"/>
              </w:rPr>
            </w:pPr>
            <w:r>
              <w:rPr>
                <w:lang w:val="en-GB"/>
              </w:rPr>
              <w:t xml:space="preserve">Several examples of good practice have emerged which would benefit from higher profile </w:t>
            </w:r>
            <w:r>
              <w:rPr>
                <w:b/>
                <w:lang w:val="en-GB"/>
              </w:rPr>
              <w:t>(3.2.5)</w:t>
            </w:r>
            <w:r>
              <w:rPr>
                <w:lang w:val="en-GB"/>
              </w:rPr>
              <w:t>.</w:t>
            </w:r>
          </w:p>
          <w:p w:rsidR="00D52D27" w:rsidRDefault="00D52D27">
            <w:pPr>
              <w:jc w:val="both"/>
              <w:rPr>
                <w:lang w:val="en-GB"/>
              </w:rPr>
            </w:pPr>
          </w:p>
          <w:p w:rsidR="00D52D27" w:rsidRDefault="00D52D27">
            <w:pPr>
              <w:jc w:val="both"/>
              <w:rPr>
                <w:lang w:val="en-GB"/>
              </w:rPr>
            </w:pPr>
            <w:r>
              <w:rPr>
                <w:lang w:val="en-GB"/>
              </w:rPr>
              <w:t>Promote children’s eco-attitudes and behaviour to be extended to the home, and encourage parental and community groups to be actively involved, thus increasing monitoring of wider effects of the Programme.</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K10.</w:t>
            </w:r>
            <w:r>
              <w:rPr>
                <w:lang w:val="en-GB"/>
              </w:rPr>
              <w:t xml:space="preserve"> Actively seek additional sources of funding to build Programme resilience. </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Several sources cite difficulty in accessing materials, including on current website; increased funding could increase spending on this means of communication </w:t>
            </w:r>
            <w:r>
              <w:rPr>
                <w:b/>
                <w:lang w:val="en-GB"/>
              </w:rPr>
              <w:t>(3.2.3b)</w:t>
            </w:r>
            <w:r>
              <w:rPr>
                <w:lang w:val="en-GB"/>
              </w:rPr>
              <w:t>.</w:t>
            </w:r>
          </w:p>
          <w:p w:rsidR="00D52D27" w:rsidRDefault="00D52D27">
            <w:pPr>
              <w:jc w:val="both"/>
              <w:rPr>
                <w:lang w:val="en-GB"/>
              </w:rPr>
            </w:pPr>
          </w:p>
          <w:p w:rsidR="00D52D27" w:rsidRDefault="00D52D27">
            <w:pPr>
              <w:jc w:val="both"/>
              <w:rPr>
                <w:lang w:val="en-GB"/>
              </w:rPr>
            </w:pPr>
            <w:r>
              <w:rPr>
                <w:lang w:val="en-GB"/>
              </w:rPr>
              <w:t>Further development of the website and resources such as apps, would increase communication with schools and access to materials.</w:t>
            </w:r>
          </w:p>
          <w:p w:rsidR="00D52D27" w:rsidRDefault="00D52D27">
            <w:pPr>
              <w:jc w:val="both"/>
              <w:rPr>
                <w:color w:val="4F81BD"/>
                <w:lang w:val="en-GB"/>
              </w:rPr>
            </w:pPr>
          </w:p>
        </w:tc>
      </w:tr>
    </w:tbl>
    <w:p w:rsidR="000D1351" w:rsidRDefault="000D1351"/>
    <w:sectPr w:rsidR="000D13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20C64" w:rsidRDefault="00020C64" w:rsidP="00887A1B">
      <w:r>
        <w:separator/>
      </w:r>
    </w:p>
  </w:endnote>
  <w:endnote w:type="continuationSeparator" w:id="0">
    <w:p w:rsidR="00020C64" w:rsidRDefault="00020C64" w:rsidP="00887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6816719"/>
      <w:docPartObj>
        <w:docPartGallery w:val="Page Numbers (Bottom of Page)"/>
        <w:docPartUnique/>
      </w:docPartObj>
    </w:sdtPr>
    <w:sdtEndPr>
      <w:rPr>
        <w:noProof/>
      </w:rPr>
    </w:sdtEndPr>
    <w:sdtContent>
      <w:p w:rsidR="00887A1B" w:rsidRDefault="00887A1B">
        <w:pPr>
          <w:pStyle w:val="Footer"/>
          <w:jc w:val="center"/>
        </w:pPr>
        <w:r>
          <w:fldChar w:fldCharType="begin"/>
        </w:r>
        <w:r>
          <w:instrText xml:space="preserve"> PAGE   \* MERGEFORMAT </w:instrText>
        </w:r>
        <w:r>
          <w:fldChar w:fldCharType="separate"/>
        </w:r>
        <w:r w:rsidR="00020C64">
          <w:rPr>
            <w:noProof/>
          </w:rPr>
          <w:t>a</w:t>
        </w:r>
        <w:r>
          <w:rPr>
            <w:noProof/>
          </w:rPr>
          <w:fldChar w:fldCharType="end"/>
        </w:r>
      </w:p>
    </w:sdtContent>
  </w:sdt>
  <w:p w:rsidR="00887A1B" w:rsidRDefault="00887A1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20C64" w:rsidRDefault="00020C64" w:rsidP="00887A1B">
      <w:r>
        <w:separator/>
      </w:r>
    </w:p>
  </w:footnote>
  <w:footnote w:type="continuationSeparator" w:id="0">
    <w:p w:rsidR="00020C64" w:rsidRDefault="00020C64" w:rsidP="00887A1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F867DE"/>
    <w:multiLevelType w:val="hybridMultilevel"/>
    <w:tmpl w:val="DD26BD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2D27"/>
    <w:rsid w:val="00020C64"/>
    <w:rsid w:val="000D1351"/>
    <w:rsid w:val="00887A1B"/>
    <w:rsid w:val="008F1B32"/>
    <w:rsid w:val="00A71FBB"/>
    <w:rsid w:val="00D52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5D778EA-85BF-448A-AE3E-24741493E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iPriority="0"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2D27"/>
    <w:pPr>
      <w:spacing w:after="0" w:line="240" w:lineRule="auto"/>
    </w:pPr>
    <w:rPr>
      <w:rFonts w:ascii="Arial" w:eastAsia="Calibri" w:hAnsi="Arial" w:cs="Arial"/>
      <w:sz w:val="24"/>
      <w:szCs w:val="24"/>
      <w:lang w:val="en-US"/>
    </w:rPr>
  </w:style>
  <w:style w:type="paragraph" w:styleId="Heading1">
    <w:name w:val="heading 1"/>
    <w:basedOn w:val="Normal"/>
    <w:next w:val="Normal"/>
    <w:link w:val="Heading1Char"/>
    <w:uiPriority w:val="9"/>
    <w:qFormat/>
    <w:rsid w:val="00D52D27"/>
    <w:pPr>
      <w:keepNext/>
      <w:spacing w:before="240" w:after="60"/>
      <w:outlineLvl w:val="0"/>
    </w:pPr>
    <w:rPr>
      <w:rFonts w:eastAsia="Times New Roman"/>
      <w:b/>
      <w:bCs/>
      <w:kern w:val="32"/>
      <w:sz w:val="32"/>
      <w:szCs w:val="32"/>
      <w:lang w:eastAsia="en-GB"/>
    </w:rPr>
  </w:style>
  <w:style w:type="paragraph" w:styleId="Heading2">
    <w:name w:val="heading 2"/>
    <w:basedOn w:val="Normal"/>
    <w:next w:val="Normal"/>
    <w:link w:val="Heading2Char"/>
    <w:uiPriority w:val="9"/>
    <w:semiHidden/>
    <w:unhideWhenUsed/>
    <w:qFormat/>
    <w:rsid w:val="00D52D27"/>
    <w:pPr>
      <w:keepNext/>
      <w:keepLines/>
      <w:spacing w:before="200"/>
      <w:outlineLvl w:val="1"/>
    </w:pPr>
    <w:rPr>
      <w:rFonts w:eastAsia="Times New Roman"/>
      <w:b/>
      <w:bCs/>
      <w:sz w:val="28"/>
      <w:szCs w:val="28"/>
      <w:lang w:eastAsia="en-GB"/>
    </w:rPr>
  </w:style>
  <w:style w:type="paragraph" w:styleId="Heading3">
    <w:name w:val="heading 3"/>
    <w:basedOn w:val="Normal"/>
    <w:next w:val="Normal"/>
    <w:link w:val="Heading3Char"/>
    <w:uiPriority w:val="9"/>
    <w:semiHidden/>
    <w:unhideWhenUsed/>
    <w:qFormat/>
    <w:rsid w:val="00D52D27"/>
    <w:pPr>
      <w:keepNext/>
      <w:keepLines/>
      <w:spacing w:before="200"/>
      <w:outlineLvl w:val="2"/>
    </w:pPr>
    <w:rPr>
      <w:rFonts w:eastAsiaTheme="majorEastAsia"/>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D27"/>
    <w:rPr>
      <w:rFonts w:ascii="Arial" w:eastAsia="Times New Roman" w:hAnsi="Arial" w:cs="Arial"/>
      <w:b/>
      <w:bCs/>
      <w:kern w:val="32"/>
      <w:sz w:val="32"/>
      <w:szCs w:val="32"/>
      <w:lang w:val="en-US" w:eastAsia="en-GB"/>
    </w:rPr>
  </w:style>
  <w:style w:type="character" w:customStyle="1" w:styleId="Heading2Char">
    <w:name w:val="Heading 2 Char"/>
    <w:basedOn w:val="DefaultParagraphFont"/>
    <w:link w:val="Heading2"/>
    <w:uiPriority w:val="9"/>
    <w:semiHidden/>
    <w:rsid w:val="00D52D27"/>
    <w:rPr>
      <w:rFonts w:ascii="Arial" w:eastAsia="Times New Roman" w:hAnsi="Arial" w:cs="Arial"/>
      <w:b/>
      <w:bCs/>
      <w:sz w:val="28"/>
      <w:szCs w:val="28"/>
      <w:lang w:val="en-US" w:eastAsia="en-GB"/>
    </w:rPr>
  </w:style>
  <w:style w:type="character" w:customStyle="1" w:styleId="Heading3Char">
    <w:name w:val="Heading 3 Char"/>
    <w:basedOn w:val="DefaultParagraphFont"/>
    <w:link w:val="Heading3"/>
    <w:uiPriority w:val="9"/>
    <w:semiHidden/>
    <w:rsid w:val="00D52D27"/>
    <w:rPr>
      <w:rFonts w:ascii="Arial" w:eastAsiaTheme="majorEastAsia" w:hAnsi="Arial" w:cs="Arial"/>
      <w:b/>
      <w:bCs/>
      <w:sz w:val="24"/>
      <w:szCs w:val="24"/>
      <w:lang w:val="en-US"/>
    </w:rPr>
  </w:style>
  <w:style w:type="character" w:styleId="Hyperlink">
    <w:name w:val="Hyperlink"/>
    <w:uiPriority w:val="99"/>
    <w:semiHidden/>
    <w:unhideWhenUsed/>
    <w:rsid w:val="00D52D27"/>
    <w:rPr>
      <w:color w:val="0000FF"/>
      <w:u w:val="single"/>
    </w:rPr>
  </w:style>
  <w:style w:type="character" w:styleId="FollowedHyperlink">
    <w:name w:val="FollowedHyperlink"/>
    <w:basedOn w:val="DefaultParagraphFont"/>
    <w:uiPriority w:val="99"/>
    <w:semiHidden/>
    <w:unhideWhenUsed/>
    <w:rsid w:val="00D52D27"/>
    <w:rPr>
      <w:color w:val="800080" w:themeColor="followedHyperlink"/>
      <w:u w:val="single"/>
    </w:rPr>
  </w:style>
  <w:style w:type="paragraph" w:styleId="TOC1">
    <w:name w:val="toc 1"/>
    <w:basedOn w:val="Normal"/>
    <w:next w:val="Normal"/>
    <w:autoRedefine/>
    <w:uiPriority w:val="39"/>
    <w:semiHidden/>
    <w:unhideWhenUsed/>
    <w:rsid w:val="00D52D27"/>
    <w:rPr>
      <w:rFonts w:ascii="Times New Roman" w:eastAsia="Times New Roman" w:hAnsi="Times New Roman" w:cs="Times New Roman"/>
      <w:lang w:eastAsia="en-GB"/>
    </w:rPr>
  </w:style>
  <w:style w:type="paragraph" w:styleId="TOC2">
    <w:name w:val="toc 2"/>
    <w:basedOn w:val="Normal"/>
    <w:next w:val="Normal"/>
    <w:autoRedefine/>
    <w:uiPriority w:val="39"/>
    <w:semiHidden/>
    <w:unhideWhenUsed/>
    <w:rsid w:val="00D52D27"/>
    <w:pPr>
      <w:spacing w:after="100"/>
      <w:ind w:left="240"/>
    </w:pPr>
  </w:style>
  <w:style w:type="paragraph" w:styleId="TOC3">
    <w:name w:val="toc 3"/>
    <w:basedOn w:val="Normal"/>
    <w:next w:val="Normal"/>
    <w:autoRedefine/>
    <w:uiPriority w:val="39"/>
    <w:semiHidden/>
    <w:unhideWhenUsed/>
    <w:rsid w:val="00D52D27"/>
    <w:pPr>
      <w:spacing w:after="100"/>
      <w:ind w:left="480"/>
    </w:pPr>
  </w:style>
  <w:style w:type="paragraph" w:styleId="CommentText">
    <w:name w:val="annotation text"/>
    <w:basedOn w:val="Normal"/>
    <w:link w:val="CommentTextChar"/>
    <w:semiHidden/>
    <w:unhideWhenUsed/>
    <w:rsid w:val="00D52D27"/>
    <w:rPr>
      <w:rFonts w:eastAsia="Times New Roman"/>
      <w:sz w:val="28"/>
      <w:szCs w:val="28"/>
      <w:lang w:eastAsia="en-GB"/>
    </w:rPr>
  </w:style>
  <w:style w:type="character" w:customStyle="1" w:styleId="CommentTextChar">
    <w:name w:val="Comment Text Char"/>
    <w:basedOn w:val="DefaultParagraphFont"/>
    <w:link w:val="CommentText"/>
    <w:semiHidden/>
    <w:rsid w:val="00D52D27"/>
    <w:rPr>
      <w:rFonts w:ascii="Arial" w:eastAsia="Times New Roman" w:hAnsi="Arial" w:cs="Arial"/>
      <w:sz w:val="28"/>
      <w:szCs w:val="28"/>
      <w:lang w:val="en-US" w:eastAsia="en-GB"/>
    </w:rPr>
  </w:style>
  <w:style w:type="paragraph" w:styleId="Header">
    <w:name w:val="header"/>
    <w:basedOn w:val="Normal"/>
    <w:link w:val="HeaderChar"/>
    <w:uiPriority w:val="99"/>
    <w:unhideWhenUsed/>
    <w:rsid w:val="00D52D27"/>
    <w:pPr>
      <w:tabs>
        <w:tab w:val="center" w:pos="4153"/>
        <w:tab w:val="right" w:pos="8306"/>
      </w:tabs>
    </w:pPr>
    <w:rPr>
      <w:rFonts w:ascii="Times New Roman" w:eastAsia="Times New Roman" w:hAnsi="Times New Roman" w:cs="Times New Roman"/>
      <w:lang w:eastAsia="en-GB"/>
    </w:rPr>
  </w:style>
  <w:style w:type="character" w:customStyle="1" w:styleId="HeaderChar">
    <w:name w:val="Header Char"/>
    <w:basedOn w:val="DefaultParagraphFont"/>
    <w:link w:val="Header"/>
    <w:uiPriority w:val="99"/>
    <w:rsid w:val="00D52D27"/>
    <w:rPr>
      <w:rFonts w:ascii="Times New Roman" w:eastAsia="Times New Roman" w:hAnsi="Times New Roman" w:cs="Times New Roman"/>
      <w:sz w:val="24"/>
      <w:szCs w:val="24"/>
      <w:lang w:val="en-US" w:eastAsia="en-GB"/>
    </w:rPr>
  </w:style>
  <w:style w:type="paragraph" w:styleId="Footer">
    <w:name w:val="footer"/>
    <w:basedOn w:val="Normal"/>
    <w:link w:val="FooterChar"/>
    <w:uiPriority w:val="99"/>
    <w:unhideWhenUsed/>
    <w:rsid w:val="00D52D27"/>
    <w:pPr>
      <w:tabs>
        <w:tab w:val="center" w:pos="4153"/>
        <w:tab w:val="right" w:pos="8306"/>
      </w:tabs>
    </w:pPr>
    <w:rPr>
      <w:rFonts w:ascii="Times New Roman" w:eastAsia="Times New Roman" w:hAnsi="Times New Roman" w:cs="Times New Roman"/>
      <w:lang w:eastAsia="en-GB"/>
    </w:rPr>
  </w:style>
  <w:style w:type="character" w:customStyle="1" w:styleId="FooterChar">
    <w:name w:val="Footer Char"/>
    <w:basedOn w:val="DefaultParagraphFont"/>
    <w:link w:val="Footer"/>
    <w:uiPriority w:val="99"/>
    <w:rsid w:val="00D52D27"/>
    <w:rPr>
      <w:rFonts w:ascii="Times New Roman" w:eastAsia="Times New Roman" w:hAnsi="Times New Roman" w:cs="Times New Roman"/>
      <w:sz w:val="24"/>
      <w:szCs w:val="24"/>
      <w:lang w:val="en-US" w:eastAsia="en-GB"/>
    </w:rPr>
  </w:style>
  <w:style w:type="paragraph" w:styleId="CommentSubject">
    <w:name w:val="annotation subject"/>
    <w:basedOn w:val="CommentText"/>
    <w:next w:val="CommentText"/>
    <w:link w:val="CommentSubjectChar"/>
    <w:semiHidden/>
    <w:unhideWhenUsed/>
    <w:rsid w:val="00D52D27"/>
    <w:rPr>
      <w:b/>
      <w:bCs/>
    </w:rPr>
  </w:style>
  <w:style w:type="character" w:customStyle="1" w:styleId="CommentSubjectChar">
    <w:name w:val="Comment Subject Char"/>
    <w:basedOn w:val="CommentTextChar"/>
    <w:link w:val="CommentSubject"/>
    <w:semiHidden/>
    <w:rsid w:val="00D52D27"/>
    <w:rPr>
      <w:rFonts w:ascii="Arial" w:eastAsia="Times New Roman" w:hAnsi="Arial" w:cs="Arial"/>
      <w:b/>
      <w:bCs/>
      <w:sz w:val="28"/>
      <w:szCs w:val="28"/>
      <w:lang w:val="en-US" w:eastAsia="en-GB"/>
    </w:rPr>
  </w:style>
  <w:style w:type="paragraph" w:styleId="BalloonText">
    <w:name w:val="Balloon Text"/>
    <w:basedOn w:val="Normal"/>
    <w:link w:val="BalloonTextChar"/>
    <w:semiHidden/>
    <w:unhideWhenUsed/>
    <w:rsid w:val="00D52D27"/>
    <w:rPr>
      <w:rFonts w:ascii="Tahoma" w:eastAsia="Times New Roman" w:hAnsi="Tahoma" w:cs="Tahoma"/>
      <w:sz w:val="16"/>
      <w:szCs w:val="16"/>
      <w:lang w:eastAsia="en-GB"/>
    </w:rPr>
  </w:style>
  <w:style w:type="character" w:customStyle="1" w:styleId="BalloonTextChar">
    <w:name w:val="Balloon Text Char"/>
    <w:basedOn w:val="DefaultParagraphFont"/>
    <w:link w:val="BalloonText"/>
    <w:semiHidden/>
    <w:rsid w:val="00D52D27"/>
    <w:rPr>
      <w:rFonts w:ascii="Tahoma" w:eastAsia="Times New Roman" w:hAnsi="Tahoma" w:cs="Tahoma"/>
      <w:sz w:val="16"/>
      <w:szCs w:val="16"/>
      <w:lang w:val="en-US" w:eastAsia="en-GB"/>
    </w:rPr>
  </w:style>
  <w:style w:type="paragraph" w:styleId="Revision">
    <w:name w:val="Revision"/>
    <w:uiPriority w:val="99"/>
    <w:semiHidden/>
    <w:rsid w:val="00D52D27"/>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52D27"/>
    <w:pPr>
      <w:spacing w:after="200" w:line="276" w:lineRule="auto"/>
      <w:ind w:left="720"/>
      <w:contextualSpacing/>
    </w:pPr>
    <w:rPr>
      <w:rFonts w:ascii="Calibri" w:hAnsi="Calibri" w:cs="Times New Roman"/>
    </w:rPr>
  </w:style>
  <w:style w:type="paragraph" w:styleId="TOCHeading">
    <w:name w:val="TOC Heading"/>
    <w:basedOn w:val="Heading1"/>
    <w:next w:val="Normal"/>
    <w:uiPriority w:val="39"/>
    <w:semiHidden/>
    <w:unhideWhenUsed/>
    <w:qFormat/>
    <w:rsid w:val="00D52D27"/>
    <w:pPr>
      <w:keepLines/>
      <w:spacing w:before="480" w:after="0" w:line="276" w:lineRule="auto"/>
      <w:outlineLvl w:val="9"/>
    </w:pPr>
    <w:rPr>
      <w:rFonts w:ascii="Cambria" w:eastAsia="MS Gothic" w:hAnsi="Cambria" w:cs="Times New Roman"/>
      <w:color w:val="365F91"/>
      <w:kern w:val="0"/>
      <w:sz w:val="28"/>
      <w:szCs w:val="28"/>
      <w:lang w:eastAsia="ja-JP"/>
    </w:rPr>
  </w:style>
  <w:style w:type="character" w:styleId="CommentReference">
    <w:name w:val="annotation reference"/>
    <w:uiPriority w:val="99"/>
    <w:semiHidden/>
    <w:unhideWhenUsed/>
    <w:rsid w:val="00D52D27"/>
    <w:rPr>
      <w:sz w:val="16"/>
      <w:szCs w:val="16"/>
    </w:rPr>
  </w:style>
  <w:style w:type="table" w:styleId="TableColorful1">
    <w:name w:val="Table Colorful 1"/>
    <w:basedOn w:val="TableNormal"/>
    <w:semiHidden/>
    <w:unhideWhenUsed/>
    <w:rsid w:val="00D52D27"/>
    <w:pPr>
      <w:spacing w:after="0" w:line="240" w:lineRule="auto"/>
    </w:pPr>
    <w:rPr>
      <w:rFonts w:ascii="Times New Roman" w:eastAsia="Times New Roman" w:hAnsi="Times New Roman" w:cs="Times New Roman"/>
      <w:color w:val="FFFFFF"/>
      <w:sz w:val="20"/>
      <w:szCs w:val="20"/>
    </w:rPr>
    <w:tblPr>
      <w:tblBorders>
        <w:top w:val="single" w:sz="12" w:space="0" w:color="008080"/>
        <w:left w:val="single" w:sz="12" w:space="0" w:color="008080"/>
        <w:bottom w:val="single" w:sz="12" w:space="0" w:color="008080"/>
        <w:right w:val="single" w:sz="12" w:space="0" w:color="008080"/>
        <w:insideH w:val="single" w:sz="6" w:space="0" w:color="00FFFF"/>
      </w:tblBorders>
      <w:tblCellMar>
        <w:top w:w="0" w:type="dxa"/>
        <w:left w:w="108" w:type="dxa"/>
        <w:bottom w:w="0" w:type="dxa"/>
        <w:right w:w="108" w:type="dxa"/>
      </w:tblCellMar>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Grid">
    <w:name w:val="Table Grid"/>
    <w:basedOn w:val="TableNormal"/>
    <w:rsid w:val="00D52D27"/>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uiPriority w:val="59"/>
    <w:rsid w:val="00D52D27"/>
    <w:pPr>
      <w:spacing w:after="0" w:line="240" w:lineRule="auto"/>
    </w:pPr>
    <w:rPr>
      <w:rFonts w:ascii="Calibri" w:eastAsia="Calibri" w:hAnsi="Calibri"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976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4615</Words>
  <Characters>26309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30863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Andrew&amp;Eileen</dc:creator>
  <cp:lastModifiedBy>Glenda Tinney</cp:lastModifiedBy>
  <cp:revision>2</cp:revision>
  <dcterms:created xsi:type="dcterms:W3CDTF">2017-11-09T00:45:00Z</dcterms:created>
  <dcterms:modified xsi:type="dcterms:W3CDTF">2017-11-09T00:45:00Z</dcterms:modified>
</cp:coreProperties>
</file>