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E8365" w14:textId="77777777" w:rsidR="004D7552" w:rsidRPr="008E4964" w:rsidRDefault="00000000" w:rsidP="008C15E7">
      <w:pPr>
        <w:spacing w:before="0"/>
        <w:jc w:val="center"/>
        <w:rPr>
          <w:rFonts w:cs="Times New Roman"/>
        </w:rPr>
      </w:pPr>
      <w:r w:rsidRPr="008E4964">
        <w:rPr>
          <w:rFonts w:cs="Times New Roman"/>
          <w:b/>
          <w:color w:val="17365D"/>
          <w:sz w:val="52"/>
        </w:rPr>
        <w:t>ASTHMA IN ADULTS</w:t>
      </w:r>
    </w:p>
    <w:p w14:paraId="3B5374CF" w14:textId="77777777" w:rsidR="004D7552" w:rsidRPr="008E4964" w:rsidRDefault="00000000">
      <w:pPr>
        <w:spacing w:after="300"/>
        <w:jc w:val="center"/>
        <w:rPr>
          <w:rFonts w:cs="Times New Roman"/>
        </w:rPr>
      </w:pPr>
      <w:r w:rsidRPr="008E4964">
        <w:rPr>
          <w:rFonts w:cs="Times New Roman"/>
          <w:color w:val="087E8B"/>
          <w:sz w:val="32"/>
        </w:rPr>
        <w:t>Evaluating Long-Term Disease Control, Health Inequalities,</w:t>
      </w:r>
      <w:r w:rsidRPr="008E4964">
        <w:rPr>
          <w:rFonts w:cs="Times New Roman"/>
          <w:color w:val="087E8B"/>
          <w:sz w:val="32"/>
        </w:rPr>
        <w:br/>
        <w:t>Self-Management Education and NHS Respiratory Care</w:t>
      </w:r>
    </w:p>
    <w:p w14:paraId="0BB50F1B" w14:textId="77777777" w:rsidR="004D7552" w:rsidRPr="008E4964" w:rsidRDefault="00000000">
      <w:pPr>
        <w:spacing w:before="100"/>
        <w:jc w:val="center"/>
        <w:rPr>
          <w:rFonts w:cs="Times New Roman"/>
        </w:rPr>
      </w:pPr>
      <w:r w:rsidRPr="008E4964">
        <w:rPr>
          <w:rFonts w:cs="Times New Roman"/>
          <w:i/>
          <w:color w:val="5B6573"/>
        </w:rPr>
        <w:t>An Information Booklet on Long-term Condition Management</w:t>
      </w:r>
    </w:p>
    <w:tbl>
      <w:tblPr>
        <w:tblW w:w="0" w:type="auto"/>
        <w:jc w:val="center"/>
        <w:tblLayout w:type="fixed"/>
        <w:tblLook w:val="04A0" w:firstRow="1" w:lastRow="0" w:firstColumn="1" w:lastColumn="0" w:noHBand="0" w:noVBand="1"/>
      </w:tblPr>
      <w:tblGrid>
        <w:gridCol w:w="9878"/>
      </w:tblGrid>
      <w:tr w:rsidR="004D7552" w:rsidRPr="008E4964" w14:paraId="7AF0EA1E" w14:textId="77777777">
        <w:trPr>
          <w:trHeight w:val="144"/>
          <w:jc w:val="center"/>
        </w:trPr>
        <w:tc>
          <w:tcPr>
            <w:tcW w:w="9878" w:type="dxa"/>
            <w:shd w:val="clear" w:color="auto" w:fill="087E8B"/>
            <w:tcMar>
              <w:top w:w="0" w:type="dxa"/>
              <w:left w:w="0" w:type="dxa"/>
              <w:bottom w:w="0" w:type="dxa"/>
              <w:right w:w="0" w:type="dxa"/>
            </w:tcMar>
          </w:tcPr>
          <w:p w14:paraId="3C11337C" w14:textId="77777777" w:rsidR="004D7552" w:rsidRPr="008E4964" w:rsidRDefault="004D7552">
            <w:pPr>
              <w:rPr>
                <w:rFonts w:cs="Times New Roman"/>
              </w:rPr>
            </w:pPr>
          </w:p>
        </w:tc>
      </w:tr>
    </w:tbl>
    <w:p w14:paraId="07528B72" w14:textId="77777777" w:rsidR="004D7552" w:rsidRPr="008E4964" w:rsidRDefault="00000000">
      <w:pPr>
        <w:spacing w:before="500"/>
        <w:jc w:val="center"/>
        <w:rPr>
          <w:rFonts w:cs="Times New Roman"/>
          <w:szCs w:val="24"/>
        </w:rPr>
      </w:pPr>
      <w:r w:rsidRPr="008E4964">
        <w:rPr>
          <w:rFonts w:cs="Times New Roman"/>
          <w:b/>
          <w:color w:val="17365D"/>
          <w:szCs w:val="24"/>
        </w:rPr>
        <w:t>LCHS7003 – Community Care and Management of Longer-term Conditions</w:t>
      </w:r>
    </w:p>
    <w:p w14:paraId="04BC4259" w14:textId="18D6A490" w:rsidR="004D7552" w:rsidRPr="008E4964" w:rsidRDefault="00000000">
      <w:pPr>
        <w:jc w:val="center"/>
        <w:rPr>
          <w:rFonts w:cs="Times New Roman"/>
          <w:szCs w:val="24"/>
        </w:rPr>
      </w:pPr>
      <w:r w:rsidRPr="008E4964">
        <w:rPr>
          <w:rFonts w:cs="Times New Roman"/>
          <w:szCs w:val="24"/>
        </w:rPr>
        <w:t xml:space="preserve">Component 1  |  </w:t>
      </w:r>
      <w:r w:rsidR="00437095">
        <w:rPr>
          <w:rFonts w:cs="Times New Roman"/>
          <w:szCs w:val="24"/>
        </w:rPr>
        <w:t>A</w:t>
      </w:r>
      <w:r w:rsidRPr="008E4964">
        <w:rPr>
          <w:rFonts w:cs="Times New Roman"/>
          <w:szCs w:val="24"/>
        </w:rPr>
        <w:t>ssessment</w:t>
      </w:r>
    </w:p>
    <w:tbl>
      <w:tblPr>
        <w:tblW w:w="0" w:type="auto"/>
        <w:jc w:val="center"/>
        <w:tblLayout w:type="fixed"/>
        <w:tblLook w:val="04A0" w:firstRow="1" w:lastRow="0" w:firstColumn="1" w:lastColumn="0" w:noHBand="0" w:noVBand="1"/>
      </w:tblPr>
      <w:tblGrid>
        <w:gridCol w:w="2448"/>
        <w:gridCol w:w="6048"/>
      </w:tblGrid>
      <w:tr w:rsidR="004D7552" w:rsidRPr="008E4964" w14:paraId="02E1940D" w14:textId="77777777" w:rsidTr="008E4964">
        <w:trPr>
          <w:jc w:val="center"/>
        </w:trPr>
        <w:tc>
          <w:tcPr>
            <w:tcW w:w="2448" w:type="dxa"/>
            <w:shd w:val="clear" w:color="auto" w:fill="F2DBDB" w:themeFill="accent2" w:themeFillTint="33"/>
            <w:tcMar>
              <w:top w:w="120" w:type="dxa"/>
              <w:left w:w="150" w:type="dxa"/>
              <w:bottom w:w="120" w:type="dxa"/>
              <w:right w:w="150" w:type="dxa"/>
            </w:tcMar>
            <w:vAlign w:val="center"/>
          </w:tcPr>
          <w:p w14:paraId="454A1112" w14:textId="77777777" w:rsidR="004D7552" w:rsidRPr="008E4964" w:rsidRDefault="00000000" w:rsidP="008C15E7">
            <w:pPr>
              <w:spacing w:before="0" w:after="0" w:line="240" w:lineRule="auto"/>
              <w:rPr>
                <w:rFonts w:cs="Times New Roman"/>
                <w:szCs w:val="24"/>
              </w:rPr>
            </w:pPr>
            <w:r w:rsidRPr="008E4964">
              <w:rPr>
                <w:rFonts w:cs="Times New Roman"/>
                <w:b/>
                <w:color w:val="17365D"/>
                <w:szCs w:val="24"/>
              </w:rPr>
              <w:t>Student name</w:t>
            </w:r>
          </w:p>
        </w:tc>
        <w:tc>
          <w:tcPr>
            <w:tcW w:w="6048" w:type="dxa"/>
            <w:shd w:val="clear" w:color="auto" w:fill="F7FAFB"/>
            <w:tcMar>
              <w:top w:w="120" w:type="dxa"/>
              <w:left w:w="150" w:type="dxa"/>
              <w:bottom w:w="120" w:type="dxa"/>
              <w:right w:w="150" w:type="dxa"/>
            </w:tcMar>
            <w:vAlign w:val="center"/>
          </w:tcPr>
          <w:p w14:paraId="457DB6FB" w14:textId="77777777" w:rsidR="004D7552" w:rsidRPr="008E4964" w:rsidRDefault="00000000" w:rsidP="008C15E7">
            <w:pPr>
              <w:spacing w:before="0" w:after="0" w:line="240" w:lineRule="auto"/>
              <w:rPr>
                <w:rFonts w:cs="Times New Roman"/>
                <w:szCs w:val="24"/>
              </w:rPr>
            </w:pPr>
            <w:r w:rsidRPr="008E4964">
              <w:rPr>
                <w:rFonts w:cs="Times New Roman"/>
                <w:szCs w:val="24"/>
              </w:rPr>
              <w:t>Abhishek Saini</w:t>
            </w:r>
          </w:p>
        </w:tc>
      </w:tr>
      <w:tr w:rsidR="004D7552" w:rsidRPr="008E4964" w14:paraId="1213D916" w14:textId="77777777" w:rsidTr="008E4964">
        <w:trPr>
          <w:jc w:val="center"/>
        </w:trPr>
        <w:tc>
          <w:tcPr>
            <w:tcW w:w="2448" w:type="dxa"/>
            <w:shd w:val="clear" w:color="auto" w:fill="F2DBDB" w:themeFill="accent2" w:themeFillTint="33"/>
            <w:tcMar>
              <w:top w:w="120" w:type="dxa"/>
              <w:left w:w="150" w:type="dxa"/>
              <w:bottom w:w="120" w:type="dxa"/>
              <w:right w:w="150" w:type="dxa"/>
            </w:tcMar>
            <w:vAlign w:val="center"/>
          </w:tcPr>
          <w:p w14:paraId="22F97A89" w14:textId="77777777" w:rsidR="004D7552" w:rsidRPr="008E4964" w:rsidRDefault="00000000" w:rsidP="008C15E7">
            <w:pPr>
              <w:spacing w:before="0" w:after="0" w:line="240" w:lineRule="auto"/>
              <w:rPr>
                <w:rFonts w:cs="Times New Roman"/>
                <w:szCs w:val="24"/>
              </w:rPr>
            </w:pPr>
            <w:r w:rsidRPr="008E4964">
              <w:rPr>
                <w:rFonts w:cs="Times New Roman"/>
                <w:b/>
                <w:color w:val="17365D"/>
                <w:szCs w:val="24"/>
              </w:rPr>
              <w:t>Student ID number</w:t>
            </w:r>
          </w:p>
        </w:tc>
        <w:tc>
          <w:tcPr>
            <w:tcW w:w="6048" w:type="dxa"/>
            <w:shd w:val="clear" w:color="auto" w:fill="F7FAFB"/>
            <w:tcMar>
              <w:top w:w="120" w:type="dxa"/>
              <w:left w:w="150" w:type="dxa"/>
              <w:bottom w:w="120" w:type="dxa"/>
              <w:right w:w="150" w:type="dxa"/>
            </w:tcMar>
            <w:vAlign w:val="center"/>
          </w:tcPr>
          <w:p w14:paraId="57DE9C02" w14:textId="25237755" w:rsidR="004D7552" w:rsidRPr="008E4964" w:rsidRDefault="00437095" w:rsidP="008C15E7">
            <w:pPr>
              <w:spacing w:before="0" w:after="0" w:line="240" w:lineRule="auto"/>
              <w:rPr>
                <w:rFonts w:cs="Times New Roman"/>
                <w:szCs w:val="24"/>
              </w:rPr>
            </w:pPr>
            <w:r w:rsidRPr="00437095">
              <w:rPr>
                <w:rFonts w:cs="Times New Roman"/>
                <w:szCs w:val="24"/>
              </w:rPr>
              <w:t>2613438</w:t>
            </w:r>
          </w:p>
        </w:tc>
      </w:tr>
      <w:tr w:rsidR="004D7552" w:rsidRPr="008E4964" w14:paraId="2583E213" w14:textId="77777777" w:rsidTr="008E4964">
        <w:trPr>
          <w:jc w:val="center"/>
        </w:trPr>
        <w:tc>
          <w:tcPr>
            <w:tcW w:w="2448" w:type="dxa"/>
            <w:shd w:val="clear" w:color="auto" w:fill="F2DBDB" w:themeFill="accent2" w:themeFillTint="33"/>
            <w:tcMar>
              <w:top w:w="120" w:type="dxa"/>
              <w:left w:w="150" w:type="dxa"/>
              <w:bottom w:w="120" w:type="dxa"/>
              <w:right w:w="150" w:type="dxa"/>
            </w:tcMar>
            <w:vAlign w:val="center"/>
          </w:tcPr>
          <w:p w14:paraId="1E7BEB19" w14:textId="77777777" w:rsidR="004D7552" w:rsidRPr="008E4964" w:rsidRDefault="00000000" w:rsidP="008C15E7">
            <w:pPr>
              <w:spacing w:before="0" w:after="0" w:line="240" w:lineRule="auto"/>
              <w:rPr>
                <w:rFonts w:cs="Times New Roman"/>
                <w:szCs w:val="24"/>
              </w:rPr>
            </w:pPr>
            <w:r w:rsidRPr="008E4964">
              <w:rPr>
                <w:rFonts w:cs="Times New Roman"/>
                <w:b/>
                <w:color w:val="17365D"/>
                <w:szCs w:val="24"/>
              </w:rPr>
              <w:t>Lecturer</w:t>
            </w:r>
          </w:p>
        </w:tc>
        <w:tc>
          <w:tcPr>
            <w:tcW w:w="6048" w:type="dxa"/>
            <w:shd w:val="clear" w:color="auto" w:fill="F7FAFB"/>
            <w:tcMar>
              <w:top w:w="120" w:type="dxa"/>
              <w:left w:w="150" w:type="dxa"/>
              <w:bottom w:w="120" w:type="dxa"/>
              <w:right w:w="150" w:type="dxa"/>
            </w:tcMar>
            <w:vAlign w:val="center"/>
          </w:tcPr>
          <w:p w14:paraId="12F6EA36" w14:textId="77777777" w:rsidR="004D7552" w:rsidRPr="008E4964" w:rsidRDefault="00000000" w:rsidP="008C15E7">
            <w:pPr>
              <w:spacing w:before="0" w:after="0" w:line="240" w:lineRule="auto"/>
              <w:rPr>
                <w:rFonts w:cs="Times New Roman"/>
                <w:szCs w:val="24"/>
              </w:rPr>
            </w:pPr>
            <w:r w:rsidRPr="008E4964">
              <w:rPr>
                <w:rFonts w:cs="Times New Roman"/>
                <w:szCs w:val="24"/>
              </w:rPr>
              <w:t>Dr Aishat Bakre</w:t>
            </w:r>
          </w:p>
        </w:tc>
      </w:tr>
      <w:tr w:rsidR="004D7552" w:rsidRPr="008E4964" w14:paraId="503AB5D8" w14:textId="77777777" w:rsidTr="008E4964">
        <w:trPr>
          <w:jc w:val="center"/>
        </w:trPr>
        <w:tc>
          <w:tcPr>
            <w:tcW w:w="2448" w:type="dxa"/>
            <w:shd w:val="clear" w:color="auto" w:fill="F2DBDB" w:themeFill="accent2" w:themeFillTint="33"/>
            <w:tcMar>
              <w:top w:w="120" w:type="dxa"/>
              <w:left w:w="150" w:type="dxa"/>
              <w:bottom w:w="120" w:type="dxa"/>
              <w:right w:w="150" w:type="dxa"/>
            </w:tcMar>
            <w:vAlign w:val="center"/>
          </w:tcPr>
          <w:p w14:paraId="4F84BF2E" w14:textId="77777777" w:rsidR="004D7552" w:rsidRPr="008E4964" w:rsidRDefault="00000000" w:rsidP="008C15E7">
            <w:pPr>
              <w:spacing w:before="0" w:after="0" w:line="240" w:lineRule="auto"/>
              <w:rPr>
                <w:rFonts w:cs="Times New Roman"/>
                <w:szCs w:val="24"/>
              </w:rPr>
            </w:pPr>
            <w:r w:rsidRPr="008E4964">
              <w:rPr>
                <w:rFonts w:cs="Times New Roman"/>
                <w:b/>
                <w:color w:val="17365D"/>
                <w:szCs w:val="24"/>
              </w:rPr>
              <w:t>Programme</w:t>
            </w:r>
          </w:p>
        </w:tc>
        <w:tc>
          <w:tcPr>
            <w:tcW w:w="6048" w:type="dxa"/>
            <w:shd w:val="clear" w:color="auto" w:fill="F7FAFB"/>
            <w:tcMar>
              <w:top w:w="120" w:type="dxa"/>
              <w:left w:w="150" w:type="dxa"/>
              <w:bottom w:w="120" w:type="dxa"/>
              <w:right w:w="150" w:type="dxa"/>
            </w:tcMar>
            <w:vAlign w:val="center"/>
          </w:tcPr>
          <w:p w14:paraId="32A71E1B" w14:textId="77777777" w:rsidR="004D7552" w:rsidRPr="008E4964" w:rsidRDefault="00000000" w:rsidP="008C15E7">
            <w:pPr>
              <w:spacing w:before="0" w:after="0" w:line="240" w:lineRule="auto"/>
              <w:rPr>
                <w:rFonts w:cs="Times New Roman"/>
                <w:szCs w:val="24"/>
              </w:rPr>
            </w:pPr>
            <w:r w:rsidRPr="008E4964">
              <w:rPr>
                <w:rFonts w:cs="Times New Roman"/>
                <w:szCs w:val="24"/>
              </w:rPr>
              <w:t>MSc Public Health and Social Care in Practice</w:t>
            </w:r>
          </w:p>
        </w:tc>
      </w:tr>
      <w:tr w:rsidR="004D7552" w:rsidRPr="008E4964" w14:paraId="387FBAFD" w14:textId="77777777" w:rsidTr="008E4964">
        <w:trPr>
          <w:jc w:val="center"/>
        </w:trPr>
        <w:tc>
          <w:tcPr>
            <w:tcW w:w="2448" w:type="dxa"/>
            <w:shd w:val="clear" w:color="auto" w:fill="F2DBDB" w:themeFill="accent2" w:themeFillTint="33"/>
            <w:tcMar>
              <w:top w:w="120" w:type="dxa"/>
              <w:left w:w="150" w:type="dxa"/>
              <w:bottom w:w="120" w:type="dxa"/>
              <w:right w:w="150" w:type="dxa"/>
            </w:tcMar>
            <w:vAlign w:val="center"/>
          </w:tcPr>
          <w:p w14:paraId="775EF69B" w14:textId="77777777" w:rsidR="004D7552" w:rsidRPr="008E4964" w:rsidRDefault="00000000" w:rsidP="008C15E7">
            <w:pPr>
              <w:spacing w:before="0" w:after="0" w:line="240" w:lineRule="auto"/>
              <w:rPr>
                <w:rFonts w:cs="Times New Roman"/>
                <w:szCs w:val="24"/>
              </w:rPr>
            </w:pPr>
            <w:r w:rsidRPr="008E4964">
              <w:rPr>
                <w:rFonts w:cs="Times New Roman"/>
                <w:b/>
                <w:color w:val="17365D"/>
                <w:szCs w:val="24"/>
              </w:rPr>
              <w:t>Submission date</w:t>
            </w:r>
          </w:p>
        </w:tc>
        <w:tc>
          <w:tcPr>
            <w:tcW w:w="6048" w:type="dxa"/>
            <w:shd w:val="clear" w:color="auto" w:fill="F7FAFB"/>
            <w:tcMar>
              <w:top w:w="120" w:type="dxa"/>
              <w:left w:w="150" w:type="dxa"/>
              <w:bottom w:w="120" w:type="dxa"/>
              <w:right w:w="150" w:type="dxa"/>
            </w:tcMar>
            <w:vAlign w:val="center"/>
          </w:tcPr>
          <w:p w14:paraId="1127A208" w14:textId="77777777" w:rsidR="004D7552" w:rsidRPr="008E4964" w:rsidRDefault="00000000" w:rsidP="008C15E7">
            <w:pPr>
              <w:spacing w:before="0" w:after="0" w:line="240" w:lineRule="auto"/>
              <w:rPr>
                <w:rFonts w:cs="Times New Roman"/>
                <w:szCs w:val="24"/>
              </w:rPr>
            </w:pPr>
            <w:r w:rsidRPr="008E4964">
              <w:rPr>
                <w:rFonts w:cs="Times New Roman"/>
                <w:szCs w:val="24"/>
              </w:rPr>
              <w:t>23 October 2026</w:t>
            </w:r>
          </w:p>
        </w:tc>
      </w:tr>
    </w:tbl>
    <w:p w14:paraId="2E745990" w14:textId="73E6E3FC" w:rsidR="008C15E7" w:rsidRDefault="008C15E7" w:rsidP="008C15E7">
      <w:pPr>
        <w:jc w:val="center"/>
      </w:pPr>
      <w:r>
        <w:rPr>
          <w:noProof/>
        </w:rPr>
        <w:drawing>
          <wp:inline distT="0" distB="0" distL="0" distR="0" wp14:anchorId="5D1548B0" wp14:editId="2A6F0C18">
            <wp:extent cx="4183380" cy="2788920"/>
            <wp:effectExtent l="0" t="0" r="7620" b="0"/>
            <wp:docPr id="859938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83380" cy="2788920"/>
                    </a:xfrm>
                    <a:prstGeom prst="rect">
                      <a:avLst/>
                    </a:prstGeom>
                    <a:noFill/>
                  </pic:spPr>
                </pic:pic>
              </a:graphicData>
            </a:graphic>
          </wp:inline>
        </w:drawing>
      </w:r>
    </w:p>
    <w:p w14:paraId="17354A96" w14:textId="71503E56" w:rsidR="004D7552" w:rsidRPr="008E4964" w:rsidRDefault="00000000">
      <w:pPr>
        <w:spacing w:before="500"/>
        <w:jc w:val="center"/>
        <w:rPr>
          <w:rFonts w:cs="Times New Roman"/>
          <w:szCs w:val="24"/>
        </w:rPr>
      </w:pPr>
      <w:r w:rsidRPr="008E4964">
        <w:rPr>
          <w:rFonts w:cs="Times New Roman"/>
          <w:i/>
          <w:color w:val="5B6573"/>
          <w:szCs w:val="24"/>
        </w:rPr>
        <w:t>Prepared for adult service users, carers and health and care professionals in the UK</w:t>
      </w:r>
    </w:p>
    <w:p w14:paraId="727B2BB0" w14:textId="77777777" w:rsidR="004D7552" w:rsidRPr="008E4964" w:rsidRDefault="00000000">
      <w:pPr>
        <w:jc w:val="center"/>
        <w:rPr>
          <w:rFonts w:cs="Times New Roman"/>
          <w:szCs w:val="24"/>
        </w:rPr>
      </w:pPr>
      <w:r w:rsidRPr="008E4964">
        <w:rPr>
          <w:rFonts w:cs="Times New Roman"/>
          <w:color w:val="5B6573"/>
          <w:szCs w:val="24"/>
        </w:rPr>
        <w:t>Clinical information is intended to support, not replace, advice from a qualified healthcare professional.</w:t>
      </w:r>
    </w:p>
    <w:p w14:paraId="7A47FEE9" w14:textId="77777777" w:rsidR="004D7552" w:rsidRDefault="00000000">
      <w:r>
        <w:lastRenderedPageBreak/>
        <w:br w:type="page"/>
      </w:r>
    </w:p>
    <w:sdt>
      <w:sdtPr>
        <w:rPr>
          <w:rFonts w:eastAsia="Arial" w:cstheme="minorBidi"/>
          <w:b w:val="0"/>
          <w:bCs w:val="0"/>
          <w:szCs w:val="22"/>
        </w:rPr>
        <w:id w:val="-913931655"/>
        <w:docPartObj>
          <w:docPartGallery w:val="Table of Contents"/>
          <w:docPartUnique/>
        </w:docPartObj>
      </w:sdtPr>
      <w:sdtEndPr>
        <w:rPr>
          <w:noProof/>
        </w:rPr>
      </w:sdtEndPr>
      <w:sdtContent>
        <w:p w14:paraId="438F0F01" w14:textId="69261888" w:rsidR="00522C5A" w:rsidRDefault="00522C5A" w:rsidP="00522C5A">
          <w:pPr>
            <w:pStyle w:val="TOCHeading"/>
            <w:jc w:val="center"/>
          </w:pPr>
          <w:r>
            <w:t>Table of Contents</w:t>
          </w:r>
        </w:p>
        <w:p w14:paraId="043E5396" w14:textId="24A8D49F" w:rsidR="00522C5A" w:rsidRDefault="00522C5A">
          <w:pPr>
            <w:pStyle w:val="TOC1"/>
            <w:tabs>
              <w:tab w:val="right" w:leader="dot" w:pos="9016"/>
            </w:tabs>
            <w:rPr>
              <w:noProof/>
            </w:rPr>
          </w:pPr>
          <w:r>
            <w:fldChar w:fldCharType="begin"/>
          </w:r>
          <w:r>
            <w:instrText xml:space="preserve"> TOC \o "1-3" \h \z \u </w:instrText>
          </w:r>
          <w:r>
            <w:fldChar w:fldCharType="separate"/>
          </w:r>
          <w:hyperlink w:anchor="_Toc243652154" w:history="1">
            <w:r w:rsidRPr="0023415E">
              <w:rPr>
                <w:rStyle w:val="Hyperlink"/>
                <w:noProof/>
              </w:rPr>
              <w:t>1. Definition</w:t>
            </w:r>
            <w:r>
              <w:rPr>
                <w:noProof/>
                <w:webHidden/>
              </w:rPr>
              <w:tab/>
            </w:r>
            <w:r>
              <w:rPr>
                <w:noProof/>
                <w:webHidden/>
              </w:rPr>
              <w:fldChar w:fldCharType="begin"/>
            </w:r>
            <w:r>
              <w:rPr>
                <w:noProof/>
                <w:webHidden/>
              </w:rPr>
              <w:instrText xml:space="preserve"> PAGEREF _Toc243652154 \h </w:instrText>
            </w:r>
            <w:r>
              <w:rPr>
                <w:noProof/>
                <w:webHidden/>
              </w:rPr>
            </w:r>
            <w:r>
              <w:rPr>
                <w:noProof/>
                <w:webHidden/>
              </w:rPr>
              <w:fldChar w:fldCharType="separate"/>
            </w:r>
            <w:r>
              <w:rPr>
                <w:noProof/>
                <w:webHidden/>
              </w:rPr>
              <w:t>2</w:t>
            </w:r>
            <w:r>
              <w:rPr>
                <w:noProof/>
                <w:webHidden/>
              </w:rPr>
              <w:fldChar w:fldCharType="end"/>
            </w:r>
          </w:hyperlink>
        </w:p>
        <w:p w14:paraId="661948D4" w14:textId="7F6B72D1" w:rsidR="00522C5A" w:rsidRDefault="00000000">
          <w:pPr>
            <w:pStyle w:val="TOC1"/>
            <w:tabs>
              <w:tab w:val="right" w:leader="dot" w:pos="9016"/>
            </w:tabs>
            <w:rPr>
              <w:noProof/>
            </w:rPr>
          </w:pPr>
          <w:hyperlink w:anchor="_Toc243652155" w:history="1">
            <w:r w:rsidR="00522C5A" w:rsidRPr="0023415E">
              <w:rPr>
                <w:rStyle w:val="Hyperlink"/>
                <w:noProof/>
              </w:rPr>
              <w:t>2. UK and Worldwide</w:t>
            </w:r>
            <w:r w:rsidR="00522C5A">
              <w:rPr>
                <w:noProof/>
                <w:webHidden/>
              </w:rPr>
              <w:tab/>
            </w:r>
            <w:r w:rsidR="00522C5A">
              <w:rPr>
                <w:noProof/>
                <w:webHidden/>
              </w:rPr>
              <w:fldChar w:fldCharType="begin"/>
            </w:r>
            <w:r w:rsidR="00522C5A">
              <w:rPr>
                <w:noProof/>
                <w:webHidden/>
              </w:rPr>
              <w:instrText xml:space="preserve"> PAGEREF _Toc243652155 \h </w:instrText>
            </w:r>
            <w:r w:rsidR="00522C5A">
              <w:rPr>
                <w:noProof/>
                <w:webHidden/>
              </w:rPr>
            </w:r>
            <w:r w:rsidR="00522C5A">
              <w:rPr>
                <w:noProof/>
                <w:webHidden/>
              </w:rPr>
              <w:fldChar w:fldCharType="separate"/>
            </w:r>
            <w:r w:rsidR="00522C5A">
              <w:rPr>
                <w:noProof/>
                <w:webHidden/>
              </w:rPr>
              <w:t>3</w:t>
            </w:r>
            <w:r w:rsidR="00522C5A">
              <w:rPr>
                <w:noProof/>
                <w:webHidden/>
              </w:rPr>
              <w:fldChar w:fldCharType="end"/>
            </w:r>
          </w:hyperlink>
        </w:p>
        <w:p w14:paraId="730BD4B7" w14:textId="795CE110" w:rsidR="00522C5A" w:rsidRDefault="00000000">
          <w:pPr>
            <w:pStyle w:val="TOC1"/>
            <w:tabs>
              <w:tab w:val="right" w:leader="dot" w:pos="9016"/>
            </w:tabs>
            <w:rPr>
              <w:noProof/>
            </w:rPr>
          </w:pPr>
          <w:hyperlink w:anchor="_Toc243652156" w:history="1">
            <w:r w:rsidR="00522C5A" w:rsidRPr="0023415E">
              <w:rPr>
                <w:rStyle w:val="Hyperlink"/>
                <w:noProof/>
              </w:rPr>
              <w:t>3. Risk Factors and Aetiology</w:t>
            </w:r>
            <w:r w:rsidR="00522C5A">
              <w:rPr>
                <w:noProof/>
                <w:webHidden/>
              </w:rPr>
              <w:tab/>
            </w:r>
            <w:r w:rsidR="00522C5A">
              <w:rPr>
                <w:noProof/>
                <w:webHidden/>
              </w:rPr>
              <w:fldChar w:fldCharType="begin"/>
            </w:r>
            <w:r w:rsidR="00522C5A">
              <w:rPr>
                <w:noProof/>
                <w:webHidden/>
              </w:rPr>
              <w:instrText xml:space="preserve"> PAGEREF _Toc243652156 \h </w:instrText>
            </w:r>
            <w:r w:rsidR="00522C5A">
              <w:rPr>
                <w:noProof/>
                <w:webHidden/>
              </w:rPr>
            </w:r>
            <w:r w:rsidR="00522C5A">
              <w:rPr>
                <w:noProof/>
                <w:webHidden/>
              </w:rPr>
              <w:fldChar w:fldCharType="separate"/>
            </w:r>
            <w:r w:rsidR="00522C5A">
              <w:rPr>
                <w:noProof/>
                <w:webHidden/>
              </w:rPr>
              <w:t>3</w:t>
            </w:r>
            <w:r w:rsidR="00522C5A">
              <w:rPr>
                <w:noProof/>
                <w:webHidden/>
              </w:rPr>
              <w:fldChar w:fldCharType="end"/>
            </w:r>
          </w:hyperlink>
        </w:p>
        <w:p w14:paraId="27EC594F" w14:textId="71521EF6" w:rsidR="00522C5A" w:rsidRDefault="00000000">
          <w:pPr>
            <w:pStyle w:val="TOC2"/>
            <w:tabs>
              <w:tab w:val="right" w:leader="dot" w:pos="9016"/>
            </w:tabs>
            <w:rPr>
              <w:noProof/>
            </w:rPr>
          </w:pPr>
          <w:hyperlink w:anchor="_Toc243652157" w:history="1">
            <w:r w:rsidR="00522C5A" w:rsidRPr="0023415E">
              <w:rPr>
                <w:rStyle w:val="Hyperlink"/>
                <w:noProof/>
              </w:rPr>
              <w:t>3.1 Modifiable Risk Factors</w:t>
            </w:r>
            <w:r w:rsidR="00522C5A">
              <w:rPr>
                <w:noProof/>
                <w:webHidden/>
              </w:rPr>
              <w:tab/>
            </w:r>
            <w:r w:rsidR="00522C5A">
              <w:rPr>
                <w:noProof/>
                <w:webHidden/>
              </w:rPr>
              <w:fldChar w:fldCharType="begin"/>
            </w:r>
            <w:r w:rsidR="00522C5A">
              <w:rPr>
                <w:noProof/>
                <w:webHidden/>
              </w:rPr>
              <w:instrText xml:space="preserve"> PAGEREF _Toc243652157 \h </w:instrText>
            </w:r>
            <w:r w:rsidR="00522C5A">
              <w:rPr>
                <w:noProof/>
                <w:webHidden/>
              </w:rPr>
            </w:r>
            <w:r w:rsidR="00522C5A">
              <w:rPr>
                <w:noProof/>
                <w:webHidden/>
              </w:rPr>
              <w:fldChar w:fldCharType="separate"/>
            </w:r>
            <w:r w:rsidR="00522C5A">
              <w:rPr>
                <w:noProof/>
                <w:webHidden/>
              </w:rPr>
              <w:t>4</w:t>
            </w:r>
            <w:r w:rsidR="00522C5A">
              <w:rPr>
                <w:noProof/>
                <w:webHidden/>
              </w:rPr>
              <w:fldChar w:fldCharType="end"/>
            </w:r>
          </w:hyperlink>
        </w:p>
        <w:p w14:paraId="312AE3AC" w14:textId="5E5D0D68" w:rsidR="00522C5A" w:rsidRDefault="00000000">
          <w:pPr>
            <w:pStyle w:val="TOC2"/>
            <w:tabs>
              <w:tab w:val="right" w:leader="dot" w:pos="9016"/>
            </w:tabs>
            <w:rPr>
              <w:noProof/>
            </w:rPr>
          </w:pPr>
          <w:hyperlink w:anchor="_Toc243652158" w:history="1">
            <w:r w:rsidR="00522C5A" w:rsidRPr="0023415E">
              <w:rPr>
                <w:rStyle w:val="Hyperlink"/>
                <w:noProof/>
              </w:rPr>
              <w:t>3.2 Non-Modifiable Risk Factors</w:t>
            </w:r>
            <w:r w:rsidR="00522C5A">
              <w:rPr>
                <w:noProof/>
                <w:webHidden/>
              </w:rPr>
              <w:tab/>
            </w:r>
            <w:r w:rsidR="00522C5A">
              <w:rPr>
                <w:noProof/>
                <w:webHidden/>
              </w:rPr>
              <w:fldChar w:fldCharType="begin"/>
            </w:r>
            <w:r w:rsidR="00522C5A">
              <w:rPr>
                <w:noProof/>
                <w:webHidden/>
              </w:rPr>
              <w:instrText xml:space="preserve"> PAGEREF _Toc243652158 \h </w:instrText>
            </w:r>
            <w:r w:rsidR="00522C5A">
              <w:rPr>
                <w:noProof/>
                <w:webHidden/>
              </w:rPr>
            </w:r>
            <w:r w:rsidR="00522C5A">
              <w:rPr>
                <w:noProof/>
                <w:webHidden/>
              </w:rPr>
              <w:fldChar w:fldCharType="separate"/>
            </w:r>
            <w:r w:rsidR="00522C5A">
              <w:rPr>
                <w:noProof/>
                <w:webHidden/>
              </w:rPr>
              <w:t>4</w:t>
            </w:r>
            <w:r w:rsidR="00522C5A">
              <w:rPr>
                <w:noProof/>
                <w:webHidden/>
              </w:rPr>
              <w:fldChar w:fldCharType="end"/>
            </w:r>
          </w:hyperlink>
        </w:p>
        <w:p w14:paraId="556D0B42" w14:textId="2AA3A18A" w:rsidR="00522C5A" w:rsidRDefault="00000000">
          <w:pPr>
            <w:pStyle w:val="TOC1"/>
            <w:tabs>
              <w:tab w:val="right" w:leader="dot" w:pos="9016"/>
            </w:tabs>
            <w:rPr>
              <w:noProof/>
            </w:rPr>
          </w:pPr>
          <w:hyperlink w:anchor="_Toc243652159" w:history="1">
            <w:r w:rsidR="00522C5A" w:rsidRPr="0023415E">
              <w:rPr>
                <w:rStyle w:val="Hyperlink"/>
                <w:noProof/>
              </w:rPr>
              <w:t>4. Aim</w:t>
            </w:r>
            <w:r w:rsidR="00522C5A">
              <w:rPr>
                <w:noProof/>
                <w:webHidden/>
              </w:rPr>
              <w:tab/>
            </w:r>
            <w:r w:rsidR="00522C5A">
              <w:rPr>
                <w:noProof/>
                <w:webHidden/>
              </w:rPr>
              <w:fldChar w:fldCharType="begin"/>
            </w:r>
            <w:r w:rsidR="00522C5A">
              <w:rPr>
                <w:noProof/>
                <w:webHidden/>
              </w:rPr>
              <w:instrText xml:space="preserve"> PAGEREF _Toc243652159 \h </w:instrText>
            </w:r>
            <w:r w:rsidR="00522C5A">
              <w:rPr>
                <w:noProof/>
                <w:webHidden/>
              </w:rPr>
            </w:r>
            <w:r w:rsidR="00522C5A">
              <w:rPr>
                <w:noProof/>
                <w:webHidden/>
              </w:rPr>
              <w:fldChar w:fldCharType="separate"/>
            </w:r>
            <w:r w:rsidR="00522C5A">
              <w:rPr>
                <w:noProof/>
                <w:webHidden/>
              </w:rPr>
              <w:t>5</w:t>
            </w:r>
            <w:r w:rsidR="00522C5A">
              <w:rPr>
                <w:noProof/>
                <w:webHidden/>
              </w:rPr>
              <w:fldChar w:fldCharType="end"/>
            </w:r>
          </w:hyperlink>
        </w:p>
        <w:p w14:paraId="5355D1A5" w14:textId="529C115C" w:rsidR="00522C5A" w:rsidRDefault="00000000">
          <w:pPr>
            <w:pStyle w:val="TOC1"/>
            <w:tabs>
              <w:tab w:val="right" w:leader="dot" w:pos="9016"/>
            </w:tabs>
            <w:rPr>
              <w:noProof/>
            </w:rPr>
          </w:pPr>
          <w:hyperlink w:anchor="_Toc243652160" w:history="1">
            <w:r w:rsidR="00522C5A" w:rsidRPr="0023415E">
              <w:rPr>
                <w:rStyle w:val="Hyperlink"/>
                <w:noProof/>
              </w:rPr>
              <w:t>5. Physical, Psychological and Social Implications</w:t>
            </w:r>
            <w:r w:rsidR="00522C5A">
              <w:rPr>
                <w:noProof/>
                <w:webHidden/>
              </w:rPr>
              <w:tab/>
            </w:r>
            <w:r w:rsidR="00522C5A">
              <w:rPr>
                <w:noProof/>
                <w:webHidden/>
              </w:rPr>
              <w:fldChar w:fldCharType="begin"/>
            </w:r>
            <w:r w:rsidR="00522C5A">
              <w:rPr>
                <w:noProof/>
                <w:webHidden/>
              </w:rPr>
              <w:instrText xml:space="preserve"> PAGEREF _Toc243652160 \h </w:instrText>
            </w:r>
            <w:r w:rsidR="00522C5A">
              <w:rPr>
                <w:noProof/>
                <w:webHidden/>
              </w:rPr>
            </w:r>
            <w:r w:rsidR="00522C5A">
              <w:rPr>
                <w:noProof/>
                <w:webHidden/>
              </w:rPr>
              <w:fldChar w:fldCharType="separate"/>
            </w:r>
            <w:r w:rsidR="00522C5A">
              <w:rPr>
                <w:noProof/>
                <w:webHidden/>
              </w:rPr>
              <w:t>5</w:t>
            </w:r>
            <w:r w:rsidR="00522C5A">
              <w:rPr>
                <w:noProof/>
                <w:webHidden/>
              </w:rPr>
              <w:fldChar w:fldCharType="end"/>
            </w:r>
          </w:hyperlink>
        </w:p>
        <w:p w14:paraId="1E588BA6" w14:textId="2D205F99" w:rsidR="00522C5A" w:rsidRDefault="00000000">
          <w:pPr>
            <w:pStyle w:val="TOC2"/>
            <w:tabs>
              <w:tab w:val="right" w:leader="dot" w:pos="9016"/>
            </w:tabs>
            <w:rPr>
              <w:noProof/>
            </w:rPr>
          </w:pPr>
          <w:hyperlink w:anchor="_Toc243652161" w:history="1">
            <w:r w:rsidR="00522C5A" w:rsidRPr="0023415E">
              <w:rPr>
                <w:rStyle w:val="Hyperlink"/>
                <w:noProof/>
              </w:rPr>
              <w:t>5.1 Physical Implications</w:t>
            </w:r>
            <w:r w:rsidR="00522C5A">
              <w:rPr>
                <w:noProof/>
                <w:webHidden/>
              </w:rPr>
              <w:tab/>
            </w:r>
            <w:r w:rsidR="00522C5A">
              <w:rPr>
                <w:noProof/>
                <w:webHidden/>
              </w:rPr>
              <w:fldChar w:fldCharType="begin"/>
            </w:r>
            <w:r w:rsidR="00522C5A">
              <w:rPr>
                <w:noProof/>
                <w:webHidden/>
              </w:rPr>
              <w:instrText xml:space="preserve"> PAGEREF _Toc243652161 \h </w:instrText>
            </w:r>
            <w:r w:rsidR="00522C5A">
              <w:rPr>
                <w:noProof/>
                <w:webHidden/>
              </w:rPr>
            </w:r>
            <w:r w:rsidR="00522C5A">
              <w:rPr>
                <w:noProof/>
                <w:webHidden/>
              </w:rPr>
              <w:fldChar w:fldCharType="separate"/>
            </w:r>
            <w:r w:rsidR="00522C5A">
              <w:rPr>
                <w:noProof/>
                <w:webHidden/>
              </w:rPr>
              <w:t>5</w:t>
            </w:r>
            <w:r w:rsidR="00522C5A">
              <w:rPr>
                <w:noProof/>
                <w:webHidden/>
              </w:rPr>
              <w:fldChar w:fldCharType="end"/>
            </w:r>
          </w:hyperlink>
        </w:p>
        <w:p w14:paraId="45F21793" w14:textId="7A56B85F" w:rsidR="00522C5A" w:rsidRDefault="00000000">
          <w:pPr>
            <w:pStyle w:val="TOC2"/>
            <w:tabs>
              <w:tab w:val="right" w:leader="dot" w:pos="9016"/>
            </w:tabs>
            <w:rPr>
              <w:noProof/>
            </w:rPr>
          </w:pPr>
          <w:hyperlink w:anchor="_Toc243652162" w:history="1">
            <w:r w:rsidR="00522C5A" w:rsidRPr="0023415E">
              <w:rPr>
                <w:rStyle w:val="Hyperlink"/>
                <w:noProof/>
              </w:rPr>
              <w:t>5.2 Psychological Implications</w:t>
            </w:r>
            <w:r w:rsidR="00522C5A">
              <w:rPr>
                <w:noProof/>
                <w:webHidden/>
              </w:rPr>
              <w:tab/>
            </w:r>
            <w:r w:rsidR="00522C5A">
              <w:rPr>
                <w:noProof/>
                <w:webHidden/>
              </w:rPr>
              <w:fldChar w:fldCharType="begin"/>
            </w:r>
            <w:r w:rsidR="00522C5A">
              <w:rPr>
                <w:noProof/>
                <w:webHidden/>
              </w:rPr>
              <w:instrText xml:space="preserve"> PAGEREF _Toc243652162 \h </w:instrText>
            </w:r>
            <w:r w:rsidR="00522C5A">
              <w:rPr>
                <w:noProof/>
                <w:webHidden/>
              </w:rPr>
            </w:r>
            <w:r w:rsidR="00522C5A">
              <w:rPr>
                <w:noProof/>
                <w:webHidden/>
              </w:rPr>
              <w:fldChar w:fldCharType="separate"/>
            </w:r>
            <w:r w:rsidR="00522C5A">
              <w:rPr>
                <w:noProof/>
                <w:webHidden/>
              </w:rPr>
              <w:t>5</w:t>
            </w:r>
            <w:r w:rsidR="00522C5A">
              <w:rPr>
                <w:noProof/>
                <w:webHidden/>
              </w:rPr>
              <w:fldChar w:fldCharType="end"/>
            </w:r>
          </w:hyperlink>
        </w:p>
        <w:p w14:paraId="737F4C0C" w14:textId="59DB0E20" w:rsidR="00522C5A" w:rsidRDefault="00000000">
          <w:pPr>
            <w:pStyle w:val="TOC2"/>
            <w:tabs>
              <w:tab w:val="right" w:leader="dot" w:pos="9016"/>
            </w:tabs>
            <w:rPr>
              <w:noProof/>
            </w:rPr>
          </w:pPr>
          <w:hyperlink w:anchor="_Toc243652163" w:history="1">
            <w:r w:rsidR="00522C5A" w:rsidRPr="0023415E">
              <w:rPr>
                <w:rStyle w:val="Hyperlink"/>
                <w:noProof/>
              </w:rPr>
              <w:t>5.3 Social Implications</w:t>
            </w:r>
            <w:r w:rsidR="00522C5A">
              <w:rPr>
                <w:noProof/>
                <w:webHidden/>
              </w:rPr>
              <w:tab/>
            </w:r>
            <w:r w:rsidR="00522C5A">
              <w:rPr>
                <w:noProof/>
                <w:webHidden/>
              </w:rPr>
              <w:fldChar w:fldCharType="begin"/>
            </w:r>
            <w:r w:rsidR="00522C5A">
              <w:rPr>
                <w:noProof/>
                <w:webHidden/>
              </w:rPr>
              <w:instrText xml:space="preserve"> PAGEREF _Toc243652163 \h </w:instrText>
            </w:r>
            <w:r w:rsidR="00522C5A">
              <w:rPr>
                <w:noProof/>
                <w:webHidden/>
              </w:rPr>
            </w:r>
            <w:r w:rsidR="00522C5A">
              <w:rPr>
                <w:noProof/>
                <w:webHidden/>
              </w:rPr>
              <w:fldChar w:fldCharType="separate"/>
            </w:r>
            <w:r w:rsidR="00522C5A">
              <w:rPr>
                <w:noProof/>
                <w:webHidden/>
              </w:rPr>
              <w:t>5</w:t>
            </w:r>
            <w:r w:rsidR="00522C5A">
              <w:rPr>
                <w:noProof/>
                <w:webHidden/>
              </w:rPr>
              <w:fldChar w:fldCharType="end"/>
            </w:r>
          </w:hyperlink>
        </w:p>
        <w:p w14:paraId="75956CE8" w14:textId="47AA1248" w:rsidR="00522C5A" w:rsidRDefault="00000000">
          <w:pPr>
            <w:pStyle w:val="TOC1"/>
            <w:tabs>
              <w:tab w:val="right" w:leader="dot" w:pos="9016"/>
            </w:tabs>
            <w:rPr>
              <w:noProof/>
            </w:rPr>
          </w:pPr>
          <w:hyperlink w:anchor="_Toc243652164" w:history="1">
            <w:r w:rsidR="00522C5A" w:rsidRPr="0023415E">
              <w:rPr>
                <w:rStyle w:val="Hyperlink"/>
                <w:noProof/>
              </w:rPr>
              <w:t>6. Evidence-Based Treatment and Management in the NHS</w:t>
            </w:r>
            <w:r w:rsidR="00522C5A">
              <w:rPr>
                <w:noProof/>
                <w:webHidden/>
              </w:rPr>
              <w:tab/>
            </w:r>
            <w:r w:rsidR="00522C5A">
              <w:rPr>
                <w:noProof/>
                <w:webHidden/>
              </w:rPr>
              <w:fldChar w:fldCharType="begin"/>
            </w:r>
            <w:r w:rsidR="00522C5A">
              <w:rPr>
                <w:noProof/>
                <w:webHidden/>
              </w:rPr>
              <w:instrText xml:space="preserve"> PAGEREF _Toc243652164 \h </w:instrText>
            </w:r>
            <w:r w:rsidR="00522C5A">
              <w:rPr>
                <w:noProof/>
                <w:webHidden/>
              </w:rPr>
            </w:r>
            <w:r w:rsidR="00522C5A">
              <w:rPr>
                <w:noProof/>
                <w:webHidden/>
              </w:rPr>
              <w:fldChar w:fldCharType="separate"/>
            </w:r>
            <w:r w:rsidR="00522C5A">
              <w:rPr>
                <w:noProof/>
                <w:webHidden/>
              </w:rPr>
              <w:t>7</w:t>
            </w:r>
            <w:r w:rsidR="00522C5A">
              <w:rPr>
                <w:noProof/>
                <w:webHidden/>
              </w:rPr>
              <w:fldChar w:fldCharType="end"/>
            </w:r>
          </w:hyperlink>
        </w:p>
        <w:p w14:paraId="007FE690" w14:textId="36B0A29A" w:rsidR="00522C5A" w:rsidRDefault="00000000">
          <w:pPr>
            <w:pStyle w:val="TOC2"/>
            <w:tabs>
              <w:tab w:val="right" w:leader="dot" w:pos="9016"/>
            </w:tabs>
            <w:rPr>
              <w:noProof/>
            </w:rPr>
          </w:pPr>
          <w:hyperlink w:anchor="_Toc243652165" w:history="1">
            <w:r w:rsidR="00522C5A" w:rsidRPr="0023415E">
              <w:rPr>
                <w:rStyle w:val="Hyperlink"/>
                <w:noProof/>
              </w:rPr>
              <w:t>6.1 Pharmacological treatment</w:t>
            </w:r>
            <w:r w:rsidR="00522C5A">
              <w:rPr>
                <w:noProof/>
                <w:webHidden/>
              </w:rPr>
              <w:tab/>
            </w:r>
            <w:r w:rsidR="00522C5A">
              <w:rPr>
                <w:noProof/>
                <w:webHidden/>
              </w:rPr>
              <w:fldChar w:fldCharType="begin"/>
            </w:r>
            <w:r w:rsidR="00522C5A">
              <w:rPr>
                <w:noProof/>
                <w:webHidden/>
              </w:rPr>
              <w:instrText xml:space="preserve"> PAGEREF _Toc243652165 \h </w:instrText>
            </w:r>
            <w:r w:rsidR="00522C5A">
              <w:rPr>
                <w:noProof/>
                <w:webHidden/>
              </w:rPr>
            </w:r>
            <w:r w:rsidR="00522C5A">
              <w:rPr>
                <w:noProof/>
                <w:webHidden/>
              </w:rPr>
              <w:fldChar w:fldCharType="separate"/>
            </w:r>
            <w:r w:rsidR="00522C5A">
              <w:rPr>
                <w:noProof/>
                <w:webHidden/>
              </w:rPr>
              <w:t>7</w:t>
            </w:r>
            <w:r w:rsidR="00522C5A">
              <w:rPr>
                <w:noProof/>
                <w:webHidden/>
              </w:rPr>
              <w:fldChar w:fldCharType="end"/>
            </w:r>
          </w:hyperlink>
        </w:p>
        <w:p w14:paraId="45BCD38A" w14:textId="030B378F" w:rsidR="00522C5A" w:rsidRDefault="00000000">
          <w:pPr>
            <w:pStyle w:val="TOC2"/>
            <w:tabs>
              <w:tab w:val="right" w:leader="dot" w:pos="9016"/>
            </w:tabs>
            <w:rPr>
              <w:noProof/>
            </w:rPr>
          </w:pPr>
          <w:hyperlink w:anchor="_Toc243652166" w:history="1">
            <w:r w:rsidR="00522C5A" w:rsidRPr="0023415E">
              <w:rPr>
                <w:rStyle w:val="Hyperlink"/>
                <w:noProof/>
              </w:rPr>
              <w:t>6.2 Non-pharmacological treatment and long-term NHS support</w:t>
            </w:r>
            <w:r w:rsidR="00522C5A">
              <w:rPr>
                <w:noProof/>
                <w:webHidden/>
              </w:rPr>
              <w:tab/>
            </w:r>
            <w:r w:rsidR="00522C5A">
              <w:rPr>
                <w:noProof/>
                <w:webHidden/>
              </w:rPr>
              <w:fldChar w:fldCharType="begin"/>
            </w:r>
            <w:r w:rsidR="00522C5A">
              <w:rPr>
                <w:noProof/>
                <w:webHidden/>
              </w:rPr>
              <w:instrText xml:space="preserve"> PAGEREF _Toc243652166 \h </w:instrText>
            </w:r>
            <w:r w:rsidR="00522C5A">
              <w:rPr>
                <w:noProof/>
                <w:webHidden/>
              </w:rPr>
            </w:r>
            <w:r w:rsidR="00522C5A">
              <w:rPr>
                <w:noProof/>
                <w:webHidden/>
              </w:rPr>
              <w:fldChar w:fldCharType="separate"/>
            </w:r>
            <w:r w:rsidR="00522C5A">
              <w:rPr>
                <w:noProof/>
                <w:webHidden/>
              </w:rPr>
              <w:t>8</w:t>
            </w:r>
            <w:r w:rsidR="00522C5A">
              <w:rPr>
                <w:noProof/>
                <w:webHidden/>
              </w:rPr>
              <w:fldChar w:fldCharType="end"/>
            </w:r>
          </w:hyperlink>
        </w:p>
        <w:p w14:paraId="780C3BEF" w14:textId="393D3104" w:rsidR="00522C5A" w:rsidRDefault="00000000">
          <w:pPr>
            <w:pStyle w:val="TOC1"/>
            <w:tabs>
              <w:tab w:val="right" w:leader="dot" w:pos="9016"/>
            </w:tabs>
            <w:rPr>
              <w:noProof/>
            </w:rPr>
          </w:pPr>
          <w:hyperlink w:anchor="_Toc243652167" w:history="1">
            <w:r w:rsidR="00522C5A" w:rsidRPr="0023415E">
              <w:rPr>
                <w:rStyle w:val="Hyperlink"/>
                <w:noProof/>
              </w:rPr>
              <w:t>7. Theoretical Models and Frameworks for Improved Outcomes</w:t>
            </w:r>
            <w:r w:rsidR="00522C5A">
              <w:rPr>
                <w:noProof/>
                <w:webHidden/>
              </w:rPr>
              <w:tab/>
            </w:r>
            <w:r w:rsidR="00522C5A">
              <w:rPr>
                <w:noProof/>
                <w:webHidden/>
              </w:rPr>
              <w:fldChar w:fldCharType="begin"/>
            </w:r>
            <w:r w:rsidR="00522C5A">
              <w:rPr>
                <w:noProof/>
                <w:webHidden/>
              </w:rPr>
              <w:instrText xml:space="preserve"> PAGEREF _Toc243652167 \h </w:instrText>
            </w:r>
            <w:r w:rsidR="00522C5A">
              <w:rPr>
                <w:noProof/>
                <w:webHidden/>
              </w:rPr>
            </w:r>
            <w:r w:rsidR="00522C5A">
              <w:rPr>
                <w:noProof/>
                <w:webHidden/>
              </w:rPr>
              <w:fldChar w:fldCharType="separate"/>
            </w:r>
            <w:r w:rsidR="00522C5A">
              <w:rPr>
                <w:noProof/>
                <w:webHidden/>
              </w:rPr>
              <w:t>10</w:t>
            </w:r>
            <w:r w:rsidR="00522C5A">
              <w:rPr>
                <w:noProof/>
                <w:webHidden/>
              </w:rPr>
              <w:fldChar w:fldCharType="end"/>
            </w:r>
          </w:hyperlink>
        </w:p>
        <w:p w14:paraId="08642D39" w14:textId="1CF75B64" w:rsidR="00522C5A" w:rsidRDefault="00000000">
          <w:pPr>
            <w:pStyle w:val="TOC2"/>
            <w:tabs>
              <w:tab w:val="right" w:leader="dot" w:pos="9016"/>
            </w:tabs>
            <w:rPr>
              <w:noProof/>
            </w:rPr>
          </w:pPr>
          <w:hyperlink w:anchor="_Toc243652168" w:history="1">
            <w:r w:rsidR="00522C5A" w:rsidRPr="0023415E">
              <w:rPr>
                <w:rStyle w:val="Hyperlink"/>
                <w:noProof/>
              </w:rPr>
              <w:t>7.1 UK model: House of Care framework</w:t>
            </w:r>
            <w:r w:rsidR="00522C5A">
              <w:rPr>
                <w:noProof/>
                <w:webHidden/>
              </w:rPr>
              <w:tab/>
            </w:r>
            <w:r w:rsidR="00522C5A">
              <w:rPr>
                <w:noProof/>
                <w:webHidden/>
              </w:rPr>
              <w:fldChar w:fldCharType="begin"/>
            </w:r>
            <w:r w:rsidR="00522C5A">
              <w:rPr>
                <w:noProof/>
                <w:webHidden/>
              </w:rPr>
              <w:instrText xml:space="preserve"> PAGEREF _Toc243652168 \h </w:instrText>
            </w:r>
            <w:r w:rsidR="00522C5A">
              <w:rPr>
                <w:noProof/>
                <w:webHidden/>
              </w:rPr>
            </w:r>
            <w:r w:rsidR="00522C5A">
              <w:rPr>
                <w:noProof/>
                <w:webHidden/>
              </w:rPr>
              <w:fldChar w:fldCharType="separate"/>
            </w:r>
            <w:r w:rsidR="00522C5A">
              <w:rPr>
                <w:noProof/>
                <w:webHidden/>
              </w:rPr>
              <w:t>10</w:t>
            </w:r>
            <w:r w:rsidR="00522C5A">
              <w:rPr>
                <w:noProof/>
                <w:webHidden/>
              </w:rPr>
              <w:fldChar w:fldCharType="end"/>
            </w:r>
          </w:hyperlink>
        </w:p>
        <w:p w14:paraId="06279EAE" w14:textId="5606438D" w:rsidR="00522C5A" w:rsidRDefault="00000000">
          <w:pPr>
            <w:pStyle w:val="TOC2"/>
            <w:tabs>
              <w:tab w:val="right" w:leader="dot" w:pos="9016"/>
            </w:tabs>
            <w:rPr>
              <w:noProof/>
            </w:rPr>
          </w:pPr>
          <w:hyperlink w:anchor="_Toc243652169" w:history="1">
            <w:r w:rsidR="00522C5A" w:rsidRPr="0023415E">
              <w:rPr>
                <w:rStyle w:val="Hyperlink"/>
                <w:noProof/>
              </w:rPr>
              <w:t>7.2 US model: Chronic Care Model (CCM)</w:t>
            </w:r>
            <w:r w:rsidR="00522C5A">
              <w:rPr>
                <w:noProof/>
                <w:webHidden/>
              </w:rPr>
              <w:tab/>
            </w:r>
            <w:r w:rsidR="00522C5A">
              <w:rPr>
                <w:noProof/>
                <w:webHidden/>
              </w:rPr>
              <w:fldChar w:fldCharType="begin"/>
            </w:r>
            <w:r w:rsidR="00522C5A">
              <w:rPr>
                <w:noProof/>
                <w:webHidden/>
              </w:rPr>
              <w:instrText xml:space="preserve"> PAGEREF _Toc243652169 \h </w:instrText>
            </w:r>
            <w:r w:rsidR="00522C5A">
              <w:rPr>
                <w:noProof/>
                <w:webHidden/>
              </w:rPr>
            </w:r>
            <w:r w:rsidR="00522C5A">
              <w:rPr>
                <w:noProof/>
                <w:webHidden/>
              </w:rPr>
              <w:fldChar w:fldCharType="separate"/>
            </w:r>
            <w:r w:rsidR="00522C5A">
              <w:rPr>
                <w:noProof/>
                <w:webHidden/>
              </w:rPr>
              <w:t>11</w:t>
            </w:r>
            <w:r w:rsidR="00522C5A">
              <w:rPr>
                <w:noProof/>
                <w:webHidden/>
              </w:rPr>
              <w:fldChar w:fldCharType="end"/>
            </w:r>
          </w:hyperlink>
        </w:p>
        <w:p w14:paraId="38FF2AD0" w14:textId="2CDC5584" w:rsidR="00522C5A" w:rsidRDefault="00000000">
          <w:pPr>
            <w:pStyle w:val="TOC1"/>
            <w:tabs>
              <w:tab w:val="right" w:leader="dot" w:pos="9016"/>
            </w:tabs>
            <w:rPr>
              <w:noProof/>
            </w:rPr>
          </w:pPr>
          <w:hyperlink w:anchor="_Toc243652170" w:history="1">
            <w:r w:rsidR="00522C5A" w:rsidRPr="0023415E">
              <w:rPr>
                <w:rStyle w:val="Hyperlink"/>
                <w:noProof/>
              </w:rPr>
              <w:t>8. Health and Social Care Policies and Agendas</w:t>
            </w:r>
            <w:r w:rsidR="00522C5A">
              <w:rPr>
                <w:noProof/>
                <w:webHidden/>
              </w:rPr>
              <w:tab/>
            </w:r>
            <w:r w:rsidR="00522C5A">
              <w:rPr>
                <w:noProof/>
                <w:webHidden/>
              </w:rPr>
              <w:fldChar w:fldCharType="begin"/>
            </w:r>
            <w:r w:rsidR="00522C5A">
              <w:rPr>
                <w:noProof/>
                <w:webHidden/>
              </w:rPr>
              <w:instrText xml:space="preserve"> PAGEREF _Toc243652170 \h </w:instrText>
            </w:r>
            <w:r w:rsidR="00522C5A">
              <w:rPr>
                <w:noProof/>
                <w:webHidden/>
              </w:rPr>
            </w:r>
            <w:r w:rsidR="00522C5A">
              <w:rPr>
                <w:noProof/>
                <w:webHidden/>
              </w:rPr>
              <w:fldChar w:fldCharType="separate"/>
            </w:r>
            <w:r w:rsidR="00522C5A">
              <w:rPr>
                <w:noProof/>
                <w:webHidden/>
              </w:rPr>
              <w:t>12</w:t>
            </w:r>
            <w:r w:rsidR="00522C5A">
              <w:rPr>
                <w:noProof/>
                <w:webHidden/>
              </w:rPr>
              <w:fldChar w:fldCharType="end"/>
            </w:r>
          </w:hyperlink>
        </w:p>
        <w:p w14:paraId="301A50D8" w14:textId="1997DADB" w:rsidR="00522C5A" w:rsidRDefault="00000000">
          <w:pPr>
            <w:pStyle w:val="TOC1"/>
            <w:tabs>
              <w:tab w:val="right" w:leader="dot" w:pos="9016"/>
            </w:tabs>
            <w:rPr>
              <w:noProof/>
            </w:rPr>
          </w:pPr>
          <w:hyperlink w:anchor="_Toc243652171" w:history="1">
            <w:r w:rsidR="00522C5A" w:rsidRPr="0023415E">
              <w:rPr>
                <w:rStyle w:val="Hyperlink"/>
                <w:noProof/>
              </w:rPr>
              <w:t>9. Recommendations for Improvement</w:t>
            </w:r>
            <w:r w:rsidR="00522C5A">
              <w:rPr>
                <w:noProof/>
                <w:webHidden/>
              </w:rPr>
              <w:tab/>
            </w:r>
            <w:r w:rsidR="00522C5A">
              <w:rPr>
                <w:noProof/>
                <w:webHidden/>
              </w:rPr>
              <w:fldChar w:fldCharType="begin"/>
            </w:r>
            <w:r w:rsidR="00522C5A">
              <w:rPr>
                <w:noProof/>
                <w:webHidden/>
              </w:rPr>
              <w:instrText xml:space="preserve"> PAGEREF _Toc243652171 \h </w:instrText>
            </w:r>
            <w:r w:rsidR="00522C5A">
              <w:rPr>
                <w:noProof/>
                <w:webHidden/>
              </w:rPr>
            </w:r>
            <w:r w:rsidR="00522C5A">
              <w:rPr>
                <w:noProof/>
                <w:webHidden/>
              </w:rPr>
              <w:fldChar w:fldCharType="separate"/>
            </w:r>
            <w:r w:rsidR="00522C5A">
              <w:rPr>
                <w:noProof/>
                <w:webHidden/>
              </w:rPr>
              <w:t>13</w:t>
            </w:r>
            <w:r w:rsidR="00522C5A">
              <w:rPr>
                <w:noProof/>
                <w:webHidden/>
              </w:rPr>
              <w:fldChar w:fldCharType="end"/>
            </w:r>
          </w:hyperlink>
        </w:p>
        <w:p w14:paraId="7C9C3BCB" w14:textId="18EE8A02" w:rsidR="00522C5A" w:rsidRDefault="00000000">
          <w:pPr>
            <w:pStyle w:val="TOC1"/>
            <w:tabs>
              <w:tab w:val="right" w:leader="dot" w:pos="9016"/>
            </w:tabs>
            <w:rPr>
              <w:noProof/>
            </w:rPr>
          </w:pPr>
          <w:hyperlink w:anchor="_Toc243652172" w:history="1">
            <w:r w:rsidR="00522C5A" w:rsidRPr="0023415E">
              <w:rPr>
                <w:rStyle w:val="Hyperlink"/>
                <w:noProof/>
              </w:rPr>
              <w:t>10. Conclusion</w:t>
            </w:r>
            <w:r w:rsidR="00522C5A">
              <w:rPr>
                <w:noProof/>
                <w:webHidden/>
              </w:rPr>
              <w:tab/>
            </w:r>
            <w:r w:rsidR="00522C5A">
              <w:rPr>
                <w:noProof/>
                <w:webHidden/>
              </w:rPr>
              <w:fldChar w:fldCharType="begin"/>
            </w:r>
            <w:r w:rsidR="00522C5A">
              <w:rPr>
                <w:noProof/>
                <w:webHidden/>
              </w:rPr>
              <w:instrText xml:space="preserve"> PAGEREF _Toc243652172 \h </w:instrText>
            </w:r>
            <w:r w:rsidR="00522C5A">
              <w:rPr>
                <w:noProof/>
                <w:webHidden/>
              </w:rPr>
            </w:r>
            <w:r w:rsidR="00522C5A">
              <w:rPr>
                <w:noProof/>
                <w:webHidden/>
              </w:rPr>
              <w:fldChar w:fldCharType="separate"/>
            </w:r>
            <w:r w:rsidR="00522C5A">
              <w:rPr>
                <w:noProof/>
                <w:webHidden/>
              </w:rPr>
              <w:t>14</w:t>
            </w:r>
            <w:r w:rsidR="00522C5A">
              <w:rPr>
                <w:noProof/>
                <w:webHidden/>
              </w:rPr>
              <w:fldChar w:fldCharType="end"/>
            </w:r>
          </w:hyperlink>
        </w:p>
        <w:p w14:paraId="10AEC5F9" w14:textId="06834252" w:rsidR="00522C5A" w:rsidRDefault="00000000">
          <w:pPr>
            <w:pStyle w:val="TOC1"/>
            <w:tabs>
              <w:tab w:val="right" w:leader="dot" w:pos="9016"/>
            </w:tabs>
            <w:rPr>
              <w:noProof/>
            </w:rPr>
          </w:pPr>
          <w:hyperlink w:anchor="_Toc243652173" w:history="1">
            <w:r w:rsidR="00522C5A" w:rsidRPr="0023415E">
              <w:rPr>
                <w:rStyle w:val="Hyperlink"/>
                <w:noProof/>
              </w:rPr>
              <w:t>Reference List</w:t>
            </w:r>
            <w:r w:rsidR="00522C5A">
              <w:rPr>
                <w:noProof/>
                <w:webHidden/>
              </w:rPr>
              <w:tab/>
            </w:r>
            <w:r w:rsidR="00522C5A">
              <w:rPr>
                <w:noProof/>
                <w:webHidden/>
              </w:rPr>
              <w:fldChar w:fldCharType="begin"/>
            </w:r>
            <w:r w:rsidR="00522C5A">
              <w:rPr>
                <w:noProof/>
                <w:webHidden/>
              </w:rPr>
              <w:instrText xml:space="preserve"> PAGEREF _Toc243652173 \h </w:instrText>
            </w:r>
            <w:r w:rsidR="00522C5A">
              <w:rPr>
                <w:noProof/>
                <w:webHidden/>
              </w:rPr>
            </w:r>
            <w:r w:rsidR="00522C5A">
              <w:rPr>
                <w:noProof/>
                <w:webHidden/>
              </w:rPr>
              <w:fldChar w:fldCharType="separate"/>
            </w:r>
            <w:r w:rsidR="00522C5A">
              <w:rPr>
                <w:noProof/>
                <w:webHidden/>
              </w:rPr>
              <w:t>15</w:t>
            </w:r>
            <w:r w:rsidR="00522C5A">
              <w:rPr>
                <w:noProof/>
                <w:webHidden/>
              </w:rPr>
              <w:fldChar w:fldCharType="end"/>
            </w:r>
          </w:hyperlink>
        </w:p>
        <w:p w14:paraId="623F63B1" w14:textId="7493E787" w:rsidR="00522C5A" w:rsidRDefault="00522C5A">
          <w:r>
            <w:rPr>
              <w:b/>
              <w:bCs/>
              <w:noProof/>
            </w:rPr>
            <w:fldChar w:fldCharType="end"/>
          </w:r>
        </w:p>
      </w:sdtContent>
    </w:sdt>
    <w:p w14:paraId="2F3870F2" w14:textId="77777777" w:rsidR="00522C5A" w:rsidRDefault="00522C5A">
      <w:pPr>
        <w:spacing w:before="0" w:after="200" w:line="276" w:lineRule="auto"/>
        <w:jc w:val="left"/>
        <w:rPr>
          <w:rFonts w:eastAsiaTheme="majorEastAsia" w:cstheme="majorBidi"/>
          <w:b/>
          <w:bCs/>
          <w:szCs w:val="28"/>
        </w:rPr>
      </w:pPr>
      <w:bookmarkStart w:id="0" w:name="_Toc243652154"/>
      <w:r>
        <w:br w:type="page"/>
      </w:r>
    </w:p>
    <w:p w14:paraId="370B3A24" w14:textId="643A64C3" w:rsidR="004D7552" w:rsidRDefault="00000000">
      <w:pPr>
        <w:pStyle w:val="Heading1"/>
      </w:pPr>
      <w:r>
        <w:lastRenderedPageBreak/>
        <w:t>1. Definition</w:t>
      </w:r>
      <w:bookmarkEnd w:id="0"/>
    </w:p>
    <w:p w14:paraId="08DD3383" w14:textId="77777777" w:rsidR="00544BC2" w:rsidRPr="00F80808" w:rsidRDefault="00544BC2" w:rsidP="00544BC2">
      <w:r w:rsidRPr="00F80808">
        <w:t>Asthma is a chronic illness characterized by inflammation and increased sensitivity of the airways. Muscles in the walls of the airways become tight, the inner walls of the airways swell, and there may be an excess production of mucus, resulting in narrowing of the airways and wheezing, coughing, chest tightness and difficulty breathing. The symptoms may vary depending on the season or time of day and tend to worsen at night or early in the morning. Asthma may develop at any age and have different triggers (National Institute for Health and Care Excellence (NICE), 2024; Global Initiative for Asthma (GINA), 2025; World Health Organization (WHO), 2024).</w:t>
      </w:r>
    </w:p>
    <w:p w14:paraId="37C0A278" w14:textId="290DE3EF" w:rsidR="00544BC2" w:rsidRPr="00F80808" w:rsidRDefault="00544BC2" w:rsidP="00544BC2">
      <w:r w:rsidRPr="00F80808">
        <w:t>There is no cure for asthma; however, it is possible to treat it in order to control the symptoms and decrease the chances of an attack. The diagnosis process includes both symptom history and objective testing. The guideline on this matter issued jointly by the British Thoracic Society (BTS), NICE and the Scottish Intercollegiate Guidelines Network (SIGN) suggests that a blood eosinophil count or fractional exhaled nitric oxide (FeNO) test be performed, followed where necessary by spirometry with bronchodilator reversibility or PEF testing. Test availability and prior inhaler corticosteroid use influence the results and should be taken into consideration along with the history (BTS/NICE/SIGN, 2024).</w:t>
      </w:r>
    </w:p>
    <w:p w14:paraId="1DA6FAE0" w14:textId="77777777" w:rsidR="00A6196A" w:rsidRPr="008E4964" w:rsidRDefault="00A6196A" w:rsidP="00A6196A">
      <w:pPr>
        <w:jc w:val="center"/>
      </w:pPr>
      <w:r>
        <w:rPr>
          <w:noProof/>
        </w:rPr>
        <w:drawing>
          <wp:inline distT="0" distB="0" distL="0" distR="0" wp14:anchorId="316AFE77" wp14:editId="5DA2A747">
            <wp:extent cx="5159399" cy="3779520"/>
            <wp:effectExtent l="0" t="0" r="3175" b="0"/>
            <wp:docPr id="1372327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9688" cy="3779732"/>
                    </a:xfrm>
                    <a:prstGeom prst="rect">
                      <a:avLst/>
                    </a:prstGeom>
                    <a:noFill/>
                    <a:ln>
                      <a:noFill/>
                    </a:ln>
                  </pic:spPr>
                </pic:pic>
              </a:graphicData>
            </a:graphic>
          </wp:inline>
        </w:drawing>
      </w:r>
    </w:p>
    <w:p w14:paraId="29F320D1" w14:textId="77777777" w:rsidR="004D7552" w:rsidRDefault="004D7552"/>
    <w:tbl>
      <w:tblPr>
        <w:tblW w:w="0" w:type="auto"/>
        <w:jc w:val="center"/>
        <w:tblLayout w:type="fixed"/>
        <w:tblLook w:val="04A0" w:firstRow="1" w:lastRow="0" w:firstColumn="1" w:lastColumn="0" w:noHBand="0" w:noVBand="1"/>
      </w:tblPr>
      <w:tblGrid>
        <w:gridCol w:w="9288"/>
      </w:tblGrid>
      <w:tr w:rsidR="004D7552" w14:paraId="561AA8FA" w14:textId="77777777">
        <w:trPr>
          <w:cantSplit/>
          <w:jc w:val="center"/>
        </w:trPr>
        <w:tc>
          <w:tcPr>
            <w:tcW w:w="9288" w:type="dxa"/>
            <w:shd w:val="clear" w:color="auto" w:fill="EAF4F5"/>
            <w:tcMar>
              <w:top w:w="150" w:type="dxa"/>
              <w:left w:w="180" w:type="dxa"/>
              <w:bottom w:w="150" w:type="dxa"/>
              <w:right w:w="180" w:type="dxa"/>
            </w:tcMar>
            <w:vAlign w:val="center"/>
          </w:tcPr>
          <w:p w14:paraId="6F3EC9AA" w14:textId="77777777" w:rsidR="004D7552" w:rsidRDefault="00B52DBD" w:rsidP="00A6196A">
            <w:pPr>
              <w:jc w:val="center"/>
            </w:pPr>
            <w:r w:rsidRPr="00B52DBD">
              <w:rPr>
                <w:b/>
                <w:bCs/>
              </w:rPr>
              <w:lastRenderedPageBreak/>
              <w:t>Figure 1:</w:t>
            </w:r>
            <w:r>
              <w:t xml:space="preserve"> Airway narrowing and inflammation in asthma</w:t>
            </w:r>
          </w:p>
          <w:p w14:paraId="56CB737F" w14:textId="77777777" w:rsidR="004D7552" w:rsidRDefault="00000000" w:rsidP="00A6196A">
            <w:pPr>
              <w:jc w:val="center"/>
            </w:pPr>
            <w:r>
              <w:t>Source:</w:t>
            </w:r>
            <w:r w:rsidR="00A6196A">
              <w:t xml:space="preserve"> </w:t>
            </w:r>
            <w:hyperlink r:id="rId10" w:history="1">
              <w:r w:rsidR="00A6196A" w:rsidRPr="00183206">
                <w:rPr>
                  <w:rStyle w:val="Hyperlink"/>
                </w:rPr>
                <w:t>https://www.nhlbi.nih.gov/sites/default/files/inline-images/NHLBI_Fig04_final02%20English.jpg</w:t>
              </w:r>
            </w:hyperlink>
            <w:r w:rsidR="00A6196A">
              <w:t xml:space="preserve"> </w:t>
            </w:r>
          </w:p>
        </w:tc>
      </w:tr>
    </w:tbl>
    <w:p w14:paraId="57D1507E" w14:textId="77777777" w:rsidR="004D7552" w:rsidRDefault="004D7552">
      <w:pPr>
        <w:spacing w:after="0"/>
      </w:pPr>
    </w:p>
    <w:p w14:paraId="1409CB2A" w14:textId="77777777" w:rsidR="004D7552" w:rsidRPr="00F80808" w:rsidRDefault="00000000">
      <w:pPr>
        <w:pStyle w:val="Heading1"/>
      </w:pPr>
      <w:bookmarkStart w:id="1" w:name="_Toc243652155"/>
      <w:r w:rsidRPr="00F80808">
        <w:t>2. UK and Worldwide</w:t>
      </w:r>
      <w:bookmarkEnd w:id="1"/>
    </w:p>
    <w:p w14:paraId="044EAFD2" w14:textId="77777777" w:rsidR="004A625D" w:rsidRPr="00F80808" w:rsidRDefault="004A625D" w:rsidP="004A625D">
      <w:r w:rsidRPr="00F80808">
        <w:t>Asthma is a considerable public health issue globally. According to WHO estimates, 262 million people suffered from asthma and 455,000 died from it in 2019 (WHO, 2024). This includes all people of different ages, not only adults. Underdiagnosis and limited access to inhalers lead to preventable deaths as well, especially in the countries of lower and middle income (WHO, 2024).</w:t>
      </w:r>
    </w:p>
    <w:p w14:paraId="59BBBFD0" w14:textId="77777777" w:rsidR="004A625D" w:rsidRPr="00F80808" w:rsidRDefault="004A625D" w:rsidP="004A625D">
      <w:r w:rsidRPr="00F80808">
        <w:t>In the case of the UK, according to Asthma + Lung UK, about 7.2 million people suffer from asthma, which equals to 8 out of 100 people (Asthma + Lung UK, n.d.). The charity claims that one in nine adults and one in eight children suffer from asthma (Asthma + Lung UK, n.d.). These figures represent the estimate for the whole UK and do not constitute an estimate for only adults from the harmonised NHS register. Practices vary from nation to nation.</w:t>
      </w:r>
    </w:p>
    <w:p w14:paraId="12BA7511" w14:textId="77777777" w:rsidR="004A625D" w:rsidRPr="00F80808" w:rsidRDefault="004A625D" w:rsidP="004A625D">
      <w:r w:rsidRPr="00F80808">
        <w:t>Preventable attacks pose a threat as well. According to the report of Asthma + Lung UK, 12,000 people in the UK have died due to asthma in the 10 years since 2014 National Review of Asthma Deaths (Asthma + Lung UK, 2024b). In the 2025 briefing report, only 32% of people with asthma received all three elements of the basic care, including the annual review, inhaler technique assessment and personal asthma action plan (Asthma + Lung UK, 2025). Although it was not a nationally audited clinical register, this figure shows a certain gap in regular care.</w:t>
      </w:r>
    </w:p>
    <w:p w14:paraId="77175F69" w14:textId="1629D33D" w:rsidR="004A625D" w:rsidRPr="00F80808" w:rsidRDefault="004A625D" w:rsidP="004A625D">
      <w:r w:rsidRPr="00F80808">
        <w:t>Altogether, it may be said that the burden of asthma disease depends on its prevalence, on the number of preventable attacks and on the quality of regular care provided. The worldwide estimates of WHO, the estimates of charity for the whole UK and access to basic care information are made by different methods within different reference periods and cannot be compared with each other as prevalence measures (WHO, 2024; Asthma + Lung UK, 2025).</w:t>
      </w:r>
    </w:p>
    <w:p w14:paraId="184ED986" w14:textId="77777777" w:rsidR="004D7552" w:rsidRDefault="00000000">
      <w:pPr>
        <w:pStyle w:val="Heading1"/>
      </w:pPr>
      <w:bookmarkStart w:id="2" w:name="_Toc243652156"/>
      <w:r>
        <w:t>3. Risk Factors and Aetiology</w:t>
      </w:r>
      <w:bookmarkEnd w:id="2"/>
    </w:p>
    <w:p w14:paraId="7EA77162" w14:textId="77777777" w:rsidR="004A625D" w:rsidRPr="00F80808" w:rsidRDefault="004A625D" w:rsidP="004A625D">
      <w:pPr>
        <w:rPr>
          <w:b/>
          <w:bCs/>
        </w:rPr>
      </w:pPr>
      <w:r w:rsidRPr="00F80808">
        <w:t xml:space="preserve">Asthma arises from the interplay of susceptibility to it that is genetic, an individual’s immune system and the environment in which the individual exists. Risk factors lead to an increased </w:t>
      </w:r>
      <w:r w:rsidRPr="00F80808">
        <w:lastRenderedPageBreak/>
        <w:t>probability of getting asthma while triggers worsen the effects on those with it. This difference is significant because minimizing exposure can help in controlling it, although it cannot eliminate genetic susceptibility (GINA, 2025; WHO, 2024).</w:t>
      </w:r>
    </w:p>
    <w:p w14:paraId="09B43795" w14:textId="3FFD9770" w:rsidR="008E4964" w:rsidRPr="00F80808" w:rsidRDefault="008E4964" w:rsidP="008E4964">
      <w:pPr>
        <w:pStyle w:val="Heading2"/>
      </w:pPr>
      <w:bookmarkStart w:id="3" w:name="_Toc243652157"/>
      <w:r w:rsidRPr="00F80808">
        <w:t>3.1 Modifiable Risk Factors</w:t>
      </w:r>
      <w:bookmarkEnd w:id="3"/>
    </w:p>
    <w:p w14:paraId="446625A7" w14:textId="77777777" w:rsidR="004A625D" w:rsidRPr="00F80808" w:rsidRDefault="004A625D" w:rsidP="004A625D">
      <w:r w:rsidRPr="00F80808">
        <w:t>Modifiable exposures comprise cigarette smoking, e-cigarettes, dampness and mold, dust mites, pollen, animal allergens, air pollution and workplace chemicals. Some provoke symptoms; others act as occupational sensitizers or air pollutants leading to new onset asthma. In a meta-analysis published in 2024, adult asthma incidence was linked with particulate matter, nitrogen dioxide and ozone, although findings differed for pollutants and individual studies (Lee et al., 2024). Intervention advice should include lowering exposure as well as addressing unsafe housing and pollution that patients cannot manage by themselves (WHO, 2021; NICE, 2020; GINA, 2025).</w:t>
      </w:r>
    </w:p>
    <w:p w14:paraId="31007CB0" w14:textId="77777777" w:rsidR="004A625D" w:rsidRPr="00F80808" w:rsidRDefault="004A625D" w:rsidP="004A625D">
      <w:pPr>
        <w:rPr>
          <w:b/>
          <w:bCs/>
        </w:rPr>
      </w:pPr>
      <w:r w:rsidRPr="00F80808">
        <w:t>Work may lead to or exacerbate asthma due to workers’ inhalation of dust, flour, isocyanates or other irritants in their working environment. The British Thoracic Society’s clinical statement suggests that work-related exposure accounts for one in six asthma cases in working age group with asthma (Barber et al., 2022). Physicians need to inquire about job tasks, material inhaled, pattern of symptoms at work and its improvement when away from workplace; if occupational asthma is suspected, early diagnosis and expert evaluation are required (Barber et al., 2022).</w:t>
      </w:r>
    </w:p>
    <w:p w14:paraId="7155704A" w14:textId="4D50D4CC" w:rsidR="008E4964" w:rsidRPr="00F80808" w:rsidRDefault="008E4964" w:rsidP="004A625D">
      <w:pPr>
        <w:pStyle w:val="Heading2"/>
      </w:pPr>
      <w:bookmarkStart w:id="4" w:name="_Toc243652158"/>
      <w:r w:rsidRPr="00F80808">
        <w:t>3.2 Non-Modifiable Risk Factors</w:t>
      </w:r>
      <w:bookmarkEnd w:id="4"/>
    </w:p>
    <w:p w14:paraId="29BECEEC" w14:textId="77777777" w:rsidR="004A625D" w:rsidRPr="00F80808" w:rsidRDefault="004A625D" w:rsidP="004A625D">
      <w:r w:rsidRPr="00F80808">
        <w:t>Non-modifiable factors cannot be avoided based on one's own decisions. A family history might indicate inherited differences in immune regulation and airway sensitivity (GINA, 2025). Atopic eczema and rhinitis, which mean that the immune system reacts to harmless things, are the sign of atopy and indicate risk but not inevitable development of the disease (GINA, 2025). Age and biological sex may also play a role for some adult patients (Asthma + Lung UK, 2022b; GINA, 2025). This link is different for each person.</w:t>
      </w:r>
    </w:p>
    <w:p w14:paraId="721950B7" w14:textId="18150E7A" w:rsidR="004A625D" w:rsidRPr="00F80808" w:rsidRDefault="004A625D" w:rsidP="004A625D">
      <w:r w:rsidRPr="00F80808">
        <w:t>Factors affecting living or working environment may be related to the increased risk as well. Damp living conditions, traffic pollution, job insecurity, poverty and limited access to healthcare are the examples of such factors. They do not refer to any biological cause of asthma but increase the difficulty of prevention and management. Therefore, prevention includes not only individual interventions but also actions by housing services, employers, public health organizations and healthcare services (WHO, 2021; NICE, 2020).</w:t>
      </w:r>
    </w:p>
    <w:p w14:paraId="2B04C983" w14:textId="01AA01F2" w:rsidR="004D7552" w:rsidRPr="00F80808" w:rsidRDefault="00000000">
      <w:pPr>
        <w:pStyle w:val="Heading1"/>
      </w:pPr>
      <w:bookmarkStart w:id="5" w:name="_Toc243652159"/>
      <w:r w:rsidRPr="00F80808">
        <w:lastRenderedPageBreak/>
        <w:t>4. Aim</w:t>
      </w:r>
      <w:bookmarkEnd w:id="5"/>
    </w:p>
    <w:p w14:paraId="71B371AA" w14:textId="77777777" w:rsidR="004D7552" w:rsidRPr="00F80808" w:rsidRDefault="00000000" w:rsidP="008E4964">
      <w:r w:rsidRPr="00F80808">
        <w:t>This booklet evaluates long-term asthma control in adults, focusing on self-management education and NHS respiratory care. It considers the physical, psychological and social effects of asthma, why gaps in care persist, and how person-centred services can reduce avoidable attacks and improve outcomes.</w:t>
      </w:r>
    </w:p>
    <w:p w14:paraId="0C1C871D" w14:textId="77777777" w:rsidR="004D7552" w:rsidRPr="00F80808" w:rsidRDefault="00000000">
      <w:pPr>
        <w:pStyle w:val="Heading1"/>
      </w:pPr>
      <w:bookmarkStart w:id="6" w:name="_Toc243652160"/>
      <w:r w:rsidRPr="00F80808">
        <w:t>5. Physical, Psychological and Social Implications</w:t>
      </w:r>
      <w:bookmarkEnd w:id="6"/>
    </w:p>
    <w:p w14:paraId="3D781CDB" w14:textId="77777777" w:rsidR="00884EBB" w:rsidRPr="00F80808" w:rsidRDefault="00884EBB" w:rsidP="00884EBB">
      <w:pPr>
        <w:pStyle w:val="Heading2"/>
      </w:pPr>
      <w:bookmarkStart w:id="7" w:name="_Toc243652161"/>
      <w:r w:rsidRPr="00F80808">
        <w:t>5.1 Physical Implications</w:t>
      </w:r>
      <w:bookmarkEnd w:id="7"/>
    </w:p>
    <w:p w14:paraId="43F7D5AD" w14:textId="77777777" w:rsidR="00884EBB" w:rsidRPr="00F80808" w:rsidRDefault="00884EBB" w:rsidP="00884EBB">
      <w:r w:rsidRPr="00F80808">
        <w:t>Uncontrolled asthma may lead to wheeze, cough, sleep disruption, tiredness and breathlessness during activities. Attacks might need oral steroids, urgent care and/or admission, leading to lost working days and adverse medication effects. According to a systematic review, adults having uncontrolled moderate or severe asthma have poor quality of life, attacks and healthcare use despite being under maintenance therapy (Czira et al., 2022). Medication alone is not an indicator of controlled asthma.</w:t>
      </w:r>
    </w:p>
    <w:p w14:paraId="15CD18B4" w14:textId="77777777" w:rsidR="00884EBB" w:rsidRPr="00F80808" w:rsidRDefault="00884EBB" w:rsidP="00884EBB">
      <w:r w:rsidRPr="00F80808">
        <w:t>The disease may limit activities and disrupt sleep. Before intensifying the treatment, doctors should consider proper diagnosis, inhalation technique, adherence, exposures and co-morbidities. Excessive reliever inhaler use is a sign of uncontrolled asthma and cannot replace anti-inflammatory treatment (BTS/NICE/SIGN, 2024; MHRA, 2025).</w:t>
      </w:r>
    </w:p>
    <w:p w14:paraId="78397679" w14:textId="77777777" w:rsidR="00884EBB" w:rsidRPr="00F80808" w:rsidRDefault="00884EBB" w:rsidP="00884EBB">
      <w:pPr>
        <w:pStyle w:val="Heading2"/>
      </w:pPr>
      <w:bookmarkStart w:id="8" w:name="_Toc243652162"/>
      <w:r w:rsidRPr="00F80808">
        <w:t>5.2 Psychological Implications</w:t>
      </w:r>
      <w:bookmarkEnd w:id="8"/>
    </w:p>
    <w:p w14:paraId="4F82EBEE" w14:textId="77777777" w:rsidR="00884EBB" w:rsidRDefault="00884EBB" w:rsidP="00884EBB">
      <w:r w:rsidRPr="00F80808">
        <w:t>Fear, embarrassment and anxiety caused by unpredictable symptoms may occur. Some adults avoid socialising. Anxieties or depressions might interfere with treatment regimens and attendances; therefore, patients' mental health should be</w:t>
      </w:r>
      <w:r>
        <w:t xml:space="preserve"> discussed during asthma assessment (Czira et al., 2022; GINA, 2025).</w:t>
      </w:r>
    </w:p>
    <w:p w14:paraId="6CA1D98F" w14:textId="77777777" w:rsidR="00884EBB" w:rsidRDefault="00884EBB" w:rsidP="00884EBB">
      <w:r>
        <w:t>Severe asthma involves several medications, specialist appointments and emergencies. Case studies included in the Asthma + Lung UK report show social isolation and burdensome treatments; case studies provide context but do not quantify the frequency of each experience (Czira et al., 2022; Asthma + Lung UK, 2022b).</w:t>
      </w:r>
    </w:p>
    <w:p w14:paraId="18242376" w14:textId="77777777" w:rsidR="00884EBB" w:rsidRDefault="00884EBB" w:rsidP="00884EBB">
      <w:pPr>
        <w:pStyle w:val="Heading2"/>
      </w:pPr>
      <w:bookmarkStart w:id="9" w:name="_Toc243652163"/>
      <w:r>
        <w:t>5.3 Social Implications</w:t>
      </w:r>
      <w:bookmarkEnd w:id="9"/>
    </w:p>
    <w:p w14:paraId="3D71178C" w14:textId="77777777" w:rsidR="00884EBB" w:rsidRDefault="00884EBB" w:rsidP="00884EBB">
      <w:r>
        <w:t xml:space="preserve">Asthma may impact employment, income, family routine and social interactions. Caregivers may feel anxious during attacks or assist patients with taking medicines and making appointments. Financial costs, travel and absence from work cause additional burden. In the survey conducted by Asthma + Lung UK of over 14,000 adults with respiratory diseases, people with asthma belonging to the poorest fifth of respondents had higher chances of having uncontrolled symptoms and difficult access to same-day GP services. The charity </w:t>
      </w:r>
      <w:r>
        <w:lastRenderedPageBreak/>
        <w:t>survey is an alert signal rather than national prevalence estimation (Asthma + Lung UK, 2023).</w:t>
      </w:r>
    </w:p>
    <w:p w14:paraId="36A119BF" w14:textId="77777777" w:rsidR="00884EBB" w:rsidRDefault="00884EBB" w:rsidP="00884EBB">
      <w:r>
        <w:t>UK primary-care and specialist cohorts showed higher probability of uncontrolled asthma and emergency/hospital care recently in some underrepresented ethnic groups (Busby et al., 2022). Ethnicity cannot be considered as a straightforward cause since exposures, access, communication and treatments may play a role. Mortality involving common physical conditions analysed by the Office of National Statistics indicate closer attention to deprivation, gender and geographic variations, even though this is not a direct measure of asthma control (ONS, 2023).</w:t>
      </w:r>
    </w:p>
    <w:p w14:paraId="5D657D97" w14:textId="77777777" w:rsidR="004D7552" w:rsidRDefault="00884EBB" w:rsidP="00884EBB">
      <w:r w:rsidRPr="00884EBB">
        <w:t xml:space="preserve">These trends should not be understood as evidence of the causation of poor adherence by one particular social attribute. Inequalities can occur along interrelated lines: higher levels of pollution or dampness, reduced capacity to make appointments, </w:t>
      </w:r>
      <w:r>
        <w:t>communication difficulties</w:t>
      </w:r>
      <w:r w:rsidRPr="00884EBB">
        <w:t>, and differential access to medication or specialist assessment. Services need to gather local data and find out from patients what the real barriers to following a standard care plan are. This is more productive than a sole focus on adherence at an individual level (Asthma + Lung UK, 2023; Busby et al., 2022; ONS, 2023).</w:t>
      </w:r>
    </w:p>
    <w:p w14:paraId="198FF575" w14:textId="77777777" w:rsidR="00A6196A" w:rsidRDefault="00A6196A" w:rsidP="00A6196A">
      <w:pPr>
        <w:jc w:val="center"/>
      </w:pPr>
      <w:r>
        <w:rPr>
          <w:noProof/>
        </w:rPr>
        <w:drawing>
          <wp:inline distT="0" distB="0" distL="0" distR="0" wp14:anchorId="3288D9E9" wp14:editId="04EA8859">
            <wp:extent cx="5731510" cy="4008755"/>
            <wp:effectExtent l="0" t="0" r="2540" b="0"/>
            <wp:docPr id="1373788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08755"/>
                    </a:xfrm>
                    <a:prstGeom prst="rect">
                      <a:avLst/>
                    </a:prstGeom>
                    <a:noFill/>
                    <a:ln>
                      <a:noFill/>
                    </a:ln>
                  </pic:spPr>
                </pic:pic>
              </a:graphicData>
            </a:graphic>
          </wp:inline>
        </w:drawing>
      </w:r>
    </w:p>
    <w:tbl>
      <w:tblPr>
        <w:tblW w:w="0" w:type="auto"/>
        <w:jc w:val="center"/>
        <w:tblLayout w:type="fixed"/>
        <w:tblLook w:val="04A0" w:firstRow="1" w:lastRow="0" w:firstColumn="1" w:lastColumn="0" w:noHBand="0" w:noVBand="1"/>
      </w:tblPr>
      <w:tblGrid>
        <w:gridCol w:w="9288"/>
      </w:tblGrid>
      <w:tr w:rsidR="004D7552" w14:paraId="513BFE22" w14:textId="77777777">
        <w:trPr>
          <w:cantSplit/>
          <w:jc w:val="center"/>
        </w:trPr>
        <w:tc>
          <w:tcPr>
            <w:tcW w:w="9288" w:type="dxa"/>
            <w:shd w:val="clear" w:color="auto" w:fill="EAF4F5"/>
            <w:tcMar>
              <w:top w:w="150" w:type="dxa"/>
              <w:left w:w="180" w:type="dxa"/>
              <w:bottom w:w="150" w:type="dxa"/>
              <w:right w:w="180" w:type="dxa"/>
            </w:tcMar>
            <w:vAlign w:val="center"/>
          </w:tcPr>
          <w:p w14:paraId="42C836B0" w14:textId="77777777" w:rsidR="004D7552" w:rsidRPr="00A6196A" w:rsidRDefault="00E1179D" w:rsidP="00A6196A">
            <w:pPr>
              <w:jc w:val="center"/>
              <w:rPr>
                <w:rFonts w:cs="Times New Roman"/>
                <w:szCs w:val="24"/>
              </w:rPr>
            </w:pPr>
            <w:r w:rsidRPr="00E1179D">
              <w:rPr>
                <w:b/>
                <w:bCs/>
              </w:rPr>
              <w:lastRenderedPageBreak/>
              <w:t>Figure 2:</w:t>
            </w:r>
            <w:r>
              <w:t xml:space="preserve"> </w:t>
            </w:r>
            <w:r w:rsidRPr="00A6196A">
              <w:rPr>
                <w:rFonts w:cs="Times New Roman"/>
                <w:szCs w:val="24"/>
              </w:rPr>
              <w:t>Air pollution can worsen respiratory disease</w:t>
            </w:r>
          </w:p>
          <w:p w14:paraId="15E6C5B9" w14:textId="77777777" w:rsidR="00A6196A" w:rsidRPr="00A6196A" w:rsidRDefault="00000000" w:rsidP="00A6196A">
            <w:pPr>
              <w:jc w:val="center"/>
              <w:rPr>
                <w:rFonts w:cs="Times New Roman"/>
                <w:szCs w:val="24"/>
              </w:rPr>
            </w:pPr>
            <w:r w:rsidRPr="00A6196A">
              <w:rPr>
                <w:rFonts w:cs="Times New Roman"/>
                <w:szCs w:val="24"/>
              </w:rPr>
              <w:t>Source:</w:t>
            </w:r>
            <w:r w:rsidR="00A6196A">
              <w:rPr>
                <w:rFonts w:cs="Times New Roman"/>
                <w:szCs w:val="24"/>
              </w:rPr>
              <w:t xml:space="preserve"> </w:t>
            </w:r>
            <w:hyperlink r:id="rId12" w:history="1">
              <w:r w:rsidR="00A6196A" w:rsidRPr="00183206">
                <w:rPr>
                  <w:rStyle w:val="Hyperlink"/>
                  <w:rFonts w:cs="Times New Roman"/>
                  <w:szCs w:val="24"/>
                </w:rPr>
                <w:t>https://wwwn.cdc.gov/phil///PHIL_Images/8951/8951_lores.jpg</w:t>
              </w:r>
            </w:hyperlink>
            <w:r w:rsidR="00A6196A">
              <w:rPr>
                <w:rFonts w:cs="Times New Roman"/>
                <w:szCs w:val="24"/>
              </w:rPr>
              <w:t xml:space="preserve"> </w:t>
            </w:r>
          </w:p>
        </w:tc>
      </w:tr>
    </w:tbl>
    <w:p w14:paraId="05913379" w14:textId="77777777" w:rsidR="004D7552" w:rsidRPr="00F80808" w:rsidRDefault="00000000">
      <w:pPr>
        <w:pStyle w:val="Heading1"/>
      </w:pPr>
      <w:bookmarkStart w:id="10" w:name="_Toc243652164"/>
      <w:r w:rsidRPr="00F80808">
        <w:t>6. Evidence-Based Treatment and Management in the NHS</w:t>
      </w:r>
      <w:bookmarkEnd w:id="10"/>
    </w:p>
    <w:p w14:paraId="2E70699F" w14:textId="77777777" w:rsidR="00D821D2" w:rsidRPr="00F80808" w:rsidRDefault="00D821D2" w:rsidP="00D821D2">
      <w:pPr>
        <w:pStyle w:val="Heading2"/>
      </w:pPr>
      <w:bookmarkStart w:id="11" w:name="_Toc243652165"/>
      <w:r w:rsidRPr="00F80808">
        <w:t>6.1 Pharmacological treatment</w:t>
      </w:r>
      <w:bookmarkEnd w:id="11"/>
    </w:p>
    <w:p w14:paraId="70B6A2F0" w14:textId="77777777" w:rsidR="004A625D" w:rsidRPr="00F80808" w:rsidRDefault="004A625D" w:rsidP="004A625D">
      <w:r w:rsidRPr="00F80808">
        <w:t>Pharmacological management alleviates airway inflammation, relaxes airways muscles and prevents or relieves symptoms. Inhaled corticosteroids (ICS) are used to reduce inflammation and are an integral part of modern asthma management. The joint national guideline NG245 by BTS, NICE and SIGN suggests using an ICS-containing regime as opposed to relying on the reliever only. Selection and dosage should depend on the individual symptoms, history of attacks, their response, inhaler technique, preferences and other illnesses (BTS/NICE/SIGN, 2024; Global Initiative for Asthma (GINA), 2025).</w:t>
      </w:r>
    </w:p>
    <w:p w14:paraId="2995CCF9" w14:textId="77777777" w:rsidR="004A625D" w:rsidRPr="00F80808" w:rsidRDefault="004A625D" w:rsidP="004A625D">
      <w:r w:rsidRPr="00F80808">
        <w:t>In case of new diagnosis for patients aged 12 years and over in the UK, an as-needed low-dose ICS/formoterol inhaler should be recommended as an anti-inflammatory reliever (AIR) treatment. In case of uncontrolled asthma, healthcare specialists can consider the maintenance and reliever therapy (MART) during which a suitable ICS/formoterol inhaler is used as a part of maintenance treatment and reliever. The selection should be based on the clinical evaluation of the individual and his/her prescribed plan; they are not instructions for any changes in the drugs used by an individual (BTS/NICE/SIGN, 2024).</w:t>
      </w:r>
    </w:p>
    <w:p w14:paraId="72E522A1" w14:textId="77777777" w:rsidR="004A625D" w:rsidRPr="00F80808" w:rsidRDefault="004A625D" w:rsidP="004A625D">
      <w:r w:rsidRPr="00F80808">
        <w:t>Short-acting beta2-agonists (SABA), also known as reliever inhalers, are used to relieve airway tightening but do not affect the underlying inflammation. The MHRA issued a warning regarding increased risks related to the excessive usage of SABA and suggested the clinical review in such cases. The joint national guideline does not recommend the prescription of SABA inhaler to an individual without a prescription of ICS simultaneously. Patients should seek a consultation when symptoms or relievers usage increases and must not alter the prescriptions on their own initiative (MHRA, 2025; BTS/NICE/SIGN, 2024).</w:t>
      </w:r>
    </w:p>
    <w:p w14:paraId="244A5402" w14:textId="1C42CFE0" w:rsidR="004A625D" w:rsidRPr="00F80808" w:rsidRDefault="004A625D" w:rsidP="004A625D">
      <w:r w:rsidRPr="00F80808">
        <w:t>Before increasing the medications dosage, clinicians should confirm the correct diagnosis and evaluate the adherence, inhaler technique, smoking/vaping, occupation, comorbidities and psychosocial barriers. Uncontrolled asthma despite these measures should be referred to a specialist for further assessment. Adults suffering from severe asthma can qualify for add-on biologic medicines following a specialist review depending on the asthma phenotype and clinical eligibility; these treatments are not suitable for all the patients (GINA, 2024; GINA, 2025).</w:t>
      </w:r>
    </w:p>
    <w:p w14:paraId="28030B4D" w14:textId="08D6676C" w:rsidR="00D821D2" w:rsidRPr="00F80808" w:rsidRDefault="00D821D2" w:rsidP="00D821D2">
      <w:pPr>
        <w:pStyle w:val="Heading2"/>
      </w:pPr>
      <w:bookmarkStart w:id="12" w:name="_Toc243652166"/>
      <w:r w:rsidRPr="00F80808">
        <w:lastRenderedPageBreak/>
        <w:t>6.2 Non-pharmacological treatment and long-term NHS support</w:t>
      </w:r>
      <w:bookmarkEnd w:id="12"/>
    </w:p>
    <w:p w14:paraId="1F1C3DC5" w14:textId="77777777" w:rsidR="004A625D" w:rsidRPr="00F80808" w:rsidRDefault="004A625D" w:rsidP="004A625D">
      <w:r w:rsidRPr="00F80808">
        <w:t>Non-pharmacological care supplements drug treatment and is critical for successful long-term management. The UK NHS asthma care pathway is based on structured reviews: an annual review in primary care, extra review after exacerbation, inhaler-technique assessment, asthma education and written personalized asthma action plan. The most recent guideline of the British Thoracic Society, National Institute for Health and Care Excellence, Scottish Intercollegiate Guidelines Network NG245 remains a principal framework of the UK care (BTS/NICE/SIGN, 2024).</w:t>
      </w:r>
    </w:p>
    <w:p w14:paraId="197A627F" w14:textId="77777777" w:rsidR="004A625D" w:rsidRPr="00F80808" w:rsidRDefault="004A625D" w:rsidP="004A625D">
      <w:r w:rsidRPr="00F80808">
        <w:t>During every review, a discussion of daytime and nighttime symptoms, activity limitation, reliever use, course of oral steroids, emergency visits and patient goals should be conducted. Demonstrating technique and its further assessment by requesting patients to show how they use the device should be performed. When choosing an inhaler, factors including dexterity, hand-eye coordination, inspiratory capacity, comprehension and preferences should be considered. In case of suboptimal control, these factors should be assessed first rather than increasing doses (BTS/NICE/SIGN, 2024; Hesso et al., 2023).</w:t>
      </w:r>
    </w:p>
    <w:p w14:paraId="072150E5" w14:textId="77777777" w:rsidR="004A625D" w:rsidRPr="00F80808" w:rsidRDefault="004A625D" w:rsidP="004A625D">
      <w:r w:rsidRPr="00F80808">
        <w:t>The asthma self-management education should be pragmatic and repeated. The action plan should cover usual symptoms, personal triggers, which inhaler is prescribed, what action to take in case of aggravation of symptoms and seeking of urgent medical help. Understanding of instructions by a patient should be confirmed using teach-back or demonstration methods. The action plan should be updated after an attack, change of treatment or an annual review. Written information alone is not enough if the patient lacks capacity to understand, obtain medications or act in accordance with recommendations (BTS/NICE/SIGN, 2024; Babineau-Therrien et al., 2020).</w:t>
      </w:r>
    </w:p>
    <w:p w14:paraId="2155D2E5" w14:textId="77777777" w:rsidR="004A625D" w:rsidRPr="00F80808" w:rsidRDefault="004A625D" w:rsidP="004A625D">
      <w:r w:rsidRPr="00F80808">
        <w:t>The support should include help to quit smoking or vaping, reduction of exposure to allergens and air pollution, physical activities and proper management of conditions associated with asthma such as rhinitis, obesity, anxiety or depression. The patient should be provided with practical information about problems caused by damp and mold but clinicians should be aware that the tenant does not have enough money and power to fix his unsafe housing. Other healthcare professionals, occupational health specialists, pharmacists, housing services, communities and respiratory specialists can help to overcome these risks (NICE, 2020; WHO, 2021; Asthma + Lung UK, 2023).</w:t>
      </w:r>
    </w:p>
    <w:p w14:paraId="00CFA6C4" w14:textId="77777777" w:rsidR="00B14BCB" w:rsidRPr="00F80808" w:rsidRDefault="00B14BCB" w:rsidP="00B14BCB">
      <w:r w:rsidRPr="00F80808">
        <w:t xml:space="preserve">After an attack or change in treatment, it is important to have follow up to ensure good recovery, proper technique, access to medicines, and confidence in the action plan. Reminders through digital means and remote review can be useful for some people, but they should not substitute face-to-face care when it is available. Language support, written </w:t>
      </w:r>
      <w:r w:rsidRPr="00F80808">
        <w:lastRenderedPageBreak/>
        <w:t>information, and joint decision-making make the NHS pathway user-friendly. Therefore, routine review and education on self-management become ongoing components of the asthma pathway as opposed to single episodes (BTS/NICE/SIGN, 2024; NHS England, 2023).</w:t>
      </w:r>
    </w:p>
    <w:p w14:paraId="10F84C1B" w14:textId="393D5584" w:rsidR="00B14BCB" w:rsidRPr="00F80808" w:rsidRDefault="00B14BCB" w:rsidP="00B14BCB">
      <w:r w:rsidRPr="00F80808">
        <w:t>Non-pharmacological support is effective if the services facilitate attendance and acting upon recommendations. Delays in appointments, lack of diagnostics capacity, job insecurity, and lack of access to digital technologies can undermine the effectiveness of even well-designed care plan. Local teams need to monitor access to reviews, technique checks, and action plan, including any disparities in access based on deprivation, ethnic background or geography (Asthma + Lung UK, 2025; NHS England, 2023).</w:t>
      </w:r>
    </w:p>
    <w:p w14:paraId="203AED77" w14:textId="5F6A6D84" w:rsidR="00884EBB" w:rsidRDefault="00884EBB">
      <w:r>
        <w:rPr>
          <w:noProof/>
        </w:rPr>
        <w:drawing>
          <wp:inline distT="0" distB="0" distL="0" distR="0" wp14:anchorId="6EA408EB" wp14:editId="491287B7">
            <wp:extent cx="5731510" cy="3824605"/>
            <wp:effectExtent l="0" t="0" r="2540" b="4445"/>
            <wp:docPr id="1588313706" name="Picture 1" descr="Peak flow | Asthma + Lun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ak flow | Asthma + Lung U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4605"/>
                    </a:xfrm>
                    <a:prstGeom prst="rect">
                      <a:avLst/>
                    </a:prstGeom>
                    <a:noFill/>
                    <a:ln>
                      <a:noFill/>
                    </a:ln>
                  </pic:spPr>
                </pic:pic>
              </a:graphicData>
            </a:graphic>
          </wp:inline>
        </w:drawing>
      </w:r>
    </w:p>
    <w:tbl>
      <w:tblPr>
        <w:tblW w:w="0" w:type="auto"/>
        <w:jc w:val="center"/>
        <w:tblLayout w:type="fixed"/>
        <w:tblLook w:val="04A0" w:firstRow="1" w:lastRow="0" w:firstColumn="1" w:lastColumn="0" w:noHBand="0" w:noVBand="1"/>
      </w:tblPr>
      <w:tblGrid>
        <w:gridCol w:w="9288"/>
      </w:tblGrid>
      <w:tr w:rsidR="004D7552" w14:paraId="300CFE63" w14:textId="77777777">
        <w:trPr>
          <w:cantSplit/>
          <w:jc w:val="center"/>
        </w:trPr>
        <w:tc>
          <w:tcPr>
            <w:tcW w:w="9288" w:type="dxa"/>
            <w:shd w:val="clear" w:color="auto" w:fill="EAF4F5"/>
            <w:tcMar>
              <w:top w:w="150" w:type="dxa"/>
              <w:left w:w="180" w:type="dxa"/>
              <w:bottom w:w="150" w:type="dxa"/>
              <w:right w:w="180" w:type="dxa"/>
            </w:tcMar>
            <w:vAlign w:val="center"/>
          </w:tcPr>
          <w:p w14:paraId="0FB4A874" w14:textId="77777777" w:rsidR="004D7552" w:rsidRDefault="00060ECD" w:rsidP="00884EBB">
            <w:pPr>
              <w:jc w:val="center"/>
            </w:pPr>
            <w:r w:rsidRPr="00060ECD">
              <w:rPr>
                <w:b/>
                <w:bCs/>
              </w:rPr>
              <w:t>Figure 3:</w:t>
            </w:r>
            <w:r>
              <w:t xml:space="preserve"> Peak flow measurement as one possible monitoring tool</w:t>
            </w:r>
          </w:p>
          <w:p w14:paraId="20AF22CA" w14:textId="77777777" w:rsidR="00884EBB" w:rsidRDefault="00000000" w:rsidP="00884EBB">
            <w:pPr>
              <w:jc w:val="center"/>
            </w:pPr>
            <w:r>
              <w:t>Source:</w:t>
            </w:r>
            <w:r w:rsidR="00884EBB">
              <w:t xml:space="preserve"> </w:t>
            </w:r>
            <w:hyperlink r:id="rId14" w:history="1">
              <w:r w:rsidR="00884EBB" w:rsidRPr="00183206">
                <w:rPr>
                  <w:rStyle w:val="Hyperlink"/>
                </w:rPr>
                <w:t>https://www.asthmaandlung.org.uk/symptoms-tests-treatments/tests/peak-flow</w:t>
              </w:r>
            </w:hyperlink>
            <w:r w:rsidR="00884EBB">
              <w:t xml:space="preserve"> </w:t>
            </w:r>
          </w:p>
          <w:p w14:paraId="79D65F25" w14:textId="77777777" w:rsidR="004D7552" w:rsidRDefault="004D7552">
            <w:pPr>
              <w:jc w:val="center"/>
            </w:pPr>
          </w:p>
        </w:tc>
      </w:tr>
    </w:tbl>
    <w:p w14:paraId="7D87DDD3" w14:textId="77777777" w:rsidR="004D7552" w:rsidRPr="00F80808" w:rsidRDefault="00000000">
      <w:pPr>
        <w:pStyle w:val="Heading1"/>
      </w:pPr>
      <w:bookmarkStart w:id="13" w:name="_Toc243652167"/>
      <w:r w:rsidRPr="00F80808">
        <w:lastRenderedPageBreak/>
        <w:t>7. Theoretical Models and Frameworks for Improved Outcomes</w:t>
      </w:r>
      <w:bookmarkEnd w:id="13"/>
    </w:p>
    <w:p w14:paraId="6055DAE4" w14:textId="77777777" w:rsidR="00884EBB" w:rsidRPr="00F80808" w:rsidRDefault="00884EBB" w:rsidP="00884EBB">
      <w:pPr>
        <w:pStyle w:val="Heading2"/>
      </w:pPr>
      <w:bookmarkStart w:id="14" w:name="_Toc243652168"/>
      <w:r w:rsidRPr="00F80808">
        <w:t>7.1 UK model: House of Care framework</w:t>
      </w:r>
      <w:bookmarkEnd w:id="14"/>
    </w:p>
    <w:p w14:paraId="568E3995" w14:textId="50FACEA9" w:rsidR="00B14BCB" w:rsidRPr="00F80808" w:rsidRDefault="00B14BCB" w:rsidP="00B14BCB">
      <w:r w:rsidRPr="00F80808">
        <w:t>The House of Care model was developed in the United Kingdom as a framework for developing support plans in a collaborative, person-centered manner for people with long-term conditions. The model encompasses an informed and motivated individual, professionals who are dedicated to collaboration, organizational processes, and care planning. In terms of the adaptation of the model to asthma, it is important to discuss symptoms, medication burden, inhaler preference, triggers at work and home, and activities the patient wishes to accomplish (British Heart Foundation, n.d.; The Health Foundation, n.d.).</w:t>
      </w:r>
    </w:p>
    <w:p w14:paraId="2349777B" w14:textId="559F2D00" w:rsidR="00A6196A" w:rsidRDefault="00A6196A" w:rsidP="00A6196A">
      <w:pPr>
        <w:jc w:val="center"/>
      </w:pPr>
      <w:r>
        <w:rPr>
          <w:noProof/>
        </w:rPr>
        <w:drawing>
          <wp:inline distT="0" distB="0" distL="0" distR="0" wp14:anchorId="2B4CB50E" wp14:editId="40E6B083">
            <wp:extent cx="5731510" cy="3374390"/>
            <wp:effectExtent l="0" t="0" r="2540" b="0"/>
            <wp:docPr id="1989294754" name="Picture 6" descr="UK House of Care framework adapted for adult asthma care" title="UK House of Car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Patient Activation Measure presentation - Welcom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54797B94" w14:textId="77777777" w:rsidR="00A6196A" w:rsidRPr="00F80808" w:rsidRDefault="005A50F8" w:rsidP="00A6196A">
      <w:pPr>
        <w:jc w:val="center"/>
        <w:rPr>
          <w:color w:val="548DD4" w:themeColor="text2" w:themeTint="99"/>
          <w:lang w:val="en-IN"/>
        </w:rPr>
      </w:pPr>
      <w:r w:rsidRPr="00F80808">
        <w:rPr>
          <w:color w:val="548DD4" w:themeColor="text2" w:themeTint="99"/>
        </w:rPr>
        <w:t>Figure 4: UK House of Care framework adapted for adult asthma care</w:t>
      </w:r>
    </w:p>
    <w:p w14:paraId="5386CB0F" w14:textId="77777777" w:rsidR="00A6196A" w:rsidRPr="00F80808" w:rsidRDefault="00A6196A" w:rsidP="00A6196A">
      <w:pPr>
        <w:jc w:val="center"/>
        <w:rPr>
          <w:lang w:val="en-IN"/>
        </w:rPr>
      </w:pPr>
      <w:r w:rsidRPr="00F80808">
        <w:t>Source: Adapted from British Heart Foundation (n.d.), The House of Care framework. https://www.bhf.org.uk/for-professionals/healthcare-professionals/innovation-in-care/person-centred-care-and-the-house-of-care/the-bhf-house-of-care-programme/the-house-of-care-framework</w:t>
      </w:r>
    </w:p>
    <w:p w14:paraId="5EA5C861" w14:textId="77777777" w:rsidR="00B14BCB" w:rsidRPr="00F80808" w:rsidRDefault="00B14BCB" w:rsidP="00B14BCB">
      <w:r w:rsidRPr="00F80808">
        <w:t xml:space="preserve">In the case of asthma, the House of Care ensures the shared decision-making process, a joint action plan and integration of general practice, pharmacy, respiratory specialists and community services. The strength of the model lies in the fact that it puts emphasis on the person’s priorities and self-management as well as professional skills. But this model is not a guideline for treatment of asthma independently and it does not ensure the provision of staff, </w:t>
      </w:r>
      <w:r w:rsidRPr="00F80808">
        <w:lastRenderedPageBreak/>
        <w:t>time for appointment, translation and housing needs (British Heart Foundation, n.d.; BTS/NICE/SIGN, 2024).</w:t>
      </w:r>
    </w:p>
    <w:p w14:paraId="190507A2" w14:textId="77777777" w:rsidR="00B14BCB" w:rsidRPr="00F80808" w:rsidRDefault="00B14BCB" w:rsidP="00B14BCB">
      <w:pPr>
        <w:pStyle w:val="Heading2"/>
      </w:pPr>
      <w:bookmarkStart w:id="15" w:name="_Toc243652169"/>
      <w:r w:rsidRPr="00F80808">
        <w:t>7.2 US model: Chronic Care Model (CCM)</w:t>
      </w:r>
      <w:bookmarkEnd w:id="15"/>
    </w:p>
    <w:p w14:paraId="1AEDD273" w14:textId="710295E2" w:rsidR="00B14BCB" w:rsidRPr="00F80808" w:rsidRDefault="00B14BCB" w:rsidP="00B14BCB">
      <w:r w:rsidRPr="00F80808">
        <w:t>Chronic Care Model (CCM) in the USA, created by Wagner and his co-workers, is a systemic framework for improving long-term condition management but not a specific asthma medication protocol. The six components of this framework include healthcare delivery system, community resources and policies, self-management support, delivery-system design, decision support and clinical information systems. The combination of all these aspects aims at the creation of informed and activated patients and ready and proactive providers (Wagner et al., 2001; Centers for Disease Control and Prevention, 2013).</w:t>
      </w:r>
    </w:p>
    <w:p w14:paraId="3F332BB8" w14:textId="4FEEE5AC" w:rsidR="003271E5" w:rsidRPr="00F80808" w:rsidRDefault="003271E5" w:rsidP="003271E5">
      <w:pPr>
        <w:jc w:val="center"/>
      </w:pPr>
      <w:r w:rsidRPr="00F80808">
        <w:rPr>
          <w:noProof/>
        </w:rPr>
        <w:drawing>
          <wp:inline distT="0" distB="0" distL="0" distR="0" wp14:anchorId="0719BC41" wp14:editId="2C8619E4">
            <wp:extent cx="5715000" cy="3474720"/>
            <wp:effectExtent l="0" t="0" r="0" b="0"/>
            <wp:docPr id="73075353" name="Picture 7" descr="US Chronic Care Model adapted for adult asthma management" title="US Chronic Ca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se of The International Classification of Functioning, Disability and Health (ICF) as a conceptual framework and common language for disability statistics and health information systems - PMC"/>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3474720"/>
                    </a:xfrm>
                    <a:prstGeom prst="rect">
                      <a:avLst/>
                    </a:prstGeom>
                    <a:noFill/>
                    <a:ln>
                      <a:noFill/>
                    </a:ln>
                  </pic:spPr>
                </pic:pic>
              </a:graphicData>
            </a:graphic>
          </wp:inline>
        </w:drawing>
      </w:r>
    </w:p>
    <w:p w14:paraId="292103BE" w14:textId="77777777" w:rsidR="003271E5" w:rsidRPr="00F80808" w:rsidRDefault="003271E5" w:rsidP="003271E5">
      <w:pPr>
        <w:jc w:val="center"/>
        <w:rPr>
          <w:color w:val="548DD4" w:themeColor="text2" w:themeTint="99"/>
          <w:lang w:val="en-IN"/>
        </w:rPr>
      </w:pPr>
      <w:r w:rsidRPr="00F80808">
        <w:rPr>
          <w:color w:val="548DD4" w:themeColor="text2" w:themeTint="99"/>
        </w:rPr>
        <w:t>Figure 5: US Chronic Care Model adapted for adult asthma management</w:t>
      </w:r>
    </w:p>
    <w:p w14:paraId="7299636A" w14:textId="77777777" w:rsidR="00060ECD" w:rsidRPr="00F80808" w:rsidRDefault="00060ECD" w:rsidP="003271E5">
      <w:pPr>
        <w:jc w:val="center"/>
        <w:rPr>
          <w:lang w:val="en-IN"/>
        </w:rPr>
      </w:pPr>
      <w:r w:rsidRPr="00F80808">
        <w:t>Source: Adapted from Wagner et al. (2001), Improving chronic illness care: translating evidence into action. https://doi.org/10.1377/hlthaff.20.6.64</w:t>
      </w:r>
    </w:p>
    <w:p w14:paraId="78AFEC9F" w14:textId="75207F5A" w:rsidR="00B14BCB" w:rsidRPr="00F80808" w:rsidRDefault="00B14BCB" w:rsidP="00B14BCB">
      <w:r w:rsidRPr="00F80808">
        <w:t xml:space="preserve">The case of asthma may be assisted by CCM in annual review recalls, inhaler technique assessments, guideline-directed prescription, education, and connections to housing or community-based services. UK House of Care focuses on joint planning in relation to what the patient needs, whereas US CCM places more emphasis on organizational processes and information systems. However, neither approach ensures good results without people, useful data, patients' engagement, and access to medications (Wagner et al., 2001; CDC, </w:t>
      </w:r>
      <w:r w:rsidRPr="00F80808">
        <w:lastRenderedPageBreak/>
        <w:t>2013; BTS/NICE/SIGN, 2024). It is necessary for making shared, evidence-informed clinical decisions.</w:t>
      </w:r>
    </w:p>
    <w:p w14:paraId="101593A4" w14:textId="77777777" w:rsidR="00B14BCB" w:rsidRPr="00F80808" w:rsidRDefault="00B14BCB" w:rsidP="00B14BCB">
      <w:pPr>
        <w:pStyle w:val="Heading1"/>
      </w:pPr>
      <w:bookmarkStart w:id="16" w:name="_Toc243652170"/>
      <w:r w:rsidRPr="00F80808">
        <w:t>8. Health and Social Care Policies and Agendas</w:t>
      </w:r>
      <w:bookmarkEnd w:id="16"/>
    </w:p>
    <w:p w14:paraId="26CDA211" w14:textId="77777777" w:rsidR="00B14BCB" w:rsidRPr="00F80808" w:rsidRDefault="00B14BCB" w:rsidP="00B14BCB">
      <w:r w:rsidRPr="00F80808">
        <w:t>A key UK framework for the case in question is the joint guideline NG245 produced by BTS, NICE and SIGN in November 2024. It concerns diagnostics, monitoring, treatment based on ICS, and self-management. Implementation will depend on availability of testing facilities, qualified personnel, annual reviews, and follow-up visits after an attack (BTS/NICE/SIGN, 2024).</w:t>
      </w:r>
    </w:p>
    <w:p w14:paraId="39CF3573" w14:textId="77777777" w:rsidR="00B14BCB" w:rsidRPr="00F80808" w:rsidRDefault="00B14BCB" w:rsidP="00B14BCB">
      <w:r w:rsidRPr="00F80808">
        <w:t>The 2023 Major Conditions Strategy framework had included the respiratory disease into the list of six priority areas. Core20PLUS5 prioritizes the poorest fifth of the UK population and other populations identified locally. Asthma is not one of the five clinical priorities in adults. Local systems should consider respiratory data but not asthma as a priority area (DHSC, 2023; NHS England, 2023).</w:t>
      </w:r>
    </w:p>
    <w:p w14:paraId="2703F7AB" w14:textId="5D425D5C" w:rsidR="00B14BCB" w:rsidRPr="00F80808" w:rsidRDefault="00B14BCB" w:rsidP="00B14BCB">
      <w:r w:rsidRPr="00F80808">
        <w:t>Environmental policies are important because indoor dampness, mould, pollution and allergens may exacerbate the symptoms of asthma. They can be hardly manageable for patients. NICE provides guidelines concerning indoor air quality whereas WHO provides information about health impact of air pollution. Health and housing services, employers and local government have to collaborate in order to solve the problem as it cannot be managed only with clinical advice (NICE, 2020; WHO, 2021).</w:t>
      </w:r>
    </w:p>
    <w:p w14:paraId="2DC56A8F" w14:textId="68DDFB70" w:rsidR="00884EBB" w:rsidRPr="00F80808" w:rsidRDefault="00884EBB" w:rsidP="00884EBB">
      <w:r w:rsidRPr="00F80808">
        <w:t>There are also implementation challenges. Asthma + Lung UK system reports evidence deficits in the provision of basic care, capacity of the system, and geographic variation, but there are limitations of charity surveys and self-reported assessment of local systems. Commissioners need to cross-check those against NHS data, patient experience and outcomes, tracking basic care coverage, inequality gaps, and follow-up after attack (Asthma + Lung UK, 2022a; Asthma + Lung UK, 2024a; Asthma + Lung UK, 2025; ONS, 2023).</w:t>
      </w:r>
    </w:p>
    <w:p w14:paraId="0CC52FD8" w14:textId="5DB044FE" w:rsidR="00B14BCB" w:rsidRPr="00F80808" w:rsidRDefault="00B14BCB" w:rsidP="00B14BCB">
      <w:r w:rsidRPr="00F80808">
        <w:t>The policy is effective in practice through influence. The local commissioner can contrast recommendations of the guidelines with appointment availability, testing availability, follow-up after attendance in the emergency department, and the number of patients with a current asthma action plan. Patient experience data should be contrasted with admission rates because they reflect different sides of the problem. It is advisable to analyse the data by deprivation, ethnicity, gender and location if sample size allows. In this case, it will be possible to identify gaps and allocate the necessary resources, without assuming that the publication of the guidance means equal provision (DHSC, 2023; NHS England, 2023; Asthma + Lung UK, 2025).</w:t>
      </w:r>
    </w:p>
    <w:p w14:paraId="5031F5A9" w14:textId="539EC3AA" w:rsidR="004D7552" w:rsidRPr="00F80808" w:rsidRDefault="00000000">
      <w:pPr>
        <w:pStyle w:val="Heading1"/>
      </w:pPr>
      <w:bookmarkStart w:id="17" w:name="_Toc243652171"/>
      <w:r w:rsidRPr="00F80808">
        <w:lastRenderedPageBreak/>
        <w:t>9. Recommendations for Improvement</w:t>
      </w:r>
      <w:bookmarkEnd w:id="17"/>
    </w:p>
    <w:p w14:paraId="27AA3820" w14:textId="77777777" w:rsidR="00884EBB" w:rsidRPr="00F80808" w:rsidRDefault="00884EBB" w:rsidP="00884EBB">
      <w:r w:rsidRPr="00F80808">
        <w:t>First, carry out annual reviews and follow-ups following an attack. Examine control, adherence, technique, side-effects, smoking, triggers and well-being. Review existing action plans and organise reviews ahead of time when relief inhaler usage increases (BTS/NICE/SIGN, 2024; MHRA, 2025).</w:t>
      </w:r>
    </w:p>
    <w:p w14:paraId="4837F466" w14:textId="77777777" w:rsidR="00884EBB" w:rsidRDefault="00884EBB" w:rsidP="00884EBB">
      <w:r>
        <w:t>Second, offer education along with information. Show how to use inhalers and ask patients to demonstrate techniques. Develop a plan describing symptoms of deterioration and emergency response and give it to them in their language of choice and on paper or digital format. Repeat the education as the techniques and confidence evolve (WHO, 2024; NICE, 2021; Babineau-Therrien et al., 2020).</w:t>
      </w:r>
    </w:p>
    <w:p w14:paraId="25A7BF8D" w14:textId="77777777" w:rsidR="00884EBB" w:rsidRDefault="00884EBB" w:rsidP="00884EBB">
      <w:r>
        <w:t>Third, identify communities with less reviews and more visits to the emergency, including those experiencing deprivation, hazardous working conditions, substandard housing, language barriers or digital exclusion. Engage respiratory services with pharmacists, occupational health services, housing and community organizations. Measure the results of interventions stratified by deprivation, ethnicity, gender and geography while preserving confidentiality (NHS England, 2023; ONS, 2023; Asthma + Lung UK, 2023).</w:t>
      </w:r>
    </w:p>
    <w:p w14:paraId="2F6C5D8A" w14:textId="77777777" w:rsidR="00884EBB" w:rsidRDefault="00884EBB" w:rsidP="00884EBB">
      <w:r>
        <w:t>Fourth, increase availability of diagnostic tests and specialist review where there is a possibility of occupational asthma or symptoms have failed to respond to optimized management. Document barriers such as delays, travel time and work schedule. Evaluation of severe asthma should take into account phenotype, comorbidities and eligibility for add-on therapy (Barber et al., 2022; GINA, 2024; Asthma + Lung UK, 2025).</w:t>
      </w:r>
    </w:p>
    <w:p w14:paraId="6B4D3E63" w14:textId="77777777" w:rsidR="00884EBB" w:rsidRDefault="00884EBB" w:rsidP="00884EBB">
      <w:r>
        <w:t>Lastly, designate a champion of asthma quality, review quarterly dashboards and involve patients' experiences. Assess annual reviews, technique checks, action plans, SABA overuse, oral-steroids courses, emergency attendance and patient-reported control. Test innovations locally and evaluate them for unintended consequences (DHSC, 2023; NICE, 2021; Asthma + Lung UK, 2024b).</w:t>
      </w:r>
    </w:p>
    <w:p w14:paraId="0D5F5235" w14:textId="77777777" w:rsidR="00884EBB" w:rsidRPr="00F80808" w:rsidRDefault="00884EBB" w:rsidP="00884EBB">
      <w:r>
        <w:t xml:space="preserve">End-of-life care planning is not a necessity for most adults living with asthma. However, where there is coexistence of severe asthma with life-threatening illness or recurrent critical events, discussion of care must include the preferences of the person, participation of their families or carers </w:t>
      </w:r>
      <w:r w:rsidRPr="00F80808">
        <w:t>where desired and preparation for future emergencies. The care planning process should be personalised and clinically-driven as opposed to blanket application to all people living with asthma (NICE, 2021; GINA, 2025).</w:t>
      </w:r>
    </w:p>
    <w:p w14:paraId="1CE160A5" w14:textId="77777777" w:rsidR="004D7552" w:rsidRDefault="00000000">
      <w:pPr>
        <w:pStyle w:val="Heading1"/>
      </w:pPr>
      <w:bookmarkStart w:id="18" w:name="_Toc243652172"/>
      <w:r>
        <w:lastRenderedPageBreak/>
        <w:t>10. Conclusion</w:t>
      </w:r>
      <w:bookmarkEnd w:id="18"/>
    </w:p>
    <w:p w14:paraId="52A6A11F" w14:textId="77777777" w:rsidR="00B14BCB" w:rsidRPr="00F80808" w:rsidRDefault="00B14BCB" w:rsidP="00B14BCB">
      <w:pPr>
        <w:rPr>
          <w:b/>
          <w:bCs/>
        </w:rPr>
      </w:pPr>
      <w:r w:rsidRPr="00F80808">
        <w:t>Adult-onset asthma is usually manageable, although avoidable exacerbations and inequality in outcomes still persist. Successful management involves proper diagnosis, use of ICS, and self-management support. Other factors affecting outcome include work environment, housing conditions, mental health, poverty, and access. Person-centered approaches help address these problems when applied. Important considerations are proper basic management, educational access, referral routes for specialists, and monitoring of inequalities (WHO, 2024; BTS/NICE/SIGN, 2024; Asthma + Lung UK, 2025).</w:t>
      </w:r>
    </w:p>
    <w:p w14:paraId="12C07A11" w14:textId="77777777" w:rsidR="00B14BCB" w:rsidRPr="00F80808" w:rsidRDefault="00B14BCB">
      <w:pPr>
        <w:spacing w:before="0" w:after="200" w:line="276" w:lineRule="auto"/>
        <w:jc w:val="left"/>
      </w:pPr>
      <w:r w:rsidRPr="00F80808">
        <w:rPr>
          <w:b/>
          <w:bCs/>
        </w:rPr>
        <w:br w:type="page"/>
      </w:r>
    </w:p>
    <w:p w14:paraId="3A63C941" w14:textId="5D800158" w:rsidR="004D7552" w:rsidRDefault="00000000" w:rsidP="00B14BCB">
      <w:pPr>
        <w:pStyle w:val="Heading1"/>
        <w:jc w:val="left"/>
      </w:pPr>
      <w:bookmarkStart w:id="19" w:name="_Toc243652173"/>
      <w:r>
        <w:lastRenderedPageBreak/>
        <w:t>Reference List</w:t>
      </w:r>
      <w:bookmarkEnd w:id="19"/>
    </w:p>
    <w:p w14:paraId="212C9722" w14:textId="77777777" w:rsidR="003C4A0B" w:rsidRDefault="00000000" w:rsidP="00B14BCB">
      <w:r>
        <w:t>Asthma + Lung UK (2021) Asthma Care in a Crisis: the Annual Asthma Survey 2020. London: Asthma + Lung UK. Available at: https://www.asthmaandlung.org.uk/about-us/our-latest-work/our-asthma-reports (Accessed: 17 October 2026).</w:t>
      </w:r>
    </w:p>
    <w:p w14:paraId="46AEC8FF" w14:textId="77777777" w:rsidR="003C4A0B" w:rsidRDefault="00000000" w:rsidP="00B14BCB">
      <w:r>
        <w:t>Asthma + Lung UK (2022a) Fighting back: transforming asthma care in the UK. London: Asthma + Lung UK. Available at: https://www.asthmaandlung.org.uk/sites/default/files/Fighting%20back_V3.pdf (Accessed: 17 October 2026).</w:t>
      </w:r>
    </w:p>
    <w:p w14:paraId="3A61A9B7" w14:textId="77777777" w:rsidR="003C4A0B" w:rsidRDefault="00000000" w:rsidP="00B14BCB">
      <w:r>
        <w:t>Asthma + Lung UK (2022b) Transforming the lives of women with asthma. London: Asthma + Lung UK. Available at: https://www.asthmaandlung.org.uk/our-research-impact/pushing-better-research-lung-conditions/transforming-lives-women-asthma (Accessed: 17 October 2026).</w:t>
      </w:r>
    </w:p>
    <w:p w14:paraId="4FB8AB78" w14:textId="77777777" w:rsidR="003C4A0B" w:rsidRDefault="00000000" w:rsidP="00B14BCB">
      <w:r>
        <w:t>Asthma + Lung UK (2023) Breathing unequal: how people with lung conditions living in poverty are twice as likely to be admitted to hospital. London: Asthma + Lung UK. Available at: https://www.asthmaandlung.org.uk/breathing-unequal (Accessed: 17 October 2026).</w:t>
      </w:r>
    </w:p>
    <w:p w14:paraId="7A96FA33" w14:textId="77777777" w:rsidR="003C4A0B" w:rsidRDefault="00000000" w:rsidP="00B14BCB">
      <w:r>
        <w:t>Asthma + Lung UK (2024a) “Asthma care is in crisis”: charity sounds the siren as asthma death toll rises. 24 April. Available at: https://www.asthmaandlung.org.uk/media/press-releases/asthma-care-crisis-charity-sounds-siren-asthma-death-toll-rises (Accessed: 17 October 2026).</w:t>
      </w:r>
    </w:p>
    <w:p w14:paraId="0D096E0B" w14:textId="77777777" w:rsidR="003C4A0B" w:rsidRDefault="00000000" w:rsidP="00B14BCB">
      <w:r>
        <w:t>Asthma + Lung UK (2024b) Ten years gone: asthma care in the UK since the National Review of Asthma Deaths. London: Asthma + Lung UK. Available at: https://www.asthmaandlung.org.uk/ten-years-gone-asthma-care-uk-national-review-asthma-deaths-nrad-2024 (Accessed: 17 October 2026).</w:t>
      </w:r>
    </w:p>
    <w:p w14:paraId="3DCF44AF" w14:textId="77777777" w:rsidR="003C4A0B" w:rsidRDefault="00000000" w:rsidP="00B14BCB">
      <w:r>
        <w:t>Asthma + Lung UK (2025) ICS Respiratory Review 2024/25. London: Asthma + Lung UK. Available at: https://www.asthmaandlung.org.uk/healthcare-professionals/ics-respiratory-review (Accessed: 17 October 2026).</w:t>
      </w:r>
    </w:p>
    <w:p w14:paraId="538AB940" w14:textId="77777777" w:rsidR="003C4A0B" w:rsidRPr="00F80808" w:rsidRDefault="00000000" w:rsidP="00B14BCB">
      <w:r w:rsidRPr="00F80808">
        <w:t>Asthma + Lung UK (n.d.) What is asthma? Available at: https://www.asthmaandlung.org.uk/conditions/asthma/what-asthma (Accessed: 23 October 2026).</w:t>
      </w:r>
    </w:p>
    <w:p w14:paraId="0BF1B7A0" w14:textId="77777777" w:rsidR="003C4A0B" w:rsidRDefault="00000000" w:rsidP="00B14BCB">
      <w:r>
        <w:t>Babineau-Therrien, J., Boulet, L.-P. and Gagné, M. (2020) ‘Self-management support provided by trained asthma educators result in improved quality of life and asthma control compared to usual care: a systematic review and meta-analysis’, Patient Education and Counseling, 103(8), pp. 1498–1506. Available at: https://doi.org/10.1016/j.pec.2020.02.040</w:t>
      </w:r>
    </w:p>
    <w:p w14:paraId="531E33C4" w14:textId="77777777" w:rsidR="003C4A0B" w:rsidRDefault="00000000" w:rsidP="00B14BCB">
      <w:r>
        <w:lastRenderedPageBreak/>
        <w:t>Barber, C.M., Cullinan, P., Feary, J., Fishwick, D., Hoyle, J., Mainman, H. and Walters, G.I. (2022) ‘British Thoracic Society Clinical Statement on occupational asthma’, Thorax, 77(5), pp. 433–442. Available at: https://doi.org/10.1136/thoraxjnl-2021-218597</w:t>
      </w:r>
    </w:p>
    <w:p w14:paraId="48B4BA59" w14:textId="77777777" w:rsidR="003C4A0B" w:rsidRPr="00F80808" w:rsidRDefault="00000000" w:rsidP="00B14BCB">
      <w:r w:rsidRPr="00F80808">
        <w:t>British Heart Foundation (n.d.) The House of Care framework. Available at: https://www.bhf.org.uk/for-professionals/healthcare-professionals/innovation-in-care/person-centred-care-and-the-house-of-care/the-bhf-house-of-care-programme/the-house-of-care-framework (Accessed: 23 October 2026).</w:t>
      </w:r>
    </w:p>
    <w:p w14:paraId="585DC17F" w14:textId="77777777" w:rsidR="003C4A0B" w:rsidRDefault="00000000" w:rsidP="00B14BCB">
      <w:r>
        <w:t>Busby, J., Heaney, L.G., Brown, T., Chaudhuri, R., Dennison, P., Gore, R., Jackson, D.J., Mansur, A.H., Menzies-Gow, A., Message, S., Niven, R., Patel, M., Price, D., Siddiqui, S., Stone, R. and Pfeffer, P.E. (2022) ‘Ethnic differences in severe asthma clinical care and outcomes: an analysis of United Kingdom primary and specialist care’, Journal of Allergy and Clinical Immunology: In Practice, 10(2), pp. 495–505.e2. Available at: https://doi.org/10.1016/j.jaip.2021.09.034</w:t>
      </w:r>
    </w:p>
    <w:p w14:paraId="1FD504D3" w14:textId="77777777" w:rsidR="003C4A0B" w:rsidRPr="00F80808" w:rsidRDefault="00000000" w:rsidP="00B14BCB">
      <w:r w:rsidRPr="00F80808">
        <w:t>Centers for Disease Control and Prevention (2013) The Chronic Care Model and Diabetes Management in US Primary Care Settings: A Systematic Review. Preventing Chronic Disease, 10, 120180. Available at: https://www.cdc.gov/pcd/issues/2013/12_0180.htm (Accessed: 23 October 2026).</w:t>
      </w:r>
    </w:p>
    <w:p w14:paraId="4A26C468" w14:textId="77777777" w:rsidR="003C4A0B" w:rsidRDefault="00000000" w:rsidP="00B14BCB">
      <w:r>
        <w:t>Czira, A., Turner, M., Martin, A., Hinds, D., Birch, H., Gardiner, F. and Zhang, S. (2022) ‘A systematic literature review of burden of illness in adults with uncontrolled moderate/severe asthma’, Respiratory Medicine, 191, article 106670. Available at: https://doi.org/10.1016/j.rmed.2021.106670</w:t>
      </w:r>
    </w:p>
    <w:p w14:paraId="4C4994A2" w14:textId="77777777" w:rsidR="003C4A0B" w:rsidRDefault="00000000" w:rsidP="00B14BCB">
      <w:r>
        <w:t>Department of Health and Social Care (DHSC) (2023) Major conditions strategy: case for change and our strategic framework. London: DHSC. Available at: https://www.gov.uk/government/publications/major-conditions-strategy-case-for-change-and-our-strategic-framework/major-conditions-strategy-case-for-change-and-our-strategic-framework--2 (Accessed: 17 October 2026).</w:t>
      </w:r>
    </w:p>
    <w:p w14:paraId="3DD7F64D" w14:textId="77777777" w:rsidR="003C4A0B" w:rsidRDefault="00000000" w:rsidP="00B14BCB">
      <w:r>
        <w:t>Elander, A. and Gustafsson, M. (2020) ‘Inhaler technique and self-reported adherence to medications among hospitalised people with asthma and COPD’, Drugs - Real World Outcomes, 7, pp. 317–323. Available at: https://doi.org/10.1007/s40801-020-00210-x</w:t>
      </w:r>
    </w:p>
    <w:p w14:paraId="2110AD95" w14:textId="77777777" w:rsidR="003C4A0B" w:rsidRDefault="00000000" w:rsidP="00B14BCB">
      <w:r>
        <w:t>Global Initiative for Asthma (GINA) (2024) Difficult-to-treat and severe asthma in adolescent and adult patients: diagnosis and management. V5.0. Available at: https://ginasthma.org/wp-content/uploads/2024/11/GINA-Severe-Asthma-Guide-2024-WEB-WMS.pdf (Accessed: 17 October 2026).</w:t>
      </w:r>
    </w:p>
    <w:p w14:paraId="17DFFD28" w14:textId="77777777" w:rsidR="003C4A0B" w:rsidRDefault="00000000" w:rsidP="00B14BCB">
      <w:r>
        <w:lastRenderedPageBreak/>
        <w:t>Global Initiative for Asthma (GINA) (2025) Global strategy for asthma management and prevention. Updated May 2025. Available at: https://ginasthma.org/wp-content/uploads/2025/07/GINA-2025-Strategy-Report_25_05_25-WMS-2.pdf (Accessed: 17 October 2026).</w:t>
      </w:r>
    </w:p>
    <w:p w14:paraId="06FF9AB6" w14:textId="77777777" w:rsidR="003C4A0B" w:rsidRDefault="00000000" w:rsidP="00B14BCB">
      <w:r>
        <w:t>Hesso, I., Nabhani-Gebara, S. and Kayyali, R. (2023) ‘Objective assessment of adherence and inhaler technique among asthma and COPD patients in London: a study in community pharmacies using an electronic monitoring device’, Pharmacy, 11(3), article 94. Available at: https://doi.org/10.3390/pharmacy11030094</w:t>
      </w:r>
    </w:p>
    <w:p w14:paraId="16DEEDEB" w14:textId="77777777" w:rsidR="003C4A0B" w:rsidRDefault="00000000" w:rsidP="00B14BCB">
      <w:r>
        <w:t>Lee, S. et al. (2024) ‘Ambient air pollution exposure and adult asthma incidence: a systematic review and meta-analysis’, The Lancet Planetary Health, 8(12), pp. e1065–e1078. Available at: https://doi.org/10.1016/S2542-5196(24)00279-1</w:t>
      </w:r>
    </w:p>
    <w:p w14:paraId="015A13E3" w14:textId="77777777" w:rsidR="003C4A0B" w:rsidRDefault="00000000" w:rsidP="00B14BCB">
      <w:r>
        <w:t>Medicines and Healthcare products Regulatory Agency (MHRA) (2025) Short-acting beta 2 agonists (SABA): reminder of the risks from overuse in asthma and to be aware of changes in the SABA prescribing guidelines. 24 April. Available at: https://www.gov.uk/drug-safety-update/short-acting-beta-2-agonists-saba-salbutamol-and-terbutaline-reminder-of-the-risks-from-overuse-in-asthma-and-to-be-aware-of-changes-in-the-saba-prescribing-guidelines (Accessed: 17 October 2026).</w:t>
      </w:r>
    </w:p>
    <w:p w14:paraId="77B991D3" w14:textId="77777777" w:rsidR="003C4A0B" w:rsidRDefault="00000000" w:rsidP="00B14BCB">
      <w:r>
        <w:t>National Institute for Health and Care Excellence (NICE) (2020) Indoor air quality at home. NICE guideline NG149. Published 8 January 2020. Available at: https://www.nice.org.uk/guidance/ng149 (Accessed: 17 October 2026).</w:t>
      </w:r>
    </w:p>
    <w:p w14:paraId="251C4BDC" w14:textId="77777777" w:rsidR="003C4A0B" w:rsidRDefault="00000000" w:rsidP="00B14BCB">
      <w:r>
        <w:t>National Institute for Health and Care Excellence (NICE) (2021) Shared decision making. NICE guideline NG197. Published 17 June 2021. Available at: https://www.nice.org.uk/guidance/ng197 (Accessed: 17 October 2026).</w:t>
      </w:r>
    </w:p>
    <w:p w14:paraId="4996EDD8" w14:textId="77777777" w:rsidR="003C4A0B" w:rsidRDefault="00000000" w:rsidP="00B14BCB">
      <w:r>
        <w:t>National Institute for Health and Care Excellence (NICE), British Thoracic Society (BTS) and Scottish Intercollegiate Guidelines Network (SIGN) (2024) Asthma: diagnosis, monitoring and chronic asthma management. NICE guideline NG245. Published 27 November 2024. Available at: https://www.nice.org.uk/guidance/ng245 (Accessed: 17 October 2026).</w:t>
      </w:r>
    </w:p>
    <w:p w14:paraId="3E2F56C7" w14:textId="77777777" w:rsidR="003C4A0B" w:rsidRDefault="00000000" w:rsidP="00B14BCB">
      <w:r>
        <w:t>NHS England (2023) Core20PLUS5 (adults): an approach to reducing healthcare inequalities. Available at: https://www.england.nhs.uk/about/equality/equality-hub/national-healthcare-inequalities-improvement-programme/core20plus5/ (Accessed: 17 October 2026).</w:t>
      </w:r>
    </w:p>
    <w:p w14:paraId="3920EBEE" w14:textId="77777777" w:rsidR="003C4A0B" w:rsidRDefault="00000000" w:rsidP="00B14BCB">
      <w:r>
        <w:t xml:space="preserve">Office for National Statistics (ONS) (2023) Inequalities in mortality involving common physical health conditions, England: 21 March 2021 to 31 January 2023. Published 31 August 2023. Available at: </w:t>
      </w:r>
      <w:r>
        <w:lastRenderedPageBreak/>
        <w:t>https://www.ons.gov.uk/peoplepopulationandcommunity/healthandsocialcare/healthinequalities/bulletins/inequalitiesinmortalityinvolvingcommonphysicalhealthconditionsengland/21march2021to31january2023 (Accessed: 17 October 2026).</w:t>
      </w:r>
    </w:p>
    <w:p w14:paraId="3F07E8EC" w14:textId="77777777" w:rsidR="003C4A0B" w:rsidRPr="00F80808" w:rsidRDefault="00000000" w:rsidP="00B14BCB">
      <w:r w:rsidRPr="00F80808">
        <w:t>The Health Foundation (n.d.) A practical guide to self-management support: putting it into practice. Available at: https://reader.health.org.uk/practical-guide-to-self-management-support/putting-it-into-practice-building-knowledge-skills-and-confidence (Accessed: 23 October 2026).</w:t>
      </w:r>
    </w:p>
    <w:p w14:paraId="2D7F68F2" w14:textId="77777777" w:rsidR="003C4A0B" w:rsidRPr="00F80808" w:rsidRDefault="00000000" w:rsidP="00B14BCB">
      <w:r w:rsidRPr="00F80808">
        <w:t>Wagner, E.H., Austin, B.T., Davis, C., Hindmarsh, M., Schaefer, J. and Bonomi, A. (2001) “Improving chronic illness care: translating evidence into action”, Health Affairs, 20(6), pp. 64–78. Available at: https://doi.org/10.1377/hlthaff.20.6.64.</w:t>
      </w:r>
    </w:p>
    <w:p w14:paraId="0BE9E322" w14:textId="77777777" w:rsidR="003C4A0B" w:rsidRDefault="00000000" w:rsidP="00B14BCB">
      <w:r>
        <w:t>World Health Organization (WHO) (2021) WHO global air quality guidelines: particulate matter (PM2.5 and PM10), ozone, nitrogen dioxide, sulfur dioxide and carbon monoxide. Geneva: WHO. Available at: https://www.who.int/publications/i/item/9789240034228 (Accessed: 17 October 2026).</w:t>
      </w:r>
    </w:p>
    <w:p w14:paraId="26BB5350" w14:textId="77777777" w:rsidR="003C4A0B" w:rsidRDefault="00000000" w:rsidP="00B14BCB">
      <w:r>
        <w:t>World Health Organization (WHO) (2024) World Asthma Day: WHO calls for better education to empower people living with asthma. 7 May. Available at: https://www.who.int/news/item/07-05-2024-world-asthma-day--who-calls-for-better-education-to-empower-people-living-with-asthma (Accessed: 17 October 2026).</w:t>
      </w:r>
    </w:p>
    <w:sectPr w:rsidR="003C4A0B" w:rsidSect="008E4964">
      <w:headerReference w:type="default" r:id="rId17"/>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BB296" w14:textId="77777777" w:rsidR="00C619D7" w:rsidRDefault="00C619D7">
      <w:pPr>
        <w:spacing w:before="0" w:after="0" w:line="240" w:lineRule="auto"/>
      </w:pPr>
      <w:r>
        <w:separator/>
      </w:r>
    </w:p>
  </w:endnote>
  <w:endnote w:type="continuationSeparator" w:id="0">
    <w:p w14:paraId="05526FDC" w14:textId="77777777" w:rsidR="00C619D7" w:rsidRDefault="00C619D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48D71" w14:textId="77777777" w:rsidR="004D7552" w:rsidRPr="008E4964" w:rsidRDefault="00000000">
    <w:pPr>
      <w:pStyle w:val="Footer"/>
      <w:jc w:val="center"/>
      <w:rPr>
        <w:rFonts w:cs="Times New Roman"/>
        <w:szCs w:val="24"/>
      </w:rPr>
    </w:pPr>
    <w:r w:rsidRPr="008E4964">
      <w:rPr>
        <w:rFonts w:cs="Times New Roman"/>
        <w:color w:val="5B6573"/>
        <w:szCs w:val="24"/>
      </w:rPr>
      <w:t xml:space="preserve">Asthma in Adults  •  LCHS7003  •  Page </w:t>
    </w:r>
    <w:r w:rsidRPr="008E4964">
      <w:rPr>
        <w:rFonts w:cs="Times New Roman"/>
        <w:szCs w:val="24"/>
      </w:rPr>
      <w:fldChar w:fldCharType="begin"/>
    </w:r>
    <w:r w:rsidRPr="008E4964">
      <w:rPr>
        <w:rFonts w:cs="Times New Roman"/>
        <w:szCs w:val="24"/>
      </w:rPr>
      <w:instrText xml:space="preserve"> PAGE </w:instrText>
    </w:r>
    <w:r w:rsidRPr="008E4964">
      <w:rPr>
        <w:rFonts w:cs="Times New Roman"/>
        <w:szCs w:val="24"/>
      </w:rPr>
      <w:fldChar w:fldCharType="separate"/>
    </w:r>
    <w:r w:rsidR="008E4964" w:rsidRPr="008E4964">
      <w:rPr>
        <w:rFonts w:cs="Times New Roman"/>
        <w:noProof/>
        <w:szCs w:val="24"/>
      </w:rPr>
      <w:t>1</w:t>
    </w:r>
    <w:r w:rsidRPr="008E4964">
      <w:rPr>
        <w:rFonts w:cs="Times New Roman"/>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1ADCD" w14:textId="77777777" w:rsidR="00C619D7" w:rsidRDefault="00C619D7">
      <w:pPr>
        <w:spacing w:before="0" w:after="0" w:line="240" w:lineRule="auto"/>
      </w:pPr>
      <w:r>
        <w:separator/>
      </w:r>
    </w:p>
  </w:footnote>
  <w:footnote w:type="continuationSeparator" w:id="0">
    <w:p w14:paraId="4CE79413" w14:textId="77777777" w:rsidR="00C619D7" w:rsidRDefault="00C619D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1F16F" w14:textId="77777777" w:rsidR="004D7552" w:rsidRPr="008E4964" w:rsidRDefault="00000000">
    <w:pPr>
      <w:pStyle w:val="Header"/>
      <w:jc w:val="right"/>
      <w:rPr>
        <w:rFonts w:cs="Times New Roman"/>
        <w:sz w:val="32"/>
        <w:szCs w:val="28"/>
      </w:rPr>
    </w:pPr>
    <w:r w:rsidRPr="008E4964">
      <w:rPr>
        <w:rFonts w:cs="Times New Roman"/>
        <w:b/>
        <w:color w:val="087E8B"/>
        <w:sz w:val="20"/>
        <w:szCs w:val="28"/>
      </w:rPr>
      <w:t>LCHS7003  |  ADULT ASTHMA INFORMATION BOOKLET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60585127">
    <w:abstractNumId w:val="8"/>
  </w:num>
  <w:num w:numId="2" w16cid:durableId="1396657939">
    <w:abstractNumId w:val="6"/>
  </w:num>
  <w:num w:numId="3" w16cid:durableId="1945963763">
    <w:abstractNumId w:val="5"/>
  </w:num>
  <w:num w:numId="4" w16cid:durableId="1378697414">
    <w:abstractNumId w:val="4"/>
  </w:num>
  <w:num w:numId="5" w16cid:durableId="892233264">
    <w:abstractNumId w:val="7"/>
  </w:num>
  <w:num w:numId="6" w16cid:durableId="31074739">
    <w:abstractNumId w:val="3"/>
  </w:num>
  <w:num w:numId="7" w16cid:durableId="1412846213">
    <w:abstractNumId w:val="2"/>
  </w:num>
  <w:num w:numId="8" w16cid:durableId="502823068">
    <w:abstractNumId w:val="1"/>
  </w:num>
  <w:num w:numId="9" w16cid:durableId="1202791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0ECD"/>
    <w:rsid w:val="0015074B"/>
    <w:rsid w:val="0029639D"/>
    <w:rsid w:val="002B14B1"/>
    <w:rsid w:val="002F2CB8"/>
    <w:rsid w:val="00305D91"/>
    <w:rsid w:val="00326F90"/>
    <w:rsid w:val="003271E5"/>
    <w:rsid w:val="003C4A0B"/>
    <w:rsid w:val="00437095"/>
    <w:rsid w:val="00453D00"/>
    <w:rsid w:val="004A625D"/>
    <w:rsid w:val="004A7CDF"/>
    <w:rsid w:val="004B548C"/>
    <w:rsid w:val="004D7552"/>
    <w:rsid w:val="00522C5A"/>
    <w:rsid w:val="00544BC2"/>
    <w:rsid w:val="005A50F8"/>
    <w:rsid w:val="00627E53"/>
    <w:rsid w:val="00884EBB"/>
    <w:rsid w:val="008C15E7"/>
    <w:rsid w:val="008E4964"/>
    <w:rsid w:val="009F6DD9"/>
    <w:rsid w:val="00A06936"/>
    <w:rsid w:val="00A6196A"/>
    <w:rsid w:val="00AA1D8D"/>
    <w:rsid w:val="00B14BCB"/>
    <w:rsid w:val="00B47730"/>
    <w:rsid w:val="00B52DBD"/>
    <w:rsid w:val="00C37011"/>
    <w:rsid w:val="00C619D7"/>
    <w:rsid w:val="00CB0664"/>
    <w:rsid w:val="00D821D2"/>
    <w:rsid w:val="00DE00B8"/>
    <w:rsid w:val="00E1179D"/>
    <w:rsid w:val="00EC349C"/>
    <w:rsid w:val="00F80808"/>
    <w:rsid w:val="00F85B7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5CA591"/>
  <w14:defaultImageDpi w14:val="300"/>
  <w15:docId w15:val="{3730BCB9-1C73-4703-AF43-34B5184F9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964"/>
    <w:pPr>
      <w:spacing w:before="120" w:after="120" w:line="360" w:lineRule="auto"/>
      <w:jc w:val="both"/>
    </w:pPr>
    <w:rPr>
      <w:rFonts w:ascii="Arial" w:eastAsia="Arial" w:hAnsi="Arial"/>
    </w:rPr>
  </w:style>
  <w:style w:type="paragraph" w:styleId="Heading1">
    <w:name w:val="heading 1"/>
    <w:basedOn w:val="Normal"/>
    <w:next w:val="Normal"/>
    <w:link w:val="Heading1Char"/>
    <w:uiPriority w:val="9"/>
    <w:qFormat/>
    <w:rsid w:val="008E4964"/>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E4964"/>
    <w:pPr>
      <w:keepNext/>
      <w:keepLines/>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80"/>
      <w:outlineLvl w:val="2"/>
    </w:pPr>
    <w:rPr>
      <w:rFonts w:asciiTheme="majorHAnsi" w:eastAsiaTheme="majorEastAsia" w:hAnsiTheme="majorHAnsi" w:cstheme="majorBidi"/>
      <w:b/>
      <w:bCs/>
      <w:color w:val="17365D"/>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8E4964"/>
    <w:pPr>
      <w:spacing w:before="120" w:after="12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8E496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E4964"/>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0" w:after="80" w:line="240" w:lineRule="auto"/>
      <w:contextualSpacing/>
    </w:pPr>
    <w:rPr>
      <w:rFonts w:asciiTheme="majorHAnsi" w:eastAsiaTheme="majorEastAsia" w:hAnsiTheme="majorHAnsi" w:cstheme="majorBidi"/>
      <w:b/>
      <w:color w:val="17365D"/>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84EBB"/>
    <w:rPr>
      <w:color w:val="0000FF" w:themeColor="hyperlink"/>
      <w:u w:val="single"/>
    </w:rPr>
  </w:style>
  <w:style w:type="character" w:styleId="UnresolvedMention">
    <w:name w:val="Unresolved Mention"/>
    <w:basedOn w:val="DefaultParagraphFont"/>
    <w:uiPriority w:val="99"/>
    <w:semiHidden/>
    <w:unhideWhenUsed/>
    <w:rsid w:val="00884EBB"/>
    <w:rPr>
      <w:color w:val="605E5C"/>
      <w:shd w:val="clear" w:color="auto" w:fill="E1DFDD"/>
    </w:rPr>
  </w:style>
  <w:style w:type="paragraph" w:styleId="TOC1">
    <w:name w:val="toc 1"/>
    <w:basedOn w:val="Normal"/>
    <w:next w:val="Normal"/>
    <w:autoRedefine/>
    <w:uiPriority w:val="39"/>
    <w:unhideWhenUsed/>
    <w:rsid w:val="00522C5A"/>
    <w:pPr>
      <w:spacing w:after="100"/>
    </w:pPr>
  </w:style>
  <w:style w:type="paragraph" w:styleId="TOC2">
    <w:name w:val="toc 2"/>
    <w:basedOn w:val="Normal"/>
    <w:next w:val="Normal"/>
    <w:autoRedefine/>
    <w:uiPriority w:val="39"/>
    <w:unhideWhenUsed/>
    <w:rsid w:val="00522C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dc.gov/phil///PHIL_Images/8951/8951_lores.jpg"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hyperlink" Target="https://www.nhlbi.nih.gov/sites/default/files/inline-images/NHLBI_Fig04_final02%20English.jp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sthmaandlung.org.uk/symptoms-tests-treatments/tests/peak-fl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20</Pages>
  <Words>5455</Words>
  <Characters>31100</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36483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 Saini</dc:creator>
  <cp:lastModifiedBy>User NA</cp:lastModifiedBy>
  <cp:revision>10</cp:revision>
  <dcterms:created xsi:type="dcterms:W3CDTF">2013-12-23T23:15:00Z</dcterms:created>
  <dcterms:modified xsi:type="dcterms:W3CDTF">2026-10-23T07:29:00Z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9bcbf714c5cb75d199afb65e98d9957acb71c93a93ebccfabb1ca901607bf4fe</vt:lpwstr>
  </property>
</Properties>
</file>