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C9794" w14:textId="77777777" w:rsidR="006F03FB" w:rsidRDefault="003B6B8A">
      <w:pPr>
        <w:ind w:left="-180" w:right="-334"/>
        <w:jc w:val="center"/>
        <w:rPr>
          <w:rFonts w:ascii="Arial" w:eastAsia="Arial" w:hAnsi="Arial" w:cs="Arial"/>
          <w:b/>
          <w:color w:val="000000"/>
          <w:sz w:val="28"/>
          <w:szCs w:val="28"/>
        </w:rPr>
      </w:pPr>
      <w:r>
        <w:rPr>
          <w:noProof/>
        </w:rPr>
        <w:drawing>
          <wp:anchor distT="0" distB="0" distL="114300" distR="114300" simplePos="0" relativeHeight="251658240" behindDoc="0" locked="0" layoutInCell="1" hidden="0" allowOverlap="1" wp14:anchorId="5F9C9850" wp14:editId="5F9C9851">
            <wp:simplePos x="0" y="0"/>
            <wp:positionH relativeFrom="column">
              <wp:posOffset>1</wp:posOffset>
            </wp:positionH>
            <wp:positionV relativeFrom="paragraph">
              <wp:posOffset>206375</wp:posOffset>
            </wp:positionV>
            <wp:extent cx="1699260" cy="708660"/>
            <wp:effectExtent l="0" t="0" r="0" b="0"/>
            <wp:wrapSquare wrapText="bothSides" distT="0" distB="0" distL="114300" distR="114300"/>
            <wp:docPr id="17"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7"/>
                    <a:srcRect/>
                    <a:stretch>
                      <a:fillRect/>
                    </a:stretch>
                  </pic:blipFill>
                  <pic:spPr>
                    <a:xfrm>
                      <a:off x="0" y="0"/>
                      <a:ext cx="1699260" cy="708660"/>
                    </a:xfrm>
                    <a:prstGeom prst="rect">
                      <a:avLst/>
                    </a:prstGeom>
                    <a:ln/>
                  </pic:spPr>
                </pic:pic>
              </a:graphicData>
            </a:graphic>
          </wp:anchor>
        </w:drawing>
      </w:r>
    </w:p>
    <w:p w14:paraId="5F9C9795" w14:textId="77777777" w:rsidR="006F03FB" w:rsidRDefault="006F03FB">
      <w:pPr>
        <w:ind w:left="-180" w:right="-334"/>
        <w:jc w:val="center"/>
        <w:rPr>
          <w:rFonts w:ascii="Arial" w:eastAsia="Arial" w:hAnsi="Arial" w:cs="Arial"/>
          <w:b/>
          <w:color w:val="000000"/>
          <w:sz w:val="28"/>
          <w:szCs w:val="28"/>
        </w:rPr>
      </w:pPr>
    </w:p>
    <w:p w14:paraId="5F9C9796" w14:textId="77777777" w:rsidR="006F03FB" w:rsidRDefault="006F03FB">
      <w:pPr>
        <w:ind w:left="-180" w:right="-334"/>
        <w:jc w:val="center"/>
        <w:rPr>
          <w:rFonts w:ascii="Arial" w:eastAsia="Arial" w:hAnsi="Arial" w:cs="Arial"/>
          <w:b/>
          <w:color w:val="000000"/>
          <w:sz w:val="28"/>
          <w:szCs w:val="28"/>
        </w:rPr>
      </w:pPr>
    </w:p>
    <w:p w14:paraId="5F9C9797" w14:textId="77777777" w:rsidR="006F03FB" w:rsidRDefault="006F03FB">
      <w:pPr>
        <w:ind w:left="-180" w:right="-334"/>
        <w:jc w:val="center"/>
        <w:rPr>
          <w:rFonts w:ascii="Arial" w:eastAsia="Arial" w:hAnsi="Arial" w:cs="Arial"/>
          <w:b/>
          <w:color w:val="000000"/>
          <w:sz w:val="28"/>
          <w:szCs w:val="28"/>
        </w:rPr>
      </w:pPr>
    </w:p>
    <w:p w14:paraId="5F9C9798" w14:textId="77777777" w:rsidR="006F03FB" w:rsidRDefault="006F03FB">
      <w:pPr>
        <w:ind w:left="-180" w:right="-334"/>
        <w:jc w:val="center"/>
        <w:rPr>
          <w:rFonts w:ascii="Arial" w:eastAsia="Arial" w:hAnsi="Arial" w:cs="Arial"/>
          <w:b/>
          <w:color w:val="000000"/>
          <w:sz w:val="28"/>
          <w:szCs w:val="28"/>
        </w:rPr>
      </w:pPr>
    </w:p>
    <w:p w14:paraId="5F9C9799" w14:textId="77777777" w:rsidR="006F03FB" w:rsidRDefault="003B6B8A">
      <w:pPr>
        <w:ind w:left="-180" w:right="-334"/>
        <w:jc w:val="center"/>
        <w:rPr>
          <w:rFonts w:ascii="Arial" w:eastAsia="Arial" w:hAnsi="Arial" w:cs="Arial"/>
          <w:b/>
          <w:color w:val="000000"/>
          <w:sz w:val="28"/>
          <w:szCs w:val="28"/>
        </w:rPr>
      </w:pPr>
      <w:r>
        <w:rPr>
          <w:rFonts w:ascii="Arial" w:eastAsia="Arial" w:hAnsi="Arial" w:cs="Arial"/>
          <w:b/>
          <w:color w:val="000000"/>
          <w:sz w:val="28"/>
          <w:szCs w:val="28"/>
        </w:rPr>
        <w:t xml:space="preserve">Postgraduate/Distance Learning </w:t>
      </w:r>
    </w:p>
    <w:p w14:paraId="5F9C979A" w14:textId="77777777" w:rsidR="006F03FB" w:rsidRDefault="003B6B8A">
      <w:pPr>
        <w:ind w:left="-180" w:right="-334"/>
        <w:jc w:val="center"/>
        <w:rPr>
          <w:rFonts w:ascii="Arial" w:eastAsia="Arial" w:hAnsi="Arial" w:cs="Arial"/>
          <w:b/>
          <w:color w:val="000000"/>
          <w:sz w:val="28"/>
          <w:szCs w:val="28"/>
        </w:rPr>
      </w:pPr>
      <w:r>
        <w:rPr>
          <w:rFonts w:ascii="Arial" w:eastAsia="Arial" w:hAnsi="Arial" w:cs="Arial"/>
          <w:b/>
          <w:color w:val="000000"/>
          <w:sz w:val="28"/>
          <w:szCs w:val="28"/>
        </w:rPr>
        <w:t>Assignment coversheet &amp; feedback form</w:t>
      </w:r>
    </w:p>
    <w:p w14:paraId="5F9C979B" w14:textId="77777777" w:rsidR="006F03FB" w:rsidRDefault="006F03FB">
      <w:pPr>
        <w:rPr>
          <w:rFonts w:ascii="Arial" w:eastAsia="Arial" w:hAnsi="Arial" w:cs="Arial"/>
          <w:sz w:val="28"/>
          <w:szCs w:val="28"/>
        </w:rPr>
      </w:pPr>
    </w:p>
    <w:p w14:paraId="5F9C979C" w14:textId="77777777" w:rsidR="006F03FB" w:rsidRDefault="003B6B8A">
      <w:pPr>
        <w:keepNext/>
        <w:ind w:left="720"/>
        <w:jc w:val="center"/>
        <w:rPr>
          <w:rFonts w:ascii="Tahoma" w:eastAsia="Tahoma" w:hAnsi="Tahoma" w:cs="Tahoma"/>
          <w:b/>
          <w:sz w:val="20"/>
          <w:szCs w:val="20"/>
        </w:rPr>
      </w:pPr>
      <w:r>
        <w:rPr>
          <w:rFonts w:ascii="Tahoma" w:eastAsia="Tahoma" w:hAnsi="Tahoma" w:cs="Tahoma"/>
          <w:b/>
          <w:sz w:val="20"/>
          <w:szCs w:val="20"/>
        </w:rPr>
        <w:t xml:space="preserve">THIS SHEET MUST BE THE FIRST PAGE OF THE ASSIGNMENT YOU ARE </w:t>
      </w:r>
      <w:proofErr w:type="gramStart"/>
      <w:r>
        <w:rPr>
          <w:rFonts w:ascii="Tahoma" w:eastAsia="Tahoma" w:hAnsi="Tahoma" w:cs="Tahoma"/>
          <w:b/>
          <w:sz w:val="20"/>
          <w:szCs w:val="20"/>
        </w:rPr>
        <w:t>SUBMITTING  (</w:t>
      </w:r>
      <w:proofErr w:type="gramEnd"/>
      <w:r>
        <w:rPr>
          <w:rFonts w:ascii="Tahoma" w:eastAsia="Tahoma" w:hAnsi="Tahoma" w:cs="Tahoma"/>
          <w:b/>
          <w:sz w:val="20"/>
          <w:szCs w:val="20"/>
        </w:rPr>
        <w:t>DO NOT SEND AS A SEPARATE FILE)</w:t>
      </w:r>
    </w:p>
    <w:p w14:paraId="5F9C979D" w14:textId="77777777" w:rsidR="006F03FB" w:rsidRDefault="006F03FB">
      <w:pPr>
        <w:keepNext/>
        <w:ind w:left="720"/>
        <w:jc w:val="center"/>
        <w:rPr>
          <w:rFonts w:ascii="Trebuchet MS" w:eastAsia="Trebuchet MS" w:hAnsi="Trebuchet MS" w:cs="Trebuchet MS"/>
          <w:b/>
          <w:sz w:val="20"/>
          <w:szCs w:val="20"/>
        </w:rPr>
      </w:pPr>
    </w:p>
    <w:tbl>
      <w:tblPr>
        <w:tblStyle w:val="a"/>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23"/>
        <w:gridCol w:w="1557"/>
        <w:gridCol w:w="286"/>
        <w:gridCol w:w="1802"/>
      </w:tblGrid>
      <w:tr w:rsidR="006F03FB" w14:paraId="5F9C979F" w14:textId="77777777">
        <w:trPr>
          <w:trHeight w:val="614"/>
        </w:trPr>
        <w:tc>
          <w:tcPr>
            <w:tcW w:w="8856" w:type="dxa"/>
            <w:gridSpan w:val="5"/>
          </w:tcPr>
          <w:p w14:paraId="5F9C979E" w14:textId="77777777" w:rsidR="006F03FB" w:rsidRDefault="003B6B8A">
            <w:pPr>
              <w:ind w:right="34"/>
              <w:rPr>
                <w:rFonts w:ascii="Arial" w:eastAsia="Arial" w:hAnsi="Arial" w:cs="Arial"/>
                <w:color w:val="000000"/>
              </w:rPr>
            </w:pPr>
            <w:r>
              <w:rPr>
                <w:rFonts w:ascii="Arial" w:eastAsia="Arial" w:hAnsi="Arial" w:cs="Arial"/>
                <w:b/>
                <w:color w:val="000000"/>
              </w:rPr>
              <w:t>For completion by the student</w:t>
            </w:r>
            <w:r>
              <w:rPr>
                <w:rFonts w:ascii="Arial" w:eastAsia="Arial" w:hAnsi="Arial" w:cs="Arial"/>
                <w:color w:val="000000"/>
              </w:rPr>
              <w:t>:</w:t>
            </w:r>
          </w:p>
        </w:tc>
      </w:tr>
      <w:tr w:rsidR="006F03FB" w14:paraId="5F9C97A3" w14:textId="77777777">
        <w:trPr>
          <w:trHeight w:val="718"/>
        </w:trPr>
        <w:tc>
          <w:tcPr>
            <w:tcW w:w="8856" w:type="dxa"/>
            <w:gridSpan w:val="5"/>
          </w:tcPr>
          <w:p w14:paraId="5F9C97A0" w14:textId="77777777" w:rsidR="006F03FB" w:rsidRDefault="003B6B8A">
            <w:pPr>
              <w:ind w:right="34"/>
              <w:rPr>
                <w:rFonts w:ascii="Arial" w:eastAsia="Arial" w:hAnsi="Arial" w:cs="Arial"/>
                <w:color w:val="000000"/>
              </w:rPr>
            </w:pPr>
            <w:r>
              <w:rPr>
                <w:rFonts w:ascii="Arial" w:eastAsia="Arial" w:hAnsi="Arial" w:cs="Arial"/>
                <w:color w:val="000000"/>
              </w:rPr>
              <w:t>Student Name: Lee Ying Ching (Berna)</w:t>
            </w:r>
          </w:p>
          <w:p w14:paraId="5F9C97A1" w14:textId="77777777" w:rsidR="006F03FB" w:rsidRDefault="006F03FB">
            <w:pPr>
              <w:ind w:right="34"/>
              <w:rPr>
                <w:rFonts w:ascii="Arial" w:eastAsia="Arial" w:hAnsi="Arial" w:cs="Arial"/>
                <w:color w:val="000000"/>
              </w:rPr>
            </w:pPr>
          </w:p>
          <w:p w14:paraId="5F9C97A2" w14:textId="77777777" w:rsidR="006F03FB" w:rsidRDefault="003B6B8A">
            <w:pPr>
              <w:ind w:right="34"/>
              <w:rPr>
                <w:rFonts w:ascii="Arial" w:eastAsia="Arial" w:hAnsi="Arial" w:cs="Arial"/>
                <w:color w:val="000000"/>
              </w:rPr>
            </w:pPr>
            <w:r>
              <w:rPr>
                <w:rFonts w:ascii="Arial" w:eastAsia="Arial" w:hAnsi="Arial" w:cs="Arial"/>
                <w:color w:val="000000"/>
              </w:rPr>
              <w:t xml:space="preserve">Student </w:t>
            </w:r>
            <w:r>
              <w:rPr>
                <w:rFonts w:ascii="Arial" w:eastAsia="Arial" w:hAnsi="Arial" w:cs="Arial"/>
                <w:b/>
                <w:color w:val="000000"/>
                <w:u w:val="single"/>
              </w:rPr>
              <w:t>University</w:t>
            </w:r>
            <w:r>
              <w:rPr>
                <w:rFonts w:ascii="Arial" w:eastAsia="Arial" w:hAnsi="Arial" w:cs="Arial"/>
                <w:color w:val="000000"/>
                <w:u w:val="single"/>
              </w:rPr>
              <w:t xml:space="preserve"> </w:t>
            </w:r>
            <w:r>
              <w:rPr>
                <w:rFonts w:ascii="Arial" w:eastAsia="Arial" w:hAnsi="Arial" w:cs="Arial"/>
                <w:color w:val="000000"/>
              </w:rPr>
              <w:t>Email: 2126627@student.uwtsd.ac.uk</w:t>
            </w:r>
          </w:p>
        </w:tc>
      </w:tr>
      <w:tr w:rsidR="006F03FB" w14:paraId="5F9C97AD" w14:textId="77777777">
        <w:trPr>
          <w:trHeight w:val="849"/>
        </w:trPr>
        <w:tc>
          <w:tcPr>
            <w:tcW w:w="4788" w:type="dxa"/>
          </w:tcPr>
          <w:p w14:paraId="5F9C97A4" w14:textId="77777777" w:rsidR="006F03FB" w:rsidRDefault="003B6B8A">
            <w:pPr>
              <w:ind w:right="34"/>
              <w:rPr>
                <w:rFonts w:ascii="Arial" w:eastAsia="Arial" w:hAnsi="Arial" w:cs="Arial"/>
                <w:color w:val="000000"/>
              </w:rPr>
            </w:pPr>
            <w:r>
              <w:rPr>
                <w:rFonts w:ascii="Arial" w:eastAsia="Arial" w:hAnsi="Arial" w:cs="Arial"/>
                <w:color w:val="000000"/>
              </w:rPr>
              <w:t>Module code: HPCA7014</w:t>
            </w:r>
          </w:p>
          <w:p w14:paraId="5F9C97A5" w14:textId="77777777" w:rsidR="006F03FB" w:rsidRDefault="006F03FB">
            <w:pPr>
              <w:ind w:right="34"/>
              <w:rPr>
                <w:rFonts w:ascii="Arial" w:eastAsia="Arial" w:hAnsi="Arial" w:cs="Arial"/>
                <w:color w:val="000000"/>
              </w:rPr>
            </w:pPr>
          </w:p>
          <w:p w14:paraId="5F9C97A6" w14:textId="77777777" w:rsidR="006F03FB" w:rsidRDefault="003B6B8A">
            <w:pPr>
              <w:ind w:right="34"/>
              <w:rPr>
                <w:rFonts w:ascii="Arial" w:eastAsia="Arial" w:hAnsi="Arial" w:cs="Arial"/>
                <w:color w:val="000000"/>
              </w:rPr>
            </w:pPr>
            <w:r>
              <w:rPr>
                <w:rFonts w:ascii="Arial" w:eastAsia="Arial" w:hAnsi="Arial" w:cs="Arial"/>
                <w:color w:val="000000"/>
              </w:rPr>
              <w:t>Module title: Sacred Geography</w:t>
            </w:r>
          </w:p>
          <w:p w14:paraId="5F9C97A7" w14:textId="77777777" w:rsidR="006F03FB" w:rsidRDefault="006F03FB">
            <w:pPr>
              <w:ind w:right="34"/>
              <w:rPr>
                <w:rFonts w:ascii="Arial" w:eastAsia="Arial" w:hAnsi="Arial" w:cs="Arial"/>
                <w:color w:val="000000"/>
              </w:rPr>
            </w:pPr>
          </w:p>
          <w:p w14:paraId="5F9C97A8" w14:textId="77777777" w:rsidR="006F03FB" w:rsidRDefault="006F03FB">
            <w:pPr>
              <w:ind w:right="34"/>
              <w:rPr>
                <w:rFonts w:ascii="Arial" w:eastAsia="Arial" w:hAnsi="Arial" w:cs="Arial"/>
                <w:color w:val="000000"/>
              </w:rPr>
            </w:pPr>
          </w:p>
        </w:tc>
        <w:tc>
          <w:tcPr>
            <w:tcW w:w="2266" w:type="dxa"/>
            <w:gridSpan w:val="3"/>
          </w:tcPr>
          <w:p w14:paraId="5F9C97A9" w14:textId="77777777" w:rsidR="006F03FB" w:rsidRDefault="003B6B8A">
            <w:pPr>
              <w:ind w:right="34"/>
              <w:rPr>
                <w:rFonts w:ascii="Arial" w:eastAsia="Arial" w:hAnsi="Arial" w:cs="Arial"/>
                <w:color w:val="000000"/>
              </w:rPr>
            </w:pPr>
            <w:r>
              <w:rPr>
                <w:rFonts w:ascii="Arial" w:eastAsia="Arial" w:hAnsi="Arial" w:cs="Arial"/>
                <w:color w:val="000000"/>
              </w:rPr>
              <w:t>Student ID number:</w:t>
            </w:r>
          </w:p>
          <w:p w14:paraId="5F9C97AA" w14:textId="77777777" w:rsidR="006F03FB" w:rsidRDefault="003B6B8A">
            <w:pPr>
              <w:ind w:right="34"/>
              <w:rPr>
                <w:rFonts w:ascii="Arial" w:eastAsia="Arial" w:hAnsi="Arial" w:cs="Arial"/>
                <w:color w:val="000000"/>
              </w:rPr>
            </w:pPr>
            <w:r>
              <w:rPr>
                <w:rFonts w:ascii="Arial" w:eastAsia="Arial" w:hAnsi="Arial" w:cs="Arial"/>
                <w:color w:val="000000"/>
              </w:rPr>
              <w:t>2126627</w:t>
            </w:r>
          </w:p>
        </w:tc>
        <w:tc>
          <w:tcPr>
            <w:tcW w:w="1802" w:type="dxa"/>
          </w:tcPr>
          <w:p w14:paraId="5F9C97AB" w14:textId="77777777" w:rsidR="006F03FB" w:rsidRDefault="003B6B8A">
            <w:pPr>
              <w:ind w:right="34"/>
              <w:rPr>
                <w:rFonts w:ascii="Arial" w:eastAsia="Arial" w:hAnsi="Arial" w:cs="Arial"/>
                <w:color w:val="000000"/>
              </w:rPr>
            </w:pPr>
            <w:r>
              <w:rPr>
                <w:rFonts w:ascii="Arial" w:eastAsia="Arial" w:hAnsi="Arial" w:cs="Arial"/>
                <w:color w:val="000000"/>
              </w:rPr>
              <w:t>Educational support needs:</w:t>
            </w:r>
          </w:p>
          <w:p w14:paraId="5F9C97AC" w14:textId="77777777" w:rsidR="006F03FB" w:rsidRDefault="003B6B8A">
            <w:pPr>
              <w:ind w:right="34"/>
              <w:rPr>
                <w:rFonts w:ascii="Arial" w:eastAsia="Arial" w:hAnsi="Arial" w:cs="Arial"/>
                <w:color w:val="000000"/>
              </w:rPr>
            </w:pPr>
            <w:r>
              <w:rPr>
                <w:rFonts w:ascii="Arial" w:eastAsia="Arial" w:hAnsi="Arial" w:cs="Arial"/>
                <w:color w:val="000000"/>
              </w:rPr>
              <w:t>No</w:t>
            </w:r>
          </w:p>
        </w:tc>
      </w:tr>
      <w:tr w:rsidR="006F03FB" w14:paraId="5F9C97B2" w14:textId="77777777">
        <w:trPr>
          <w:trHeight w:val="1139"/>
        </w:trPr>
        <w:tc>
          <w:tcPr>
            <w:tcW w:w="8856" w:type="dxa"/>
            <w:gridSpan w:val="5"/>
          </w:tcPr>
          <w:p w14:paraId="28663C01" w14:textId="77777777" w:rsidR="00B321AC" w:rsidRDefault="003B6B8A" w:rsidP="00B321AC">
            <w:pPr>
              <w:ind w:right="34"/>
              <w:rPr>
                <w:rFonts w:ascii="Arial" w:eastAsia="Arial" w:hAnsi="Arial" w:cs="Arial"/>
                <w:color w:val="000000"/>
              </w:rPr>
            </w:pPr>
            <w:r>
              <w:rPr>
                <w:rFonts w:ascii="Arial" w:eastAsia="Arial" w:hAnsi="Arial" w:cs="Arial"/>
                <w:color w:val="000000"/>
              </w:rPr>
              <w:t xml:space="preserve">Assignment title: </w:t>
            </w:r>
          </w:p>
          <w:p w14:paraId="65277864" w14:textId="64A85232" w:rsidR="00B321AC" w:rsidRPr="00B321AC" w:rsidRDefault="00B321AC" w:rsidP="00B321AC">
            <w:pPr>
              <w:ind w:right="34"/>
              <w:rPr>
                <w:rFonts w:ascii="Arial" w:hAnsi="Arial" w:cs="Arial"/>
                <w:bCs/>
              </w:rPr>
            </w:pPr>
            <w:r w:rsidRPr="00B321AC">
              <w:rPr>
                <w:rFonts w:ascii="Arial" w:hAnsi="Arial" w:cs="Arial"/>
                <w:bCs/>
              </w:rPr>
              <w:t>Is Sacred Space a Human Construct or a Natural Phenomenon?</w:t>
            </w:r>
          </w:p>
          <w:p w14:paraId="5F9C97AE" w14:textId="36427702" w:rsidR="006F03FB" w:rsidRPr="00B321AC" w:rsidRDefault="003B6B8A">
            <w:pPr>
              <w:ind w:right="34"/>
              <w:rPr>
                <w:rFonts w:ascii="Arial" w:eastAsia="Arial" w:hAnsi="Arial" w:cs="Arial"/>
                <w:bCs/>
                <w:color w:val="000000"/>
              </w:rPr>
            </w:pPr>
            <w:r w:rsidRPr="00B321AC">
              <w:rPr>
                <w:rFonts w:ascii="Arial" w:eastAsia="Arial" w:hAnsi="Arial" w:cs="Arial"/>
                <w:bCs/>
                <w:color w:val="000000"/>
              </w:rPr>
              <w:t>How to tune in into the voice of a sacred space through a personal experience of a foreign landscape?</w:t>
            </w:r>
          </w:p>
          <w:p w14:paraId="5F9C97AF" w14:textId="77777777" w:rsidR="006F03FB" w:rsidRDefault="006F03FB">
            <w:pPr>
              <w:ind w:right="34"/>
              <w:rPr>
                <w:rFonts w:ascii="Arial" w:eastAsia="Arial" w:hAnsi="Arial" w:cs="Arial"/>
                <w:color w:val="000000"/>
              </w:rPr>
            </w:pPr>
          </w:p>
          <w:p w14:paraId="5F9C97B0" w14:textId="77777777" w:rsidR="006F03FB" w:rsidRDefault="006F03FB">
            <w:pPr>
              <w:ind w:right="34"/>
              <w:rPr>
                <w:rFonts w:ascii="Arial" w:eastAsia="Arial" w:hAnsi="Arial" w:cs="Arial"/>
                <w:color w:val="000000"/>
              </w:rPr>
            </w:pPr>
          </w:p>
          <w:p w14:paraId="5F9C97B1" w14:textId="3A44FA63" w:rsidR="006F03FB" w:rsidRDefault="003B6B8A">
            <w:pPr>
              <w:ind w:right="34"/>
              <w:rPr>
                <w:rFonts w:ascii="Arial" w:eastAsia="Arial" w:hAnsi="Arial" w:cs="Arial"/>
                <w:color w:val="000000"/>
              </w:rPr>
            </w:pPr>
            <w:r>
              <w:rPr>
                <w:rFonts w:ascii="Arial" w:eastAsia="Arial" w:hAnsi="Arial" w:cs="Arial"/>
                <w:color w:val="000000"/>
              </w:rPr>
              <w:t xml:space="preserve">Assignment due date: </w:t>
            </w:r>
            <w:r w:rsidR="005B037C">
              <w:rPr>
                <w:rFonts w:ascii="Arial" w:eastAsia="Arial" w:hAnsi="Arial" w:cs="Arial"/>
                <w:color w:val="000000"/>
              </w:rPr>
              <w:t>12th</w:t>
            </w:r>
            <w:r>
              <w:rPr>
                <w:rFonts w:ascii="Arial" w:eastAsia="Arial" w:hAnsi="Arial" w:cs="Arial"/>
                <w:color w:val="000000"/>
              </w:rPr>
              <w:t xml:space="preserve"> January 2022</w:t>
            </w:r>
          </w:p>
        </w:tc>
      </w:tr>
      <w:tr w:rsidR="006F03FB" w14:paraId="5F9C97B4" w14:textId="77777777">
        <w:trPr>
          <w:trHeight w:val="978"/>
        </w:trPr>
        <w:tc>
          <w:tcPr>
            <w:tcW w:w="8856" w:type="dxa"/>
            <w:gridSpan w:val="5"/>
            <w:tcBorders>
              <w:bottom w:val="single" w:sz="4" w:space="0" w:color="000000"/>
            </w:tcBorders>
          </w:tcPr>
          <w:p w14:paraId="5F9C97B3" w14:textId="77777777" w:rsidR="006F03FB" w:rsidRDefault="003B6B8A">
            <w:pPr>
              <w:rPr>
                <w:rFonts w:ascii="Arial" w:eastAsia="Arial" w:hAnsi="Arial" w:cs="Arial"/>
              </w:rPr>
            </w:pPr>
            <w:r>
              <w:rPr>
                <w:rFonts w:ascii="Arial" w:eastAsia="Arial" w:hAnsi="Arial" w:cs="Arial"/>
              </w:rPr>
              <w:t>This assignment is for the       1</w:t>
            </w:r>
            <w:r>
              <w:rPr>
                <w:rFonts w:ascii="Arial" w:eastAsia="Arial" w:hAnsi="Arial" w:cs="Arial"/>
                <w:vertAlign w:val="superscript"/>
              </w:rPr>
              <w:t xml:space="preserve">st </w:t>
            </w:r>
            <w:bookmarkStart w:id="0" w:name="bookmark=id.gjdgxs" w:colFirst="0" w:colLast="0"/>
            <w:bookmarkEnd w:id="0"/>
            <w:r>
              <w:rPr>
                <w:rFonts w:ascii="Arial" w:eastAsia="Arial" w:hAnsi="Arial" w:cs="Arial"/>
              </w:rPr>
              <w:t>☐    2</w:t>
            </w:r>
            <w:proofErr w:type="gramStart"/>
            <w:r>
              <w:rPr>
                <w:rFonts w:ascii="Arial" w:eastAsia="Arial" w:hAnsi="Arial" w:cs="Arial"/>
                <w:vertAlign w:val="superscript"/>
              </w:rPr>
              <w:t>nd</w:t>
            </w:r>
            <w:r>
              <w:rPr>
                <w:rFonts w:ascii="Arial" w:eastAsia="Arial" w:hAnsi="Arial" w:cs="Arial"/>
              </w:rPr>
              <w:t xml:space="preserve">  </w:t>
            </w:r>
            <w:bookmarkStart w:id="1" w:name="bookmark=id.30j0zll" w:colFirst="0" w:colLast="0"/>
            <w:bookmarkEnd w:id="1"/>
            <w:r>
              <w:rPr>
                <w:rFonts w:ascii="Arial" w:eastAsia="Arial" w:hAnsi="Arial" w:cs="Arial"/>
              </w:rPr>
              <w:t>☐</w:t>
            </w:r>
            <w:proofErr w:type="gramEnd"/>
            <w:r>
              <w:rPr>
                <w:rFonts w:ascii="Arial" w:eastAsia="Arial" w:hAnsi="Arial" w:cs="Arial"/>
              </w:rPr>
              <w:t xml:space="preserve">     3</w:t>
            </w:r>
            <w:r>
              <w:rPr>
                <w:rFonts w:ascii="Arial" w:eastAsia="Arial" w:hAnsi="Arial" w:cs="Arial"/>
                <w:vertAlign w:val="superscript"/>
              </w:rPr>
              <w:t>rd</w:t>
            </w:r>
            <w:r>
              <w:rPr>
                <w:rFonts w:ascii="Arial" w:eastAsia="Arial" w:hAnsi="Arial" w:cs="Arial"/>
              </w:rPr>
              <w:t xml:space="preserve">  ☐     4</w:t>
            </w:r>
            <w:r>
              <w:rPr>
                <w:rFonts w:ascii="Arial" w:eastAsia="Arial" w:hAnsi="Arial" w:cs="Arial"/>
                <w:vertAlign w:val="superscript"/>
              </w:rPr>
              <w:t>th</w:t>
            </w:r>
            <w:r>
              <w:rPr>
                <w:rFonts w:ascii="Arial" w:eastAsia="Arial" w:hAnsi="Arial" w:cs="Arial"/>
              </w:rPr>
              <w:t xml:space="preserve"> X      5</w:t>
            </w:r>
            <w:r>
              <w:rPr>
                <w:rFonts w:ascii="Arial" w:eastAsia="Arial" w:hAnsi="Arial" w:cs="Arial"/>
                <w:vertAlign w:val="superscript"/>
              </w:rPr>
              <w:t>th</w:t>
            </w:r>
            <w:r>
              <w:rPr>
                <w:rFonts w:ascii="Arial" w:eastAsia="Arial" w:hAnsi="Arial" w:cs="Arial"/>
              </w:rPr>
              <w:t xml:space="preserve"> </w:t>
            </w:r>
            <w:bookmarkStart w:id="2" w:name="bookmark=id.1fob9te" w:colFirst="0" w:colLast="0"/>
            <w:bookmarkEnd w:id="2"/>
            <w:r>
              <w:rPr>
                <w:rFonts w:ascii="Arial" w:eastAsia="Arial" w:hAnsi="Arial" w:cs="Arial"/>
              </w:rPr>
              <w:t>☐      6</w:t>
            </w:r>
            <w:r>
              <w:rPr>
                <w:rFonts w:ascii="Arial" w:eastAsia="Arial" w:hAnsi="Arial" w:cs="Arial"/>
                <w:vertAlign w:val="superscript"/>
              </w:rPr>
              <w:t>th</w:t>
            </w:r>
            <w:r>
              <w:rPr>
                <w:rFonts w:ascii="Arial" w:eastAsia="Arial" w:hAnsi="Arial" w:cs="Arial"/>
              </w:rPr>
              <w:t xml:space="preserve"> </w:t>
            </w:r>
            <w:bookmarkStart w:id="3" w:name="bookmark=id.3znysh7" w:colFirst="0" w:colLast="0"/>
            <w:bookmarkEnd w:id="3"/>
            <w:r>
              <w:rPr>
                <w:rFonts w:ascii="Arial" w:eastAsia="Arial" w:hAnsi="Arial" w:cs="Arial"/>
              </w:rPr>
              <w:t>☐</w:t>
            </w:r>
            <w:r>
              <w:rPr>
                <w:rFonts w:ascii="Arial" w:eastAsia="Arial" w:hAnsi="Arial" w:cs="Arial"/>
                <w:b/>
              </w:rPr>
              <w:t xml:space="preserve">   </w:t>
            </w:r>
            <w:r>
              <w:rPr>
                <w:rFonts w:ascii="Arial" w:eastAsia="Arial" w:hAnsi="Arial" w:cs="Arial"/>
              </w:rPr>
              <w:t>module of the degree</w:t>
            </w:r>
          </w:p>
        </w:tc>
      </w:tr>
      <w:tr w:rsidR="006F03FB" w14:paraId="5F9C97B9" w14:textId="77777777">
        <w:trPr>
          <w:trHeight w:val="978"/>
        </w:trPr>
        <w:tc>
          <w:tcPr>
            <w:tcW w:w="8856" w:type="dxa"/>
            <w:gridSpan w:val="5"/>
            <w:shd w:val="clear" w:color="auto" w:fill="D9D9D9"/>
          </w:tcPr>
          <w:p w14:paraId="5F9C97B5" w14:textId="77777777" w:rsidR="006F03FB" w:rsidRDefault="003B6B8A">
            <w:pPr>
              <w:ind w:right="34"/>
              <w:rPr>
                <w:rFonts w:ascii="Arial" w:eastAsia="Arial" w:hAnsi="Arial" w:cs="Arial"/>
                <w:color w:val="000000"/>
              </w:rPr>
            </w:pPr>
            <w:r>
              <w:rPr>
                <w:rFonts w:ascii="Arial" w:eastAsia="Arial" w:hAnsi="Arial" w:cs="Arial"/>
                <w:color w:val="000000"/>
              </w:rPr>
              <w:t>I confirm that this is my original work and that I have adhered to the University policy on plagiarism.</w:t>
            </w:r>
          </w:p>
          <w:p w14:paraId="5F9C97B6" w14:textId="77777777" w:rsidR="006F03FB" w:rsidRDefault="003B6B8A">
            <w:pPr>
              <w:ind w:right="34"/>
              <w:rPr>
                <w:rFonts w:ascii="Arial" w:eastAsia="Arial" w:hAnsi="Arial" w:cs="Arial"/>
                <w:color w:val="000000"/>
              </w:rPr>
            </w:pPr>
            <w:r>
              <w:rPr>
                <w:rFonts w:ascii="Arial" w:eastAsia="Arial" w:hAnsi="Arial" w:cs="Arial"/>
                <w:color w:val="000000"/>
              </w:rPr>
              <w:t>Signed ……………Lee Ying Ching………………………………………………</w:t>
            </w:r>
          </w:p>
          <w:p w14:paraId="5F9C97B7" w14:textId="77777777" w:rsidR="006F03FB" w:rsidRDefault="003B6B8A">
            <w:pPr>
              <w:ind w:right="34"/>
              <w:rPr>
                <w:b/>
                <w:color w:val="000000"/>
                <w:sz w:val="44"/>
                <w:szCs w:val="44"/>
              </w:rPr>
            </w:pPr>
            <w:r>
              <w:rPr>
                <w:b/>
                <w:color w:val="000000"/>
                <w:sz w:val="24"/>
                <w:szCs w:val="24"/>
              </w:rPr>
              <w:t xml:space="preserve">Email </w:t>
            </w:r>
            <w:proofErr w:type="spellStart"/>
            <w:proofErr w:type="gramStart"/>
            <w:r>
              <w:rPr>
                <w:b/>
                <w:color w:val="000000"/>
                <w:sz w:val="24"/>
                <w:szCs w:val="24"/>
              </w:rPr>
              <w:t>submission:if</w:t>
            </w:r>
            <w:proofErr w:type="spellEnd"/>
            <w:proofErr w:type="gramEnd"/>
            <w:r>
              <w:rPr>
                <w:b/>
                <w:color w:val="000000"/>
                <w:sz w:val="24"/>
                <w:szCs w:val="24"/>
              </w:rPr>
              <w:t xml:space="preserve"> you are submitting this form via email, please tick this box </w:t>
            </w:r>
            <w:r>
              <w:rPr>
                <w:b/>
                <w:color w:val="000000"/>
                <w:sz w:val="44"/>
                <w:szCs w:val="44"/>
              </w:rPr>
              <w:t>□</w:t>
            </w:r>
          </w:p>
          <w:p w14:paraId="5F9C97B8" w14:textId="77777777" w:rsidR="006F03FB" w:rsidRDefault="003B6B8A">
            <w:pPr>
              <w:ind w:right="34"/>
              <w:rPr>
                <w:rFonts w:ascii="Arial" w:eastAsia="Arial" w:hAnsi="Arial" w:cs="Arial"/>
                <w:color w:val="000000"/>
              </w:rPr>
            </w:pPr>
            <w:r>
              <w:rPr>
                <w:b/>
                <w:color w:val="000000"/>
                <w:sz w:val="24"/>
                <w:szCs w:val="24"/>
              </w:rPr>
              <w:t>(</w:t>
            </w:r>
            <w:proofErr w:type="gramStart"/>
            <w:r>
              <w:rPr>
                <w:b/>
                <w:color w:val="000000"/>
                <w:sz w:val="24"/>
                <w:szCs w:val="24"/>
              </w:rPr>
              <w:t>as</w:t>
            </w:r>
            <w:proofErr w:type="gramEnd"/>
            <w:r>
              <w:rPr>
                <w:b/>
                <w:color w:val="000000"/>
                <w:sz w:val="24"/>
                <w:szCs w:val="24"/>
              </w:rPr>
              <w:t xml:space="preserve"> a substitute for your signature) to confirm that you agree to the above declaration.</w:t>
            </w:r>
          </w:p>
        </w:tc>
      </w:tr>
      <w:tr w:rsidR="006F03FB" w14:paraId="5F9C97D7" w14:textId="77777777">
        <w:trPr>
          <w:trHeight w:val="3972"/>
        </w:trPr>
        <w:tc>
          <w:tcPr>
            <w:tcW w:w="8856" w:type="dxa"/>
            <w:gridSpan w:val="5"/>
          </w:tcPr>
          <w:p w14:paraId="5F9C97BA" w14:textId="77777777" w:rsidR="006F03FB" w:rsidRDefault="006F03FB">
            <w:pPr>
              <w:rPr>
                <w:rFonts w:ascii="Arial" w:eastAsia="Arial" w:hAnsi="Arial" w:cs="Arial"/>
                <w:b/>
                <w:sz w:val="24"/>
                <w:szCs w:val="24"/>
              </w:rPr>
            </w:pPr>
          </w:p>
          <w:p w14:paraId="5F9C97BB" w14:textId="77777777" w:rsidR="006F03FB" w:rsidRDefault="003B6B8A">
            <w:pPr>
              <w:rPr>
                <w:rFonts w:ascii="Arial" w:eastAsia="Arial" w:hAnsi="Arial" w:cs="Arial"/>
                <w:sz w:val="24"/>
                <w:szCs w:val="24"/>
              </w:rPr>
            </w:pPr>
            <w:r>
              <w:rPr>
                <w:rFonts w:ascii="Arial" w:eastAsia="Arial" w:hAnsi="Arial" w:cs="Arial"/>
                <w:b/>
                <w:sz w:val="24"/>
                <w:szCs w:val="24"/>
              </w:rPr>
              <w:t>Assignment Mark</w:t>
            </w:r>
          </w:p>
          <w:tbl>
            <w:tblPr>
              <w:tblStyle w:val="a0"/>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6F03FB" w14:paraId="5F9C97BF" w14:textId="77777777">
              <w:tc>
                <w:tcPr>
                  <w:tcW w:w="6970" w:type="dxa"/>
                </w:tcPr>
                <w:p w14:paraId="5F9C97BC" w14:textId="77777777" w:rsidR="006F03FB" w:rsidRDefault="006F03FB">
                  <w:pPr>
                    <w:rPr>
                      <w:rFonts w:ascii="Arial" w:eastAsia="Arial" w:hAnsi="Arial" w:cs="Arial"/>
                      <w:sz w:val="20"/>
                      <w:szCs w:val="20"/>
                    </w:rPr>
                  </w:pPr>
                </w:p>
                <w:p w14:paraId="5F9C97BD" w14:textId="77777777" w:rsidR="006F03FB" w:rsidRDefault="003B6B8A">
                  <w:pPr>
                    <w:rPr>
                      <w:rFonts w:ascii="Arial" w:eastAsia="Arial" w:hAnsi="Arial" w:cs="Arial"/>
                      <w:sz w:val="20"/>
                      <w:szCs w:val="20"/>
                    </w:rPr>
                  </w:pPr>
                  <w:r>
                    <w:rPr>
                      <w:rFonts w:ascii="Arial" w:eastAsia="Arial" w:hAnsi="Arial" w:cs="Arial"/>
                      <w:sz w:val="20"/>
                      <w:szCs w:val="20"/>
                    </w:rPr>
                    <w:t>1</w:t>
                  </w:r>
                  <w:r>
                    <w:rPr>
                      <w:rFonts w:ascii="Arial" w:eastAsia="Arial" w:hAnsi="Arial" w:cs="Arial"/>
                      <w:sz w:val="20"/>
                      <w:szCs w:val="20"/>
                      <w:vertAlign w:val="superscript"/>
                    </w:rPr>
                    <w:t>st</w:t>
                  </w:r>
                  <w:r>
                    <w:rPr>
                      <w:rFonts w:ascii="Arial" w:eastAsia="Arial" w:hAnsi="Arial" w:cs="Arial"/>
                      <w:sz w:val="20"/>
                      <w:szCs w:val="20"/>
                    </w:rPr>
                    <w:t xml:space="preserve"> Marker’s Provisional mark</w:t>
                  </w:r>
                </w:p>
              </w:tc>
              <w:tc>
                <w:tcPr>
                  <w:tcW w:w="1660" w:type="dxa"/>
                </w:tcPr>
                <w:p w14:paraId="5F9C97BE" w14:textId="77777777" w:rsidR="006F03FB" w:rsidRDefault="006F03FB">
                  <w:pPr>
                    <w:rPr>
                      <w:rFonts w:ascii="Arial" w:eastAsia="Arial" w:hAnsi="Arial" w:cs="Arial"/>
                      <w:sz w:val="20"/>
                      <w:szCs w:val="20"/>
                    </w:rPr>
                  </w:pPr>
                </w:p>
              </w:tc>
            </w:tr>
            <w:tr w:rsidR="006F03FB" w14:paraId="5F9C97C3" w14:textId="77777777">
              <w:tc>
                <w:tcPr>
                  <w:tcW w:w="6970" w:type="dxa"/>
                </w:tcPr>
                <w:p w14:paraId="5F9C97C0" w14:textId="77777777" w:rsidR="006F03FB" w:rsidRDefault="006F03FB">
                  <w:pPr>
                    <w:rPr>
                      <w:rFonts w:ascii="Arial" w:eastAsia="Arial" w:hAnsi="Arial" w:cs="Arial"/>
                      <w:sz w:val="20"/>
                      <w:szCs w:val="20"/>
                    </w:rPr>
                  </w:pPr>
                </w:p>
                <w:p w14:paraId="5F9C97C1" w14:textId="77777777" w:rsidR="006F03FB" w:rsidRDefault="003B6B8A">
                  <w:pPr>
                    <w:rPr>
                      <w:rFonts w:ascii="Arial" w:eastAsia="Arial" w:hAnsi="Arial" w:cs="Arial"/>
                      <w:sz w:val="20"/>
                      <w:szCs w:val="20"/>
                    </w:rPr>
                  </w:pPr>
                  <w:r>
                    <w:rPr>
                      <w:rFonts w:ascii="Arial" w:eastAsia="Arial" w:hAnsi="Arial" w:cs="Arial"/>
                      <w:sz w:val="20"/>
                      <w:szCs w:val="20"/>
                    </w:rPr>
                    <w:t>2</w:t>
                  </w:r>
                  <w:r>
                    <w:rPr>
                      <w:rFonts w:ascii="Arial" w:eastAsia="Arial" w:hAnsi="Arial" w:cs="Arial"/>
                      <w:sz w:val="20"/>
                      <w:szCs w:val="20"/>
                      <w:vertAlign w:val="superscript"/>
                    </w:rPr>
                    <w:t>nd</w:t>
                  </w:r>
                  <w:r>
                    <w:rPr>
                      <w:rFonts w:ascii="Arial" w:eastAsia="Arial" w:hAnsi="Arial" w:cs="Arial"/>
                      <w:sz w:val="20"/>
                      <w:szCs w:val="20"/>
                    </w:rPr>
                    <w:t xml:space="preserve"> Marker’s/Moderator’s provisional mark</w:t>
                  </w:r>
                </w:p>
              </w:tc>
              <w:tc>
                <w:tcPr>
                  <w:tcW w:w="1660" w:type="dxa"/>
                </w:tcPr>
                <w:p w14:paraId="5F9C97C2" w14:textId="77777777" w:rsidR="006F03FB" w:rsidRDefault="006F03FB">
                  <w:pPr>
                    <w:rPr>
                      <w:rFonts w:ascii="Arial" w:eastAsia="Arial" w:hAnsi="Arial" w:cs="Arial"/>
                      <w:sz w:val="20"/>
                      <w:szCs w:val="20"/>
                    </w:rPr>
                  </w:pPr>
                </w:p>
              </w:tc>
            </w:tr>
            <w:tr w:rsidR="006F03FB" w14:paraId="5F9C97C7" w14:textId="77777777">
              <w:tc>
                <w:tcPr>
                  <w:tcW w:w="6970" w:type="dxa"/>
                </w:tcPr>
                <w:p w14:paraId="5F9C97C4" w14:textId="77777777" w:rsidR="006F03FB" w:rsidRDefault="006F03FB">
                  <w:pPr>
                    <w:rPr>
                      <w:rFonts w:ascii="Arial" w:eastAsia="Arial" w:hAnsi="Arial" w:cs="Arial"/>
                      <w:sz w:val="20"/>
                      <w:szCs w:val="20"/>
                    </w:rPr>
                  </w:pPr>
                </w:p>
                <w:p w14:paraId="5F9C97C5" w14:textId="77777777" w:rsidR="006F03FB" w:rsidRDefault="003B6B8A">
                  <w:pPr>
                    <w:rPr>
                      <w:rFonts w:ascii="Arial" w:eastAsia="Arial" w:hAnsi="Arial" w:cs="Arial"/>
                      <w:sz w:val="20"/>
                      <w:szCs w:val="20"/>
                    </w:rPr>
                  </w:pPr>
                  <w:r>
                    <w:rPr>
                      <w:rFonts w:ascii="Arial" w:eastAsia="Arial" w:hAnsi="Arial" w:cs="Arial"/>
                      <w:sz w:val="20"/>
                      <w:szCs w:val="20"/>
                    </w:rPr>
                    <w:t>External Examiner’s mark (if relevant)</w:t>
                  </w:r>
                </w:p>
              </w:tc>
              <w:tc>
                <w:tcPr>
                  <w:tcW w:w="1660" w:type="dxa"/>
                </w:tcPr>
                <w:p w14:paraId="5F9C97C6" w14:textId="77777777" w:rsidR="006F03FB" w:rsidRDefault="006F03FB">
                  <w:pPr>
                    <w:rPr>
                      <w:rFonts w:ascii="Arial" w:eastAsia="Arial" w:hAnsi="Arial" w:cs="Arial"/>
                      <w:sz w:val="20"/>
                      <w:szCs w:val="20"/>
                    </w:rPr>
                  </w:pPr>
                </w:p>
              </w:tc>
            </w:tr>
            <w:tr w:rsidR="006F03FB" w14:paraId="5F9C97CC" w14:textId="77777777">
              <w:tc>
                <w:tcPr>
                  <w:tcW w:w="6970" w:type="dxa"/>
                </w:tcPr>
                <w:p w14:paraId="5F9C97C8" w14:textId="77777777" w:rsidR="006F03FB" w:rsidRDefault="006F03FB">
                  <w:pPr>
                    <w:rPr>
                      <w:rFonts w:ascii="Arial" w:eastAsia="Arial" w:hAnsi="Arial" w:cs="Arial"/>
                      <w:sz w:val="20"/>
                      <w:szCs w:val="20"/>
                    </w:rPr>
                  </w:pPr>
                </w:p>
                <w:p w14:paraId="5F9C97C9" w14:textId="77777777" w:rsidR="006F03FB" w:rsidRDefault="003B6B8A">
                  <w:pPr>
                    <w:rPr>
                      <w:rFonts w:ascii="Arial" w:eastAsia="Arial" w:hAnsi="Arial" w:cs="Arial"/>
                      <w:b/>
                      <w:sz w:val="20"/>
                      <w:szCs w:val="20"/>
                    </w:rPr>
                  </w:pPr>
                  <w:r>
                    <w:rPr>
                      <w:rFonts w:ascii="Arial" w:eastAsia="Arial" w:hAnsi="Arial" w:cs="Arial"/>
                      <w:b/>
                      <w:sz w:val="20"/>
                      <w:szCs w:val="20"/>
                    </w:rPr>
                    <w:t>Final Mark</w:t>
                  </w:r>
                </w:p>
                <w:p w14:paraId="5F9C97CA" w14:textId="77777777" w:rsidR="006F03FB" w:rsidRDefault="006F03FB">
                  <w:pPr>
                    <w:rPr>
                      <w:rFonts w:ascii="Arial" w:eastAsia="Arial" w:hAnsi="Arial" w:cs="Arial"/>
                      <w:sz w:val="20"/>
                      <w:szCs w:val="20"/>
                    </w:rPr>
                  </w:pPr>
                </w:p>
              </w:tc>
              <w:tc>
                <w:tcPr>
                  <w:tcW w:w="1660" w:type="dxa"/>
                </w:tcPr>
                <w:p w14:paraId="5F9C97CB" w14:textId="77777777" w:rsidR="006F03FB" w:rsidRDefault="006F03FB">
                  <w:pPr>
                    <w:rPr>
                      <w:rFonts w:ascii="Arial" w:eastAsia="Arial" w:hAnsi="Arial" w:cs="Arial"/>
                      <w:sz w:val="20"/>
                      <w:szCs w:val="20"/>
                    </w:rPr>
                  </w:pPr>
                </w:p>
              </w:tc>
            </w:tr>
          </w:tbl>
          <w:p w14:paraId="5F9C97CD" w14:textId="77777777" w:rsidR="006F03FB" w:rsidRDefault="006F03FB">
            <w:pPr>
              <w:ind w:left="142" w:right="34"/>
              <w:rPr>
                <w:rFonts w:ascii="Arial" w:eastAsia="Arial" w:hAnsi="Arial" w:cs="Arial"/>
                <w:b/>
                <w:color w:val="000000"/>
              </w:rPr>
            </w:pPr>
          </w:p>
          <w:p w14:paraId="5F9C97CE" w14:textId="77777777" w:rsidR="006F03FB" w:rsidRDefault="003B6B8A">
            <w:pPr>
              <w:ind w:left="142" w:right="34"/>
              <w:rPr>
                <w:rFonts w:ascii="Arial" w:eastAsia="Arial" w:hAnsi="Arial" w:cs="Arial"/>
                <w:color w:val="000000"/>
              </w:rPr>
            </w:pPr>
            <w:r>
              <w:rPr>
                <w:rFonts w:ascii="Arial" w:eastAsia="Arial" w:hAnsi="Arial" w:cs="Arial"/>
                <w:b/>
                <w:color w:val="000000"/>
              </w:rPr>
              <w:t>NB.</w:t>
            </w:r>
            <w:r>
              <w:rPr>
                <w:rFonts w:ascii="Arial" w:eastAsia="Arial" w:hAnsi="Arial" w:cs="Arial"/>
                <w:color w:val="000000"/>
              </w:rPr>
              <w:t xml:space="preserve">  All marks are provisional until confirmed by the Final Examination Board.</w:t>
            </w:r>
          </w:p>
          <w:p w14:paraId="5F9C97CF" w14:textId="77777777" w:rsidR="006F03FB" w:rsidRDefault="006F03FB">
            <w:pPr>
              <w:rPr>
                <w:rFonts w:ascii="Arial" w:eastAsia="Arial" w:hAnsi="Arial" w:cs="Arial"/>
                <w:b/>
                <w:color w:val="000000"/>
              </w:rPr>
            </w:pPr>
          </w:p>
          <w:p w14:paraId="5F9C97D0" w14:textId="77777777" w:rsidR="006F03FB" w:rsidRDefault="006F03FB">
            <w:pPr>
              <w:rPr>
                <w:rFonts w:ascii="Arial" w:eastAsia="Arial" w:hAnsi="Arial" w:cs="Arial"/>
                <w:b/>
                <w:color w:val="000000"/>
              </w:rPr>
            </w:pPr>
          </w:p>
          <w:p w14:paraId="5F9C97D1" w14:textId="77777777" w:rsidR="006F03FB" w:rsidRDefault="006F03FB">
            <w:pPr>
              <w:rPr>
                <w:rFonts w:ascii="Arial" w:eastAsia="Arial" w:hAnsi="Arial" w:cs="Arial"/>
                <w:b/>
                <w:color w:val="000000"/>
              </w:rPr>
            </w:pPr>
          </w:p>
          <w:p w14:paraId="5F9C97D2" w14:textId="77777777" w:rsidR="006F03FB" w:rsidRDefault="006F03FB">
            <w:pPr>
              <w:rPr>
                <w:rFonts w:ascii="Arial" w:eastAsia="Arial" w:hAnsi="Arial" w:cs="Arial"/>
                <w:b/>
                <w:color w:val="000000"/>
              </w:rPr>
            </w:pPr>
          </w:p>
          <w:p w14:paraId="5F9C97D3" w14:textId="77777777" w:rsidR="006F03FB" w:rsidRDefault="006F03FB">
            <w:pPr>
              <w:rPr>
                <w:rFonts w:ascii="Arial" w:eastAsia="Arial" w:hAnsi="Arial" w:cs="Arial"/>
                <w:b/>
                <w:color w:val="000000"/>
              </w:rPr>
            </w:pPr>
          </w:p>
          <w:p w14:paraId="5F9C97D4" w14:textId="77777777" w:rsidR="006F03FB" w:rsidRDefault="003B6B8A">
            <w:pPr>
              <w:rPr>
                <w:rFonts w:ascii="Arial" w:eastAsia="Arial" w:hAnsi="Arial" w:cs="Arial"/>
                <w:b/>
                <w:color w:val="000000"/>
              </w:rPr>
            </w:pPr>
            <w:r>
              <w:rPr>
                <w:rFonts w:ascii="Arial" w:eastAsia="Arial" w:hAnsi="Arial" w:cs="Arial"/>
                <w:b/>
                <w:color w:val="000000"/>
              </w:rPr>
              <w:t xml:space="preserve">For completion by Marker </w:t>
            </w:r>
            <w:proofErr w:type="gramStart"/>
            <w:r>
              <w:rPr>
                <w:rFonts w:ascii="Arial" w:eastAsia="Arial" w:hAnsi="Arial" w:cs="Arial"/>
                <w:b/>
                <w:color w:val="000000"/>
              </w:rPr>
              <w:t>1 :</w:t>
            </w:r>
            <w:proofErr w:type="gramEnd"/>
          </w:p>
          <w:p w14:paraId="5F9C97D5" w14:textId="77777777" w:rsidR="006F03FB" w:rsidRDefault="003B6B8A">
            <w:pPr>
              <w:spacing w:before="280" w:after="280"/>
              <w:rPr>
                <w:rFonts w:ascii="Arial" w:eastAsia="Arial" w:hAnsi="Arial" w:cs="Arial"/>
                <w:color w:val="000000"/>
              </w:rPr>
            </w:pPr>
            <w:r>
              <w:rPr>
                <w:rFonts w:ascii="Arial" w:eastAsia="Arial" w:hAnsi="Arial" w:cs="Arial"/>
                <w:color w:val="000000"/>
              </w:rPr>
              <w:t>Comments:</w:t>
            </w:r>
          </w:p>
          <w:p w14:paraId="5F9C97D6" w14:textId="77777777" w:rsidR="006F03FB" w:rsidRDefault="006F03FB">
            <w:pPr>
              <w:spacing w:before="280"/>
              <w:rPr>
                <w:rFonts w:ascii="Arial" w:eastAsia="Arial" w:hAnsi="Arial" w:cs="Arial"/>
                <w:color w:val="000000"/>
              </w:rPr>
            </w:pPr>
          </w:p>
        </w:tc>
      </w:tr>
      <w:tr w:rsidR="006F03FB" w14:paraId="5F9C97DA" w14:textId="77777777">
        <w:trPr>
          <w:trHeight w:val="492"/>
        </w:trPr>
        <w:tc>
          <w:tcPr>
            <w:tcW w:w="6768" w:type="dxa"/>
            <w:gridSpan w:val="3"/>
          </w:tcPr>
          <w:p w14:paraId="5F9C97D8" w14:textId="77777777" w:rsidR="006F03FB" w:rsidRDefault="003B6B8A">
            <w:pPr>
              <w:ind w:left="142" w:right="34"/>
              <w:rPr>
                <w:rFonts w:ascii="Arial" w:eastAsia="Arial" w:hAnsi="Arial" w:cs="Arial"/>
                <w:color w:val="000000"/>
              </w:rPr>
            </w:pPr>
            <w:r>
              <w:rPr>
                <w:rFonts w:ascii="Arial" w:eastAsia="Arial" w:hAnsi="Arial" w:cs="Arial"/>
                <w:color w:val="000000"/>
              </w:rPr>
              <w:t>Marker’s signature:</w:t>
            </w:r>
          </w:p>
        </w:tc>
        <w:tc>
          <w:tcPr>
            <w:tcW w:w="2088" w:type="dxa"/>
            <w:gridSpan w:val="2"/>
          </w:tcPr>
          <w:p w14:paraId="5F9C97D9" w14:textId="77777777" w:rsidR="006F03FB" w:rsidRDefault="003B6B8A">
            <w:pPr>
              <w:ind w:left="142" w:right="34"/>
              <w:rPr>
                <w:rFonts w:ascii="Arial" w:eastAsia="Arial" w:hAnsi="Arial" w:cs="Arial"/>
                <w:color w:val="000000"/>
              </w:rPr>
            </w:pPr>
            <w:r>
              <w:rPr>
                <w:rFonts w:ascii="Arial" w:eastAsia="Arial" w:hAnsi="Arial" w:cs="Arial"/>
                <w:color w:val="000000"/>
              </w:rPr>
              <w:t>Date:</w:t>
            </w:r>
          </w:p>
        </w:tc>
      </w:tr>
      <w:tr w:rsidR="006F03FB" w14:paraId="5F9C97E6" w14:textId="77777777">
        <w:tc>
          <w:tcPr>
            <w:tcW w:w="8856" w:type="dxa"/>
            <w:gridSpan w:val="5"/>
          </w:tcPr>
          <w:p w14:paraId="5F9C97DB" w14:textId="77777777" w:rsidR="006F03FB" w:rsidRDefault="006F03FB">
            <w:pPr>
              <w:ind w:right="-334"/>
              <w:rPr>
                <w:rFonts w:ascii="Arial" w:eastAsia="Arial" w:hAnsi="Arial" w:cs="Arial"/>
                <w:i/>
                <w:color w:val="000000"/>
              </w:rPr>
            </w:pPr>
          </w:p>
          <w:p w14:paraId="5F9C97DC" w14:textId="77777777" w:rsidR="006F03FB" w:rsidRDefault="003B6B8A">
            <w:pPr>
              <w:ind w:right="-334"/>
              <w:rPr>
                <w:rFonts w:ascii="Arial" w:eastAsia="Arial" w:hAnsi="Arial" w:cs="Arial"/>
                <w:b/>
                <w:color w:val="000000"/>
              </w:rPr>
            </w:pPr>
            <w:r>
              <w:rPr>
                <w:rFonts w:ascii="Arial" w:eastAsia="Arial" w:hAnsi="Arial" w:cs="Arial"/>
                <w:b/>
                <w:color w:val="000000"/>
              </w:rPr>
              <w:t>For completion by Marker 2/Moderator:</w:t>
            </w:r>
          </w:p>
          <w:p w14:paraId="5F9C97DD" w14:textId="77777777" w:rsidR="006F03FB" w:rsidRDefault="006F03FB">
            <w:pPr>
              <w:ind w:right="-334"/>
              <w:rPr>
                <w:rFonts w:ascii="Arial" w:eastAsia="Arial" w:hAnsi="Arial" w:cs="Arial"/>
                <w:b/>
                <w:color w:val="000000"/>
              </w:rPr>
            </w:pPr>
          </w:p>
          <w:p w14:paraId="5F9C97DE" w14:textId="77777777" w:rsidR="006F03FB" w:rsidRDefault="003B6B8A">
            <w:pPr>
              <w:ind w:right="-334"/>
              <w:rPr>
                <w:rFonts w:ascii="Arial" w:eastAsia="Arial" w:hAnsi="Arial" w:cs="Arial"/>
                <w:color w:val="000000"/>
              </w:rPr>
            </w:pPr>
            <w:r>
              <w:rPr>
                <w:rFonts w:ascii="Arial" w:eastAsia="Arial" w:hAnsi="Arial" w:cs="Arial"/>
                <w:color w:val="000000"/>
              </w:rPr>
              <w:t>Comments:</w:t>
            </w:r>
          </w:p>
          <w:p w14:paraId="5F9C97DF" w14:textId="77777777" w:rsidR="006F03FB" w:rsidRDefault="006F03FB">
            <w:pPr>
              <w:ind w:right="-334"/>
              <w:rPr>
                <w:rFonts w:ascii="Arial" w:eastAsia="Arial" w:hAnsi="Arial" w:cs="Arial"/>
                <w:color w:val="000000"/>
              </w:rPr>
            </w:pPr>
          </w:p>
          <w:p w14:paraId="5F9C97E0" w14:textId="77777777" w:rsidR="006F03FB" w:rsidRDefault="006F03FB">
            <w:pPr>
              <w:ind w:right="-334"/>
              <w:rPr>
                <w:rFonts w:ascii="Arial" w:eastAsia="Arial" w:hAnsi="Arial" w:cs="Arial"/>
                <w:color w:val="000000"/>
              </w:rPr>
            </w:pPr>
          </w:p>
          <w:p w14:paraId="5F9C97E1" w14:textId="77777777" w:rsidR="006F03FB" w:rsidRDefault="006F03FB">
            <w:pPr>
              <w:ind w:right="-334"/>
              <w:rPr>
                <w:rFonts w:ascii="Arial" w:eastAsia="Arial" w:hAnsi="Arial" w:cs="Arial"/>
                <w:color w:val="000000"/>
              </w:rPr>
            </w:pPr>
          </w:p>
          <w:p w14:paraId="5F9C97E2" w14:textId="77777777" w:rsidR="006F03FB" w:rsidRDefault="006F03FB">
            <w:pPr>
              <w:ind w:right="-334"/>
              <w:rPr>
                <w:rFonts w:ascii="Arial" w:eastAsia="Arial" w:hAnsi="Arial" w:cs="Arial"/>
                <w:color w:val="000000"/>
              </w:rPr>
            </w:pPr>
          </w:p>
          <w:p w14:paraId="5F9C97E3" w14:textId="77777777" w:rsidR="006F03FB" w:rsidRDefault="006F03FB">
            <w:pPr>
              <w:ind w:right="-334"/>
              <w:rPr>
                <w:rFonts w:ascii="Arial" w:eastAsia="Arial" w:hAnsi="Arial" w:cs="Arial"/>
                <w:color w:val="000000"/>
              </w:rPr>
            </w:pPr>
          </w:p>
          <w:p w14:paraId="5F9C97E4" w14:textId="77777777" w:rsidR="006F03FB" w:rsidRDefault="006F03FB">
            <w:pPr>
              <w:ind w:right="-334"/>
              <w:rPr>
                <w:rFonts w:ascii="Arial" w:eastAsia="Arial" w:hAnsi="Arial" w:cs="Arial"/>
                <w:color w:val="000000"/>
              </w:rPr>
            </w:pPr>
          </w:p>
          <w:p w14:paraId="5F9C97E5" w14:textId="77777777" w:rsidR="006F03FB" w:rsidRDefault="006F03FB">
            <w:pPr>
              <w:ind w:right="-334"/>
              <w:rPr>
                <w:rFonts w:ascii="Arial" w:eastAsia="Arial" w:hAnsi="Arial" w:cs="Arial"/>
                <w:color w:val="000000"/>
              </w:rPr>
            </w:pPr>
          </w:p>
        </w:tc>
      </w:tr>
      <w:tr w:rsidR="006F03FB" w14:paraId="5F9C97E9" w14:textId="77777777">
        <w:trPr>
          <w:trHeight w:val="720"/>
        </w:trPr>
        <w:tc>
          <w:tcPr>
            <w:tcW w:w="5211" w:type="dxa"/>
            <w:gridSpan w:val="2"/>
          </w:tcPr>
          <w:p w14:paraId="5F9C97E7" w14:textId="77777777" w:rsidR="006F03FB" w:rsidRDefault="003B6B8A">
            <w:pPr>
              <w:ind w:right="-334"/>
              <w:rPr>
                <w:rFonts w:ascii="Arial" w:eastAsia="Arial" w:hAnsi="Arial" w:cs="Arial"/>
                <w:color w:val="000000"/>
              </w:rPr>
            </w:pPr>
            <w:r>
              <w:rPr>
                <w:rFonts w:ascii="Arial" w:eastAsia="Arial" w:hAnsi="Arial" w:cs="Arial"/>
                <w:color w:val="000000"/>
              </w:rPr>
              <w:t>Marker’s Signature:</w:t>
            </w:r>
          </w:p>
        </w:tc>
        <w:tc>
          <w:tcPr>
            <w:tcW w:w="3645" w:type="dxa"/>
            <w:gridSpan w:val="3"/>
          </w:tcPr>
          <w:p w14:paraId="5F9C97E8" w14:textId="77777777" w:rsidR="006F03FB" w:rsidRDefault="003B6B8A">
            <w:pPr>
              <w:ind w:right="-334"/>
              <w:rPr>
                <w:rFonts w:ascii="Arial" w:eastAsia="Arial" w:hAnsi="Arial" w:cs="Arial"/>
                <w:color w:val="000000"/>
              </w:rPr>
            </w:pPr>
            <w:r>
              <w:rPr>
                <w:rFonts w:ascii="Arial" w:eastAsia="Arial" w:hAnsi="Arial" w:cs="Arial"/>
                <w:color w:val="000000"/>
              </w:rPr>
              <w:t>Date:</w:t>
            </w:r>
          </w:p>
        </w:tc>
      </w:tr>
      <w:tr w:rsidR="006F03FB" w14:paraId="5F9C97F3" w14:textId="77777777">
        <w:trPr>
          <w:trHeight w:val="720"/>
        </w:trPr>
        <w:tc>
          <w:tcPr>
            <w:tcW w:w="8856" w:type="dxa"/>
            <w:gridSpan w:val="5"/>
          </w:tcPr>
          <w:p w14:paraId="5F9C97EA" w14:textId="77777777" w:rsidR="006F03FB" w:rsidRDefault="003B6B8A">
            <w:pPr>
              <w:rPr>
                <w:rFonts w:ascii="Arial" w:eastAsia="Arial" w:hAnsi="Arial" w:cs="Arial"/>
                <w:b/>
              </w:rPr>
            </w:pPr>
            <w:r>
              <w:rPr>
                <w:rFonts w:ascii="Arial" w:eastAsia="Arial" w:hAnsi="Arial" w:cs="Arial"/>
                <w:b/>
              </w:rPr>
              <w:t>External Examiner’s comments (if relevant)</w:t>
            </w:r>
          </w:p>
          <w:p w14:paraId="5F9C97EB" w14:textId="77777777" w:rsidR="006F03FB" w:rsidRDefault="006F03FB">
            <w:pPr>
              <w:ind w:right="-334"/>
              <w:rPr>
                <w:rFonts w:ascii="Arial" w:eastAsia="Arial" w:hAnsi="Arial" w:cs="Arial"/>
                <w:color w:val="000000"/>
              </w:rPr>
            </w:pPr>
          </w:p>
          <w:p w14:paraId="5F9C97EC" w14:textId="77777777" w:rsidR="006F03FB" w:rsidRDefault="006F03FB">
            <w:pPr>
              <w:ind w:right="-334"/>
              <w:rPr>
                <w:rFonts w:ascii="Arial" w:eastAsia="Arial" w:hAnsi="Arial" w:cs="Arial"/>
                <w:color w:val="000000"/>
              </w:rPr>
            </w:pPr>
          </w:p>
          <w:p w14:paraId="5F9C97ED" w14:textId="77777777" w:rsidR="006F03FB" w:rsidRDefault="006F03FB">
            <w:pPr>
              <w:ind w:right="-334"/>
              <w:rPr>
                <w:rFonts w:ascii="Arial" w:eastAsia="Arial" w:hAnsi="Arial" w:cs="Arial"/>
                <w:color w:val="000000"/>
              </w:rPr>
            </w:pPr>
          </w:p>
          <w:p w14:paraId="5F9C97EE" w14:textId="77777777" w:rsidR="006F03FB" w:rsidRDefault="006F03FB">
            <w:pPr>
              <w:ind w:right="-334"/>
              <w:rPr>
                <w:rFonts w:ascii="Arial" w:eastAsia="Arial" w:hAnsi="Arial" w:cs="Arial"/>
                <w:color w:val="000000"/>
              </w:rPr>
            </w:pPr>
          </w:p>
          <w:p w14:paraId="5F9C97EF" w14:textId="77777777" w:rsidR="006F03FB" w:rsidRDefault="006F03FB">
            <w:pPr>
              <w:ind w:right="-334"/>
              <w:rPr>
                <w:rFonts w:ascii="Arial" w:eastAsia="Arial" w:hAnsi="Arial" w:cs="Arial"/>
                <w:color w:val="000000"/>
              </w:rPr>
            </w:pPr>
          </w:p>
          <w:p w14:paraId="5F9C97F0" w14:textId="77777777" w:rsidR="006F03FB" w:rsidRDefault="006F03FB">
            <w:pPr>
              <w:ind w:right="-334"/>
              <w:rPr>
                <w:rFonts w:ascii="Arial" w:eastAsia="Arial" w:hAnsi="Arial" w:cs="Arial"/>
                <w:color w:val="000000"/>
              </w:rPr>
            </w:pPr>
          </w:p>
          <w:p w14:paraId="5F9C97F1" w14:textId="77777777" w:rsidR="006F03FB" w:rsidRDefault="006F03FB">
            <w:pPr>
              <w:ind w:right="-334"/>
              <w:rPr>
                <w:rFonts w:ascii="Arial" w:eastAsia="Arial" w:hAnsi="Arial" w:cs="Arial"/>
                <w:color w:val="000000"/>
              </w:rPr>
            </w:pPr>
          </w:p>
          <w:p w14:paraId="5F9C97F2" w14:textId="77777777" w:rsidR="006F03FB" w:rsidRDefault="006F03FB">
            <w:pPr>
              <w:ind w:right="-334"/>
              <w:rPr>
                <w:rFonts w:ascii="Arial" w:eastAsia="Arial" w:hAnsi="Arial" w:cs="Arial"/>
                <w:color w:val="000000"/>
              </w:rPr>
            </w:pPr>
          </w:p>
        </w:tc>
      </w:tr>
      <w:tr w:rsidR="006F03FB" w14:paraId="5F9C97F6" w14:textId="77777777">
        <w:trPr>
          <w:trHeight w:val="720"/>
        </w:trPr>
        <w:tc>
          <w:tcPr>
            <w:tcW w:w="5211" w:type="dxa"/>
            <w:gridSpan w:val="2"/>
          </w:tcPr>
          <w:p w14:paraId="5F9C97F4" w14:textId="77777777" w:rsidR="006F03FB" w:rsidRDefault="003B6B8A">
            <w:pPr>
              <w:rPr>
                <w:rFonts w:ascii="Arial" w:eastAsia="Arial" w:hAnsi="Arial" w:cs="Arial"/>
              </w:rPr>
            </w:pPr>
            <w:r>
              <w:rPr>
                <w:rFonts w:ascii="Arial" w:eastAsia="Arial" w:hAnsi="Arial" w:cs="Arial"/>
              </w:rPr>
              <w:t>External Examiner’s Signature:</w:t>
            </w:r>
          </w:p>
        </w:tc>
        <w:tc>
          <w:tcPr>
            <w:tcW w:w="3645" w:type="dxa"/>
            <w:gridSpan w:val="3"/>
          </w:tcPr>
          <w:p w14:paraId="5F9C97F5" w14:textId="77777777" w:rsidR="006F03FB" w:rsidRDefault="003B6B8A">
            <w:pPr>
              <w:rPr>
                <w:rFonts w:ascii="Arial" w:eastAsia="Arial" w:hAnsi="Arial" w:cs="Arial"/>
              </w:rPr>
            </w:pPr>
            <w:r>
              <w:rPr>
                <w:rFonts w:ascii="Arial" w:eastAsia="Arial" w:hAnsi="Arial" w:cs="Arial"/>
              </w:rPr>
              <w:t>Date:</w:t>
            </w:r>
          </w:p>
        </w:tc>
      </w:tr>
    </w:tbl>
    <w:p w14:paraId="1A78132D" w14:textId="1CA14365" w:rsidR="00735EB2" w:rsidRPr="004234E0" w:rsidRDefault="00735EB2">
      <w:pPr>
        <w:ind w:right="34"/>
        <w:rPr>
          <w:rFonts w:asciiTheme="minorHAnsi" w:hAnsiTheme="minorHAnsi" w:cstheme="minorHAnsi"/>
          <w:b/>
        </w:rPr>
      </w:pPr>
      <w:r w:rsidRPr="004234E0">
        <w:rPr>
          <w:rFonts w:asciiTheme="minorHAnsi" w:hAnsiTheme="minorHAnsi" w:cstheme="minorHAnsi"/>
          <w:b/>
        </w:rPr>
        <w:lastRenderedPageBreak/>
        <w:t>Is Sacred Space a Human Construct or a Natural Phenomenon?</w:t>
      </w:r>
    </w:p>
    <w:p w14:paraId="1AB15601" w14:textId="77777777" w:rsidR="00E05337" w:rsidRPr="004234E0" w:rsidRDefault="00E05337" w:rsidP="00E05337">
      <w:pPr>
        <w:ind w:right="34"/>
        <w:rPr>
          <w:rFonts w:asciiTheme="minorHAnsi" w:eastAsia="Arial" w:hAnsiTheme="minorHAnsi" w:cstheme="minorHAnsi"/>
          <w:b/>
          <w:bCs/>
          <w:color w:val="000000"/>
        </w:rPr>
      </w:pPr>
      <w:r w:rsidRPr="004234E0">
        <w:rPr>
          <w:rFonts w:asciiTheme="minorHAnsi" w:eastAsia="Arial" w:hAnsiTheme="minorHAnsi" w:cstheme="minorHAnsi"/>
          <w:b/>
          <w:bCs/>
          <w:color w:val="000000"/>
        </w:rPr>
        <w:t>How to tune in into the voice of a sacred space through a personal experience of a foreign landscape?</w:t>
      </w:r>
    </w:p>
    <w:p w14:paraId="1BACA06F" w14:textId="77777777" w:rsidR="00735EB2" w:rsidRDefault="00735EB2">
      <w:pPr>
        <w:ind w:right="34"/>
        <w:rPr>
          <w:b/>
        </w:rPr>
      </w:pPr>
    </w:p>
    <w:p w14:paraId="5F9C97F7" w14:textId="203488FD" w:rsidR="006F03FB" w:rsidRDefault="003B6B8A">
      <w:pPr>
        <w:ind w:right="34"/>
        <w:rPr>
          <w:b/>
        </w:rPr>
      </w:pPr>
      <w:r>
        <w:rPr>
          <w:b/>
        </w:rPr>
        <w:t>Introduction</w:t>
      </w:r>
    </w:p>
    <w:p w14:paraId="17D31D1F" w14:textId="77777777" w:rsidR="00460548" w:rsidRDefault="00460548">
      <w:pPr>
        <w:ind w:right="34"/>
        <w:rPr>
          <w:b/>
        </w:rPr>
      </w:pPr>
    </w:p>
    <w:p w14:paraId="5F9C97F9" w14:textId="67D40AC1" w:rsidR="006F03FB" w:rsidRDefault="003B6B8A" w:rsidP="002F19B2">
      <w:pPr>
        <w:ind w:right="34" w:firstLine="720"/>
      </w:pPr>
      <w:r>
        <w:t xml:space="preserve">A sacred place is a geography that gives meaning to existence and “feeling out of place” is something one encounters when not being present. To be able to connect with a place, presence is essential to actually “be there” whether it </w:t>
      </w:r>
      <w:proofErr w:type="gramStart"/>
      <w:r>
        <w:t>is considered to be</w:t>
      </w:r>
      <w:proofErr w:type="gramEnd"/>
      <w:r>
        <w:t xml:space="preserve"> a sacred one or an ordinary one. Martin Heidegger defined “person (</w:t>
      </w:r>
      <w:r>
        <w:rPr>
          <w:i/>
        </w:rPr>
        <w:t>Dasein</w:t>
      </w:r>
      <w:r>
        <w:t>)” as “being there”,</w:t>
      </w:r>
      <w:r>
        <w:rPr>
          <w:vertAlign w:val="superscript"/>
        </w:rPr>
        <w:footnoteReference w:id="1"/>
      </w:r>
      <w:r>
        <w:t xml:space="preserve"> and that ‘a “Place” is the house of Being’</w:t>
      </w:r>
      <w:r>
        <w:rPr>
          <w:vertAlign w:val="superscript"/>
        </w:rPr>
        <w:footnoteReference w:id="2"/>
      </w:r>
      <w:r>
        <w:t>. This idea opens up the inquiry to understand what constitutes the sacredness of a place and how presence became an anchor to knowing our placement in the world. The aim of the paper is to assert that a sacred place can be an ordinary place, intentionally made extraordinary with presence, rituals</w:t>
      </w:r>
      <w:r w:rsidR="004C2A97">
        <w:t>,</w:t>
      </w:r>
      <w:r>
        <w:t xml:space="preserve"> and myths. For the purpose of this paper, human experience is explored and discussed while intending to not exclude the possible experience of non-human living beings. Using a phenomenological approach as a methodology, the paper studies the Portland Japanese Garden in Portland, Oregon, as a sacred place </w:t>
      </w:r>
      <w:proofErr w:type="gramStart"/>
      <w:r>
        <w:t>in an attempt to</w:t>
      </w:r>
      <w:proofErr w:type="gramEnd"/>
      <w:r>
        <w:t xml:space="preserve"> understand the way the place comes to impose itself on my consciousness.</w:t>
      </w:r>
      <w:r>
        <w:rPr>
          <w:vertAlign w:val="superscript"/>
        </w:rPr>
        <w:t xml:space="preserve"> </w:t>
      </w:r>
      <w:r>
        <w:rPr>
          <w:vertAlign w:val="superscript"/>
        </w:rPr>
        <w:footnoteReference w:id="3"/>
      </w:r>
    </w:p>
    <w:p w14:paraId="34A4BFDD" w14:textId="77777777" w:rsidR="002F19B2" w:rsidRDefault="002F19B2" w:rsidP="002F19B2">
      <w:pPr>
        <w:ind w:right="34" w:firstLine="720"/>
      </w:pPr>
    </w:p>
    <w:p w14:paraId="5F9C97FB" w14:textId="195FB71D" w:rsidR="006F03FB" w:rsidRDefault="003B6B8A" w:rsidP="00860744">
      <w:pPr>
        <w:ind w:firstLine="720"/>
      </w:pPr>
      <w:r>
        <w:t xml:space="preserve">Portland Japanese Garden is situated on top of a hill in Washington Park in Portland, Oregon in the United States. The land locates at the confluence of the Columbia and Willamette Rivers, it was within the land of the traditional Indigenous Native Americans’ homeland since the time of immemorial. Tribes included the </w:t>
      </w:r>
      <w:proofErr w:type="spellStart"/>
      <w:r>
        <w:t>Multnomah</w:t>
      </w:r>
      <w:proofErr w:type="spellEnd"/>
      <w:r>
        <w:t xml:space="preserve">, Wasco, </w:t>
      </w:r>
      <w:proofErr w:type="spellStart"/>
      <w:r>
        <w:t>Cowlitz</w:t>
      </w:r>
      <w:proofErr w:type="spellEnd"/>
      <w:r>
        <w:t xml:space="preserve">, </w:t>
      </w:r>
      <w:proofErr w:type="spellStart"/>
      <w:r>
        <w:t>Kathlamet</w:t>
      </w:r>
      <w:proofErr w:type="spellEnd"/>
      <w:r>
        <w:t xml:space="preserve">, Clackamas, Bands of Chinook, Tualatin, </w:t>
      </w:r>
      <w:proofErr w:type="spellStart"/>
      <w:r>
        <w:t>Kalapuya</w:t>
      </w:r>
      <w:proofErr w:type="spellEnd"/>
      <w:r>
        <w:t>, Molalla and many more living along the Columbia River.</w:t>
      </w:r>
      <w:r w:rsidR="008F78A7">
        <w:rPr>
          <w:rStyle w:val="FootnoteReference"/>
        </w:rPr>
        <w:footnoteReference w:id="4"/>
      </w:r>
      <w:r>
        <w:t xml:space="preserve"> Since 1800s, the land has become a city park, a golf course</w:t>
      </w:r>
      <w:r w:rsidR="004C2A97">
        <w:t>,</w:t>
      </w:r>
      <w:r>
        <w:t xml:space="preserve"> and a zoo prior to the founding of the Portland Japanese garden in the 1960s. Initiated by Mayor Terry </w:t>
      </w:r>
      <w:proofErr w:type="spellStart"/>
      <w:r>
        <w:t>Schrunk</w:t>
      </w:r>
      <w:proofErr w:type="spellEnd"/>
      <w:r>
        <w:t xml:space="preserve"> and the Portland community, a collective effort was made to transform the place into the Portland Japanese Garden. The intention was to provide the local community with a garden of healing between the United States and Japan after WWII, building cultural understanding and connections through nature.</w:t>
      </w:r>
      <w:r>
        <w:rPr>
          <w:vertAlign w:val="superscript"/>
        </w:rPr>
        <w:footnoteReference w:id="5"/>
      </w:r>
      <w:r>
        <w:t xml:space="preserve"> The Garden invited Japanese garden designer Professor Takuma </w:t>
      </w:r>
      <w:proofErr w:type="spellStart"/>
      <w:r>
        <w:t>Tono</w:t>
      </w:r>
      <w:proofErr w:type="spellEnd"/>
      <w:r>
        <w:t xml:space="preserve"> of Tokyo Agricultural University to work on the landscape. With the intention of the garden in mind, </w:t>
      </w:r>
      <w:proofErr w:type="spellStart"/>
      <w:r>
        <w:t>Tono</w:t>
      </w:r>
      <w:proofErr w:type="spellEnd"/>
      <w:r w:rsidR="004C2A97">
        <w:t xml:space="preserve"> </w:t>
      </w:r>
      <w:r>
        <w:t xml:space="preserve">innovatively built by joining five separate garden spaces into a wholesome one. Presenting a diverse style of traditional Japanese gardens in one place, the five gardens were linked intuitively by meandering streams and stone paths. The five gardens are the Flat Garden, the Strolling Pond Garden, the Tea Garden, the Sand and Stone Garden, and the Natural Garden. Constructed based on the traditional Japanese garden-making philosophy, the garden was built with the local topography in mind. Using local rocks and plant materials, the Garden developed in a secular way with influences of Shintoism and Buddhism, uniting the cultures of the two worlds. The Garden as a community, it welcomes visitors from all walks of life across all ethnicities. Through the years, Portland Japanese Garden as a garden space developed into a community and a cultural </w:t>
      </w:r>
      <w:proofErr w:type="spellStart"/>
      <w:r>
        <w:t>center</w:t>
      </w:r>
      <w:proofErr w:type="spellEnd"/>
      <w:r>
        <w:t xml:space="preserve">. With their initiative and </w:t>
      </w:r>
      <w:r>
        <w:lastRenderedPageBreak/>
        <w:t xml:space="preserve">vision growing into a communal force, the Portland Japanese Garden provided a sacred voice to the physical garden as well as resounding peace in nature to the world.  </w:t>
      </w:r>
    </w:p>
    <w:p w14:paraId="169337E9" w14:textId="77777777" w:rsidR="00860744" w:rsidRDefault="00860744" w:rsidP="00860744">
      <w:pPr>
        <w:ind w:firstLine="720"/>
      </w:pPr>
    </w:p>
    <w:p w14:paraId="5F9C97FC" w14:textId="77777777" w:rsidR="006F03FB" w:rsidRDefault="003B6B8A">
      <w:pPr>
        <w:ind w:firstLine="720"/>
      </w:pPr>
      <w:r>
        <w:t>As one’s embodied experience of a place is essential to understand the qualities and characteristics of a sacred place, my personal experience participating in the Portland Japanese Garden is the primary source of data for this paper. Through direct engagement with the correspondences and interactions moving through the landscape, the paper uses the first-hand perspective, as Edmund Husserl described, to be an engine of intentionality in acts of consciousness. The approach facilitates an understanding of how a sacred place is perceived, investigates the internal (presence) and external (rituals, myths, culture) dimensions of the human experience through its intricate dance with all living beings and natural forces in the place, meditating on the idea of participation and intention as a form of presence resonates through the garden space.</w:t>
      </w:r>
    </w:p>
    <w:p w14:paraId="5F9C97FD" w14:textId="77777777" w:rsidR="006F03FB" w:rsidRDefault="006F03FB">
      <w:pPr>
        <w:ind w:firstLine="720"/>
      </w:pPr>
    </w:p>
    <w:p w14:paraId="5F9C97FF" w14:textId="5AD9BEDD" w:rsidR="006F03FB" w:rsidRDefault="003B6B8A">
      <w:pPr>
        <w:ind w:right="34"/>
        <w:rPr>
          <w:b/>
        </w:rPr>
      </w:pPr>
      <w:r>
        <w:rPr>
          <w:b/>
        </w:rPr>
        <w:t>Literary Review</w:t>
      </w:r>
    </w:p>
    <w:p w14:paraId="3332C3CD" w14:textId="23C5431B" w:rsidR="00460548" w:rsidRDefault="003B6B8A">
      <w:r>
        <w:rPr>
          <w:b/>
        </w:rPr>
        <w:t>Sacred and Profane</w:t>
      </w:r>
      <w:r>
        <w:t xml:space="preserve"> </w:t>
      </w:r>
    </w:p>
    <w:p w14:paraId="5F9C9801" w14:textId="3DD73849" w:rsidR="006F03FB" w:rsidRDefault="003B6B8A">
      <w:pPr>
        <w:ind w:right="34" w:firstLine="720"/>
      </w:pPr>
      <w:r>
        <w:t>The theory of sacred and profane was</w:t>
      </w:r>
      <w:r w:rsidR="004517EA">
        <w:t xml:space="preserve"> discussed</w:t>
      </w:r>
      <w:r>
        <w:t xml:space="preserve"> by Emile Durkheim and Mircea </w:t>
      </w:r>
      <w:sdt>
        <w:sdtPr>
          <w:tag w:val="goog_rdk_0"/>
          <w:id w:val="328879394"/>
        </w:sdtPr>
        <w:sdtEndPr/>
        <w:sdtContent/>
      </w:sdt>
      <w:r>
        <w:t xml:space="preserve">Eliade. Although the concepts were perceived differently, both theorists came to a similar conclusion that participation is necessary in the experience of a sacred place. The set of terms sacred and profane in the context of place is paralleled with the set of Greek terms, </w:t>
      </w:r>
      <w:proofErr w:type="spellStart"/>
      <w:r>
        <w:rPr>
          <w:i/>
        </w:rPr>
        <w:t>chora</w:t>
      </w:r>
      <w:proofErr w:type="spellEnd"/>
      <w:r>
        <w:t xml:space="preserve"> and </w:t>
      </w:r>
      <w:proofErr w:type="spellStart"/>
      <w:r>
        <w:rPr>
          <w:i/>
        </w:rPr>
        <w:t>topos</w:t>
      </w:r>
      <w:proofErr w:type="spellEnd"/>
      <w:r>
        <w:t>.</w:t>
      </w:r>
      <w:r>
        <w:rPr>
          <w:vertAlign w:val="superscript"/>
        </w:rPr>
        <w:footnoteReference w:id="6"/>
      </w:r>
      <w:r>
        <w:t xml:space="preserve"> </w:t>
      </w:r>
      <w:proofErr w:type="spellStart"/>
      <w:r>
        <w:rPr>
          <w:i/>
        </w:rPr>
        <w:t>Chora</w:t>
      </w:r>
      <w:proofErr w:type="spellEnd"/>
      <w:r>
        <w:t>, as described by Belden Lane, is a place that carries its own energy, having the power to ‘summon its participants to a common dance, to a choreography’</w:t>
      </w:r>
      <w:r>
        <w:rPr>
          <w:vertAlign w:val="superscript"/>
        </w:rPr>
        <w:footnoteReference w:id="7"/>
      </w:r>
      <w:r>
        <w:t xml:space="preserve"> . </w:t>
      </w:r>
      <w:proofErr w:type="spellStart"/>
      <w:r>
        <w:rPr>
          <w:i/>
        </w:rPr>
        <w:t>Topos</w:t>
      </w:r>
      <w:proofErr w:type="spellEnd"/>
      <w:r>
        <w:rPr>
          <w:i/>
        </w:rPr>
        <w:t xml:space="preserve"> </w:t>
      </w:r>
      <w:r>
        <w:t xml:space="preserve">on the other hand mean topography, a neutral and measurable place. Durkheim’s notion of a sacred space was a </w:t>
      </w:r>
      <w:proofErr w:type="spellStart"/>
      <w:r>
        <w:rPr>
          <w:i/>
        </w:rPr>
        <w:t>chora</w:t>
      </w:r>
      <w:proofErr w:type="spellEnd"/>
      <w:r>
        <w:t xml:space="preserve"> transformed from a </w:t>
      </w:r>
      <w:proofErr w:type="spellStart"/>
      <w:r>
        <w:rPr>
          <w:i/>
        </w:rPr>
        <w:t>topos</w:t>
      </w:r>
      <w:proofErr w:type="spellEnd"/>
      <w:r>
        <w:rPr>
          <w:i/>
        </w:rPr>
        <w:t xml:space="preserve"> </w:t>
      </w:r>
      <w:r>
        <w:t>by the participation of rituals or culture of a community. To Durkheim, all sacred space has a social origin including religion, they were seen as communal experiences having shared practices, beliefs, and histories.</w:t>
      </w:r>
      <w:r>
        <w:rPr>
          <w:vertAlign w:val="superscript"/>
        </w:rPr>
        <w:footnoteReference w:id="8"/>
      </w:r>
      <w:r>
        <w:t xml:space="preserve"> Therefore, anything that was expressed in society as a representation was considered to be sacred.</w:t>
      </w:r>
      <w:r>
        <w:rPr>
          <w:vertAlign w:val="superscript"/>
        </w:rPr>
        <w:footnoteReference w:id="9"/>
      </w:r>
      <w:r>
        <w:t xml:space="preserve"> For Eliade, the sacred place also means </w:t>
      </w:r>
      <w:proofErr w:type="spellStart"/>
      <w:r>
        <w:rPr>
          <w:i/>
        </w:rPr>
        <w:t>chora</w:t>
      </w:r>
      <w:proofErr w:type="spellEnd"/>
      <w:r>
        <w:t xml:space="preserve">, yet it is different from Durkheim's social approach. Eliade’s sacred place embodies a supernatural force. It breaks into the homogeneity of space that was referred to as a </w:t>
      </w:r>
      <w:proofErr w:type="spellStart"/>
      <w:r>
        <w:t>hierophany</w:t>
      </w:r>
      <w:proofErr w:type="spellEnd"/>
      <w:r>
        <w:t>.</w:t>
      </w:r>
      <w:r>
        <w:rPr>
          <w:vertAlign w:val="superscript"/>
        </w:rPr>
        <w:footnoteReference w:id="10"/>
      </w:r>
      <w:r>
        <w:t xml:space="preserve"> The sacred place is a portal to the divine activated by rituals to </w:t>
      </w:r>
      <w:proofErr w:type="spellStart"/>
      <w:r>
        <w:t>reenact</w:t>
      </w:r>
      <w:proofErr w:type="spellEnd"/>
      <w:r>
        <w:t xml:space="preserve"> the “return to origins”</w:t>
      </w:r>
      <w:r>
        <w:rPr>
          <w:vertAlign w:val="superscript"/>
        </w:rPr>
        <w:footnoteReference w:id="11"/>
      </w:r>
      <w:r>
        <w:t xml:space="preserve">. It speaks or resonates with those who participate to engage with it. Whether it is a social experience or a supernatural experience, both theories agreed that participation creates sacredness or an extraordinary presence in a place.  </w:t>
      </w:r>
    </w:p>
    <w:p w14:paraId="5F9C9802" w14:textId="77777777" w:rsidR="006F03FB" w:rsidRDefault="006F03FB">
      <w:pPr>
        <w:ind w:right="34" w:firstLine="720"/>
      </w:pPr>
    </w:p>
    <w:p w14:paraId="5F9C9803" w14:textId="77777777" w:rsidR="006F03FB" w:rsidRDefault="003B6B8A">
      <w:pPr>
        <w:ind w:right="34"/>
        <w:rPr>
          <w:b/>
        </w:rPr>
      </w:pPr>
      <w:r>
        <w:rPr>
          <w:b/>
        </w:rPr>
        <w:t>Presence</w:t>
      </w:r>
    </w:p>
    <w:p w14:paraId="624B29E3" w14:textId="77777777" w:rsidR="00460548" w:rsidRDefault="00460548">
      <w:pPr>
        <w:ind w:right="34"/>
        <w:rPr>
          <w:b/>
        </w:rPr>
      </w:pPr>
    </w:p>
    <w:p w14:paraId="5F9C9804" w14:textId="77777777" w:rsidR="006F03FB" w:rsidRDefault="003B6B8A">
      <w:pPr>
        <w:ind w:right="34" w:firstLine="720"/>
        <w:rPr>
          <w:b/>
        </w:rPr>
      </w:pPr>
      <w:r>
        <w:t xml:space="preserve">To further investigate the quality of a sacred place and the moment of sacredness, one might need to understand the concept of presence or the nature of time within participation. The concept exists across cultures throughout history, and the paper will look deeper into the Japanese concept of space and time, </w:t>
      </w:r>
      <w:r>
        <w:rPr>
          <w:i/>
        </w:rPr>
        <w:t>Ma</w:t>
      </w:r>
      <w:r>
        <w:t xml:space="preserve">, as well as the known theories in the West. As Levy </w:t>
      </w:r>
      <w:proofErr w:type="spellStart"/>
      <w:r>
        <w:t>Bruhl</w:t>
      </w:r>
      <w:proofErr w:type="spellEnd"/>
      <w:r>
        <w:t xml:space="preserve"> defined this nature as an </w:t>
      </w:r>
      <w:r>
        <w:lastRenderedPageBreak/>
        <w:t>event “localized in space and time, or better said which has its own space and time”</w:t>
      </w:r>
      <w:r>
        <w:rPr>
          <w:vertAlign w:val="superscript"/>
        </w:rPr>
        <w:footnoteReference w:id="12"/>
      </w:r>
      <w:r>
        <w:t xml:space="preserve">. </w:t>
      </w:r>
      <w:proofErr w:type="spellStart"/>
      <w:r>
        <w:t>Bruhl’s</w:t>
      </w:r>
      <w:proofErr w:type="spellEnd"/>
      <w:r>
        <w:t xml:space="preserve"> argument supports that presence happens in the here and now, during the act of participation. One can take a glimpse of the breakdown of the concept of time in Greek terms </w:t>
      </w:r>
      <w:proofErr w:type="spellStart"/>
      <w:r>
        <w:rPr>
          <w:i/>
        </w:rPr>
        <w:t>chronos</w:t>
      </w:r>
      <w:proofErr w:type="spellEnd"/>
      <w:r>
        <w:rPr>
          <w:i/>
        </w:rPr>
        <w:t xml:space="preserve"> </w:t>
      </w:r>
      <w:r>
        <w:t xml:space="preserve">and </w:t>
      </w:r>
      <w:proofErr w:type="spellStart"/>
      <w:r>
        <w:rPr>
          <w:i/>
        </w:rPr>
        <w:t>kairos</w:t>
      </w:r>
      <w:proofErr w:type="spellEnd"/>
      <w:r>
        <w:t xml:space="preserve">. Presence can be referred to as </w:t>
      </w:r>
      <w:proofErr w:type="spellStart"/>
      <w:r>
        <w:rPr>
          <w:i/>
        </w:rPr>
        <w:t>kairos</w:t>
      </w:r>
      <w:proofErr w:type="spellEnd"/>
      <w:r>
        <w:t xml:space="preserve">, a time perceived as an accomplished moment when the conditions are right, and time being </w:t>
      </w:r>
      <w:proofErr w:type="spellStart"/>
      <w:r>
        <w:rPr>
          <w:i/>
        </w:rPr>
        <w:t>chronos</w:t>
      </w:r>
      <w:proofErr w:type="spellEnd"/>
      <w:r>
        <w:rPr>
          <w:i/>
        </w:rPr>
        <w:t xml:space="preserve"> </w:t>
      </w:r>
      <w:r>
        <w:t xml:space="preserve">referred to the chronological time. In theory, </w:t>
      </w:r>
      <w:proofErr w:type="spellStart"/>
      <w:r>
        <w:rPr>
          <w:i/>
        </w:rPr>
        <w:t>kairos</w:t>
      </w:r>
      <w:proofErr w:type="spellEnd"/>
      <w:r>
        <w:t xml:space="preserve"> time is a qualitative experience of presence in a particular situation.  In the context of the experience of a place, one can rely on participation to facilitate presence, transforming the profane or ordinary into sacred. Participation becomes the key to transforming places of </w:t>
      </w:r>
      <w:proofErr w:type="spellStart"/>
      <w:r>
        <w:rPr>
          <w:i/>
        </w:rPr>
        <w:t>topos</w:t>
      </w:r>
      <w:proofErr w:type="spellEnd"/>
      <w:r>
        <w:t xml:space="preserve"> into </w:t>
      </w:r>
      <w:proofErr w:type="spellStart"/>
      <w:r>
        <w:rPr>
          <w:i/>
        </w:rPr>
        <w:t>chora</w:t>
      </w:r>
      <w:proofErr w:type="spellEnd"/>
      <w:r>
        <w:t xml:space="preserve">. </w:t>
      </w:r>
    </w:p>
    <w:p w14:paraId="5F9C9805" w14:textId="77777777" w:rsidR="006F03FB" w:rsidRDefault="006F03FB">
      <w:pPr>
        <w:ind w:right="34" w:firstLine="720"/>
      </w:pPr>
    </w:p>
    <w:p w14:paraId="5F9C9806" w14:textId="77777777" w:rsidR="006F03FB" w:rsidRDefault="003B6B8A">
      <w:pPr>
        <w:ind w:right="34"/>
        <w:rPr>
          <w:b/>
        </w:rPr>
      </w:pPr>
      <w:r>
        <w:rPr>
          <w:b/>
        </w:rPr>
        <w:t>Participation</w:t>
      </w:r>
    </w:p>
    <w:p w14:paraId="682A40C0" w14:textId="77777777" w:rsidR="00460548" w:rsidRDefault="00460548">
      <w:pPr>
        <w:ind w:right="34"/>
        <w:rPr>
          <w:b/>
        </w:rPr>
      </w:pPr>
    </w:p>
    <w:p w14:paraId="5F9C9807" w14:textId="77777777" w:rsidR="006F03FB" w:rsidRDefault="003B6B8A">
      <w:pPr>
        <w:ind w:right="34" w:firstLine="720"/>
      </w:pPr>
      <w:r>
        <w:t xml:space="preserve">The paper </w:t>
      </w:r>
      <w:proofErr w:type="spellStart"/>
      <w:r>
        <w:t>analyzes</w:t>
      </w:r>
      <w:proofErr w:type="spellEnd"/>
      <w:r>
        <w:t xml:space="preserve"> the sacred place of the Portland Japanese Garden starting from the intention. We will then identify the characteristics of a sacred place perceived from within (interactions with all living beings and natural forces), from outside (rituals and culture), and from above (mythical narratives and supernatural).</w:t>
      </w:r>
      <w:r>
        <w:rPr>
          <w:vertAlign w:val="superscript"/>
        </w:rPr>
        <w:footnoteReference w:id="13"/>
      </w:r>
      <w:r>
        <w:t xml:space="preserve">  Participation is something that is felt in the body before it became a thought stated by Levy </w:t>
      </w:r>
      <w:proofErr w:type="spellStart"/>
      <w:r>
        <w:t>Bruhl</w:t>
      </w:r>
      <w:proofErr w:type="spellEnd"/>
      <w:r>
        <w:t>, he defined the process as a feature of the human mind, that “does not need to be the surety of visible casual order but rather on assemblages, of solidarities, of membership to a place of common participation.”</w:t>
      </w:r>
      <w:r>
        <w:rPr>
          <w:vertAlign w:val="superscript"/>
        </w:rPr>
        <w:footnoteReference w:id="14"/>
      </w:r>
      <w:r>
        <w:t xml:space="preserve"> It is a Durkheimian way to sense any sacred elements in a situation as a social expression that was perceived as larger than the self. However, </w:t>
      </w:r>
      <w:proofErr w:type="spellStart"/>
      <w:r>
        <w:t>Bruhl</w:t>
      </w:r>
      <w:proofErr w:type="spellEnd"/>
      <w:r>
        <w:t xml:space="preserve"> also did not deny the Eliade way of sacredness revealed by the supernatural. He believed that “One lives in two worlds…the natural world, is imposed on them…the supernatural world, is revealed to them…”</w:t>
      </w:r>
      <w:r>
        <w:rPr>
          <w:vertAlign w:val="superscript"/>
        </w:rPr>
        <w:footnoteReference w:id="15"/>
      </w:r>
      <w:r>
        <w:t>. Participation in both worlds was seen as a part of the phenomena of existence, and it is independent and not in conflict with the logic of the mind. To understand the multidimensional experience of sacredness in the two worlds, a holistic approach of “blurred genre” suggested by Clifford Geertz is used to identify how a sacred place is perceived.</w:t>
      </w:r>
      <w:r>
        <w:rPr>
          <w:vertAlign w:val="superscript"/>
        </w:rPr>
        <w:footnoteReference w:id="16"/>
      </w:r>
      <w:r>
        <w:t xml:space="preserve"> As inspired by Belden Lane’s </w:t>
      </w:r>
      <w:r>
        <w:rPr>
          <w:i/>
        </w:rPr>
        <w:t>Landscape of the Sacred</w:t>
      </w:r>
      <w:r>
        <w:t>,</w:t>
      </w:r>
      <w:r>
        <w:rPr>
          <w:vertAlign w:val="superscript"/>
        </w:rPr>
        <w:footnoteReference w:id="17"/>
      </w:r>
      <w:r>
        <w:t xml:space="preserve">  Lane’s four axioms in </w:t>
      </w:r>
      <w:r>
        <w:rPr>
          <w:i/>
        </w:rPr>
        <w:t>Landscape of the Sacred</w:t>
      </w:r>
      <w:r>
        <w:t xml:space="preserve"> are used for the experience. While they are characteristics of a sacred place identified mainly for the geography and narrative in Indigenous Native American spirituality, not necessarily all four would be applicable to our subject matter. They are mainly used for reflections for the study, the four axioms are:  “sacred place is not chosen, it chooses”,  “sacred place is an ordinary place, ritually made extraordinary”,” sacred place can be </w:t>
      </w:r>
      <w:proofErr w:type="spellStart"/>
      <w:r>
        <w:t>tred</w:t>
      </w:r>
      <w:proofErr w:type="spellEnd"/>
      <w:r>
        <w:t xml:space="preserve"> upon without being entered” and  “the impulse of a sacred place is both centripetal and centrifugal, local and universal.” </w:t>
      </w:r>
      <w:r>
        <w:rPr>
          <w:vertAlign w:val="superscript"/>
        </w:rPr>
        <w:footnoteReference w:id="18"/>
      </w:r>
      <w:r>
        <w:t xml:space="preserve"> </w:t>
      </w:r>
    </w:p>
    <w:p w14:paraId="5F9C9808" w14:textId="77777777" w:rsidR="006F03FB" w:rsidRDefault="006F03FB">
      <w:pPr>
        <w:ind w:right="34" w:firstLine="720"/>
      </w:pPr>
    </w:p>
    <w:p w14:paraId="2098C368" w14:textId="77777777" w:rsidR="00860744" w:rsidRDefault="00D632F5" w:rsidP="001343A3">
      <w:pPr>
        <w:rPr>
          <w:b/>
          <w:sz w:val="18"/>
          <w:szCs w:val="18"/>
        </w:rPr>
      </w:pPr>
      <w:r>
        <w:rPr>
          <w:noProof/>
        </w:rPr>
        <w:lastRenderedPageBreak/>
        <w:drawing>
          <wp:inline distT="0" distB="0" distL="0" distR="0" wp14:anchorId="72B4A371" wp14:editId="6AFA2143">
            <wp:extent cx="4657725" cy="2675025"/>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80925" cy="2688349"/>
                    </a:xfrm>
                    <a:prstGeom prst="rect">
                      <a:avLst/>
                    </a:prstGeom>
                    <a:noFill/>
                    <a:ln>
                      <a:noFill/>
                    </a:ln>
                  </pic:spPr>
                </pic:pic>
              </a:graphicData>
            </a:graphic>
          </wp:inline>
        </w:drawing>
      </w:r>
    </w:p>
    <w:p w14:paraId="5F9C9809" w14:textId="3F9F015D" w:rsidR="006F03FB" w:rsidRDefault="003B6B8A">
      <w:r>
        <w:rPr>
          <w:b/>
          <w:sz w:val="18"/>
          <w:szCs w:val="18"/>
        </w:rPr>
        <w:t xml:space="preserve">Photo 1: </w:t>
      </w:r>
      <w:r w:rsidR="005F7371">
        <w:rPr>
          <w:b/>
          <w:sz w:val="18"/>
          <w:szCs w:val="18"/>
        </w:rPr>
        <w:t xml:space="preserve">Google </w:t>
      </w:r>
      <w:r w:rsidR="002B13AE">
        <w:rPr>
          <w:b/>
          <w:sz w:val="18"/>
          <w:szCs w:val="18"/>
        </w:rPr>
        <w:t xml:space="preserve">Satellite </w:t>
      </w:r>
      <w:r>
        <w:rPr>
          <w:b/>
          <w:sz w:val="18"/>
          <w:szCs w:val="18"/>
        </w:rPr>
        <w:t>Map of Portland Japanese Garden</w:t>
      </w:r>
      <w:r w:rsidR="002B13AE">
        <w:rPr>
          <w:b/>
          <w:sz w:val="18"/>
          <w:szCs w:val="18"/>
        </w:rPr>
        <w:t xml:space="preserve"> with author’s notes</w:t>
      </w:r>
      <w:r w:rsidR="00B9484E">
        <w:rPr>
          <w:b/>
          <w:sz w:val="18"/>
          <w:szCs w:val="18"/>
        </w:rPr>
        <w:t xml:space="preserve"> on the locations o</w:t>
      </w:r>
      <w:r w:rsidR="00314E65">
        <w:rPr>
          <w:b/>
          <w:sz w:val="18"/>
          <w:szCs w:val="18"/>
        </w:rPr>
        <w:t>f the separate gardens visited</w:t>
      </w:r>
      <w:r w:rsidR="003348F2">
        <w:rPr>
          <w:rStyle w:val="FootnoteReference"/>
          <w:b/>
          <w:sz w:val="18"/>
          <w:szCs w:val="18"/>
        </w:rPr>
        <w:footnoteReference w:id="19"/>
      </w:r>
    </w:p>
    <w:p w14:paraId="5F9C980A" w14:textId="77777777" w:rsidR="006F03FB" w:rsidRDefault="006F03FB">
      <w:pPr>
        <w:rPr>
          <w:b/>
        </w:rPr>
      </w:pPr>
    </w:p>
    <w:p w14:paraId="5F9C980B" w14:textId="77777777" w:rsidR="006F03FB" w:rsidRDefault="003B6B8A">
      <w:pPr>
        <w:rPr>
          <w:b/>
        </w:rPr>
      </w:pPr>
      <w:r>
        <w:rPr>
          <w:b/>
        </w:rPr>
        <w:t>The Sacred Intention</w:t>
      </w:r>
    </w:p>
    <w:p w14:paraId="5F9C980C" w14:textId="270114E9" w:rsidR="006F03FB" w:rsidRDefault="003B6B8A">
      <w:pPr>
        <w:ind w:firstLine="720"/>
      </w:pPr>
      <w:r>
        <w:t xml:space="preserve"> As a </w:t>
      </w:r>
      <w:r w:rsidR="005F7371">
        <w:t>traveller</w:t>
      </w:r>
      <w:r>
        <w:t xml:space="preserve"> passing through Portland, I did not expect the Portland Japanese Garden would leave a deep impression on my heart. I could not quite describe the sense of awe the first time, but with clear intention the second time, the garden truly spoke with me in her own unique voice. I have visited the Garden twice, once in the Summer of 2022, and the second in the following Winter. The first time without being aware of what I intended to experience, it felt as if the place “chose me” as Belden Lane described in the first axiom</w:t>
      </w:r>
      <w:r>
        <w:rPr>
          <w:vertAlign w:val="superscript"/>
        </w:rPr>
        <w:footnoteReference w:id="20"/>
      </w:r>
      <w:r>
        <w:t>.  As I passed through the entrance of the Antique Gate at the foothill, the spatial experience of physically transitioning from the “outside” shifted something inside of me. Breaking into the homogeneity of a place as described by Eliade,</w:t>
      </w:r>
      <w:r>
        <w:rPr>
          <w:vertAlign w:val="superscript"/>
        </w:rPr>
        <w:footnoteReference w:id="21"/>
      </w:r>
      <w:r>
        <w:t xml:space="preserve"> I stepped into the magic of </w:t>
      </w:r>
      <w:proofErr w:type="spellStart"/>
      <w:r>
        <w:rPr>
          <w:i/>
        </w:rPr>
        <w:t>Skakkei</w:t>
      </w:r>
      <w:proofErr w:type="spellEnd"/>
      <w:r>
        <w:t xml:space="preserve">, the borrowed scenery. Through the gate, the garden path secluded in the native forest </w:t>
      </w:r>
      <w:proofErr w:type="gramStart"/>
      <w:r>
        <w:t>opened up</w:t>
      </w:r>
      <w:proofErr w:type="gramEnd"/>
      <w:r>
        <w:t xml:space="preserve"> leading up to the axis mundi on the top of the hill. A step at a time, the gentle slope and stairs prepped my breath and my mind as I climbed up like a respectful pilgrim. For a moment I thought as if I were in Kyoto. The mindfully curated and maintained path intuitively guided me as a ritual without words. Like falling in love, a surge of joy, excitement, and curiosity arose, and everything felt so pristine. The sacredness of our first encounter was powerful and spiritual, it was as Eliade described, a </w:t>
      </w:r>
      <w:proofErr w:type="spellStart"/>
      <w:r>
        <w:t>hierophany</w:t>
      </w:r>
      <w:proofErr w:type="spellEnd"/>
      <w:r>
        <w:t xml:space="preserve">. </w:t>
      </w:r>
    </w:p>
    <w:p w14:paraId="43E37874" w14:textId="77777777" w:rsidR="002F19B2" w:rsidRDefault="002F19B2">
      <w:pPr>
        <w:ind w:firstLine="720"/>
      </w:pPr>
    </w:p>
    <w:p w14:paraId="5F9C980D" w14:textId="2F615415" w:rsidR="006F03FB" w:rsidRDefault="003B6B8A">
      <w:pPr>
        <w:ind w:firstLine="720"/>
      </w:pPr>
      <w:r>
        <w:t xml:space="preserve">During my second visit, the feeling of sacredness of the very same place changed its quality with an intention. From the striking feeling of a </w:t>
      </w:r>
      <w:proofErr w:type="spellStart"/>
      <w:r>
        <w:t>hierophany</w:t>
      </w:r>
      <w:proofErr w:type="spellEnd"/>
      <w:r>
        <w:t xml:space="preserve"> in the Summer, the sense of awe shifted to an immense presence and peace. It was a rainy Winter Saturday morning; the sky was grey and the garden became more monotone. My sister and I arrived early; the day stretched out like a blank canvas of</w:t>
      </w:r>
      <w:r>
        <w:rPr>
          <w:i/>
        </w:rPr>
        <w:t xml:space="preserve"> </w:t>
      </w:r>
      <w:proofErr w:type="spellStart"/>
      <w:r>
        <w:rPr>
          <w:i/>
        </w:rPr>
        <w:t>kairos</w:t>
      </w:r>
      <w:proofErr w:type="spellEnd"/>
      <w:r>
        <w:t xml:space="preserve">. Starting the journey with the intention to embody the landscape, I took time to take in every moment felt in my body and my mind. As Levy </w:t>
      </w:r>
      <w:proofErr w:type="spellStart"/>
      <w:r>
        <w:t>Bruhl</w:t>
      </w:r>
      <w:proofErr w:type="spellEnd"/>
      <w:r>
        <w:t xml:space="preserve"> described, when I moved through the natural world and interacted with my surroundings, the “supernatural world” revealed itself in my sensations. I was immersed in the “borrowed scenery” framed by each gate. As I was moving through, my sister surprised me with a comment of the same feeling, “never have I looked back through the frame of the gate upon </w:t>
      </w:r>
      <w:r>
        <w:lastRenderedPageBreak/>
        <w:t xml:space="preserve">crossing”. Fresh discoveries were revealed to the participants through all senses. Everything became so much more alive. The touch of the mosses on the rocks, the sound of rain, and the aroma of the plants, my senses heightened. I was relating to the place and its topography as if I was having an intimate conversation with a friend. Presence felt as the joy of moving through the place and the serenity from stillness. Sacredness presented itself as a deep sense of contentment and relational understanding. </w:t>
      </w:r>
    </w:p>
    <w:p w14:paraId="5F9C980E" w14:textId="77777777" w:rsidR="006F03FB" w:rsidRDefault="006F03FB">
      <w:pPr>
        <w:rPr>
          <w:b/>
        </w:rPr>
      </w:pPr>
    </w:p>
    <w:p w14:paraId="5F9C980F" w14:textId="77777777" w:rsidR="006F03FB" w:rsidRDefault="003B6B8A">
      <w:pPr>
        <w:rPr>
          <w:b/>
        </w:rPr>
      </w:pPr>
      <w:r>
        <w:rPr>
          <w:b/>
        </w:rPr>
        <w:t xml:space="preserve">Listening to the Stones </w:t>
      </w:r>
    </w:p>
    <w:p w14:paraId="5F9C9810" w14:textId="77777777" w:rsidR="006F03FB" w:rsidRDefault="003B6B8A">
      <w:pPr>
        <w:ind w:firstLine="720"/>
      </w:pPr>
      <w:r>
        <w:t xml:space="preserve">One of the ways to presence is stillness, and the Japanese word </w:t>
      </w:r>
      <w:r>
        <w:rPr>
          <w:i/>
        </w:rPr>
        <w:t>Ma</w:t>
      </w:r>
      <w:r>
        <w:t xml:space="preserve"> is a close description. </w:t>
      </w:r>
      <w:r>
        <w:rPr>
          <w:i/>
        </w:rPr>
        <w:t>Ma</w:t>
      </w:r>
      <w:r>
        <w:t xml:space="preserve"> as a core concept in Japanese garden making is a concept of space and time. Meaning a pause or a space,</w:t>
      </w:r>
      <w:r>
        <w:rPr>
          <w:vertAlign w:val="superscript"/>
        </w:rPr>
        <w:footnoteReference w:id="22"/>
      </w:r>
      <w:r>
        <w:t xml:space="preserve"> it can pinpoint a </w:t>
      </w:r>
      <w:proofErr w:type="spellStart"/>
      <w:r>
        <w:rPr>
          <w:i/>
        </w:rPr>
        <w:t>chora</w:t>
      </w:r>
      <w:proofErr w:type="spellEnd"/>
      <w:r>
        <w:t xml:space="preserve"> (physical or mental) in a moment of </w:t>
      </w:r>
      <w:proofErr w:type="spellStart"/>
      <w:r>
        <w:rPr>
          <w:i/>
        </w:rPr>
        <w:t>kairos</w:t>
      </w:r>
      <w:proofErr w:type="spellEnd"/>
      <w:r>
        <w:t xml:space="preserve">. </w:t>
      </w:r>
      <w:r>
        <w:rPr>
          <w:i/>
        </w:rPr>
        <w:t>Ma</w:t>
      </w:r>
      <w:r>
        <w:t xml:space="preserve"> is evoked through a variety of Japanese rituals and artistic practices. </w:t>
      </w:r>
      <w:proofErr w:type="spellStart"/>
      <w:r>
        <w:rPr>
          <w:i/>
        </w:rPr>
        <w:t>Sakuteki</w:t>
      </w:r>
      <w:proofErr w:type="spellEnd"/>
      <w:r>
        <w:t>,</w:t>
      </w:r>
      <w:r>
        <w:rPr>
          <w:vertAlign w:val="superscript"/>
        </w:rPr>
        <w:footnoteReference w:id="23"/>
      </w:r>
      <w:r>
        <w:rPr>
          <w:vertAlign w:val="superscript"/>
        </w:rPr>
        <w:t xml:space="preserve"> </w:t>
      </w:r>
      <w:r>
        <w:t xml:space="preserve">the traditional way of Japanese Garden design is one of the ways rooted in </w:t>
      </w:r>
      <w:proofErr w:type="spellStart"/>
      <w:r>
        <w:rPr>
          <w:i/>
        </w:rPr>
        <w:t>Ma</w:t>
      </w:r>
      <w:proofErr w:type="spellEnd"/>
      <w:r>
        <w:t xml:space="preserve">. Translated as “setting stones” in the treatise </w:t>
      </w:r>
      <w:proofErr w:type="spellStart"/>
      <w:r>
        <w:rPr>
          <w:i/>
        </w:rPr>
        <w:t>Sakuteki</w:t>
      </w:r>
      <w:proofErr w:type="spellEnd"/>
      <w:r>
        <w:t xml:space="preserve">, </w:t>
      </w:r>
      <w:r>
        <w:rPr>
          <w:i/>
        </w:rPr>
        <w:t xml:space="preserve">Records on Garden Making, </w:t>
      </w:r>
      <w:r>
        <w:t>in the 11</w:t>
      </w:r>
      <w:r>
        <w:rPr>
          <w:vertAlign w:val="superscript"/>
        </w:rPr>
        <w:t>th</w:t>
      </w:r>
      <w:r>
        <w:t xml:space="preserve"> century. It is a way to “listen” to the power of a stone or natural material as a piece of </w:t>
      </w:r>
      <w:proofErr w:type="spellStart"/>
      <w:r>
        <w:rPr>
          <w:i/>
        </w:rPr>
        <w:t>chora</w:t>
      </w:r>
      <w:proofErr w:type="spellEnd"/>
      <w:r>
        <w:t xml:space="preserve">. </w:t>
      </w:r>
      <w:proofErr w:type="gramStart"/>
      <w:r>
        <w:t>As a way to</w:t>
      </w:r>
      <w:proofErr w:type="gramEnd"/>
      <w:r>
        <w:t xml:space="preserve"> design, </w:t>
      </w:r>
      <w:proofErr w:type="spellStart"/>
      <w:r>
        <w:rPr>
          <w:i/>
        </w:rPr>
        <w:t>Sakuteki</w:t>
      </w:r>
      <w:proofErr w:type="spellEnd"/>
      <w:r>
        <w:t xml:space="preserve"> guides designers to “listen” and interact with the materials throughout the process of garden making.</w:t>
      </w:r>
      <w:r>
        <w:rPr>
          <w:vertAlign w:val="superscript"/>
        </w:rPr>
        <w:footnoteReference w:id="24"/>
      </w:r>
      <w:r>
        <w:t xml:space="preserve"> The way resonates with the Japanese Garden master Shiro </w:t>
      </w:r>
      <w:proofErr w:type="spellStart"/>
      <w:r>
        <w:t>Nakane</w:t>
      </w:r>
      <w:proofErr w:type="spellEnd"/>
      <w:r>
        <w:t xml:space="preserve"> who was a speaker at the 1996 International Symposium of Japanese Gardens. </w:t>
      </w:r>
      <w:proofErr w:type="spellStart"/>
      <w:r>
        <w:t>Nakane</w:t>
      </w:r>
      <w:proofErr w:type="spellEnd"/>
      <w:r>
        <w:t xml:space="preserve"> regarded the Portland Japanese Garden as a design response to the surrounding topography.</w:t>
      </w:r>
      <w:r>
        <w:rPr>
          <w:vertAlign w:val="superscript"/>
        </w:rPr>
        <w:footnoteReference w:id="25"/>
      </w:r>
      <w:r>
        <w:t xml:space="preserve">  In the</w:t>
      </w:r>
      <w:r>
        <w:rPr>
          <w:i/>
        </w:rPr>
        <w:t xml:space="preserve"> </w:t>
      </w:r>
      <w:proofErr w:type="spellStart"/>
      <w:r>
        <w:rPr>
          <w:i/>
        </w:rPr>
        <w:t>Sakuteki</w:t>
      </w:r>
      <w:proofErr w:type="spellEnd"/>
      <w:r>
        <w:t xml:space="preserve"> tradition, designers do not dictate the design plan. As intended, they start by interacting with a chosen piece of stone as a </w:t>
      </w:r>
      <w:proofErr w:type="spellStart"/>
      <w:r>
        <w:t>center</w:t>
      </w:r>
      <w:proofErr w:type="spellEnd"/>
      <w:r>
        <w:t>, and then “following the request of the stone” to reveal the rest of the placements of the natural materials.</w:t>
      </w:r>
      <w:r>
        <w:rPr>
          <w:vertAlign w:val="superscript"/>
        </w:rPr>
        <w:footnoteReference w:id="26"/>
      </w:r>
      <w:r>
        <w:t xml:space="preserve"> In the Portland Japanese Garden, the designer applied a similar process with local rocks and plant materials, this sensitive approach was not only a creative process but an act of listening and communicating with the natural world. One of the examples of “listening” to the stones was the </w:t>
      </w:r>
      <w:proofErr w:type="spellStart"/>
      <w:r>
        <w:t>Zagunis</w:t>
      </w:r>
      <w:proofErr w:type="spellEnd"/>
      <w:r>
        <w:t xml:space="preserve"> Castle Wall (Photo 2). It was a Japanese medieval-style castle wall located at the west end of the courtyard. The massive stone wall was stacked with large local Oregon blue granite stones. Placed by a communal area of benches, each stone was individually selected by the artist and shaped to be put in place. The touch of the hand-shaped stones evoked the thought of the mindful care given to the construction of the place. As Levy </w:t>
      </w:r>
      <w:proofErr w:type="spellStart"/>
      <w:r>
        <w:t>Bruhl</w:t>
      </w:r>
      <w:proofErr w:type="spellEnd"/>
      <w:r>
        <w:t xml:space="preserve"> would agree, the intention instilled in each of the uniquely picked stones continues to interact with both humans and non-humans dwelling in the Garden space.   </w:t>
      </w:r>
    </w:p>
    <w:p w14:paraId="5F9C9811" w14:textId="77777777" w:rsidR="006F03FB" w:rsidRDefault="006F03FB">
      <w:pPr>
        <w:ind w:firstLine="720"/>
      </w:pPr>
    </w:p>
    <w:p w14:paraId="5F9C9812" w14:textId="54E6FB6B" w:rsidR="006F03FB" w:rsidRDefault="00FE3471">
      <w:r>
        <w:rPr>
          <w:b/>
          <w:noProof/>
        </w:rPr>
        <w:drawing>
          <wp:inline distT="0" distB="0" distL="0" distR="0" wp14:anchorId="2C1B17C6" wp14:editId="335CE4F8">
            <wp:extent cx="4419600" cy="14698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26142" cy="1472071"/>
                    </a:xfrm>
                    <a:prstGeom prst="rect">
                      <a:avLst/>
                    </a:prstGeom>
                    <a:noFill/>
                    <a:ln>
                      <a:noFill/>
                    </a:ln>
                  </pic:spPr>
                </pic:pic>
              </a:graphicData>
            </a:graphic>
          </wp:inline>
        </w:drawing>
      </w:r>
    </w:p>
    <w:p w14:paraId="5F9C9813" w14:textId="3F6885FD" w:rsidR="006F03FB" w:rsidRDefault="003B6B8A">
      <w:pPr>
        <w:rPr>
          <w:b/>
          <w:sz w:val="18"/>
          <w:szCs w:val="18"/>
        </w:rPr>
      </w:pPr>
      <w:r>
        <w:rPr>
          <w:b/>
          <w:sz w:val="18"/>
          <w:szCs w:val="18"/>
        </w:rPr>
        <w:t xml:space="preserve">Photo 2: </w:t>
      </w:r>
      <w:proofErr w:type="spellStart"/>
      <w:r>
        <w:rPr>
          <w:b/>
          <w:sz w:val="18"/>
          <w:szCs w:val="18"/>
        </w:rPr>
        <w:t>Zagunis</w:t>
      </w:r>
      <w:proofErr w:type="spellEnd"/>
      <w:r>
        <w:rPr>
          <w:b/>
          <w:sz w:val="18"/>
          <w:szCs w:val="18"/>
        </w:rPr>
        <w:t xml:space="preserve"> Castle Wall</w:t>
      </w:r>
      <w:r w:rsidR="00CE4824">
        <w:rPr>
          <w:rStyle w:val="FootnoteReference"/>
          <w:b/>
          <w:sz w:val="18"/>
          <w:szCs w:val="18"/>
        </w:rPr>
        <w:footnoteReference w:id="27"/>
      </w:r>
    </w:p>
    <w:p w14:paraId="5F9C9814" w14:textId="77777777" w:rsidR="006F03FB" w:rsidRDefault="006F03FB"/>
    <w:p w14:paraId="5F9C9815" w14:textId="6D24E910" w:rsidR="006F03FB" w:rsidRDefault="00731A57">
      <w:r>
        <w:rPr>
          <w:noProof/>
        </w:rPr>
        <w:lastRenderedPageBreak/>
        <w:drawing>
          <wp:inline distT="0" distB="0" distL="0" distR="0" wp14:anchorId="3109120A" wp14:editId="3D000EBB">
            <wp:extent cx="4071938" cy="2151962"/>
            <wp:effectExtent l="0" t="0" r="508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84941" cy="2158834"/>
                    </a:xfrm>
                    <a:prstGeom prst="rect">
                      <a:avLst/>
                    </a:prstGeom>
                    <a:noFill/>
                    <a:ln>
                      <a:noFill/>
                    </a:ln>
                  </pic:spPr>
                </pic:pic>
              </a:graphicData>
            </a:graphic>
          </wp:inline>
        </w:drawing>
      </w:r>
    </w:p>
    <w:p w14:paraId="5F9C9816" w14:textId="39E0CF4C" w:rsidR="006F03FB" w:rsidRDefault="003B6B8A">
      <w:pPr>
        <w:rPr>
          <w:b/>
          <w:sz w:val="18"/>
          <w:szCs w:val="18"/>
        </w:rPr>
      </w:pPr>
      <w:r>
        <w:rPr>
          <w:b/>
          <w:sz w:val="18"/>
          <w:szCs w:val="18"/>
        </w:rPr>
        <w:t xml:space="preserve">Photo 3: </w:t>
      </w:r>
      <w:r w:rsidR="00731A57">
        <w:rPr>
          <w:b/>
          <w:sz w:val="18"/>
          <w:szCs w:val="18"/>
        </w:rPr>
        <w:t>Summer v</w:t>
      </w:r>
      <w:r w:rsidR="001C050D">
        <w:rPr>
          <w:b/>
          <w:sz w:val="18"/>
          <w:szCs w:val="18"/>
        </w:rPr>
        <w:t>iew of</w:t>
      </w:r>
      <w:r>
        <w:rPr>
          <w:b/>
          <w:sz w:val="18"/>
          <w:szCs w:val="18"/>
        </w:rPr>
        <w:t xml:space="preserve"> the Flat Garden</w:t>
      </w:r>
      <w:r w:rsidR="001C050D">
        <w:rPr>
          <w:b/>
          <w:sz w:val="18"/>
          <w:szCs w:val="18"/>
        </w:rPr>
        <w:t xml:space="preserve"> </w:t>
      </w:r>
      <w:proofErr w:type="spellStart"/>
      <w:r w:rsidR="001C050D" w:rsidRPr="00695CBE">
        <w:rPr>
          <w:b/>
          <w:i/>
          <w:iCs/>
          <w:sz w:val="18"/>
          <w:szCs w:val="18"/>
        </w:rPr>
        <w:t>Karesansui</w:t>
      </w:r>
      <w:proofErr w:type="spellEnd"/>
      <w:r w:rsidR="001C050D">
        <w:rPr>
          <w:b/>
          <w:sz w:val="18"/>
          <w:szCs w:val="18"/>
        </w:rPr>
        <w:t xml:space="preserve"> from Garden Pavilion west veranda</w:t>
      </w:r>
      <w:r w:rsidR="00B571C5">
        <w:rPr>
          <w:rStyle w:val="FootnoteReference"/>
          <w:b/>
          <w:sz w:val="18"/>
          <w:szCs w:val="18"/>
        </w:rPr>
        <w:footnoteReference w:id="28"/>
      </w:r>
    </w:p>
    <w:p w14:paraId="5F9C9817" w14:textId="77777777" w:rsidR="006F03FB" w:rsidRDefault="006F03FB">
      <w:pPr>
        <w:ind w:firstLine="720"/>
      </w:pPr>
    </w:p>
    <w:p w14:paraId="207992CA" w14:textId="77777777" w:rsidR="000F5A9B" w:rsidRDefault="003B6B8A" w:rsidP="00BE0768">
      <w:pPr>
        <w:ind w:right="34" w:firstLine="720"/>
      </w:pPr>
      <w:r>
        <w:t xml:space="preserve">As a design application, </w:t>
      </w:r>
      <w:r>
        <w:rPr>
          <w:i/>
        </w:rPr>
        <w:t>Ma</w:t>
      </w:r>
      <w:r>
        <w:t xml:space="preserve"> can also be seen evidently on a larger scale. The </w:t>
      </w:r>
      <w:proofErr w:type="spellStart"/>
      <w:r>
        <w:rPr>
          <w:i/>
        </w:rPr>
        <w:t>Karesansui</w:t>
      </w:r>
      <w:proofErr w:type="spellEnd"/>
      <w:r>
        <w:t xml:space="preserve"> (Photo 3) technique, “dry-mountain-water”</w:t>
      </w:r>
      <w:r>
        <w:rPr>
          <w:vertAlign w:val="superscript"/>
        </w:rPr>
        <w:footnoteReference w:id="29"/>
      </w:r>
      <w:r>
        <w:t xml:space="preserve"> is a demonstration of space. </w:t>
      </w:r>
      <w:proofErr w:type="spellStart"/>
      <w:r>
        <w:rPr>
          <w:i/>
        </w:rPr>
        <w:t>Karesansui</w:t>
      </w:r>
      <w:proofErr w:type="spellEnd"/>
      <w:r>
        <w:t xml:space="preserve"> is a seemingly empty space in the garden that represents an imaginary landscape. Composed of stones and white raked sand, they symbolize mountains and oceans respectively. Intentionally spread out in large areas in the design to engage participants for contemplation. This technique is similarly applied in Japanese and Chinese ink-wash paintings, leaving pieces of empty space for viewers to pause and create their own experiences as they participate in the art. Throughout the Portland Japanese Garden, </w:t>
      </w:r>
      <w:proofErr w:type="spellStart"/>
      <w:r>
        <w:rPr>
          <w:i/>
        </w:rPr>
        <w:t>Karesansui</w:t>
      </w:r>
      <w:proofErr w:type="spellEnd"/>
      <w:r>
        <w:rPr>
          <w:i/>
        </w:rPr>
        <w:t xml:space="preserve"> </w:t>
      </w:r>
      <w:r>
        <w:t xml:space="preserve">is especially evident in the Flat Garden and the Sand and Stone Garden. In </w:t>
      </w:r>
      <w:proofErr w:type="gramStart"/>
      <w:r>
        <w:t>both of the gardens</w:t>
      </w:r>
      <w:proofErr w:type="gramEnd"/>
      <w:r>
        <w:t xml:space="preserve">, </w:t>
      </w:r>
      <w:r>
        <w:rPr>
          <w:i/>
        </w:rPr>
        <w:t>Ma</w:t>
      </w:r>
      <w:r>
        <w:t xml:space="preserve"> invoked the embodiment of the landscape with our inner interactions with the garden. Supported by Belden Lane, the experience of the moment of sacred presence is, “a situation to experience oneself simultaneously in a situation of </w:t>
      </w:r>
      <w:proofErr w:type="spellStart"/>
      <w:r>
        <w:rPr>
          <w:i/>
        </w:rPr>
        <w:t>chora</w:t>
      </w:r>
      <w:proofErr w:type="spellEnd"/>
      <w:r>
        <w:t xml:space="preserve"> and a moment of </w:t>
      </w:r>
      <w:proofErr w:type="spellStart"/>
      <w:r>
        <w:rPr>
          <w:i/>
        </w:rPr>
        <w:t>kairos</w:t>
      </w:r>
      <w:proofErr w:type="spellEnd"/>
      <w:r>
        <w:t>…”</w:t>
      </w:r>
      <w:r>
        <w:rPr>
          <w:vertAlign w:val="superscript"/>
        </w:rPr>
        <w:footnoteReference w:id="30"/>
      </w:r>
      <w:r>
        <w:t xml:space="preserve">. It allowed the participants to correspond with the place and create meaning in their own experiences. </w:t>
      </w:r>
    </w:p>
    <w:p w14:paraId="5F9C9819" w14:textId="2CC86FE6" w:rsidR="006F03FB" w:rsidRDefault="003B6B8A" w:rsidP="00BE0768">
      <w:pPr>
        <w:ind w:right="34" w:firstLine="720"/>
      </w:pPr>
      <w:r>
        <w:t xml:space="preserve"> </w:t>
      </w:r>
    </w:p>
    <w:p w14:paraId="5F9C981B" w14:textId="654AE64D" w:rsidR="006F03FB" w:rsidRDefault="003B6B8A" w:rsidP="00BE0768">
      <w:pPr>
        <w:ind w:right="34" w:firstLine="720"/>
      </w:pPr>
      <w:r>
        <w:t xml:space="preserve"> </w:t>
      </w:r>
      <w:sdt>
        <w:sdtPr>
          <w:tag w:val="goog_rdk_2"/>
          <w:id w:val="1219250226"/>
        </w:sdtPr>
        <w:sdtEndPr/>
        <w:sdtContent/>
      </w:sdt>
      <w:r>
        <w:t>According to the garden docent, there are three main elements of nature in the Garden, they were rocks, water, and plants. The three elements bring life to the garden like a body. Rocks represent bones, water as water features or paths representing blood or lifeforce, and plants represent life.</w:t>
      </w:r>
      <w:r w:rsidR="00C779A1">
        <w:rPr>
          <w:rStyle w:val="FootnoteReference"/>
        </w:rPr>
        <w:footnoteReference w:id="31"/>
      </w:r>
      <w:r>
        <w:t xml:space="preserve"> With various compositions in the different garden spaces, each of their interactions brings unique textures, </w:t>
      </w:r>
      <w:proofErr w:type="spellStart"/>
      <w:r>
        <w:t>colors</w:t>
      </w:r>
      <w:proofErr w:type="spellEnd"/>
      <w:r>
        <w:t xml:space="preserve">, smells, forms, and shapes that express a unique world of its own. the Garden came alive as I participated in sensing the garden’s “body” with my senses. As Levy </w:t>
      </w:r>
      <w:proofErr w:type="spellStart"/>
      <w:r>
        <w:t>Bruhl</w:t>
      </w:r>
      <w:proofErr w:type="spellEnd"/>
      <w:r>
        <w:t xml:space="preserve"> wrote, “participation is first felt before it is thought”</w:t>
      </w:r>
      <w:r>
        <w:rPr>
          <w:vertAlign w:val="superscript"/>
        </w:rPr>
        <w:footnoteReference w:id="32"/>
      </w:r>
      <w:r>
        <w:t xml:space="preserve">. From the lush summer green to the bare “bones” in the Winter, I contemplated our similar makeup and mortality in the changing of seasons. </w:t>
      </w:r>
    </w:p>
    <w:p w14:paraId="096CFCDF" w14:textId="77777777" w:rsidR="000F5A9B" w:rsidRDefault="000F5A9B" w:rsidP="00BE0768">
      <w:pPr>
        <w:ind w:right="34" w:firstLine="720"/>
      </w:pPr>
    </w:p>
    <w:p w14:paraId="5F9C981C" w14:textId="77777777" w:rsidR="006F03FB" w:rsidRDefault="003B6B8A">
      <w:pPr>
        <w:ind w:right="34" w:firstLine="720"/>
      </w:pPr>
      <w:r>
        <w:t xml:space="preserve">As a sacred place, the presence of </w:t>
      </w:r>
      <w:r>
        <w:rPr>
          <w:i/>
        </w:rPr>
        <w:t>Ma</w:t>
      </w:r>
      <w:r>
        <w:t xml:space="preserve"> is evident in the Portland Japanese Garden from the design to the embodiment of the place. Each garden was created from an intention and a </w:t>
      </w:r>
      <w:proofErr w:type="spellStart"/>
      <w:r>
        <w:t>center</w:t>
      </w:r>
      <w:proofErr w:type="spellEnd"/>
      <w:r>
        <w:t xml:space="preserve">, each step was revealed through an epiphany of the materials. As Eliade would describe, the creation of the garden would be considered a sacred </w:t>
      </w:r>
      <w:proofErr w:type="spellStart"/>
      <w:r>
        <w:t>hierophany</w:t>
      </w:r>
      <w:proofErr w:type="spellEnd"/>
      <w:r>
        <w:t xml:space="preserve"> itself. The garden plan reveals itself similarly as a participatory cosmos, co-creating a web of harmonious interaction between living beings and the </w:t>
      </w:r>
      <w:r>
        <w:lastRenderedPageBreak/>
        <w:t xml:space="preserve">natural world. In the light of cosmogony and participation, we will take a closer look at how rituals come into play as a form of participation in the universe of the Japanese Garden. </w:t>
      </w:r>
    </w:p>
    <w:p w14:paraId="5F9C981D" w14:textId="77777777" w:rsidR="006F03FB" w:rsidRDefault="006F03FB">
      <w:pPr>
        <w:ind w:firstLine="720"/>
      </w:pPr>
    </w:p>
    <w:p w14:paraId="5F9C981E" w14:textId="77777777" w:rsidR="006F03FB" w:rsidRDefault="003B6B8A">
      <w:pPr>
        <w:rPr>
          <w:b/>
        </w:rPr>
      </w:pPr>
      <w:r>
        <w:rPr>
          <w:b/>
        </w:rPr>
        <w:t>Rituals</w:t>
      </w:r>
    </w:p>
    <w:p w14:paraId="5F9C981F" w14:textId="1BBF7883" w:rsidR="006F03FB" w:rsidRDefault="003B6B8A">
      <w:pPr>
        <w:ind w:firstLine="720"/>
      </w:pPr>
      <w:r>
        <w:t xml:space="preserve">Eliade defined rituals as a practice to re-enact a cosmogony to achieve “returns of origins”, and Durkheim defined ritual as a communal practice to </w:t>
      </w:r>
      <w:proofErr w:type="spellStart"/>
      <w:r>
        <w:t>fulfill</w:t>
      </w:r>
      <w:proofErr w:type="spellEnd"/>
      <w:r>
        <w:t xml:space="preserve"> needs of the human nature, and ultimately to transcend an individual from death to rebirth. Similarly, there are some Japanese rituals that are practiced cyclically with the concept of “return of origins” and to transcend life and death, while there are also a variety of rituals focused on living and participating in life. As an individual and a communal practice, rituals in the garden act as an agent of participation. Rituals engage participants to be present in the immediate surroundings and in their own lives. Supported by the second axiom by Lane “A sacred place is ordinary place, ritually made extraordinary”</w:t>
      </w:r>
      <w:r>
        <w:rPr>
          <w:vertAlign w:val="superscript"/>
        </w:rPr>
        <w:footnoteReference w:id="33"/>
      </w:r>
      <w:r>
        <w:t xml:space="preserve">, the Portland Japanese Garden made use of rituals to transform the land into a sacred place with presence. In the light of presence, the mindfully curated and maintained space and paths itself is a ritual. Every ritual from tea meditation, breathing meditation, to walking through the garden is a ritual. They are all different ways to engage participants to respond and interact with the environment by “being there”. Therefore, each visit would feel like a ritual of its own. </w:t>
      </w:r>
      <w:proofErr w:type="gramStart"/>
      <w:r>
        <w:t>However, traditionally speaking, there</w:t>
      </w:r>
      <w:proofErr w:type="gramEnd"/>
      <w:r>
        <w:t xml:space="preserve"> are also a variety of historical rituals that are introduced and performed in the garden. The selected few I have witnessed include the cyclical New Year ritual </w:t>
      </w:r>
      <w:proofErr w:type="spellStart"/>
      <w:r w:rsidR="00DA38CC">
        <w:rPr>
          <w:i/>
        </w:rPr>
        <w:t>s</w:t>
      </w:r>
      <w:r>
        <w:rPr>
          <w:i/>
        </w:rPr>
        <w:t>himenawa</w:t>
      </w:r>
      <w:proofErr w:type="spellEnd"/>
      <w:r>
        <w:t xml:space="preserve">, the day-to-day ritual </w:t>
      </w:r>
      <w:r w:rsidR="00DA38CC">
        <w:rPr>
          <w:i/>
        </w:rPr>
        <w:t>w</w:t>
      </w:r>
      <w:r>
        <w:rPr>
          <w:i/>
        </w:rPr>
        <w:t xml:space="preserve">abi </w:t>
      </w:r>
      <w:proofErr w:type="spellStart"/>
      <w:r w:rsidR="00DA38CC">
        <w:rPr>
          <w:i/>
        </w:rPr>
        <w:t>s</w:t>
      </w:r>
      <w:r>
        <w:rPr>
          <w:i/>
        </w:rPr>
        <w:t>abi</w:t>
      </w:r>
      <w:proofErr w:type="spellEnd"/>
      <w:r>
        <w:t xml:space="preserve"> and the artistic ritual of </w:t>
      </w:r>
      <w:r w:rsidR="00DA38CC">
        <w:rPr>
          <w:i/>
        </w:rPr>
        <w:t>h</w:t>
      </w:r>
      <w:r>
        <w:rPr>
          <w:i/>
        </w:rPr>
        <w:t>aiku</w:t>
      </w:r>
      <w:r>
        <w:t xml:space="preserve">. </w:t>
      </w:r>
    </w:p>
    <w:p w14:paraId="5F9C9820" w14:textId="77777777" w:rsidR="006F03FB" w:rsidRDefault="006F03FB">
      <w:pPr>
        <w:ind w:firstLine="720"/>
      </w:pPr>
    </w:p>
    <w:p w14:paraId="5F9C9821" w14:textId="77777777" w:rsidR="006F03FB" w:rsidRDefault="003B6B8A">
      <w:pPr>
        <w:rPr>
          <w:b/>
          <w:sz w:val="18"/>
          <w:szCs w:val="18"/>
        </w:rPr>
      </w:pPr>
      <w:r>
        <w:rPr>
          <w:b/>
          <w:noProof/>
          <w:sz w:val="18"/>
          <w:szCs w:val="18"/>
        </w:rPr>
        <w:drawing>
          <wp:inline distT="114300" distB="114300" distL="114300" distR="114300" wp14:anchorId="5F9C9858" wp14:editId="5F9C9859">
            <wp:extent cx="2010966" cy="2681288"/>
            <wp:effectExtent l="0" t="0" r="0" b="0"/>
            <wp:docPr id="18"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2010966" cy="2681288"/>
                    </a:xfrm>
                    <a:prstGeom prst="rect">
                      <a:avLst/>
                    </a:prstGeom>
                    <a:ln/>
                  </pic:spPr>
                </pic:pic>
              </a:graphicData>
            </a:graphic>
          </wp:inline>
        </w:drawing>
      </w:r>
      <w:r>
        <w:rPr>
          <w:b/>
          <w:sz w:val="18"/>
          <w:szCs w:val="18"/>
        </w:rPr>
        <w:t xml:space="preserve">      </w:t>
      </w:r>
    </w:p>
    <w:p w14:paraId="5F9C9822" w14:textId="453AA907" w:rsidR="006F03FB" w:rsidRDefault="003B6B8A">
      <w:pPr>
        <w:rPr>
          <w:b/>
          <w:sz w:val="18"/>
          <w:szCs w:val="18"/>
        </w:rPr>
      </w:pPr>
      <w:r>
        <w:rPr>
          <w:b/>
          <w:sz w:val="18"/>
          <w:szCs w:val="18"/>
        </w:rPr>
        <w:t xml:space="preserve">Photo 4: </w:t>
      </w:r>
      <w:proofErr w:type="spellStart"/>
      <w:r>
        <w:rPr>
          <w:b/>
          <w:sz w:val="18"/>
          <w:szCs w:val="18"/>
        </w:rPr>
        <w:t>Shimenawa</w:t>
      </w:r>
      <w:proofErr w:type="spellEnd"/>
      <w:r>
        <w:rPr>
          <w:b/>
          <w:sz w:val="18"/>
          <w:szCs w:val="18"/>
        </w:rPr>
        <w:t xml:space="preserve"> at the Antique Gate</w:t>
      </w:r>
      <w:r w:rsidR="00D60BA7">
        <w:rPr>
          <w:rStyle w:val="FootnoteReference"/>
          <w:b/>
          <w:sz w:val="18"/>
          <w:szCs w:val="18"/>
        </w:rPr>
        <w:footnoteReference w:id="34"/>
      </w:r>
      <w:r>
        <w:rPr>
          <w:b/>
          <w:sz w:val="18"/>
          <w:szCs w:val="18"/>
        </w:rPr>
        <w:t xml:space="preserve">                                                               </w:t>
      </w:r>
    </w:p>
    <w:p w14:paraId="5F9C9826" w14:textId="77777777" w:rsidR="006F03FB" w:rsidRDefault="006F03FB"/>
    <w:p w14:paraId="5F9C9827" w14:textId="77777777" w:rsidR="006F03FB" w:rsidRDefault="003B6B8A">
      <w:pPr>
        <w:ind w:firstLine="720"/>
      </w:pPr>
      <w:proofErr w:type="spellStart"/>
      <w:r>
        <w:rPr>
          <w:i/>
        </w:rPr>
        <w:t>Shimenawa</w:t>
      </w:r>
      <w:proofErr w:type="spellEnd"/>
      <w:r>
        <w:t xml:space="preserve"> (Photo 4) is a cyclical ritual. It is a rope hung on the inner roof of the main garden gate at the beginning of the New Year. These blessed ropes are made of twisted rice straws used for ritual purification. Placed at the gate, it indicates a border of sacred space, warding off evil spirits from entering the place. The supernatural element and the periodical re-enactment of the “returns of origins” resonate with Eliade’s theory. The use of the ritual announced the start of the new year as a sacred time and revealed the Garden as a sacred place with a clear border separating the outside from the inside.  </w:t>
      </w:r>
    </w:p>
    <w:p w14:paraId="5F9C9828" w14:textId="7271C509" w:rsidR="006F03FB" w:rsidRDefault="009A3E60" w:rsidP="009A3E60">
      <w:r>
        <w:rPr>
          <w:noProof/>
        </w:rPr>
        <w:lastRenderedPageBreak/>
        <w:drawing>
          <wp:inline distT="0" distB="0" distL="0" distR="0" wp14:anchorId="2EBD7A61" wp14:editId="527E2211">
            <wp:extent cx="3544651" cy="218598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7990" cy="2194214"/>
                    </a:xfrm>
                    <a:prstGeom prst="rect">
                      <a:avLst/>
                    </a:prstGeom>
                    <a:noFill/>
                    <a:ln>
                      <a:noFill/>
                    </a:ln>
                  </pic:spPr>
                </pic:pic>
              </a:graphicData>
            </a:graphic>
          </wp:inline>
        </w:drawing>
      </w:r>
    </w:p>
    <w:p w14:paraId="7F8A655C" w14:textId="56CF72DA" w:rsidR="0077541A" w:rsidRPr="009A3E60" w:rsidRDefault="0077541A" w:rsidP="009A3E60">
      <w:pPr>
        <w:rPr>
          <w:b/>
          <w:bCs/>
          <w:sz w:val="18"/>
          <w:szCs w:val="18"/>
        </w:rPr>
      </w:pPr>
      <w:r w:rsidRPr="009A3E60">
        <w:rPr>
          <w:b/>
          <w:bCs/>
          <w:sz w:val="18"/>
          <w:szCs w:val="18"/>
        </w:rPr>
        <w:t>Photo 5</w:t>
      </w:r>
      <w:r w:rsidR="009A3E60" w:rsidRPr="009A3E60">
        <w:rPr>
          <w:b/>
          <w:bCs/>
          <w:sz w:val="18"/>
          <w:szCs w:val="18"/>
        </w:rPr>
        <w:t>: Sand and Stones Garden</w:t>
      </w:r>
      <w:r w:rsidR="007B32F6">
        <w:rPr>
          <w:rStyle w:val="FootnoteReference"/>
          <w:b/>
          <w:bCs/>
          <w:sz w:val="18"/>
          <w:szCs w:val="18"/>
        </w:rPr>
        <w:footnoteReference w:id="35"/>
      </w:r>
    </w:p>
    <w:p w14:paraId="1AF2A6CD" w14:textId="77777777" w:rsidR="0077541A" w:rsidRDefault="0077541A">
      <w:pPr>
        <w:ind w:firstLine="720"/>
      </w:pPr>
    </w:p>
    <w:p w14:paraId="5F9C9829" w14:textId="77777777" w:rsidR="006F03FB" w:rsidRDefault="003B6B8A">
      <w:pPr>
        <w:ind w:firstLine="720"/>
      </w:pPr>
      <w:r>
        <w:t xml:space="preserve">Besides annually repeated rituals, there are also a variety of rituals practiced regularly in the garden. </w:t>
      </w:r>
      <w:r>
        <w:rPr>
          <w:i/>
        </w:rPr>
        <w:t xml:space="preserve">wabi </w:t>
      </w:r>
      <w:proofErr w:type="spellStart"/>
      <w:r>
        <w:rPr>
          <w:i/>
        </w:rPr>
        <w:t>sabi</w:t>
      </w:r>
      <w:proofErr w:type="spellEnd"/>
      <w:r>
        <w:t xml:space="preserve"> is one of them. </w:t>
      </w:r>
      <w:r>
        <w:rPr>
          <w:i/>
        </w:rPr>
        <w:t xml:space="preserve">Wabi </w:t>
      </w:r>
      <w:proofErr w:type="spellStart"/>
      <w:r>
        <w:rPr>
          <w:i/>
        </w:rPr>
        <w:t>sabi</w:t>
      </w:r>
      <w:proofErr w:type="spellEnd"/>
      <w:r>
        <w:t xml:space="preserve"> is a constant practice seen in the technical maintenance of the garden. The concept resembles part of the Durkheimian ritual as a ritual to </w:t>
      </w:r>
      <w:proofErr w:type="spellStart"/>
      <w:r>
        <w:t>fulfill</w:t>
      </w:r>
      <w:proofErr w:type="spellEnd"/>
      <w:r>
        <w:t xml:space="preserve"> the nature of human needs. Unlike the Durkheimian ritual, </w:t>
      </w:r>
      <w:r>
        <w:rPr>
          <w:i/>
        </w:rPr>
        <w:t xml:space="preserve">wabi </w:t>
      </w:r>
      <w:proofErr w:type="spellStart"/>
      <w:r>
        <w:rPr>
          <w:i/>
        </w:rPr>
        <w:t>sabi</w:t>
      </w:r>
      <w:proofErr w:type="spellEnd"/>
      <w:r>
        <w:t xml:space="preserve"> is not only limited to the idea of transcending death to rebirth, rather it celebrates the concept of aging. It is a way to appreciate the strength and beauty of things being impermanent. From a perspective of perfectly imperfect, there is beauty in all things including the broken, the worn out and the ordinary. Pondering on my own mortality in the garden during winter, </w:t>
      </w:r>
      <w:r>
        <w:rPr>
          <w:i/>
        </w:rPr>
        <w:t xml:space="preserve">wabi </w:t>
      </w:r>
      <w:proofErr w:type="spellStart"/>
      <w:r>
        <w:rPr>
          <w:i/>
        </w:rPr>
        <w:t>sabi</w:t>
      </w:r>
      <w:proofErr w:type="spellEnd"/>
      <w:r>
        <w:t xml:space="preserve"> was seen re-enacted everywhere throughout the place. An artistic example of </w:t>
      </w:r>
      <w:r>
        <w:rPr>
          <w:i/>
        </w:rPr>
        <w:t xml:space="preserve">wabi </w:t>
      </w:r>
      <w:proofErr w:type="spellStart"/>
      <w:r>
        <w:rPr>
          <w:i/>
        </w:rPr>
        <w:t>sabi</w:t>
      </w:r>
      <w:proofErr w:type="spellEnd"/>
      <w:r>
        <w:t xml:space="preserve"> came to mind was the art of ceramic restoration or golden joinery, making use of gold lacquer to join and transcend broken pieces into a new form. Like golden joinery, the Garden itself was reborn from the old Oregon Zoo. Parts of the zoo structure are still being preserved and blended seamlessly into the environment intentionally. Antique architecture and structures are well maintained and used to allow natural wear and tear. As seen in the Sand and Stone Garden (Photo 5), minor cracks are intentionally kept and seen as a part of the interactions of the environment. It is an aesthetic of </w:t>
      </w:r>
      <w:r>
        <w:rPr>
          <w:i/>
        </w:rPr>
        <w:t xml:space="preserve">wabi </w:t>
      </w:r>
      <w:proofErr w:type="spellStart"/>
      <w:r>
        <w:rPr>
          <w:i/>
        </w:rPr>
        <w:t>sabi</w:t>
      </w:r>
      <w:proofErr w:type="spellEnd"/>
      <w:r>
        <w:t xml:space="preserve">, and a reminder that life and wonder exist in all things including the ordinary. </w:t>
      </w:r>
    </w:p>
    <w:p w14:paraId="5F9C982A" w14:textId="77777777" w:rsidR="006F03FB" w:rsidRDefault="006F03FB"/>
    <w:p w14:paraId="5F9C982B" w14:textId="77777777" w:rsidR="006F03FB" w:rsidRDefault="003B6B8A">
      <w:pPr>
        <w:ind w:firstLine="720"/>
      </w:pPr>
      <w:r>
        <w:t xml:space="preserve">Japanese rituals are also very often practiced in various art forms for contemplation, one of them being the practice of </w:t>
      </w:r>
      <w:r>
        <w:rPr>
          <w:i/>
        </w:rPr>
        <w:t>haiku</w:t>
      </w:r>
      <w:r>
        <w:t>. Haiku is a practice of poetry writing that was also adopted as a zen ritual in Japanese culture. On an ordinary sidewalk close to the balcony overlooking the Sand and Stone Garden, a</w:t>
      </w:r>
      <w:r>
        <w:rPr>
          <w:i/>
        </w:rPr>
        <w:t xml:space="preserve"> haiku</w:t>
      </w:r>
      <w:r>
        <w:t xml:space="preserve"> was found on a stone among the lush evergreen. The intent of a </w:t>
      </w:r>
      <w:r>
        <w:rPr>
          <w:i/>
        </w:rPr>
        <w:t>haiku</w:t>
      </w:r>
      <w:r>
        <w:t xml:space="preserve"> was to present “an illuminating moment or perception, a satori…”</w:t>
      </w:r>
      <w:r>
        <w:rPr>
          <w:vertAlign w:val="superscript"/>
        </w:rPr>
        <w:footnoteReference w:id="36"/>
      </w:r>
      <w:r>
        <w:t xml:space="preserve"> that is experienced in nature. With a limit of 17 syllables, the short poem allows </w:t>
      </w:r>
      <w:r>
        <w:rPr>
          <w:i/>
        </w:rPr>
        <w:t>Ma</w:t>
      </w:r>
      <w:r>
        <w:t xml:space="preserve"> or space for imagination and the creation of meanings. This </w:t>
      </w:r>
      <w:r>
        <w:rPr>
          <w:i/>
        </w:rPr>
        <w:t>haiku</w:t>
      </w:r>
      <w:r>
        <w:t xml:space="preserve"> was not placed on a pedestal nor in a particular spotlight, it appeared as a part of the interactions that popped up in the garden. Written by a well-known Japanese poet </w:t>
      </w:r>
      <w:proofErr w:type="spellStart"/>
      <w:r>
        <w:t>Mizuhara</w:t>
      </w:r>
      <w:proofErr w:type="spellEnd"/>
      <w:r>
        <w:t xml:space="preserve"> </w:t>
      </w:r>
      <w:proofErr w:type="spellStart"/>
      <w:r>
        <w:t>Shuoshi</w:t>
      </w:r>
      <w:proofErr w:type="spellEnd"/>
      <w:r>
        <w:t xml:space="preserve"> (1892-1981) during his visit to the garden. The brief </w:t>
      </w:r>
      <w:r>
        <w:rPr>
          <w:i/>
        </w:rPr>
        <w:t>haiku</w:t>
      </w:r>
      <w:r>
        <w:t xml:space="preserve"> tells a snapshot of his visit. It read, </w:t>
      </w:r>
    </w:p>
    <w:p w14:paraId="5F9C982C" w14:textId="77777777" w:rsidR="006F03FB" w:rsidRDefault="006F03FB">
      <w:pPr>
        <w:ind w:firstLine="720"/>
      </w:pPr>
    </w:p>
    <w:p w14:paraId="5F9C982D" w14:textId="77777777" w:rsidR="006F03FB" w:rsidRDefault="003B6B8A">
      <w:pPr>
        <w:ind w:firstLine="720"/>
      </w:pPr>
      <w:r>
        <w:t>“Here, miles from Japan</w:t>
      </w:r>
    </w:p>
    <w:p w14:paraId="5F9C982E" w14:textId="77777777" w:rsidR="006F03FB" w:rsidRDefault="003B6B8A">
      <w:pPr>
        <w:ind w:firstLine="720"/>
      </w:pPr>
      <w:r>
        <w:t>I stand as if warmed by the</w:t>
      </w:r>
    </w:p>
    <w:p w14:paraId="5F9C982F" w14:textId="77777777" w:rsidR="006F03FB" w:rsidRDefault="003B6B8A">
      <w:pPr>
        <w:ind w:firstLine="720"/>
      </w:pPr>
      <w:r>
        <w:t>Spring sunshine of home”</w:t>
      </w:r>
    </w:p>
    <w:p w14:paraId="5F9C9830" w14:textId="77777777" w:rsidR="006F03FB" w:rsidRDefault="006F03FB">
      <w:pPr>
        <w:ind w:firstLine="720"/>
      </w:pPr>
    </w:p>
    <w:p w14:paraId="5F9C9831" w14:textId="77777777" w:rsidR="006F03FB" w:rsidRDefault="003B6B8A">
      <w:pPr>
        <w:ind w:firstLine="720"/>
      </w:pPr>
      <w:r>
        <w:lastRenderedPageBreak/>
        <w:t>The present tense reproduces the moment in time as if it was replaying again in the reader’s presence.</w:t>
      </w:r>
      <w:r>
        <w:rPr>
          <w:i/>
        </w:rPr>
        <w:t xml:space="preserve"> Haiku</w:t>
      </w:r>
      <w:r>
        <w:t xml:space="preserve"> usually expresses a few images to ignite “soft explosions”</w:t>
      </w:r>
      <w:r>
        <w:rPr>
          <w:vertAlign w:val="superscript"/>
        </w:rPr>
        <w:footnoteReference w:id="37"/>
      </w:r>
      <w:r>
        <w:t xml:space="preserve"> of universal truths in the reader’s mind. For this poem, the explosion for me was the idea of home as a “Place” that could be felt under the sun as sacredness. As Eagleton described, rituals have become ingrained in the Japanese culture as a way of living, “it is what comes naturally, bred in the bone rather than conceived by the brain”</w:t>
      </w:r>
      <w:r>
        <w:rPr>
          <w:vertAlign w:val="superscript"/>
        </w:rPr>
        <w:footnoteReference w:id="38"/>
      </w:r>
      <w:r>
        <w:t>. Through constant participation in rituals and the re-enactment of the practices, the garden became a practice ground for presence, transforming itself from an ordinary place into a sacred place.</w:t>
      </w:r>
    </w:p>
    <w:p w14:paraId="5F9C9832" w14:textId="77777777" w:rsidR="006F03FB" w:rsidRDefault="006F03FB"/>
    <w:p w14:paraId="5F9C9833" w14:textId="77777777" w:rsidR="006F03FB" w:rsidRDefault="003B6B8A">
      <w:pPr>
        <w:rPr>
          <w:b/>
        </w:rPr>
      </w:pPr>
      <w:r>
        <w:rPr>
          <w:b/>
        </w:rPr>
        <w:t>Myths</w:t>
      </w:r>
    </w:p>
    <w:p w14:paraId="5F9C9834" w14:textId="77777777" w:rsidR="006F03FB" w:rsidRDefault="003B6B8A">
      <w:pPr>
        <w:ind w:firstLine="720"/>
      </w:pPr>
      <w:r>
        <w:t xml:space="preserve"> Myths are like rituals in a way they are stories repeatedly told and retold. In the garden, myths are presented with </w:t>
      </w:r>
      <w:r>
        <w:rPr>
          <w:i/>
        </w:rPr>
        <w:t>Ma</w:t>
      </w:r>
      <w:r>
        <w:t>, they appeared as allusions integrated into the architecture and garden arrangements. Without much explanations or minimal descriptions, it is a way to give space to inspire engagement and the creation of meanings by the participants themselves. “To exist at all, all communities must be imagined.”</w:t>
      </w:r>
      <w:r>
        <w:rPr>
          <w:vertAlign w:val="superscript"/>
        </w:rPr>
        <w:footnoteReference w:id="39"/>
      </w:r>
      <w:r>
        <w:t xml:space="preserve"> Just as Durkheim considered all forms of communities to be representations of “the real”</w:t>
      </w:r>
      <w:r>
        <w:rPr>
          <w:vertAlign w:val="superscript"/>
        </w:rPr>
        <w:footnoteReference w:id="40"/>
      </w:r>
      <w:r>
        <w:t>. In a Durkheimian way, the Portland Japanese Garden also presents myths and rituals as a form of social expression, myths in the garden are representations of a shared culture that deems to be sacred</w:t>
      </w:r>
      <w:r>
        <w:rPr>
          <w:vertAlign w:val="superscript"/>
        </w:rPr>
        <w:footnoteReference w:id="41"/>
      </w:r>
      <w:r>
        <w:t xml:space="preserve">. </w:t>
      </w:r>
      <w:proofErr w:type="spellStart"/>
      <w:r>
        <w:t>Ingvild</w:t>
      </w:r>
      <w:proofErr w:type="spellEnd"/>
      <w:r>
        <w:t xml:space="preserve"> </w:t>
      </w:r>
      <w:proofErr w:type="spellStart"/>
      <w:r>
        <w:t>Gilhus</w:t>
      </w:r>
      <w:proofErr w:type="spellEnd"/>
      <w:r>
        <w:t xml:space="preserve"> suggested that myths are themselves rituals that intend to induce “an altered state of consciousness”.</w:t>
      </w:r>
      <w:r>
        <w:rPr>
          <w:vertAlign w:val="superscript"/>
        </w:rPr>
        <w:footnoteReference w:id="42"/>
      </w:r>
      <w:r>
        <w:t xml:space="preserve"> Mythical references therefore can evoke a sense of participation and imagination. In the Garden, three spots spoke to me one deeper than the other through my physical sensations as well as my culturally conditioned ears. The experience guided me on a journey of interacting with the myths of Chinese cosmology and astrology. They are the Garden Pavilion, the Sapporo lantern, and the Lower Pond of the Strolling Pond Garden. </w:t>
      </w:r>
    </w:p>
    <w:p w14:paraId="3648342F" w14:textId="77777777" w:rsidR="000F5A9B" w:rsidRDefault="000F5A9B">
      <w:pPr>
        <w:ind w:firstLine="720"/>
      </w:pPr>
    </w:p>
    <w:p w14:paraId="5F9C9839" w14:textId="6478F7A3" w:rsidR="006F03FB" w:rsidRDefault="003B6B8A" w:rsidP="00C027B1">
      <w:pPr>
        <w:ind w:firstLine="720"/>
      </w:pPr>
      <w:r>
        <w:t xml:space="preserve">The Garden Pavilion is a place elevated on the top of the hill. The traditional Japanese wooden architecture is surrounded by wide verandas all around. Soft natural light penetrates the main building through the large shoji (translucent paper) panels giving it an ethereal ambiance. On the west side lies the Flat Garden, while on the east, Mount Hood and the city can be seen on a clear day. With Japan being “the land of the rising sun”, the Mount Hood borrowed scenery on the east was designed to resemble the significance of Mount Fuji in Japan. The Flat Garden felt grounded and intimate, while the East side felt close to the sky. As Levy </w:t>
      </w:r>
      <w:proofErr w:type="spellStart"/>
      <w:r>
        <w:t>Bruhl</w:t>
      </w:r>
      <w:proofErr w:type="spellEnd"/>
      <w:r>
        <w:t xml:space="preserve"> puts it, “Participation is created by </w:t>
      </w:r>
      <w:proofErr w:type="spellStart"/>
      <w:r>
        <w:rPr>
          <w:i/>
        </w:rPr>
        <w:t>sympatheia</w:t>
      </w:r>
      <w:proofErr w:type="spellEnd"/>
      <w:r>
        <w:t>…reproducing one in order to create the other.”</w:t>
      </w:r>
      <w:r>
        <w:rPr>
          <w:vertAlign w:val="superscript"/>
        </w:rPr>
        <w:footnoteReference w:id="43"/>
      </w:r>
      <w:r>
        <w:t xml:space="preserve"> The architecture and location correspond with cultural and cosmological symbols of Heaven and Earth. Sitting in the Pavilion, the juxtaposition gave me a sense of dwelling between the two in Chinese Cosmology. The idea of cosmology expanded in more detail at the second location at the pagoda of the Sapporo Lantern (Photo 6). A pagoda is traditionally built with a religious function related to Buddhism, here in the Garden, it symbolizes the friendship between Portland and Sapporo. The Pagoda was 18 feet tall with five tiers and nine rings on the top. As a form of </w:t>
      </w:r>
      <w:proofErr w:type="spellStart"/>
      <w:r>
        <w:rPr>
          <w:i/>
        </w:rPr>
        <w:t>sympatheia</w:t>
      </w:r>
      <w:proofErr w:type="spellEnd"/>
      <w:r>
        <w:t xml:space="preserve">, The design symbolizes the Five elements, Earth, Water, Fire, Wind, and Sky (Emptiness), and the nine rings of the heavens in Buddhism. Along with a stone map of Sapporo set in the front and a pair of asymmetrical sculptures set on either side. The arrangement, like a riddle, seems to correspond with the Chinese cosmos with hints of elemental force and duality. Filled with curiosity, the space </w:t>
      </w:r>
      <w:r>
        <w:lastRenderedPageBreak/>
        <w:t xml:space="preserve">engaged my attention to further contemplate what was beyond these sacred representations. Walking along, the path brought me to the third location of the Lower Pond. Situated in the Strolling Pond Garden, it was inspired by both the design of the royal palace in China and the estates of aristocrats and feudal lords in the Edo Period (1603-1867) in Japan. The setup here is secluded and more </w:t>
      </w:r>
      <w:proofErr w:type="spellStart"/>
      <w:r>
        <w:t>colorful</w:t>
      </w:r>
      <w:proofErr w:type="spellEnd"/>
      <w:r>
        <w:t xml:space="preserve"> than the rest of the garden. Koi fish symbolizes wealth and luxury, were of abundance in the ponds. The path finally showed me the main features, they were the Heavenly Falls, the Zig-Zag bridge, and stones patterning the Big Dipper. As imitation can manifest as a form of participation as described by Levy </w:t>
      </w:r>
      <w:proofErr w:type="spellStart"/>
      <w:r>
        <w:t>Bruhl</w:t>
      </w:r>
      <w:proofErr w:type="spellEnd"/>
      <w:r>
        <w:t>, the setup reminded me of the</w:t>
      </w:r>
      <w:r w:rsidR="003B40E1">
        <w:t xml:space="preserve"> </w:t>
      </w:r>
      <w:r w:rsidR="00B82499">
        <w:t xml:space="preserve">astrological references of the ancient Chinese imperial </w:t>
      </w:r>
      <w:proofErr w:type="spellStart"/>
      <w:r w:rsidR="00B82499">
        <w:t>center</w:t>
      </w:r>
      <w:proofErr w:type="spellEnd"/>
      <w:r w:rsidR="002D1A45">
        <w:t>. W</w:t>
      </w:r>
      <w:r w:rsidR="00945228">
        <w:t>ith a focus on the circumpolar position indicated by the Big Dipper</w:t>
      </w:r>
      <w:r w:rsidR="002D1A45">
        <w:t>, the a</w:t>
      </w:r>
      <w:r w:rsidR="00AD12AD">
        <w:t xml:space="preserve">ncient </w:t>
      </w:r>
      <w:r>
        <w:t>Chinese</w:t>
      </w:r>
      <w:r w:rsidR="00AD12AD">
        <w:t xml:space="preserve"> </w:t>
      </w:r>
      <w:r w:rsidR="00C027B1">
        <w:t>rulers</w:t>
      </w:r>
      <w:r w:rsidR="00E67B8C">
        <w:t xml:space="preserve"> </w:t>
      </w:r>
      <w:r w:rsidR="00AF1FFE">
        <w:t xml:space="preserve">would </w:t>
      </w:r>
      <w:r w:rsidR="002D1A45">
        <w:t>orient</w:t>
      </w:r>
      <w:r w:rsidR="00AF1FFE">
        <w:t xml:space="preserve"> </w:t>
      </w:r>
      <w:r w:rsidR="00520848">
        <w:t xml:space="preserve">palaces and capital cities </w:t>
      </w:r>
      <w:r w:rsidR="00E67B8C">
        <w:t>follow</w:t>
      </w:r>
      <w:r w:rsidR="00520848">
        <w:t>ing</w:t>
      </w:r>
      <w:r w:rsidR="00E67B8C">
        <w:t xml:space="preserve"> this </w:t>
      </w:r>
      <w:r w:rsidR="00E32938">
        <w:t>religiopolitical</w:t>
      </w:r>
      <w:r w:rsidR="00520848">
        <w:t xml:space="preserve"> </w:t>
      </w:r>
      <w:r>
        <w:t>cosmology</w:t>
      </w:r>
      <w:r w:rsidR="00E32938">
        <w:t>.</w:t>
      </w:r>
      <w:r w:rsidR="00C027B1">
        <w:rPr>
          <w:rStyle w:val="FootnoteReference"/>
        </w:rPr>
        <w:footnoteReference w:id="44"/>
      </w:r>
      <w:r>
        <w:t xml:space="preserve"> </w:t>
      </w:r>
      <w:r w:rsidR="009B2D00">
        <w:t xml:space="preserve">They believed in a participatory cosmos and that there </w:t>
      </w:r>
      <w:r w:rsidR="00B44F6D">
        <w:t>are</w:t>
      </w:r>
      <w:r w:rsidR="009B2D00">
        <w:t xml:space="preserve"> cosmic </w:t>
      </w:r>
      <w:r w:rsidR="0003478A">
        <w:t>correspondence</w:t>
      </w:r>
      <w:r w:rsidR="00B44F6D">
        <w:t>s</w:t>
      </w:r>
      <w:r>
        <w:t xml:space="preserve"> </w:t>
      </w:r>
      <w:r w:rsidR="009B2D00">
        <w:t>with all earthly events</w:t>
      </w:r>
      <w:r w:rsidR="00667D1B">
        <w:t xml:space="preserve">. Mirroring </w:t>
      </w:r>
      <w:r>
        <w:t>the</w:t>
      </w:r>
      <w:r w:rsidR="00667D1B">
        <w:t xml:space="preserve"> sky</w:t>
      </w:r>
      <w:r w:rsidR="000139CB">
        <w:t xml:space="preserve"> and</w:t>
      </w:r>
      <w:r w:rsidR="00667D1B">
        <w:t xml:space="preserve"> </w:t>
      </w:r>
      <w:r w:rsidR="00300D97">
        <w:t>orienting</w:t>
      </w:r>
      <w:r w:rsidR="00233730">
        <w:t xml:space="preserve"> with the Big Dipper </w:t>
      </w:r>
      <w:r w:rsidR="00300D97">
        <w:t xml:space="preserve">was one of the ways </w:t>
      </w:r>
      <w:r w:rsidR="00332077">
        <w:t>used</w:t>
      </w:r>
      <w:r w:rsidR="009F640B">
        <w:t xml:space="preserve"> </w:t>
      </w:r>
      <w:r w:rsidR="00771755">
        <w:t>to leverage celestial power</w:t>
      </w:r>
      <w:r w:rsidR="00E16489">
        <w:t>,</w:t>
      </w:r>
      <w:r w:rsidR="00771755">
        <w:t xml:space="preserve"> fulfil</w:t>
      </w:r>
      <w:r w:rsidR="00E16489">
        <w:t>ling</w:t>
      </w:r>
      <w:r w:rsidR="00771755">
        <w:t xml:space="preserve"> the king’s </w:t>
      </w:r>
      <w:proofErr w:type="spellStart"/>
      <w:r w:rsidR="00771755">
        <w:t>cosmo</w:t>
      </w:r>
      <w:proofErr w:type="spellEnd"/>
      <w:r w:rsidR="00771755">
        <w:t>-magical role</w:t>
      </w:r>
      <w:r w:rsidR="009722DF">
        <w:t xml:space="preserve"> or the Mandate of Heaven</w:t>
      </w:r>
      <w:r w:rsidR="000139CB">
        <w:t>.</w:t>
      </w:r>
      <w:r w:rsidR="00732A87">
        <w:rPr>
          <w:rStyle w:val="FootnoteReference"/>
        </w:rPr>
        <w:footnoteReference w:id="45"/>
      </w:r>
      <w:r w:rsidR="000139CB">
        <w:t xml:space="preserve"> </w:t>
      </w:r>
      <w:r w:rsidR="009722DF">
        <w:t>The Lower Pond G</w:t>
      </w:r>
      <w:r>
        <w:t>arden</w:t>
      </w:r>
      <w:r w:rsidR="009722DF">
        <w:t xml:space="preserve"> here</w:t>
      </w:r>
      <w:r>
        <w:t xml:space="preserve"> was revealed to me as a place that pattern</w:t>
      </w:r>
      <w:r w:rsidR="009722DF">
        <w:t>ed</w:t>
      </w:r>
      <w:r>
        <w:t xml:space="preserve"> the sky</w:t>
      </w:r>
      <w:r w:rsidR="009722DF">
        <w:t>, w</w:t>
      </w:r>
      <w:r>
        <w:t xml:space="preserve">ith the Heavenly Falls being the Milky Way, the Zig-Zag Bridge as Cassiopeia, and the Big Dipper in the middle, I was surprised by what I saw. Even though the official description of the Big Dipper stones was featured to </w:t>
      </w:r>
      <w:proofErr w:type="spellStart"/>
      <w:r>
        <w:t>honor</w:t>
      </w:r>
      <w:proofErr w:type="spellEnd"/>
      <w:r>
        <w:t xml:space="preserve"> the bear who lived in the old zoo, I realized my mind was interacting with the surroundings on its own as the garden spoke to me in a familiar voice.</w:t>
      </w:r>
    </w:p>
    <w:p w14:paraId="1C4B6238" w14:textId="77777777" w:rsidR="000F5A9B" w:rsidRDefault="000F5A9B" w:rsidP="00C027B1">
      <w:pPr>
        <w:ind w:firstLine="720"/>
      </w:pPr>
    </w:p>
    <w:p w14:paraId="5F9C983A" w14:textId="7323AF57" w:rsidR="006F03FB" w:rsidRDefault="003B6B8A">
      <w:pPr>
        <w:ind w:firstLine="720"/>
      </w:pPr>
      <w:r>
        <w:t xml:space="preserve">Reflecting on Lane’s first axiom of a “sacred place is not chosen, it chooses”, my experience here asserted that there was mythical power in a sacred place, yet the sacred place seems not to be the one who chooses. The revelation of sacredness was as Levy </w:t>
      </w:r>
      <w:proofErr w:type="spellStart"/>
      <w:r>
        <w:t>Bruhl</w:t>
      </w:r>
      <w:proofErr w:type="spellEnd"/>
      <w:r>
        <w:t xml:space="preserve"> suggested, the supernatural world revealing itself and one does not need to look further. It is not the responsibility of the sacred place to choose whom to reveal the power to. It is the choice of the participant whether they choose to participate in the experience. Therefore, the characteristic of the sacred place leans more on the third axiom by Lane, where presence is the key to interacting with a place. However, the quality of the “voice” of the place we could hear varies according to our own level of presence, </w:t>
      </w:r>
      <w:r w:rsidR="00634E5D" w:rsidRPr="00634E5D">
        <w:t>cultural conditioning, and how all participants in the environment interact</w:t>
      </w:r>
      <w:r>
        <w:t xml:space="preserve">. Each of the three examples in the Garden has its own voice as a sacred place. With </w:t>
      </w:r>
      <w:proofErr w:type="spellStart"/>
      <w:r>
        <w:rPr>
          <w:i/>
        </w:rPr>
        <w:t>Sympatheia</w:t>
      </w:r>
      <w:proofErr w:type="spellEnd"/>
      <w:r>
        <w:t xml:space="preserve"> and imitations, the place was telling a myth as a form of ritual. Through the participation of human and the environment, our own meanings were generated and presented itself as a unique voice in the place. </w:t>
      </w:r>
    </w:p>
    <w:p w14:paraId="46099AFC" w14:textId="77777777" w:rsidR="00FD3322" w:rsidRDefault="00FD3322" w:rsidP="00FD3322"/>
    <w:p w14:paraId="1477A877" w14:textId="5343743D" w:rsidR="00FD3322" w:rsidRDefault="00FD3322" w:rsidP="00FD3322">
      <w:r>
        <w:rPr>
          <w:noProof/>
        </w:rPr>
        <w:drawing>
          <wp:inline distT="0" distB="0" distL="0" distR="0" wp14:anchorId="454F2FD6" wp14:editId="11D66AF4">
            <wp:extent cx="2513648" cy="1795463"/>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15131" cy="1796522"/>
                    </a:xfrm>
                    <a:prstGeom prst="rect">
                      <a:avLst/>
                    </a:prstGeom>
                    <a:noFill/>
                    <a:ln>
                      <a:noFill/>
                    </a:ln>
                  </pic:spPr>
                </pic:pic>
              </a:graphicData>
            </a:graphic>
          </wp:inline>
        </w:drawing>
      </w:r>
      <w:r>
        <w:t xml:space="preserve"> </w:t>
      </w:r>
      <w:r w:rsidR="006B4C1D">
        <w:t xml:space="preserve"> </w:t>
      </w:r>
      <w:r w:rsidRPr="00FD3322">
        <w:rPr>
          <w:b/>
          <w:bCs/>
          <w:sz w:val="18"/>
          <w:szCs w:val="18"/>
        </w:rPr>
        <w:t>Photo 6: the Sapporo Lantern</w:t>
      </w:r>
      <w:r w:rsidR="00C57F1C">
        <w:rPr>
          <w:rStyle w:val="FootnoteReference"/>
          <w:b/>
          <w:bCs/>
          <w:sz w:val="18"/>
          <w:szCs w:val="18"/>
        </w:rPr>
        <w:footnoteReference w:id="46"/>
      </w:r>
    </w:p>
    <w:p w14:paraId="5F9C983B" w14:textId="77777777" w:rsidR="006F03FB" w:rsidRDefault="006F03FB">
      <w:pPr>
        <w:ind w:firstLine="720"/>
        <w:rPr>
          <w:b/>
        </w:rPr>
      </w:pPr>
    </w:p>
    <w:p w14:paraId="5F9C983C" w14:textId="77777777" w:rsidR="006F03FB" w:rsidRDefault="003B6B8A">
      <w:pPr>
        <w:rPr>
          <w:b/>
        </w:rPr>
      </w:pPr>
      <w:r>
        <w:rPr>
          <w:b/>
        </w:rPr>
        <w:t>Conclusion</w:t>
      </w:r>
    </w:p>
    <w:p w14:paraId="5F9C983D" w14:textId="3281F0ED" w:rsidR="006F03FB" w:rsidRDefault="003B6B8A">
      <w:pPr>
        <w:ind w:firstLine="720"/>
      </w:pPr>
      <w:r>
        <w:t xml:space="preserve">The Portland Japanese Garden became a sacred place for me started from within (presence). The voice of the garden changed from time to time, from one location to another according to my own state of presence. Through my personal participation in each </w:t>
      </w:r>
      <w:r w:rsidR="00ED5988" w:rsidRPr="00ED5988">
        <w:t>garden space, my experience gradually deepened</w:t>
      </w:r>
      <w:r>
        <w:t xml:space="preserve"> through my felt sense, communal rituals, stories, beliefs, and culture. They intertwined with each other as my body and my mind interacted and tangled with all the living beings and natural forces in the garden. Just like the art of </w:t>
      </w:r>
      <w:proofErr w:type="spellStart"/>
      <w:r>
        <w:t>Sakuteki</w:t>
      </w:r>
      <w:proofErr w:type="spellEnd"/>
      <w:r>
        <w:t xml:space="preserve">, </w:t>
      </w:r>
      <w:proofErr w:type="gramStart"/>
      <w:r>
        <w:t>all natural</w:t>
      </w:r>
      <w:proofErr w:type="gramEnd"/>
      <w:r>
        <w:t xml:space="preserve"> material contains its own voice and each piece is a member of a </w:t>
      </w:r>
      <w:proofErr w:type="spellStart"/>
      <w:r>
        <w:rPr>
          <w:i/>
        </w:rPr>
        <w:t>chora</w:t>
      </w:r>
      <w:proofErr w:type="spellEnd"/>
      <w:r>
        <w:t xml:space="preserve">. All living beings and natural forces in a place contribute to a unique voice of the </w:t>
      </w:r>
      <w:proofErr w:type="spellStart"/>
      <w:r>
        <w:rPr>
          <w:i/>
        </w:rPr>
        <w:t>chora</w:t>
      </w:r>
      <w:proofErr w:type="spellEnd"/>
      <w:r>
        <w:t xml:space="preserve">. As one realizes all places contain their own texture of voice or power, this “supernatural world” as Levy </w:t>
      </w:r>
      <w:proofErr w:type="spellStart"/>
      <w:r>
        <w:t>Bruhl</w:t>
      </w:r>
      <w:proofErr w:type="spellEnd"/>
      <w:r>
        <w:t xml:space="preserve"> would describe, can be revealed to the participant when they choose to “be there”. Sacredness is, therefore, a felt sense of relational understanding, and presence was a way to access it. </w:t>
      </w:r>
    </w:p>
    <w:p w14:paraId="5F9C983E" w14:textId="77777777" w:rsidR="006F03FB" w:rsidRDefault="003B6B8A">
      <w:pPr>
        <w:ind w:firstLine="720"/>
      </w:pPr>
      <w:r>
        <w:t xml:space="preserve">To understand the multidimensional perspectives of a sacred place, </w:t>
      </w:r>
      <w:proofErr w:type="gramStart"/>
      <w:r>
        <w:t>participation</w:t>
      </w:r>
      <w:proofErr w:type="gramEnd"/>
      <w:r>
        <w:t xml:space="preserve"> and presence (internal) are the foundation, while rituals, myths, and culture (external) can act as agents to engage with the power of place. As Heidegger puts it ‘</w:t>
      </w:r>
      <w:proofErr w:type="gramStart"/>
      <w:r>
        <w:t>…“</w:t>
      </w:r>
      <w:proofErr w:type="gramEnd"/>
      <w:r>
        <w:t>Place” places man in such a way that it reveals the external bonds of his existence and at the same time, the depths of his freedom and reality…’.</w:t>
      </w:r>
      <w:r>
        <w:rPr>
          <w:vertAlign w:val="superscript"/>
        </w:rPr>
        <w:footnoteReference w:id="47"/>
      </w:r>
      <w:r>
        <w:t xml:space="preserve"> With our sacred placement in the world being rooted in space, time, and culture, these external bonds can also become practices for one to identify a sacred place.</w:t>
      </w:r>
    </w:p>
    <w:p w14:paraId="12E2F345" w14:textId="77777777" w:rsidR="000F5A9B" w:rsidRDefault="000F5A9B">
      <w:pPr>
        <w:ind w:firstLine="720"/>
      </w:pPr>
    </w:p>
    <w:p w14:paraId="5F9C983F" w14:textId="77777777" w:rsidR="006F03FB" w:rsidRDefault="003B6B8A">
      <w:pPr>
        <w:ind w:firstLine="720"/>
      </w:pPr>
      <w:r>
        <w:t>Characterized by mythical power and stories, it is cognitive to only identify the characteristics of a sacred place with the perspectives from the above (mythical narratives, religions, and cosmologies) and from the outside (rituals, society, culture). While they can be agents for imagination and participation, without presence, a sacred place could “be tread on without being entered”</w:t>
      </w:r>
      <w:r>
        <w:rPr>
          <w:vertAlign w:val="superscript"/>
        </w:rPr>
        <w:footnoteReference w:id="48"/>
      </w:r>
      <w:r>
        <w:t>. The study reflects the idea that a sacred place is more than a geographical location; any ordinary place can potentially be transformed into an extraordinary one when one truly listens and participates with presence. A sacred place, therefore, requires a holistic perspective and openness to experience the interconnectedness of the whole of life.</w:t>
      </w:r>
    </w:p>
    <w:p w14:paraId="5F9C9840" w14:textId="77777777" w:rsidR="006F03FB" w:rsidRDefault="006F03FB">
      <w:pPr>
        <w:ind w:firstLine="720"/>
      </w:pPr>
    </w:p>
    <w:p w14:paraId="3BE629DA" w14:textId="4CB806D0" w:rsidR="00EF0651" w:rsidRPr="00AA400C" w:rsidRDefault="003B6B8A" w:rsidP="00AA400C">
      <w:pPr>
        <w:pBdr>
          <w:top w:val="nil"/>
          <w:left w:val="nil"/>
          <w:bottom w:val="nil"/>
          <w:right w:val="nil"/>
          <w:between w:val="nil"/>
        </w:pBdr>
        <w:spacing w:after="240"/>
        <w:rPr>
          <w:b/>
          <w:color w:val="000000"/>
        </w:rPr>
      </w:pPr>
      <w:r>
        <w:rPr>
          <w:b/>
          <w:color w:val="000000"/>
        </w:rPr>
        <w:t>Bibliography</w:t>
      </w:r>
      <w:r w:rsidR="00EF0651">
        <w:rPr>
          <w:color w:val="000000"/>
        </w:rPr>
        <w:fldChar w:fldCharType="begin"/>
      </w:r>
      <w:r w:rsidR="00EF0651">
        <w:rPr>
          <w:color w:val="000000"/>
        </w:rPr>
        <w:instrText xml:space="preserve"> ADDIN ZOTERO_BIBL {"uncited":[],"omitted":[],"custom":[]} CSL_BIBLIOGRAPHY </w:instrText>
      </w:r>
      <w:r w:rsidR="00EF0651">
        <w:rPr>
          <w:color w:val="000000"/>
        </w:rPr>
        <w:fldChar w:fldCharType="separate"/>
      </w:r>
    </w:p>
    <w:p w14:paraId="5F9C9842" w14:textId="07E0774D" w:rsidR="006F03FB" w:rsidRDefault="00EF0651" w:rsidP="00EF0651">
      <w:pPr>
        <w:pBdr>
          <w:top w:val="nil"/>
          <w:left w:val="nil"/>
          <w:bottom w:val="nil"/>
          <w:right w:val="nil"/>
          <w:between w:val="nil"/>
        </w:pBdr>
        <w:spacing w:after="240"/>
        <w:ind w:left="720" w:hanging="720"/>
        <w:rPr>
          <w:color w:val="000000"/>
        </w:rPr>
      </w:pPr>
      <w:r>
        <w:rPr>
          <w:color w:val="000000"/>
        </w:rPr>
        <w:fldChar w:fldCharType="end"/>
      </w:r>
      <w:proofErr w:type="spellStart"/>
      <w:r w:rsidR="003B6B8A">
        <w:rPr>
          <w:color w:val="000000"/>
        </w:rPr>
        <w:t>Bruhl</w:t>
      </w:r>
      <w:proofErr w:type="spellEnd"/>
      <w:r w:rsidR="003B6B8A">
        <w:rPr>
          <w:color w:val="000000"/>
        </w:rPr>
        <w:t xml:space="preserve">, Levy, </w:t>
      </w:r>
      <w:r w:rsidR="005B0026">
        <w:rPr>
          <w:i/>
          <w:color w:val="000000"/>
        </w:rPr>
        <w:t>The Notebooks</w:t>
      </w:r>
      <w:r w:rsidR="003B6B8A">
        <w:rPr>
          <w:i/>
          <w:color w:val="000000"/>
        </w:rPr>
        <w:t xml:space="preserve"> on </w:t>
      </w:r>
      <w:r w:rsidR="003B6B8A">
        <w:rPr>
          <w:i/>
        </w:rPr>
        <w:t>Primitive</w:t>
      </w:r>
      <w:r w:rsidR="003B6B8A">
        <w:rPr>
          <w:i/>
          <w:color w:val="000000"/>
        </w:rPr>
        <w:t xml:space="preserve"> Mentality Trans. Peter </w:t>
      </w:r>
      <w:proofErr w:type="spellStart"/>
      <w:r w:rsidR="003B6B8A">
        <w:rPr>
          <w:i/>
          <w:color w:val="000000"/>
        </w:rPr>
        <w:t>Rivere</w:t>
      </w:r>
      <w:proofErr w:type="spellEnd"/>
      <w:r w:rsidR="003B6B8A">
        <w:rPr>
          <w:color w:val="000000"/>
        </w:rPr>
        <w:t xml:space="preserve"> (San Francisco: Harper &amp; Row Publishers, 1975)</w:t>
      </w:r>
    </w:p>
    <w:p w14:paraId="5F9C9843" w14:textId="77777777" w:rsidR="006F03FB" w:rsidRDefault="003B6B8A">
      <w:pPr>
        <w:pBdr>
          <w:top w:val="nil"/>
          <w:left w:val="nil"/>
          <w:bottom w:val="nil"/>
          <w:right w:val="nil"/>
          <w:between w:val="nil"/>
        </w:pBdr>
        <w:spacing w:after="240"/>
        <w:ind w:left="720" w:hanging="720"/>
        <w:rPr>
          <w:color w:val="000000"/>
        </w:rPr>
      </w:pPr>
      <w:r>
        <w:rPr>
          <w:color w:val="000000"/>
        </w:rPr>
        <w:t xml:space="preserve">Durkheim, Emile, </w:t>
      </w:r>
      <w:r>
        <w:rPr>
          <w:i/>
          <w:color w:val="000000"/>
        </w:rPr>
        <w:t>The Elementary Forms of Religious Life</w:t>
      </w:r>
      <w:r>
        <w:rPr>
          <w:color w:val="000000"/>
        </w:rPr>
        <w:t xml:space="preserve"> (New York: Free Press, 1995)</w:t>
      </w:r>
    </w:p>
    <w:p w14:paraId="5F9C9844" w14:textId="77777777" w:rsidR="006F03FB" w:rsidRDefault="003B6B8A">
      <w:pPr>
        <w:pBdr>
          <w:top w:val="nil"/>
          <w:left w:val="nil"/>
          <w:bottom w:val="nil"/>
          <w:right w:val="nil"/>
          <w:between w:val="nil"/>
        </w:pBdr>
        <w:spacing w:after="240"/>
        <w:ind w:left="720" w:hanging="720"/>
        <w:rPr>
          <w:color w:val="000000"/>
        </w:rPr>
      </w:pPr>
      <w:r>
        <w:rPr>
          <w:color w:val="000000"/>
        </w:rPr>
        <w:t xml:space="preserve">Eagleton, Terry, </w:t>
      </w:r>
      <w:r>
        <w:rPr>
          <w:i/>
          <w:color w:val="000000"/>
        </w:rPr>
        <w:t>The Idea of Culture</w:t>
      </w:r>
      <w:r>
        <w:rPr>
          <w:color w:val="000000"/>
        </w:rPr>
        <w:t xml:space="preserve"> (Oxford, Blackwell, 2000)</w:t>
      </w:r>
    </w:p>
    <w:p w14:paraId="5F9C9845" w14:textId="2AC50877" w:rsidR="006F03FB" w:rsidRDefault="003B6B8A">
      <w:pPr>
        <w:pBdr>
          <w:top w:val="nil"/>
          <w:left w:val="nil"/>
          <w:bottom w:val="nil"/>
          <w:right w:val="nil"/>
          <w:between w:val="nil"/>
        </w:pBdr>
        <w:spacing w:after="240"/>
        <w:ind w:left="720" w:hanging="720"/>
        <w:rPr>
          <w:color w:val="000000"/>
        </w:rPr>
      </w:pPr>
      <w:r>
        <w:rPr>
          <w:color w:val="000000"/>
        </w:rPr>
        <w:t xml:space="preserve">Eaton, Garry, ‘A Note on Haiku’, </w:t>
      </w:r>
      <w:r>
        <w:rPr>
          <w:i/>
          <w:color w:val="000000"/>
        </w:rPr>
        <w:t>Oxford University Press</w:t>
      </w:r>
      <w:r>
        <w:rPr>
          <w:color w:val="000000"/>
        </w:rPr>
        <w:t xml:space="preserve">, The Cambridge </w:t>
      </w:r>
      <w:r w:rsidR="005B0026">
        <w:rPr>
          <w:color w:val="000000"/>
        </w:rPr>
        <w:t>Quarterly</w:t>
      </w:r>
      <w:r>
        <w:rPr>
          <w:color w:val="000000"/>
        </w:rPr>
        <w:t>, 38 (2009), 328–37</w:t>
      </w:r>
    </w:p>
    <w:p w14:paraId="5F9C9846" w14:textId="77777777" w:rsidR="006F03FB" w:rsidRDefault="003B6B8A">
      <w:pPr>
        <w:pBdr>
          <w:top w:val="nil"/>
          <w:left w:val="nil"/>
          <w:bottom w:val="nil"/>
          <w:right w:val="nil"/>
          <w:between w:val="nil"/>
        </w:pBdr>
        <w:spacing w:after="240"/>
        <w:ind w:left="720" w:hanging="720"/>
        <w:rPr>
          <w:color w:val="000000"/>
        </w:rPr>
      </w:pPr>
      <w:r>
        <w:rPr>
          <w:color w:val="000000"/>
        </w:rPr>
        <w:t xml:space="preserve">Eliade, Mircea, </w:t>
      </w:r>
      <w:r>
        <w:rPr>
          <w:i/>
          <w:color w:val="000000"/>
        </w:rPr>
        <w:t>Myth and Reality</w:t>
      </w:r>
      <w:r>
        <w:rPr>
          <w:color w:val="000000"/>
        </w:rPr>
        <w:t xml:space="preserve"> (Harper &amp; Row, 1975)</w:t>
      </w:r>
    </w:p>
    <w:p w14:paraId="5F9C9847" w14:textId="77CC31FD" w:rsidR="006F03FB" w:rsidRDefault="003B6B8A">
      <w:pPr>
        <w:pBdr>
          <w:top w:val="nil"/>
          <w:left w:val="nil"/>
          <w:bottom w:val="nil"/>
          <w:right w:val="nil"/>
          <w:between w:val="nil"/>
        </w:pBdr>
        <w:spacing w:after="240"/>
        <w:ind w:left="720" w:hanging="720"/>
        <w:rPr>
          <w:color w:val="000000"/>
        </w:rPr>
      </w:pPr>
      <w:proofErr w:type="spellStart"/>
      <w:r>
        <w:rPr>
          <w:color w:val="000000"/>
        </w:rPr>
        <w:t>Gilhus</w:t>
      </w:r>
      <w:proofErr w:type="spellEnd"/>
      <w:r>
        <w:rPr>
          <w:color w:val="000000"/>
        </w:rPr>
        <w:t xml:space="preserve">, </w:t>
      </w:r>
      <w:proofErr w:type="spellStart"/>
      <w:r>
        <w:rPr>
          <w:color w:val="000000"/>
        </w:rPr>
        <w:t>Ingvild</w:t>
      </w:r>
      <w:proofErr w:type="spellEnd"/>
      <w:r>
        <w:rPr>
          <w:color w:val="000000"/>
        </w:rPr>
        <w:t>, ‘</w:t>
      </w:r>
      <w:r w:rsidR="00221E18">
        <w:rPr>
          <w:color w:val="000000"/>
        </w:rPr>
        <w:t>Gnosticism</w:t>
      </w:r>
      <w:r>
        <w:rPr>
          <w:color w:val="000000"/>
        </w:rPr>
        <w:t xml:space="preserve">: A Study in Liminal Symbolism’, </w:t>
      </w:r>
      <w:r>
        <w:rPr>
          <w:i/>
          <w:color w:val="000000"/>
        </w:rPr>
        <w:t>Numen</w:t>
      </w:r>
      <w:r>
        <w:rPr>
          <w:color w:val="000000"/>
        </w:rPr>
        <w:t>, 1984</w:t>
      </w:r>
    </w:p>
    <w:p w14:paraId="6336A51E" w14:textId="77777777" w:rsidR="00AA400C" w:rsidRDefault="00AA400C">
      <w:pPr>
        <w:pBdr>
          <w:top w:val="nil"/>
          <w:left w:val="nil"/>
          <w:bottom w:val="nil"/>
          <w:right w:val="nil"/>
          <w:between w:val="nil"/>
        </w:pBdr>
        <w:spacing w:after="240"/>
        <w:ind w:left="720" w:hanging="720"/>
        <w:rPr>
          <w:color w:val="000000"/>
        </w:rPr>
      </w:pPr>
      <w:r w:rsidRPr="001343A3">
        <w:t xml:space="preserve">‘Google </w:t>
      </w:r>
      <w:r>
        <w:t xml:space="preserve">Satellite </w:t>
      </w:r>
      <w:r w:rsidRPr="001343A3">
        <w:t>Map</w:t>
      </w:r>
      <w:r>
        <w:t xml:space="preserve"> with Author's Notes</w:t>
      </w:r>
      <w:r w:rsidRPr="001343A3">
        <w:t>’ (Google, 2023) &lt;https://www.google.com/maps/@45.5184913,-122.7078983,81m/data=!3m1!1e3!5m1!1e4&gt;</w:t>
      </w:r>
      <w:r>
        <w:rPr>
          <w:color w:val="000000"/>
        </w:rPr>
        <w:t xml:space="preserve"> </w:t>
      </w:r>
    </w:p>
    <w:p w14:paraId="5F9C9848" w14:textId="7B32B42A" w:rsidR="006F03FB" w:rsidRDefault="003B6B8A">
      <w:pPr>
        <w:pBdr>
          <w:top w:val="nil"/>
          <w:left w:val="nil"/>
          <w:bottom w:val="nil"/>
          <w:right w:val="nil"/>
          <w:between w:val="nil"/>
        </w:pBdr>
        <w:spacing w:after="240"/>
        <w:ind w:left="720" w:hanging="720"/>
        <w:rPr>
          <w:color w:val="000000"/>
        </w:rPr>
      </w:pPr>
      <w:r>
        <w:rPr>
          <w:color w:val="000000"/>
        </w:rPr>
        <w:lastRenderedPageBreak/>
        <w:t xml:space="preserve">‘History -Portland Japanese Garden’, </w:t>
      </w:r>
      <w:r>
        <w:rPr>
          <w:i/>
          <w:color w:val="000000"/>
        </w:rPr>
        <w:t>Portland Japanese Garden</w:t>
      </w:r>
      <w:r>
        <w:rPr>
          <w:color w:val="000000"/>
        </w:rPr>
        <w:t xml:space="preserve"> &lt;https://japanesegarden.org/about-portland-japanese-garden/history/&gt; [accessed 7 January 2023]</w:t>
      </w:r>
    </w:p>
    <w:p w14:paraId="5F9C9849" w14:textId="77777777" w:rsidR="006F03FB" w:rsidRDefault="003B6B8A">
      <w:pPr>
        <w:pBdr>
          <w:top w:val="nil"/>
          <w:left w:val="nil"/>
          <w:bottom w:val="nil"/>
          <w:right w:val="nil"/>
          <w:between w:val="nil"/>
        </w:pBdr>
        <w:spacing w:after="240"/>
        <w:ind w:left="720" w:hanging="720"/>
        <w:rPr>
          <w:color w:val="000000"/>
        </w:rPr>
      </w:pPr>
      <w:r>
        <w:rPr>
          <w:color w:val="000000"/>
        </w:rPr>
        <w:t xml:space="preserve">Keane, Marc Peter, ‘Listening to Stones’, </w:t>
      </w:r>
      <w:r>
        <w:rPr>
          <w:i/>
          <w:color w:val="000000"/>
        </w:rPr>
        <w:t>A Journal of Place</w:t>
      </w:r>
      <w:r>
        <w:rPr>
          <w:color w:val="000000"/>
        </w:rPr>
        <w:t>, 4.1 (2008), 9–</w:t>
      </w:r>
      <w:proofErr w:type="gramStart"/>
      <w:r>
        <w:rPr>
          <w:color w:val="000000"/>
        </w:rPr>
        <w:t>11</w:t>
      </w:r>
      <w:proofErr w:type="gramEnd"/>
    </w:p>
    <w:p w14:paraId="3EAF2CC0" w14:textId="77777777" w:rsidR="0080013C" w:rsidRPr="001343A3" w:rsidRDefault="0080013C" w:rsidP="0080013C">
      <w:pPr>
        <w:pStyle w:val="Bibliography"/>
      </w:pPr>
      <w:r w:rsidRPr="001343A3">
        <w:t xml:space="preserve">Lee, Berna, </w:t>
      </w:r>
      <w:r w:rsidRPr="001343A3">
        <w:rPr>
          <w:i/>
          <w:iCs/>
        </w:rPr>
        <w:t>Flat Garden at Portland Japanese Garden</w:t>
      </w:r>
      <w:r w:rsidRPr="001343A3">
        <w:t>, 2023, Photograph</w:t>
      </w:r>
    </w:p>
    <w:p w14:paraId="61549FC9" w14:textId="77777777" w:rsidR="0080013C" w:rsidRPr="001343A3" w:rsidRDefault="0080013C" w:rsidP="0080013C">
      <w:pPr>
        <w:pStyle w:val="Bibliography"/>
      </w:pPr>
      <w:proofErr w:type="spellStart"/>
      <w:r>
        <w:t>Lee</w:t>
      </w:r>
      <w:r w:rsidRPr="001343A3">
        <w:t>,</w:t>
      </w:r>
      <w:r>
        <w:t>Berna</w:t>
      </w:r>
      <w:proofErr w:type="spellEnd"/>
      <w:r>
        <w:t>,</w:t>
      </w:r>
      <w:r w:rsidRPr="001343A3">
        <w:t xml:space="preserve"> </w:t>
      </w:r>
      <w:proofErr w:type="spellStart"/>
      <w:r w:rsidRPr="001343A3">
        <w:rPr>
          <w:i/>
          <w:iCs/>
        </w:rPr>
        <w:t>Shimenawa</w:t>
      </w:r>
      <w:proofErr w:type="spellEnd"/>
      <w:r w:rsidRPr="001343A3">
        <w:rPr>
          <w:i/>
          <w:iCs/>
        </w:rPr>
        <w:t xml:space="preserve"> Antique Gate at Portland Japanese Garden</w:t>
      </w:r>
      <w:r w:rsidRPr="001343A3">
        <w:t xml:space="preserve">, </w:t>
      </w:r>
      <w:r>
        <w:t xml:space="preserve">2023, </w:t>
      </w:r>
      <w:r w:rsidRPr="001343A3">
        <w:t>Photograph</w:t>
      </w:r>
    </w:p>
    <w:p w14:paraId="0682BA4A" w14:textId="77777777" w:rsidR="0080013C" w:rsidRPr="001343A3" w:rsidRDefault="0080013C" w:rsidP="0080013C">
      <w:pPr>
        <w:pStyle w:val="Bibliography"/>
      </w:pPr>
      <w:r>
        <w:t>Lee, Berna</w:t>
      </w:r>
      <w:r w:rsidRPr="001343A3">
        <w:t xml:space="preserve">, </w:t>
      </w:r>
      <w:r w:rsidRPr="001343A3">
        <w:rPr>
          <w:i/>
          <w:iCs/>
        </w:rPr>
        <w:t>Winter Sand and Stones Garden Portland Japanese Garden</w:t>
      </w:r>
      <w:r w:rsidRPr="001343A3">
        <w:t>, 2023</w:t>
      </w:r>
      <w:r>
        <w:t>, Photograph</w:t>
      </w:r>
    </w:p>
    <w:p w14:paraId="60315B4F" w14:textId="77777777" w:rsidR="0080013C" w:rsidRPr="001343A3" w:rsidRDefault="0080013C" w:rsidP="0080013C">
      <w:pPr>
        <w:pStyle w:val="Bibliography"/>
      </w:pPr>
      <w:proofErr w:type="spellStart"/>
      <w:proofErr w:type="gramStart"/>
      <w:r>
        <w:t>Lee,Berna</w:t>
      </w:r>
      <w:proofErr w:type="spellEnd"/>
      <w:proofErr w:type="gramEnd"/>
      <w:r w:rsidRPr="001343A3">
        <w:t xml:space="preserve">, </w:t>
      </w:r>
      <w:r w:rsidRPr="001343A3">
        <w:rPr>
          <w:i/>
          <w:iCs/>
        </w:rPr>
        <w:t>Winter Sapporo Lantern at the Portland Japanese Garden</w:t>
      </w:r>
      <w:r w:rsidRPr="001343A3">
        <w:t>, 2023</w:t>
      </w:r>
      <w:r>
        <w:t>, Photograph</w:t>
      </w:r>
    </w:p>
    <w:p w14:paraId="6088C8E7" w14:textId="77777777" w:rsidR="0080013C" w:rsidRPr="001343A3" w:rsidRDefault="0080013C" w:rsidP="0080013C">
      <w:pPr>
        <w:pStyle w:val="Bibliography"/>
      </w:pPr>
      <w:r>
        <w:t>Lee, Berna</w:t>
      </w:r>
      <w:r w:rsidRPr="001343A3">
        <w:t xml:space="preserve">, </w:t>
      </w:r>
      <w:r w:rsidRPr="001343A3">
        <w:rPr>
          <w:i/>
          <w:iCs/>
        </w:rPr>
        <w:t xml:space="preserve">Winter </w:t>
      </w:r>
      <w:proofErr w:type="spellStart"/>
      <w:r w:rsidRPr="001343A3">
        <w:rPr>
          <w:i/>
          <w:iCs/>
        </w:rPr>
        <w:t>Zagunis</w:t>
      </w:r>
      <w:proofErr w:type="spellEnd"/>
      <w:r w:rsidRPr="001343A3">
        <w:rPr>
          <w:i/>
          <w:iCs/>
        </w:rPr>
        <w:t xml:space="preserve"> Wall at Portland Japanese Garden</w:t>
      </w:r>
      <w:r w:rsidRPr="001343A3">
        <w:t>, 2023</w:t>
      </w:r>
      <w:r>
        <w:t>, Photograph</w:t>
      </w:r>
    </w:p>
    <w:p w14:paraId="5F9C984A" w14:textId="77777777" w:rsidR="006F03FB" w:rsidRDefault="003B6B8A">
      <w:pPr>
        <w:pBdr>
          <w:top w:val="nil"/>
          <w:left w:val="nil"/>
          <w:bottom w:val="nil"/>
          <w:right w:val="nil"/>
          <w:between w:val="nil"/>
        </w:pBdr>
        <w:spacing w:after="240"/>
        <w:ind w:left="720" w:hanging="720"/>
        <w:rPr>
          <w:color w:val="000000"/>
        </w:rPr>
      </w:pPr>
      <w:r>
        <w:rPr>
          <w:color w:val="000000"/>
        </w:rPr>
        <w:t xml:space="preserve">Lane, Belden C., </w:t>
      </w:r>
      <w:r>
        <w:rPr>
          <w:i/>
          <w:color w:val="000000"/>
        </w:rPr>
        <w:t>Landscape of the Sacred: Geography and Narrative in American Spirituality</w:t>
      </w:r>
      <w:r>
        <w:rPr>
          <w:color w:val="000000"/>
        </w:rPr>
        <w:t>, Expanded Edition (John Hopkins University Press, 2002)</w:t>
      </w:r>
    </w:p>
    <w:p w14:paraId="5F9C984B" w14:textId="77777777" w:rsidR="006F03FB" w:rsidRDefault="003B6B8A">
      <w:pPr>
        <w:pBdr>
          <w:top w:val="nil"/>
          <w:left w:val="nil"/>
          <w:bottom w:val="nil"/>
          <w:right w:val="nil"/>
          <w:between w:val="nil"/>
        </w:pBdr>
        <w:spacing w:after="240"/>
        <w:ind w:left="720" w:hanging="720"/>
        <w:rPr>
          <w:color w:val="000000"/>
        </w:rPr>
      </w:pPr>
      <w:r>
        <w:rPr>
          <w:color w:val="000000"/>
        </w:rPr>
        <w:t xml:space="preserve">Nolan, Fran, ‘JAPANESE GARDENS - PLACES OF AUTHENTICITY?’, </w:t>
      </w:r>
      <w:r>
        <w:rPr>
          <w:i/>
          <w:color w:val="000000"/>
        </w:rPr>
        <w:t>Architecture Media Pty Ltd.</w:t>
      </w:r>
      <w:r>
        <w:rPr>
          <w:color w:val="000000"/>
        </w:rPr>
        <w:t>, 19.2 (1997)</w:t>
      </w:r>
    </w:p>
    <w:p w14:paraId="5F9C984C" w14:textId="77777777" w:rsidR="006F03FB" w:rsidRDefault="003B6B8A">
      <w:pPr>
        <w:pBdr>
          <w:top w:val="nil"/>
          <w:left w:val="nil"/>
          <w:bottom w:val="nil"/>
          <w:right w:val="nil"/>
          <w:between w:val="nil"/>
        </w:pBdr>
        <w:spacing w:after="240"/>
        <w:ind w:left="720" w:hanging="720"/>
        <w:rPr>
          <w:color w:val="000000"/>
        </w:rPr>
      </w:pPr>
      <w:r>
        <w:rPr>
          <w:color w:val="000000"/>
        </w:rPr>
        <w:t xml:space="preserve">Oregonian/OregonLive, Janet Eastman | </w:t>
      </w:r>
      <w:proofErr w:type="gramStart"/>
      <w:r>
        <w:rPr>
          <w:color w:val="000000"/>
        </w:rPr>
        <w:t>The,</w:t>
      </w:r>
      <w:proofErr w:type="gramEnd"/>
      <w:r>
        <w:rPr>
          <w:color w:val="000000"/>
        </w:rPr>
        <w:t xml:space="preserve"> ‘The Fascinating History of the Portland Japanese Garden’, </w:t>
      </w:r>
      <w:proofErr w:type="spellStart"/>
      <w:r>
        <w:rPr>
          <w:i/>
          <w:color w:val="000000"/>
        </w:rPr>
        <w:t>Oregonlive</w:t>
      </w:r>
      <w:proofErr w:type="spellEnd"/>
      <w:r>
        <w:rPr>
          <w:color w:val="000000"/>
        </w:rPr>
        <w:t>, 2017 &lt;https://www.oregonlive.com/hg/2017/04/portland_japanese_garden_histo.html&gt; [accessed 7 January 2023]</w:t>
      </w:r>
    </w:p>
    <w:p w14:paraId="5F9C984D" w14:textId="77777777" w:rsidR="006F03FB" w:rsidRDefault="003B6B8A">
      <w:pPr>
        <w:pBdr>
          <w:top w:val="nil"/>
          <w:left w:val="nil"/>
          <w:bottom w:val="nil"/>
          <w:right w:val="nil"/>
          <w:between w:val="nil"/>
        </w:pBdr>
        <w:spacing w:after="240"/>
        <w:ind w:left="720" w:hanging="720"/>
        <w:rPr>
          <w:color w:val="000000"/>
        </w:rPr>
      </w:pPr>
      <w:proofErr w:type="spellStart"/>
      <w:r>
        <w:rPr>
          <w:color w:val="000000"/>
        </w:rPr>
        <w:t>Orru</w:t>
      </w:r>
      <w:proofErr w:type="spellEnd"/>
      <w:r>
        <w:rPr>
          <w:color w:val="000000"/>
        </w:rPr>
        <w:t xml:space="preserve">, Marco, and Amy Wang, ‘Durkheim, Religion, and Buddhism’, </w:t>
      </w:r>
      <w:r>
        <w:rPr>
          <w:i/>
          <w:color w:val="000000"/>
        </w:rPr>
        <w:t>Journal for the Scientific Study of Religion</w:t>
      </w:r>
      <w:r>
        <w:rPr>
          <w:color w:val="000000"/>
        </w:rPr>
        <w:t>, 31.1 (1992), 47 &lt;https://doi.org/10.2307/1386831&gt;</w:t>
      </w:r>
    </w:p>
    <w:p w14:paraId="0C5061AB" w14:textId="77777777" w:rsidR="00B74D7B" w:rsidRPr="00221E18" w:rsidRDefault="00B74D7B" w:rsidP="00B74D7B">
      <w:pPr>
        <w:pStyle w:val="Bibliography"/>
      </w:pPr>
      <w:proofErr w:type="spellStart"/>
      <w:r w:rsidRPr="00221E18">
        <w:t>Pankenier</w:t>
      </w:r>
      <w:proofErr w:type="spellEnd"/>
      <w:r w:rsidRPr="00221E18">
        <w:t xml:space="preserve">, David W., ‘The Cosmic </w:t>
      </w:r>
      <w:proofErr w:type="spellStart"/>
      <w:r w:rsidRPr="00221E18">
        <w:t>Center</w:t>
      </w:r>
      <w:proofErr w:type="spellEnd"/>
      <w:r w:rsidRPr="00221E18">
        <w:t xml:space="preserve"> in Early China and Its Archaic Resonances’, </w:t>
      </w:r>
      <w:r w:rsidRPr="00221E18">
        <w:rPr>
          <w:i/>
          <w:iCs/>
        </w:rPr>
        <w:t>Proceedings of the International Astronomical Union</w:t>
      </w:r>
      <w:r w:rsidRPr="00221E18">
        <w:t>, 7.S278 (2011), 298–307 &lt;https://doi.org/10.1017/S1743921311012737&gt;</w:t>
      </w:r>
    </w:p>
    <w:p w14:paraId="02BF879C" w14:textId="117A8321" w:rsidR="00B74D7B" w:rsidRPr="00221E18" w:rsidRDefault="0092303E" w:rsidP="00B74D7B">
      <w:pPr>
        <w:pStyle w:val="Bibliography"/>
      </w:pPr>
      <w:proofErr w:type="spellStart"/>
      <w:r>
        <w:t>Pankenier</w:t>
      </w:r>
      <w:proofErr w:type="spellEnd"/>
      <w:r>
        <w:t>, David W.</w:t>
      </w:r>
      <w:r w:rsidR="00B74D7B" w:rsidRPr="00221E18">
        <w:t xml:space="preserve">, ‘The Cosmo-Political Background of Heaven’s Mandate’, </w:t>
      </w:r>
      <w:r w:rsidR="00B74D7B" w:rsidRPr="00221E18">
        <w:rPr>
          <w:i/>
          <w:iCs/>
        </w:rPr>
        <w:t>Early China</w:t>
      </w:r>
      <w:r w:rsidR="00B74D7B" w:rsidRPr="00221E18">
        <w:t>, 20 (1995), 121–76 &lt;https://doi.org/10.1017/S0362502800004466&gt;</w:t>
      </w:r>
    </w:p>
    <w:p w14:paraId="08C21EC7" w14:textId="77777777" w:rsidR="00B74D7B" w:rsidRPr="00221E18" w:rsidRDefault="00B74D7B" w:rsidP="00B74D7B">
      <w:pPr>
        <w:pStyle w:val="Bibliography"/>
      </w:pPr>
      <w:proofErr w:type="spellStart"/>
      <w:r w:rsidRPr="00221E18">
        <w:t>Sabnis</w:t>
      </w:r>
      <w:proofErr w:type="spellEnd"/>
      <w:r w:rsidRPr="00221E18">
        <w:t>, Sonia, ‘Portland Japanese Garden Guided Tour’ (Portland Japanese Garden, 2023)</w:t>
      </w:r>
    </w:p>
    <w:p w14:paraId="5F9C984E" w14:textId="349699E8" w:rsidR="006F03FB" w:rsidRDefault="003B6B8A">
      <w:pPr>
        <w:pBdr>
          <w:top w:val="nil"/>
          <w:left w:val="nil"/>
          <w:bottom w:val="nil"/>
          <w:right w:val="nil"/>
          <w:between w:val="nil"/>
        </w:pBdr>
        <w:spacing w:after="240"/>
        <w:ind w:left="720" w:hanging="720"/>
        <w:rPr>
          <w:color w:val="000000"/>
        </w:rPr>
      </w:pPr>
      <w:r>
        <w:rPr>
          <w:color w:val="000000"/>
        </w:rPr>
        <w:t xml:space="preserve">Smith, David Woodruff, ‘Phenomenology’, in </w:t>
      </w:r>
      <w:r>
        <w:rPr>
          <w:i/>
          <w:color w:val="000000"/>
        </w:rPr>
        <w:t xml:space="preserve">The Stanford </w:t>
      </w:r>
      <w:r w:rsidR="00DA38CC">
        <w:rPr>
          <w:i/>
          <w:color w:val="000000"/>
        </w:rPr>
        <w:t>Encyclopaedia</w:t>
      </w:r>
      <w:r>
        <w:rPr>
          <w:i/>
          <w:color w:val="000000"/>
        </w:rPr>
        <w:t xml:space="preserve"> of Philosophy</w:t>
      </w:r>
      <w:r>
        <w:rPr>
          <w:color w:val="000000"/>
        </w:rPr>
        <w:t xml:space="preserve">, ed. by Edward N. </w:t>
      </w:r>
      <w:proofErr w:type="spellStart"/>
      <w:r>
        <w:rPr>
          <w:color w:val="000000"/>
        </w:rPr>
        <w:t>Zalta</w:t>
      </w:r>
      <w:proofErr w:type="spellEnd"/>
      <w:r>
        <w:rPr>
          <w:color w:val="000000"/>
        </w:rPr>
        <w:t>, Summer 2018 (Metaphysics Research Lab, Stanford University, 2018) &lt;https://plato.stanford.edu/archives/sum2018/entries/phenomenology/&gt; [accessed 6 January 2023]</w:t>
      </w:r>
    </w:p>
    <w:p w14:paraId="62B0BBAA" w14:textId="39041642" w:rsidR="00221E18" w:rsidRPr="00221E18" w:rsidRDefault="00221E18" w:rsidP="00221E18">
      <w:pPr>
        <w:pStyle w:val="Bibliography"/>
      </w:pPr>
    </w:p>
    <w:p w14:paraId="66536D51" w14:textId="1E8A54DB" w:rsidR="00221E18" w:rsidRDefault="00221E18">
      <w:pPr>
        <w:pBdr>
          <w:top w:val="nil"/>
          <w:left w:val="nil"/>
          <w:bottom w:val="nil"/>
          <w:right w:val="nil"/>
          <w:between w:val="nil"/>
        </w:pBdr>
        <w:spacing w:after="240"/>
        <w:ind w:left="720" w:hanging="720"/>
        <w:rPr>
          <w:color w:val="000000"/>
        </w:rPr>
      </w:pPr>
    </w:p>
    <w:p w14:paraId="5F9C984F" w14:textId="77777777" w:rsidR="006F03FB" w:rsidRDefault="006F03FB">
      <w:pPr>
        <w:ind w:firstLine="720"/>
      </w:pPr>
    </w:p>
    <w:sectPr w:rsidR="006F03FB">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C9868" w14:textId="77777777" w:rsidR="003162D7" w:rsidRDefault="003B6B8A">
      <w:r>
        <w:separator/>
      </w:r>
    </w:p>
  </w:endnote>
  <w:endnote w:type="continuationSeparator" w:id="0">
    <w:p w14:paraId="5F9C986A" w14:textId="77777777" w:rsidR="003162D7" w:rsidRDefault="003B6B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C9862" w14:textId="3BFE4333" w:rsidR="006F03FB" w:rsidRDefault="003B6B8A">
    <w:pPr>
      <w:pBdr>
        <w:top w:val="nil"/>
        <w:left w:val="nil"/>
        <w:bottom w:val="nil"/>
        <w:right w:val="nil"/>
        <w:between w:val="nil"/>
      </w:pBdr>
      <w:tabs>
        <w:tab w:val="center" w:pos="4680"/>
        <w:tab w:val="right" w:pos="9360"/>
      </w:tabs>
      <w:jc w:val="right"/>
      <w:rPr>
        <w:color w:val="000000"/>
      </w:rPr>
    </w:pPr>
    <w:r>
      <w:rPr>
        <w:color w:val="000000"/>
      </w:rPr>
      <w:fldChar w:fldCharType="begin"/>
    </w:r>
    <w:r>
      <w:rPr>
        <w:color w:val="000000"/>
      </w:rPr>
      <w:instrText>PAGE</w:instrText>
    </w:r>
    <w:r>
      <w:rPr>
        <w:color w:val="000000"/>
      </w:rPr>
      <w:fldChar w:fldCharType="separate"/>
    </w:r>
    <w:r w:rsidR="00D5045B">
      <w:rPr>
        <w:noProof/>
        <w:color w:val="000000"/>
      </w:rPr>
      <w:t>1</w:t>
    </w:r>
    <w:r>
      <w:rPr>
        <w:color w:val="000000"/>
      </w:rPr>
      <w:fldChar w:fldCharType="end"/>
    </w:r>
  </w:p>
  <w:p w14:paraId="5F9C9863" w14:textId="77777777" w:rsidR="006F03FB" w:rsidRDefault="006F03FB">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C9864" w14:textId="77777777" w:rsidR="003162D7" w:rsidRDefault="003B6B8A">
      <w:r>
        <w:separator/>
      </w:r>
    </w:p>
  </w:footnote>
  <w:footnote w:type="continuationSeparator" w:id="0">
    <w:p w14:paraId="5F9C9866" w14:textId="77777777" w:rsidR="003162D7" w:rsidRDefault="003B6B8A">
      <w:r>
        <w:continuationSeparator/>
      </w:r>
    </w:p>
  </w:footnote>
  <w:footnote w:id="1">
    <w:p w14:paraId="5F9C9864"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Belden C. Lane, </w:t>
      </w:r>
      <w:r>
        <w:rPr>
          <w:rFonts w:ascii="Times New Roman" w:eastAsia="Times New Roman" w:hAnsi="Times New Roman" w:cs="Times New Roman"/>
          <w:i/>
          <w:color w:val="000000"/>
          <w:sz w:val="20"/>
          <w:szCs w:val="20"/>
        </w:rPr>
        <w:t>Landscape of the Sacred: Geography and Narrative in American Spirituality</w:t>
      </w:r>
      <w:r>
        <w:rPr>
          <w:rFonts w:ascii="Times New Roman" w:eastAsia="Times New Roman" w:hAnsi="Times New Roman" w:cs="Times New Roman"/>
          <w:color w:val="000000"/>
          <w:sz w:val="20"/>
          <w:szCs w:val="20"/>
        </w:rPr>
        <w:t>, Expanded Edition (John Hopkins University Press, 2002), p. 7.</w:t>
      </w:r>
    </w:p>
  </w:footnote>
  <w:footnote w:id="2">
    <w:p w14:paraId="5F9C9865"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7.</w:t>
      </w:r>
    </w:p>
  </w:footnote>
  <w:footnote w:id="3">
    <w:p w14:paraId="5F9C9866" w14:textId="56CB4713"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David Woodruff Smith, ‘Phenomenology’, in </w:t>
      </w:r>
      <w:r>
        <w:rPr>
          <w:rFonts w:ascii="Times New Roman" w:eastAsia="Times New Roman" w:hAnsi="Times New Roman" w:cs="Times New Roman"/>
          <w:i/>
          <w:color w:val="000000"/>
          <w:sz w:val="20"/>
          <w:szCs w:val="20"/>
        </w:rPr>
        <w:t xml:space="preserve">The Stanford </w:t>
      </w:r>
      <w:r w:rsidR="00C530A9">
        <w:rPr>
          <w:rFonts w:ascii="Times New Roman" w:eastAsia="Times New Roman" w:hAnsi="Times New Roman" w:cs="Times New Roman"/>
          <w:i/>
          <w:color w:val="000000"/>
          <w:sz w:val="20"/>
          <w:szCs w:val="20"/>
        </w:rPr>
        <w:t>Encyclopaedia</w:t>
      </w:r>
      <w:r>
        <w:rPr>
          <w:rFonts w:ascii="Times New Roman" w:eastAsia="Times New Roman" w:hAnsi="Times New Roman" w:cs="Times New Roman"/>
          <w:i/>
          <w:color w:val="000000"/>
          <w:sz w:val="20"/>
          <w:szCs w:val="20"/>
        </w:rPr>
        <w:t xml:space="preserve"> of Philosophy</w:t>
      </w:r>
      <w:r>
        <w:rPr>
          <w:rFonts w:ascii="Times New Roman" w:eastAsia="Times New Roman" w:hAnsi="Times New Roman" w:cs="Times New Roman"/>
          <w:color w:val="000000"/>
          <w:sz w:val="20"/>
          <w:szCs w:val="20"/>
        </w:rPr>
        <w:t xml:space="preserve">, ed. by Edward N. </w:t>
      </w:r>
      <w:r>
        <w:rPr>
          <w:rFonts w:ascii="Times New Roman" w:eastAsia="Times New Roman" w:hAnsi="Times New Roman" w:cs="Times New Roman"/>
          <w:color w:val="000000"/>
          <w:sz w:val="20"/>
          <w:szCs w:val="20"/>
        </w:rPr>
        <w:t>Zalta, Summer 2018 (Metaphysics Research Lab, Stanford University, 2018) &lt;https://plato.stanford.edu/archives/sum2018/entries/phenomenology/&gt; [accessed 6 January 2023].</w:t>
      </w:r>
    </w:p>
  </w:footnote>
  <w:footnote w:id="4">
    <w:p w14:paraId="5CA35C14" w14:textId="2AC0BE3B" w:rsidR="008F78A7" w:rsidRPr="008F78A7" w:rsidRDefault="008F78A7">
      <w:pPr>
        <w:pStyle w:val="FootnoteText"/>
        <w:rPr>
          <w:lang w:val="en-US"/>
        </w:rPr>
      </w:pPr>
      <w:r>
        <w:rPr>
          <w:rStyle w:val="FootnoteReference"/>
        </w:rPr>
        <w:footnoteRef/>
      </w:r>
      <w:r>
        <w:t xml:space="preserve"> </w:t>
      </w:r>
      <w:r>
        <w:fldChar w:fldCharType="begin"/>
      </w:r>
      <w:r>
        <w:instrText xml:space="preserve"> ADDIN ZOTERO_ITEM CSL_CITATION {"citationID":"Bb4x631F","properties":{"formattedCitation":"Janet Eastman | The Oregonian/OregonLive, \\uc0\\u8216{}The Fascinating History of the Portland Japanese Garden\\uc0\\u8217{}, {\\i{}Oregonlive}, 2017 &lt;https://www.oregonlive.com/hg/2017/04/portland_japanese_garden_histo.html&gt; [accessed 7 January 2023].","plainCitation":"Janet Eastman | The Oregonian/OregonLive, ‘The Fascinating History of the Portland Japanese Garden’, Oregonlive, 2017 &lt;https://www.oregonlive.com/hg/2017/04/portland_japanese_garden_histo.html&gt; [accessed 7 January 2023].","noteIndex":4},"citationItems":[{"id":302,"uris":["http://zotero.org/users/9107787/items/MAQLRDS4"],"itemData":{"id":302,"type":"webpage","abstract":"Visitors to the Portland Japanese Garden will never have the same, familiar experience again. The $33.5 million, 20-month-long expansion project is completed and everything from the Southwest Kingston Avenue parking lot to the original entrance of the hilltop property at the edge of Washington Park looks different, while the main garden remains unchanged.","container-title":"oregonlive","language":"en","note":"section: Homes &amp; Gardens","title":"The fascinating history of the Portland Japanese Garden","URL":"https://www.oregonlive.com/hg/2017/04/portland_japanese_garden_histo.html","author":[{"family":"Oregonian/OregonLive","given":"Janet Eastman | The"}],"accessed":{"date-parts":[["2023",1,7]]},"issued":{"date-parts":[["2017",4,2]]}}}],"schema":"https://github.com/citation-style-language/schema/raw/master/csl-citation.json"} </w:instrText>
      </w:r>
      <w:r>
        <w:fldChar w:fldCharType="separate"/>
      </w:r>
      <w:r w:rsidRPr="008F78A7">
        <w:rPr>
          <w:szCs w:val="24"/>
        </w:rPr>
        <w:t xml:space="preserve">Janet Eastman | The Oregonian/OregonLive, ‘The Fascinating History of the Portland Japanese Garden’, </w:t>
      </w:r>
      <w:r w:rsidRPr="008F78A7">
        <w:rPr>
          <w:i/>
          <w:iCs/>
          <w:szCs w:val="24"/>
        </w:rPr>
        <w:t>Oregonlive</w:t>
      </w:r>
      <w:r w:rsidRPr="008F78A7">
        <w:rPr>
          <w:szCs w:val="24"/>
        </w:rPr>
        <w:t>, 2017 &lt;https://www.oregonlive.com/hg/2017/04/portland_japanese_garden_histo.html&gt; [accessed 7 January 2023].</w:t>
      </w:r>
      <w:r>
        <w:fldChar w:fldCharType="end"/>
      </w:r>
    </w:p>
  </w:footnote>
  <w:footnote w:id="5">
    <w:p w14:paraId="5F9C9867"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‘History -Portland Japanese Garden’, </w:t>
      </w:r>
      <w:r>
        <w:rPr>
          <w:rFonts w:ascii="Times New Roman" w:eastAsia="Times New Roman" w:hAnsi="Times New Roman" w:cs="Times New Roman"/>
          <w:i/>
          <w:color w:val="000000"/>
          <w:sz w:val="20"/>
          <w:szCs w:val="20"/>
        </w:rPr>
        <w:t>Portland Japanese Garden</w:t>
      </w:r>
      <w:r>
        <w:rPr>
          <w:rFonts w:ascii="Times New Roman" w:eastAsia="Times New Roman" w:hAnsi="Times New Roman" w:cs="Times New Roman"/>
          <w:color w:val="000000"/>
          <w:sz w:val="20"/>
          <w:szCs w:val="20"/>
        </w:rPr>
        <w:t xml:space="preserve"> &lt;https://japanesegarden.org/about-portland-japanese-garden/history/&gt; [accessed 7 January 2023].</w:t>
      </w:r>
    </w:p>
  </w:footnote>
  <w:footnote w:id="6">
    <w:p w14:paraId="5F9C9868"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41.</w:t>
      </w:r>
    </w:p>
  </w:footnote>
  <w:footnote w:id="7">
    <w:p w14:paraId="5F9C9869"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39.</w:t>
      </w:r>
    </w:p>
  </w:footnote>
  <w:footnote w:id="8">
    <w:p w14:paraId="5F9C986A"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Emile Durkheim, </w:t>
      </w:r>
      <w:r>
        <w:rPr>
          <w:rFonts w:ascii="Times New Roman" w:eastAsia="Times New Roman" w:hAnsi="Times New Roman" w:cs="Times New Roman"/>
          <w:i/>
          <w:color w:val="000000"/>
          <w:sz w:val="20"/>
          <w:szCs w:val="20"/>
        </w:rPr>
        <w:t>The Elementary Forms of Religious Life</w:t>
      </w:r>
      <w:r>
        <w:rPr>
          <w:rFonts w:ascii="Times New Roman" w:eastAsia="Times New Roman" w:hAnsi="Times New Roman" w:cs="Times New Roman"/>
          <w:color w:val="000000"/>
          <w:sz w:val="20"/>
          <w:szCs w:val="20"/>
        </w:rPr>
        <w:t xml:space="preserve"> (New York: Free Press, 1995), p. xix.</w:t>
      </w:r>
    </w:p>
  </w:footnote>
  <w:footnote w:id="9">
    <w:p w14:paraId="5F9C986B"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Marco </w:t>
      </w:r>
      <w:r>
        <w:rPr>
          <w:rFonts w:ascii="Times New Roman" w:eastAsia="Times New Roman" w:hAnsi="Times New Roman" w:cs="Times New Roman"/>
          <w:color w:val="000000"/>
          <w:sz w:val="20"/>
          <w:szCs w:val="20"/>
        </w:rPr>
        <w:t xml:space="preserve">Orru and Amy Wang, ‘Durkheim, Religion, and Buddhism’, </w:t>
      </w:r>
      <w:r>
        <w:rPr>
          <w:rFonts w:ascii="Times New Roman" w:eastAsia="Times New Roman" w:hAnsi="Times New Roman" w:cs="Times New Roman"/>
          <w:i/>
          <w:color w:val="000000"/>
          <w:sz w:val="20"/>
          <w:szCs w:val="20"/>
        </w:rPr>
        <w:t>Journal for the Scientific Study of Religion</w:t>
      </w:r>
      <w:r>
        <w:rPr>
          <w:rFonts w:ascii="Times New Roman" w:eastAsia="Times New Roman" w:hAnsi="Times New Roman" w:cs="Times New Roman"/>
          <w:color w:val="000000"/>
          <w:sz w:val="20"/>
          <w:szCs w:val="20"/>
        </w:rPr>
        <w:t>, 31.1 (1992), 47 (p. 52) &lt;https://doi.org/10.2307/1386831&gt;.</w:t>
      </w:r>
    </w:p>
  </w:footnote>
  <w:footnote w:id="10">
    <w:p w14:paraId="5F9C986C"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13.</w:t>
      </w:r>
    </w:p>
  </w:footnote>
  <w:footnote w:id="11">
    <w:p w14:paraId="5F9C986D"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Mircea Eliade, </w:t>
      </w:r>
      <w:r>
        <w:rPr>
          <w:rFonts w:ascii="Times New Roman" w:eastAsia="Times New Roman" w:hAnsi="Times New Roman" w:cs="Times New Roman"/>
          <w:i/>
          <w:color w:val="000000"/>
          <w:sz w:val="20"/>
          <w:szCs w:val="20"/>
        </w:rPr>
        <w:t>Myth and Reality</w:t>
      </w:r>
      <w:r>
        <w:rPr>
          <w:rFonts w:ascii="Times New Roman" w:eastAsia="Times New Roman" w:hAnsi="Times New Roman" w:cs="Times New Roman"/>
          <w:color w:val="000000"/>
          <w:sz w:val="20"/>
          <w:szCs w:val="20"/>
        </w:rPr>
        <w:t xml:space="preserve"> (Harper &amp; Row, 1975), pp. 34–35.</w:t>
      </w:r>
    </w:p>
  </w:footnote>
  <w:footnote w:id="12">
    <w:p w14:paraId="5F9C986E" w14:textId="77966B51"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Levy </w:t>
      </w:r>
      <w:r>
        <w:rPr>
          <w:rFonts w:ascii="Times New Roman" w:eastAsia="Times New Roman" w:hAnsi="Times New Roman" w:cs="Times New Roman"/>
          <w:color w:val="000000"/>
          <w:sz w:val="20"/>
          <w:szCs w:val="20"/>
        </w:rPr>
        <w:t xml:space="preserve">Bruhl, </w:t>
      </w:r>
      <w:r>
        <w:rPr>
          <w:rFonts w:ascii="Times New Roman" w:eastAsia="Times New Roman" w:hAnsi="Times New Roman" w:cs="Times New Roman"/>
          <w:i/>
          <w:color w:val="000000"/>
          <w:sz w:val="20"/>
          <w:szCs w:val="20"/>
        </w:rPr>
        <w:t xml:space="preserve">The  Notebooks on </w:t>
      </w:r>
      <w:r w:rsidR="00C530A9">
        <w:rPr>
          <w:rFonts w:ascii="Times New Roman" w:eastAsia="Times New Roman" w:hAnsi="Times New Roman" w:cs="Times New Roman"/>
          <w:i/>
          <w:color w:val="000000"/>
          <w:sz w:val="20"/>
          <w:szCs w:val="20"/>
        </w:rPr>
        <w:t>Primitive</w:t>
      </w:r>
      <w:r>
        <w:rPr>
          <w:rFonts w:ascii="Times New Roman" w:eastAsia="Times New Roman" w:hAnsi="Times New Roman" w:cs="Times New Roman"/>
          <w:i/>
          <w:color w:val="000000"/>
          <w:sz w:val="20"/>
          <w:szCs w:val="20"/>
        </w:rPr>
        <w:t xml:space="preserve"> Mentality Trans. Peter Rivere</w:t>
      </w:r>
      <w:r>
        <w:rPr>
          <w:rFonts w:ascii="Times New Roman" w:eastAsia="Times New Roman" w:hAnsi="Times New Roman" w:cs="Times New Roman"/>
          <w:color w:val="000000"/>
          <w:sz w:val="20"/>
          <w:szCs w:val="20"/>
        </w:rPr>
        <w:t xml:space="preserve"> (San Francisco: Harper &amp; Row Publishers, 1975), p. 59.</w:t>
      </w:r>
    </w:p>
  </w:footnote>
  <w:footnote w:id="13">
    <w:p w14:paraId="5F9C986F" w14:textId="77777777" w:rsidR="006F03FB" w:rsidRDefault="003B6B8A">
      <w:pPr>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Lane, p. 59.</w:t>
      </w:r>
    </w:p>
  </w:footnote>
  <w:footnote w:id="14">
    <w:p w14:paraId="5F9C9870"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color w:val="000000"/>
          <w:sz w:val="20"/>
          <w:szCs w:val="20"/>
        </w:rPr>
        <w:t>Bruhl, p. 59.</w:t>
      </w:r>
    </w:p>
  </w:footnote>
  <w:footnote w:id="15">
    <w:p w14:paraId="5F9C9871"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color w:val="000000"/>
          <w:sz w:val="20"/>
          <w:szCs w:val="20"/>
        </w:rPr>
        <w:t>Bruhl, p. 139.</w:t>
      </w:r>
    </w:p>
  </w:footnote>
  <w:footnote w:id="16">
    <w:p w14:paraId="5F9C9872"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58.</w:t>
      </w:r>
    </w:p>
  </w:footnote>
  <w:footnote w:id="17">
    <w:p w14:paraId="5F9C9873" w14:textId="77777777" w:rsidR="006F03FB" w:rsidRDefault="003B6B8A">
      <w:pPr>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Lane, p. 19.</w:t>
      </w:r>
    </w:p>
  </w:footnote>
  <w:footnote w:id="18">
    <w:p w14:paraId="5F9C9874" w14:textId="77777777" w:rsidR="006F03FB" w:rsidRDefault="003B6B8A">
      <w:pPr>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Lane, p. 19.</w:t>
      </w:r>
    </w:p>
  </w:footnote>
  <w:footnote w:id="19">
    <w:p w14:paraId="0869BC8F" w14:textId="36CB77AC" w:rsidR="003348F2" w:rsidRPr="003348F2" w:rsidRDefault="003348F2">
      <w:pPr>
        <w:pStyle w:val="FootnoteText"/>
        <w:rPr>
          <w:lang w:val="en-US"/>
        </w:rPr>
      </w:pPr>
      <w:r>
        <w:rPr>
          <w:rStyle w:val="FootnoteReference"/>
        </w:rPr>
        <w:footnoteRef/>
      </w:r>
      <w:r>
        <w:t xml:space="preserve"> </w:t>
      </w:r>
      <w:r>
        <w:fldChar w:fldCharType="begin"/>
      </w:r>
      <w:r>
        <w:instrText xml:space="preserve"> ADDIN ZOTERO_ITEM CSL_CITATION {"citationID":"65SUmaOF","properties":{"formattedCitation":"\\uc0\\u8216{}Author\\uc0\\u8217{}s Notes on Google Map\\uc0\\u8217{} (Google, 2023) &lt;https://www.google.com/maps/@45.5184913,-122.7078983,81m/data=!3m1!1e3!5m1!1e4&gt;.","plainCitation":"‘Author’s Notes on Google Map’ (Google, 2023) &lt;https://www.google.com/maps/@45.5184913,-122.7078983,81m/data=!3m1!1e3!5m1!1e4&gt;.","noteIndex":19},"citationItems":[{"id":318,"uris":["http://zotero.org/users/9107787/items/N4QLKVSX"],"itemData":{"id":318,"type":"map","publisher":"Google","title":"Author's notes on Google Map","URL":"https://www.google.com/maps/@45.5184913,-122.7078983,81m/data=!3m1!1e3!5m1!1e4","issued":{"date-parts":[["2023",11,1]]}}}],"schema":"https://github.com/citation-style-language/schema/raw/master/csl-citation.json"} </w:instrText>
      </w:r>
      <w:r>
        <w:fldChar w:fldCharType="separate"/>
      </w:r>
      <w:r w:rsidRPr="003348F2">
        <w:rPr>
          <w:szCs w:val="24"/>
        </w:rPr>
        <w:t>‘Author’s Notes on Google Map’ (Google, 2023) &lt;https://www.google.com/maps/@45.5184913,-122.7078983,81m/data=!3m1!1e3!5m1!1e4&gt;.</w:t>
      </w:r>
      <w:r>
        <w:fldChar w:fldCharType="end"/>
      </w:r>
    </w:p>
  </w:footnote>
  <w:footnote w:id="20">
    <w:p w14:paraId="5F9C9875"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19.</w:t>
      </w:r>
    </w:p>
  </w:footnote>
  <w:footnote w:id="21">
    <w:p w14:paraId="5F9C9876"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13.</w:t>
      </w:r>
    </w:p>
  </w:footnote>
  <w:footnote w:id="22">
    <w:p w14:paraId="5F9C9877"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Marc Peter Keane, ‘Listening to Stones’, </w:t>
      </w:r>
      <w:r>
        <w:rPr>
          <w:rFonts w:ascii="Times New Roman" w:eastAsia="Times New Roman" w:hAnsi="Times New Roman" w:cs="Times New Roman"/>
          <w:i/>
          <w:color w:val="000000"/>
          <w:sz w:val="20"/>
          <w:szCs w:val="20"/>
        </w:rPr>
        <w:t>A Journal of Place</w:t>
      </w:r>
      <w:r>
        <w:rPr>
          <w:rFonts w:ascii="Times New Roman" w:eastAsia="Times New Roman" w:hAnsi="Times New Roman" w:cs="Times New Roman"/>
          <w:color w:val="000000"/>
          <w:sz w:val="20"/>
          <w:szCs w:val="20"/>
        </w:rPr>
        <w:t>, 4.1 (2008), 9–11 (p. 11).</w:t>
      </w:r>
    </w:p>
  </w:footnote>
  <w:footnote w:id="23">
    <w:p w14:paraId="5F9C9878"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Keane, p. 9.</w:t>
      </w:r>
    </w:p>
  </w:footnote>
  <w:footnote w:id="24">
    <w:p w14:paraId="5F9C9879"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Keane, p. 9.</w:t>
      </w:r>
    </w:p>
  </w:footnote>
  <w:footnote w:id="25">
    <w:p w14:paraId="5F9C987A"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Fran Nolan, ‘JAPANESE GARDENS - PLACES OF AUTHENTICITY?’, </w:t>
      </w:r>
      <w:r>
        <w:rPr>
          <w:rFonts w:ascii="Times New Roman" w:eastAsia="Times New Roman" w:hAnsi="Times New Roman" w:cs="Times New Roman"/>
          <w:i/>
          <w:color w:val="000000"/>
          <w:sz w:val="20"/>
          <w:szCs w:val="20"/>
        </w:rPr>
        <w:t>Architecture Media Pty Ltd.</w:t>
      </w:r>
      <w:r>
        <w:rPr>
          <w:rFonts w:ascii="Times New Roman" w:eastAsia="Times New Roman" w:hAnsi="Times New Roman" w:cs="Times New Roman"/>
          <w:color w:val="000000"/>
          <w:sz w:val="20"/>
          <w:szCs w:val="20"/>
        </w:rPr>
        <w:t>, 19.2 (1997), p. 186.</w:t>
      </w:r>
    </w:p>
  </w:footnote>
  <w:footnote w:id="26">
    <w:p w14:paraId="5F9C987B"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Keane, p. 9.</w:t>
      </w:r>
    </w:p>
  </w:footnote>
  <w:footnote w:id="27">
    <w:p w14:paraId="27E920E4" w14:textId="5DED47A0" w:rsidR="00CE4824" w:rsidRPr="00CE4824" w:rsidRDefault="00CE4824">
      <w:pPr>
        <w:pStyle w:val="FootnoteText"/>
        <w:rPr>
          <w:lang w:val="en-US"/>
        </w:rPr>
      </w:pPr>
      <w:r>
        <w:rPr>
          <w:rStyle w:val="FootnoteReference"/>
        </w:rPr>
        <w:footnoteRef/>
      </w:r>
      <w:r>
        <w:t xml:space="preserve"> </w:t>
      </w:r>
      <w:r>
        <w:fldChar w:fldCharType="begin"/>
      </w:r>
      <w:r>
        <w:instrText xml:space="preserve"> ADDIN ZOTERO_ITEM CSL_CITATION {"citationID":"uOZZRmUz","properties":{"formattedCitation":"Berna Lee, {\\i{}Winter Zagunis Wall at Portland Japanese Garden}, 2023.","plainCitation":"Berna Lee, Winter Zagunis Wall at Portland Japanese Garden, 2023.","noteIndex":27},"citationItems":[{"id":323,"uris":["http://zotero.org/users/9107787/items/64SGL55Y"],"itemData":{"id":323,"type":"graphic","title":"Winter Zagunis Wall at Portland Japanese Garden","author":[{"family":"Lee","given":"Berna"}],"issued":{"date-parts":[["2023",7,1]]}}}],"schema":"https://github.com/citation-style-language/schema/raw/master/csl-citation.json"} </w:instrText>
      </w:r>
      <w:r>
        <w:fldChar w:fldCharType="separate"/>
      </w:r>
      <w:r w:rsidRPr="00CE4824">
        <w:rPr>
          <w:szCs w:val="24"/>
        </w:rPr>
        <w:t xml:space="preserve">Berna Lee, </w:t>
      </w:r>
      <w:r w:rsidRPr="00CE4824">
        <w:rPr>
          <w:i/>
          <w:iCs/>
          <w:szCs w:val="24"/>
        </w:rPr>
        <w:t>Winter Zagunis Wall at Portland Japanese Garden</w:t>
      </w:r>
      <w:r w:rsidRPr="00CE4824">
        <w:rPr>
          <w:szCs w:val="24"/>
        </w:rPr>
        <w:t>, 2023.</w:t>
      </w:r>
      <w:r>
        <w:fldChar w:fldCharType="end"/>
      </w:r>
    </w:p>
  </w:footnote>
  <w:footnote w:id="28">
    <w:p w14:paraId="45653E10" w14:textId="45355899" w:rsidR="00B571C5" w:rsidRPr="00B571C5" w:rsidRDefault="00B571C5">
      <w:pPr>
        <w:pStyle w:val="FootnoteText"/>
        <w:rPr>
          <w:lang w:val="en-US"/>
        </w:rPr>
      </w:pPr>
      <w:r>
        <w:rPr>
          <w:rStyle w:val="FootnoteReference"/>
        </w:rPr>
        <w:footnoteRef/>
      </w:r>
      <w:r>
        <w:t xml:space="preserve"> </w:t>
      </w:r>
      <w:r>
        <w:fldChar w:fldCharType="begin"/>
      </w:r>
      <w:r w:rsidR="00CE4824">
        <w:instrText xml:space="preserve"> ADDIN ZOTERO_ITEM CSL_CITATION {"citationID":"wx3FY2Ou","properties":{"formattedCitation":"Berna Lee, {\\i{}Flat Garden at Portland Japanese Garden}, 2023.","plainCitation":"Berna Lee, Flat Garden at Portland Japanese Garden, 2023.","dontUpdate":true,"noteIndex":28},"citationItems":[{"id":319,"uris":["http://zotero.org/users/9107787/items/6YNGMSN6"],"itemData":{"id":319,"type":"graphic","medium":"Photograph","title":"Flat Garden at Portland Japanese Garden","author":[{"family":"Lee","given":"Berna"}],"issued":{"date-parts":[["2023",7,1]]}}}],"schema":"https://github.com/citation-style-language/schema/raw/master/csl-citation.json"} </w:instrText>
      </w:r>
      <w:r>
        <w:fldChar w:fldCharType="separate"/>
      </w:r>
      <w:r w:rsidRPr="00B571C5">
        <w:rPr>
          <w:szCs w:val="24"/>
        </w:rPr>
        <w:t xml:space="preserve">Berna Lee, </w:t>
      </w:r>
      <w:r w:rsidR="00156058" w:rsidRPr="00156058">
        <w:rPr>
          <w:i/>
          <w:iCs/>
          <w:szCs w:val="24"/>
        </w:rPr>
        <w:t xml:space="preserve">Summer </w:t>
      </w:r>
      <w:r w:rsidRPr="00B571C5">
        <w:rPr>
          <w:i/>
          <w:iCs/>
          <w:szCs w:val="24"/>
        </w:rPr>
        <w:t>Flat Garden at Portland Japanese Garden</w:t>
      </w:r>
      <w:r w:rsidRPr="00B571C5">
        <w:rPr>
          <w:szCs w:val="24"/>
        </w:rPr>
        <w:t>, 2023.</w:t>
      </w:r>
      <w:r>
        <w:fldChar w:fldCharType="end"/>
      </w:r>
    </w:p>
  </w:footnote>
  <w:footnote w:id="29">
    <w:p w14:paraId="5F9C987C"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Keane, p. 11.</w:t>
      </w:r>
    </w:p>
  </w:footnote>
  <w:footnote w:id="30">
    <w:p w14:paraId="5F9C987D"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41.</w:t>
      </w:r>
    </w:p>
  </w:footnote>
  <w:footnote w:id="31">
    <w:p w14:paraId="0571F842" w14:textId="3455C69A" w:rsidR="00C779A1" w:rsidRPr="00C779A1" w:rsidRDefault="00C779A1">
      <w:pPr>
        <w:pStyle w:val="FootnoteText"/>
        <w:rPr>
          <w:lang w:val="en-US"/>
        </w:rPr>
      </w:pPr>
      <w:r>
        <w:rPr>
          <w:rStyle w:val="FootnoteReference"/>
        </w:rPr>
        <w:footnoteRef/>
      </w:r>
      <w:r>
        <w:t xml:space="preserve"> </w:t>
      </w:r>
      <w:r>
        <w:fldChar w:fldCharType="begin"/>
      </w:r>
      <w:r>
        <w:instrText xml:space="preserve"> ADDIN ZOTERO_ITEM CSL_CITATION {"citationID":"mdf4sHcD","properties":{"formattedCitation":"Sonia Sabnis, \\uc0\\u8216{}Portland Japanese Garden Guided Tour\\uc0\\u8217{} (Portland Japanese Garden, 2023).","plainCitation":"Sonia Sabnis, ‘Portland Japanese Garden Guided Tour’ (Portland Japanese Garden, 2023).","noteIndex":28},"citationItems":[{"id":315,"uris":["http://zotero.org/users/9107787/items/DMNXHNVA"],"itemData":{"id":315,"type":"speech","event-place":"Portland Japanese Garden","language":"English","publisher-place":"Portland Japanese Garden","title":"Portland Japanese Garden Guided Tour","author":[{"family":"Sabnis","given":"Sonia"}],"issued":{"date-parts":[["2023",1,7]]}}}],"schema":"https://github.com/citation-style-language/schema/raw/master/csl-citation.json"} </w:instrText>
      </w:r>
      <w:r>
        <w:fldChar w:fldCharType="separate"/>
      </w:r>
      <w:r w:rsidRPr="00C779A1">
        <w:rPr>
          <w:szCs w:val="24"/>
        </w:rPr>
        <w:t>Sonia Sabnis, ‘Portland Japanese Garden Guided Tour’ (Portland Japanese Garden, 2023).</w:t>
      </w:r>
      <w:r>
        <w:fldChar w:fldCharType="end"/>
      </w:r>
    </w:p>
  </w:footnote>
  <w:footnote w:id="32">
    <w:p w14:paraId="5F9C987E"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color w:val="000000"/>
          <w:sz w:val="20"/>
          <w:szCs w:val="20"/>
        </w:rPr>
        <w:t>Bruhl, pp. 2–3.</w:t>
      </w:r>
    </w:p>
  </w:footnote>
  <w:footnote w:id="33">
    <w:p w14:paraId="5F9C987F"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Lane, p. 19.</w:t>
      </w:r>
    </w:p>
  </w:footnote>
  <w:footnote w:id="34">
    <w:p w14:paraId="76735233" w14:textId="21D7C834" w:rsidR="00D60BA7" w:rsidRPr="00D60BA7" w:rsidRDefault="00D60BA7">
      <w:pPr>
        <w:pStyle w:val="FootnoteText"/>
        <w:rPr>
          <w:lang w:val="en-US"/>
        </w:rPr>
      </w:pPr>
      <w:r>
        <w:rPr>
          <w:rStyle w:val="FootnoteReference"/>
        </w:rPr>
        <w:footnoteRef/>
      </w:r>
      <w:r>
        <w:t xml:space="preserve"> </w:t>
      </w:r>
      <w:r>
        <w:fldChar w:fldCharType="begin"/>
      </w:r>
      <w:r w:rsidR="00CE4824">
        <w:instrText xml:space="preserve"> ADDIN ZOTERO_ITEM CSL_CITATION {"citationID":"JJBdzJgA","properties":{"formattedCitation":"Berna Lee, {\\i{}Shimenawa Antique Gate at Portland Japanese Garden}.","plainCitation":"Berna Lee, Shimenawa Antique Gate at Portland Japanese Garden.","dontUpdate":true,"noteIndex":34},"citationItems":[{"id":320,"uris":["http://zotero.org/users/9107787/items/Z2RSMEUX"],"itemData":{"id":320,"type":"graphic","medium":"Photograph","title":"Shimenawa Antique Gate at Portland Japanese Garden","author":[{"family":"Lee","given":"Berna"}],"issued":{"date-parts":[["2023",7,1]]}}}],"schema":"https://github.com/citation-style-language/schema/raw/master/csl-citation.json"} </w:instrText>
      </w:r>
      <w:r>
        <w:fldChar w:fldCharType="separate"/>
      </w:r>
      <w:r w:rsidRPr="00D60BA7">
        <w:rPr>
          <w:szCs w:val="24"/>
        </w:rPr>
        <w:t>Berna Lee,</w:t>
      </w:r>
      <w:r w:rsidRPr="00D85A56">
        <w:rPr>
          <w:i/>
          <w:iCs/>
          <w:szCs w:val="24"/>
        </w:rPr>
        <w:t xml:space="preserve"> </w:t>
      </w:r>
      <w:r w:rsidR="00D85A56" w:rsidRPr="00D85A56">
        <w:rPr>
          <w:i/>
          <w:iCs/>
          <w:szCs w:val="24"/>
        </w:rPr>
        <w:t xml:space="preserve">New Year </w:t>
      </w:r>
      <w:r w:rsidRPr="00D85A56">
        <w:rPr>
          <w:i/>
          <w:iCs/>
          <w:szCs w:val="24"/>
        </w:rPr>
        <w:t>Shi</w:t>
      </w:r>
      <w:r w:rsidRPr="00D60BA7">
        <w:rPr>
          <w:i/>
          <w:iCs/>
          <w:szCs w:val="24"/>
        </w:rPr>
        <w:t>menawa Antique Gate at Portland Japanese Garden</w:t>
      </w:r>
      <w:r w:rsidR="00D85A56">
        <w:rPr>
          <w:i/>
          <w:iCs/>
          <w:szCs w:val="24"/>
        </w:rPr>
        <w:t xml:space="preserve">, </w:t>
      </w:r>
      <w:r w:rsidR="00D85A56" w:rsidRPr="00DA0E06">
        <w:rPr>
          <w:szCs w:val="24"/>
        </w:rPr>
        <w:t>2023</w:t>
      </w:r>
      <w:r w:rsidRPr="00D60BA7">
        <w:rPr>
          <w:szCs w:val="24"/>
        </w:rPr>
        <w:t>.</w:t>
      </w:r>
      <w:r>
        <w:fldChar w:fldCharType="end"/>
      </w:r>
    </w:p>
  </w:footnote>
  <w:footnote w:id="35">
    <w:p w14:paraId="6F760A15" w14:textId="5069E48A" w:rsidR="007B32F6" w:rsidRPr="007B32F6" w:rsidRDefault="007B32F6">
      <w:pPr>
        <w:pStyle w:val="FootnoteText"/>
        <w:rPr>
          <w:lang w:val="en-US"/>
        </w:rPr>
      </w:pPr>
      <w:r>
        <w:rPr>
          <w:rStyle w:val="FootnoteReference"/>
        </w:rPr>
        <w:footnoteRef/>
      </w:r>
      <w:r>
        <w:t xml:space="preserve"> </w:t>
      </w:r>
      <w:r>
        <w:fldChar w:fldCharType="begin"/>
      </w:r>
      <w:r w:rsidR="00CE4824">
        <w:instrText xml:space="preserve"> ADDIN ZOTERO_ITEM CSL_CITATION {"citationID":"rQZT50KO","properties":{"formattedCitation":"Berna Lee, {\\i{}Winter Sand and Stones Garden Portland Japanese Garden}, 2023.","plainCitation":"Berna Lee, Winter Sand and Stones Garden Portland Japanese Garden, 2023.","noteIndex":35},"citationItems":[{"id":321,"uris":["http://zotero.org/users/9107787/items/YD5ULD3C"],"itemData":{"id":321,"type":"graphic","title":"Winter Sand and Stones Garden Portland Japanese Garden","author":[{"family":"Lee","given":"Berna"}],"issued":{"date-parts":[["2023",7,1]]}}}],"schema":"https://github.com/citation-style-language/schema/raw/master/csl-citation.json"} </w:instrText>
      </w:r>
      <w:r>
        <w:fldChar w:fldCharType="separate"/>
      </w:r>
      <w:r w:rsidRPr="007B32F6">
        <w:rPr>
          <w:szCs w:val="24"/>
        </w:rPr>
        <w:t xml:space="preserve">Berna Lee, </w:t>
      </w:r>
      <w:r w:rsidRPr="007B32F6">
        <w:rPr>
          <w:i/>
          <w:iCs/>
          <w:szCs w:val="24"/>
        </w:rPr>
        <w:t>Winter Sand and Stones Garden Portland Japanese Garden</w:t>
      </w:r>
      <w:r w:rsidRPr="007B32F6">
        <w:rPr>
          <w:szCs w:val="24"/>
        </w:rPr>
        <w:t>, 2023.</w:t>
      </w:r>
      <w:r>
        <w:fldChar w:fldCharType="end"/>
      </w:r>
    </w:p>
  </w:footnote>
  <w:footnote w:id="36">
    <w:p w14:paraId="5F9C9880" w14:textId="0CDE46EC"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Garry Eaton, ‘A Note on Haiku’, </w:t>
      </w:r>
      <w:r>
        <w:rPr>
          <w:rFonts w:ascii="Times New Roman" w:eastAsia="Times New Roman" w:hAnsi="Times New Roman" w:cs="Times New Roman"/>
          <w:i/>
          <w:color w:val="000000"/>
          <w:sz w:val="20"/>
          <w:szCs w:val="20"/>
        </w:rPr>
        <w:t>Oxford University Press</w:t>
      </w:r>
      <w:r>
        <w:rPr>
          <w:rFonts w:ascii="Times New Roman" w:eastAsia="Times New Roman" w:hAnsi="Times New Roman" w:cs="Times New Roman"/>
          <w:color w:val="000000"/>
          <w:sz w:val="20"/>
          <w:szCs w:val="20"/>
        </w:rPr>
        <w:t xml:space="preserve">, The Cambridge </w:t>
      </w:r>
      <w:r w:rsidR="00A51C1E">
        <w:rPr>
          <w:rFonts w:ascii="Times New Roman" w:eastAsia="Times New Roman" w:hAnsi="Times New Roman" w:cs="Times New Roman"/>
          <w:color w:val="000000"/>
          <w:sz w:val="20"/>
          <w:szCs w:val="20"/>
        </w:rPr>
        <w:t>Quarterly</w:t>
      </w:r>
      <w:r>
        <w:rPr>
          <w:rFonts w:ascii="Times New Roman" w:eastAsia="Times New Roman" w:hAnsi="Times New Roman" w:cs="Times New Roman"/>
          <w:color w:val="000000"/>
          <w:sz w:val="20"/>
          <w:szCs w:val="20"/>
        </w:rPr>
        <w:t>, 38 (2009), 328–37 (p. 328).</w:t>
      </w:r>
    </w:p>
  </w:footnote>
  <w:footnote w:id="37">
    <w:p w14:paraId="5F9C9881"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Eaton, p. 330.</w:t>
      </w:r>
    </w:p>
  </w:footnote>
  <w:footnote w:id="38">
    <w:p w14:paraId="5F9C9882"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Terry Eagleton, </w:t>
      </w:r>
      <w:r>
        <w:rPr>
          <w:rFonts w:ascii="Times New Roman" w:eastAsia="Times New Roman" w:hAnsi="Times New Roman" w:cs="Times New Roman"/>
          <w:i/>
          <w:color w:val="000000"/>
          <w:sz w:val="20"/>
          <w:szCs w:val="20"/>
        </w:rPr>
        <w:t>The Idea of Culture</w:t>
      </w:r>
      <w:r>
        <w:rPr>
          <w:rFonts w:ascii="Times New Roman" w:eastAsia="Times New Roman" w:hAnsi="Times New Roman" w:cs="Times New Roman"/>
          <w:color w:val="000000"/>
          <w:sz w:val="20"/>
          <w:szCs w:val="20"/>
        </w:rPr>
        <w:t xml:space="preserve"> (Oxford, Blackwell, 2000), p. 28.</w:t>
      </w:r>
    </w:p>
  </w:footnote>
  <w:footnote w:id="39">
    <w:p w14:paraId="5F9C9883"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color w:val="000000"/>
          <w:sz w:val="20"/>
          <w:szCs w:val="20"/>
        </w:rPr>
        <w:t>Durkheim, p. xxxiii.</w:t>
      </w:r>
    </w:p>
  </w:footnote>
  <w:footnote w:id="40">
    <w:p w14:paraId="5F9C9884"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Durkheim, p. xvii.</w:t>
      </w:r>
    </w:p>
  </w:footnote>
  <w:footnote w:id="41">
    <w:p w14:paraId="5F9C9885"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color w:val="000000"/>
          <w:sz w:val="20"/>
          <w:szCs w:val="20"/>
        </w:rPr>
        <w:t>Orru and Wang, p. 52.</w:t>
      </w:r>
    </w:p>
  </w:footnote>
  <w:footnote w:id="42">
    <w:p w14:paraId="5F9C9886" w14:textId="732ACAE0"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color w:val="000000"/>
          <w:sz w:val="20"/>
          <w:szCs w:val="20"/>
        </w:rPr>
        <w:t>Ingvild Gilhus, ‘</w:t>
      </w:r>
      <w:r w:rsidR="00DA38CC">
        <w:rPr>
          <w:rFonts w:ascii="Times New Roman" w:eastAsia="Times New Roman" w:hAnsi="Times New Roman" w:cs="Times New Roman"/>
          <w:color w:val="000000"/>
          <w:sz w:val="20"/>
          <w:szCs w:val="20"/>
        </w:rPr>
        <w:t>Gnosticism</w:t>
      </w:r>
      <w:r>
        <w:rPr>
          <w:rFonts w:ascii="Times New Roman" w:eastAsia="Times New Roman" w:hAnsi="Times New Roman" w:cs="Times New Roman"/>
          <w:color w:val="000000"/>
          <w:sz w:val="20"/>
          <w:szCs w:val="20"/>
        </w:rPr>
        <w:t xml:space="preserve">: A Study in Liminal Symbolism’, </w:t>
      </w:r>
      <w:r>
        <w:rPr>
          <w:rFonts w:ascii="Times New Roman" w:eastAsia="Times New Roman" w:hAnsi="Times New Roman" w:cs="Times New Roman"/>
          <w:i/>
          <w:color w:val="000000"/>
          <w:sz w:val="20"/>
          <w:szCs w:val="20"/>
        </w:rPr>
        <w:t>Numen</w:t>
      </w:r>
      <w:r>
        <w:rPr>
          <w:rFonts w:ascii="Times New Roman" w:eastAsia="Times New Roman" w:hAnsi="Times New Roman" w:cs="Times New Roman"/>
          <w:color w:val="000000"/>
          <w:sz w:val="20"/>
          <w:szCs w:val="20"/>
        </w:rPr>
        <w:t>, 1984.</w:t>
      </w:r>
    </w:p>
  </w:footnote>
  <w:footnote w:id="43">
    <w:p w14:paraId="5F9C9887" w14:textId="77777777" w:rsidR="006F03FB" w:rsidRDefault="003B6B8A">
      <w:pPr>
        <w:pBdr>
          <w:top w:val="nil"/>
          <w:left w:val="nil"/>
          <w:bottom w:val="nil"/>
          <w:right w:val="nil"/>
          <w:between w:val="nil"/>
        </w:pBdr>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color w:val="000000"/>
          <w:sz w:val="20"/>
          <w:szCs w:val="20"/>
        </w:rPr>
        <w:t>Bruhl, p. 63.</w:t>
      </w:r>
    </w:p>
  </w:footnote>
  <w:footnote w:id="44">
    <w:p w14:paraId="623257C4" w14:textId="081C06BD" w:rsidR="00C027B1" w:rsidRPr="00C027B1" w:rsidRDefault="00C027B1">
      <w:pPr>
        <w:pStyle w:val="FootnoteText"/>
        <w:rPr>
          <w:lang w:val="en-US"/>
        </w:rPr>
      </w:pPr>
      <w:r>
        <w:rPr>
          <w:rStyle w:val="FootnoteReference"/>
        </w:rPr>
        <w:footnoteRef/>
      </w:r>
      <w:r>
        <w:t xml:space="preserve"> </w:t>
      </w:r>
      <w:r>
        <w:fldChar w:fldCharType="begin"/>
      </w:r>
      <w:r>
        <w:instrText xml:space="preserve"> ADDIN ZOTERO_ITEM CSL_CITATION {"citationID":"xCI3RuY4","properties":{"formattedCitation":"David W. Pankenier, \\uc0\\u8216{}The Cosmic Center in Early China and Its Archaic Resonances\\uc0\\u8217{}, {\\i{}Proceedings of the International Astronomical Union}, 7.S278 (2011), 298\\uc0\\u8211{}307 (pp. 298\\uc0\\u8211{}304) &lt;https://doi.org/10.1017/S1743921311012737&gt;.","plainCitation":"David W. Pankenier, ‘The Cosmic Center in Early China and Its Archaic Resonances’, Proceedings of the International Astronomical Union, 7.S278 (2011), 298–307 (pp. 298–304) &lt;https://doi.org/10.1017/S1743921311012737&gt;.","noteIndex":39},"citationItems":[{"id":57,"uris":["http://zotero.org/users/9107787/items/YF4446HQ"],"itemData":{"id":57,"type":"article-journal","abstract":"Study of the role of astronomical alignments in shaping the built environment suggests that centuries before establishment of the Empire in 221 BCE, the Chinese had already developed practical, geometrical applications of astronomical knowledge useful in orienting high-value structures. The archaeological record clearly shows this fundamental disposition was already ﬁrmly established by the formative period of Chinese civilization in the early 2nd millennium BCE. The cosmological identiﬁcation of the imperial center with the celestial Pole and an intense focus on the circumpolar ‘skyscape’ are manifested in the highly symbolic orientation of early imperial capitals. Certain features of this cosmological world-view may have emerged as early as the Neolithic.","container-title":"Proceedings of the International Astronomical Union","DOI":"10.1017/S1743921311012737","ISSN":"1743-9213, 1743-9221","issue":"S278","journalAbbreviation":"Proc. IAU","language":"en","page":"298-307","source":"DOI.org (Crossref)","title":"The cosmic center in Early China and its archaic resonances","volume":"7","author":[{"family":"Pankenier","given":"David W."}],"issued":{"date-parts":[["2011",1]]}},"locator":"298-304","label":"page"}],"schema":"https://github.com/citation-style-language/schema/raw/master/csl-citation.json"} </w:instrText>
      </w:r>
      <w:r>
        <w:fldChar w:fldCharType="separate"/>
      </w:r>
      <w:r w:rsidRPr="00C027B1">
        <w:rPr>
          <w:szCs w:val="24"/>
        </w:rPr>
        <w:t xml:space="preserve">David W. Pankenier, ‘The Cosmic Center in Early China and Its Archaic Resonances’, </w:t>
      </w:r>
      <w:r w:rsidRPr="00C027B1">
        <w:rPr>
          <w:i/>
          <w:iCs/>
          <w:szCs w:val="24"/>
        </w:rPr>
        <w:t>Proceedings of the International Astronomical Union</w:t>
      </w:r>
      <w:r w:rsidRPr="00C027B1">
        <w:rPr>
          <w:szCs w:val="24"/>
        </w:rPr>
        <w:t>, 7.S278 (2011), 298–307 (pp. 298–304) &lt;https://doi.org/10.1017/S1743921311012737&gt;.</w:t>
      </w:r>
      <w:r>
        <w:fldChar w:fldCharType="end"/>
      </w:r>
    </w:p>
  </w:footnote>
  <w:footnote w:id="45">
    <w:p w14:paraId="66CE134F" w14:textId="0C8064EB" w:rsidR="00732A87" w:rsidRPr="00732A87" w:rsidRDefault="00732A87">
      <w:pPr>
        <w:pStyle w:val="FootnoteText"/>
        <w:rPr>
          <w:lang w:val="en-US"/>
        </w:rPr>
      </w:pPr>
      <w:r>
        <w:rPr>
          <w:rStyle w:val="FootnoteReference"/>
        </w:rPr>
        <w:footnoteRef/>
      </w:r>
      <w:r>
        <w:t xml:space="preserve"> </w:t>
      </w:r>
      <w:r>
        <w:fldChar w:fldCharType="begin"/>
      </w:r>
      <w:r w:rsidR="00C027B1">
        <w:instrText xml:space="preserve"> ADDIN ZOTERO_ITEM CSL_CITATION {"citationID":"zv9n9kq4","properties":{"formattedCitation":"David W. Pankenier, \\uc0\\u8216{}The Cosmo-Political Background of Heaven\\uc0\\u8217{}s Mandate\\uc0\\u8217{}, {\\i{}Early China}, 20 (1995), 121\\uc0\\u8211{}76 (pp. 121\\uc0\\u8211{}23) &lt;https://doi.org/10.1017/S0362502800004466&gt;.","plainCitation":"David W. Pankenier, ‘The Cosmo-Political Background of Heaven’s Mandate’, Early China, 20 (1995), 121–76 (pp. 121–23) &lt;https://doi.org/10.1017/S0362502800004466&gt;.","noteIndex":40},"citationItems":[{"id":317,"uris":["http://zotero.org/users/9107787/items/YPH4MUGH"],"itemData":{"id":317,"type":"article-journal","abstract":"A preoccupation with cosmology and the correlation of celestial events with terrestrial activity dates back to the very beginnings of Chinese civilization. The existence of such a mindset is shown by archeo-logical discoveries from the Neolithic as well as the early Bronze Age. The belief in heaven-dwelling high gods like Shang Di and Tian also had antecedents in the pre-Shang period. In addition, analysis of scientifically verifiable accounts of planetary massings from the second millennium B.C. suggests that important cosmological and astrological notions took shape much earlier than previously thought. On the basis of this evidence it now appears likely that such conceptions are intimately connected both with influential later beliefs about a Mandate of Heaven, which asserted heavenly intervention as the cause of change in temporal governance, and with later Five Elements speculative schemes, which claimed to discern a preordained phenomenological pattern in the dynastic succession. The cosmicization of experience in the archaic period to which the evidence points and the vehement reassertion of Heaven's Mandate by the Zhou dynasty founders together confirm the epoch-making historical role of the Shang-Zhou transition in decisively reaffirming “patterning oneself in Heaven's image” (\n              xiang tian\n              </w:instrText>
      </w:r>
      <w:r w:rsidR="00C027B1">
        <w:rPr>
          <w:rFonts w:ascii="SimSun" w:eastAsia="SimSun" w:hAnsi="SimSun" w:cs="SimSun" w:hint="eastAsia"/>
        </w:rPr>
        <w:instrText>象天</w:instrText>
      </w:r>
      <w:r w:rsidR="00C027B1">
        <w:instrText xml:space="preserve">) as the fundamental metaphor in Chinese political legitimation.\n            \n          , \n            </w:instrText>
      </w:r>
      <w:r w:rsidR="00C027B1">
        <w:rPr>
          <w:rFonts w:ascii="SimSun" w:eastAsia="SimSun" w:hAnsi="SimSun" w:cs="SimSun" w:hint="eastAsia"/>
        </w:rPr>
        <w:instrText>對宇宙論的重視和把天命與人間事件相繋聯的傾向可以追溯到中國文明的早期</w:instrText>
      </w:r>
      <w:r w:rsidR="00C027B1">
        <w:instrText>.</w:instrText>
      </w:r>
      <w:r w:rsidR="00C027B1">
        <w:rPr>
          <w:rFonts w:ascii="SimSun" w:eastAsia="SimSun" w:hAnsi="SimSun" w:cs="SimSun" w:hint="eastAsia"/>
        </w:rPr>
        <w:instrText>這種思想傾向的存在已爲新石器時代及靑銅器時代早期的考古發現所證實</w:instrText>
      </w:r>
      <w:r w:rsidR="00C027B1">
        <w:instrText>.</w:instrText>
      </w:r>
      <w:r w:rsidR="00C027B1">
        <w:rPr>
          <w:rFonts w:ascii="SimSun" w:eastAsia="SimSun" w:hAnsi="SimSun" w:cs="SimSun" w:hint="eastAsia"/>
        </w:rPr>
        <w:instrText>對象</w:instrText>
      </w:r>
      <w:r w:rsidR="00C027B1">
        <w:instrText>״</w:instrText>
      </w:r>
      <w:r w:rsidR="00C027B1">
        <w:rPr>
          <w:rFonts w:ascii="SimSun" w:eastAsia="SimSun" w:hAnsi="SimSun" w:cs="SimSun" w:hint="eastAsia"/>
        </w:rPr>
        <w:instrText>上帝</w:instrText>
      </w:r>
      <w:r w:rsidR="00C027B1">
        <w:instrText>״</w:instrText>
      </w:r>
      <w:r w:rsidR="00C027B1">
        <w:rPr>
          <w:rFonts w:ascii="SimSun" w:eastAsia="SimSun" w:hAnsi="SimSun" w:cs="SimSun" w:hint="eastAsia"/>
        </w:rPr>
        <w:instrText>和</w:instrText>
      </w:r>
      <w:r w:rsidR="00C027B1">
        <w:instrText>״</w:instrText>
      </w:r>
      <w:r w:rsidR="00C027B1">
        <w:rPr>
          <w:rFonts w:ascii="SimSun" w:eastAsia="SimSun" w:hAnsi="SimSun" w:cs="SimSun" w:hint="eastAsia"/>
        </w:rPr>
        <w:instrText>天</w:instrText>
      </w:r>
      <w:r w:rsidR="00C027B1">
        <w:instrText>״</w:instrText>
      </w:r>
      <w:r w:rsidR="00C027B1">
        <w:rPr>
          <w:rFonts w:ascii="SimSun" w:eastAsia="SimSun" w:hAnsi="SimSun" w:cs="SimSun" w:hint="eastAsia"/>
        </w:rPr>
        <w:instrText>這種居住於天堂的神的信仰在商代以前就已存在</w:instrText>
      </w:r>
      <w:r w:rsidR="00C027B1">
        <w:instrText>.</w:instrText>
      </w:r>
      <w:r w:rsidR="00C027B1">
        <w:rPr>
          <w:rFonts w:ascii="SimSun" w:eastAsia="SimSun" w:hAnsi="SimSun" w:cs="SimSun" w:hint="eastAsia"/>
        </w:rPr>
        <w:instrText>先民在公元前兩千年至一千年間已對一系列星聚現象作過觀測並加以記載</w:instrText>
      </w:r>
      <w:r w:rsidR="00C027B1">
        <w:instrText>,</w:instrText>
      </w:r>
      <w:r w:rsidR="00C027B1">
        <w:rPr>
          <w:rFonts w:ascii="SimSun" w:eastAsia="SimSun" w:hAnsi="SimSun" w:cs="SimSun" w:hint="eastAsia"/>
        </w:rPr>
        <w:instrText>其中不少已爲現代科學所證實</w:instrText>
      </w:r>
      <w:r w:rsidR="00C027B1">
        <w:instrText xml:space="preserve">. </w:instrText>
      </w:r>
      <w:r w:rsidR="00C027B1">
        <w:rPr>
          <w:rFonts w:ascii="SimSun" w:eastAsia="SimSun" w:hAnsi="SimSun" w:cs="SimSun" w:hint="eastAsia"/>
        </w:rPr>
        <w:instrText>通過對這些記載所做的分析表明</w:instrText>
      </w:r>
      <w:r w:rsidR="00C027B1">
        <w:instrText xml:space="preserve">, </w:instrText>
      </w:r>
      <w:r w:rsidR="00C027B1">
        <w:rPr>
          <w:rFonts w:ascii="SimSun" w:eastAsia="SimSun" w:hAnsi="SimSun" w:cs="SimSun" w:hint="eastAsia"/>
        </w:rPr>
        <w:instrText>宇宙論和星占學之主要概念形成的時間比過去專家所假定的要早得多</w:instrText>
      </w:r>
      <w:r w:rsidR="00C027B1">
        <w:instrText>.</w:instrText>
      </w:r>
      <w:r w:rsidR="00C027B1">
        <w:rPr>
          <w:rFonts w:ascii="SimSun" w:eastAsia="SimSun" w:hAnsi="SimSun" w:cs="SimSun" w:hint="eastAsia"/>
        </w:rPr>
        <w:instrText>基於這個事實</w:instrText>
      </w:r>
      <w:r w:rsidR="00C027B1">
        <w:instrText>,</w:instrText>
      </w:r>
      <w:r w:rsidR="00C027B1">
        <w:rPr>
          <w:rFonts w:ascii="SimSun" w:eastAsia="SimSun" w:hAnsi="SimSun" w:cs="SimSun" w:hint="eastAsia"/>
        </w:rPr>
        <w:instrText>這些概念似乎與後來一些非常有影響的有關天命論和五行交替理論的信仰有密切的關係</w:instrText>
      </w:r>
      <w:r w:rsidR="00C027B1">
        <w:instrText>.</w:instrText>
      </w:r>
      <w:r w:rsidR="00C027B1">
        <w:rPr>
          <w:rFonts w:ascii="SimSun" w:eastAsia="SimSun" w:hAnsi="SimSun" w:cs="SimSun" w:hint="eastAsia"/>
        </w:rPr>
        <w:instrText>天命論主張上天的干預是世俗統治改朝換代的原因</w:instrText>
      </w:r>
      <w:r w:rsidR="00C027B1">
        <w:instrText xml:space="preserve">, </w:instrText>
      </w:r>
      <w:r w:rsidR="00C027B1">
        <w:rPr>
          <w:rFonts w:ascii="SimSun" w:eastAsia="SimSun" w:hAnsi="SimSun" w:cs="SimSun" w:hint="eastAsia"/>
        </w:rPr>
        <w:instrText>而較晚的五行交替理論則聲稱能夠辨識王朝更替的某種冥中已定的現象模式</w:instrText>
      </w:r>
      <w:r w:rsidR="00C027B1">
        <w:instrText>.</w:instrText>
      </w:r>
      <w:r w:rsidR="00C027B1">
        <w:rPr>
          <w:rFonts w:ascii="SimSun" w:eastAsia="SimSun" w:hAnsi="SimSun" w:cs="SimSun" w:hint="eastAsia"/>
        </w:rPr>
        <w:instrText>已爲事實所證明的中國古代用宇宙現象解釋人世經驗和周代統治者對天命論的不遺餘力的重申均進一歩證實了</w:instrText>
      </w:r>
      <w:r w:rsidR="00C027B1">
        <w:instrText xml:space="preserve">; </w:instrText>
      </w:r>
      <w:r w:rsidR="00C027B1">
        <w:rPr>
          <w:rFonts w:ascii="SimSun" w:eastAsia="SimSun" w:hAnsi="SimSun" w:cs="SimSun" w:hint="eastAsia"/>
        </w:rPr>
        <w:instrText>商周兩代王權的更替在强化中國古代政治立法中以</w:instrText>
      </w:r>
      <w:r w:rsidR="00C027B1">
        <w:instrText>״</w:instrText>
      </w:r>
      <w:r w:rsidR="00C027B1">
        <w:rPr>
          <w:rFonts w:ascii="SimSun" w:eastAsia="SimSun" w:hAnsi="SimSun" w:cs="SimSun" w:hint="eastAsia"/>
        </w:rPr>
        <w:instrText>象天</w:instrText>
      </w:r>
      <w:r w:rsidR="00C027B1">
        <w:instrText>״</w:instrText>
      </w:r>
      <w:r w:rsidR="00C027B1">
        <w:rPr>
          <w:rFonts w:ascii="SimSun" w:eastAsia="SimSun" w:hAnsi="SimSun" w:cs="SimSun" w:hint="eastAsia"/>
        </w:rPr>
        <w:instrText>爲其基本的比喩象徵中所起到的劃時代的歷史作用</w:instrText>
      </w:r>
      <w:r w:rsidR="00C027B1">
        <w:instrText xml:space="preserve">.","container-title":"Early China","DOI":"10.1017/S0362502800004466","ISSN":"0362-5028, 2325-2324","journalAbbreviation":"Early China","language":"en","page":"121-176","source":"DOI.org (Crossref)","title":"The Cosmo-political Background of Heaven's Mandate","volume":"20","author":[{"family":"Pankenier","given":"David W."}],"issued":{"date-parts":[["1995"]]}},"locator":"121-123","label":"page"}],"schema":"https://github.com/citation-style-language/schema/raw/master/csl-citation.json"} </w:instrText>
      </w:r>
      <w:r>
        <w:fldChar w:fldCharType="separate"/>
      </w:r>
      <w:r w:rsidRPr="00732A87">
        <w:rPr>
          <w:szCs w:val="24"/>
        </w:rPr>
        <w:t xml:space="preserve">David W. Pankenier, ‘The Cosmo-Political Background of Heaven’s Mandate’, </w:t>
      </w:r>
      <w:r w:rsidRPr="00732A87">
        <w:rPr>
          <w:i/>
          <w:iCs/>
          <w:szCs w:val="24"/>
        </w:rPr>
        <w:t>Early China</w:t>
      </w:r>
      <w:r w:rsidRPr="00732A87">
        <w:rPr>
          <w:szCs w:val="24"/>
        </w:rPr>
        <w:t>, 20 (1995), 121–76 (pp. 121–23) &lt;https://doi.org/10.1017/S0362502800004466&gt;.</w:t>
      </w:r>
      <w:r>
        <w:fldChar w:fldCharType="end"/>
      </w:r>
    </w:p>
  </w:footnote>
  <w:footnote w:id="46">
    <w:p w14:paraId="1FE5D1B1" w14:textId="3F2B3256" w:rsidR="00C57F1C" w:rsidRPr="00C57F1C" w:rsidRDefault="00C57F1C">
      <w:pPr>
        <w:pStyle w:val="FootnoteText"/>
        <w:rPr>
          <w:lang w:val="en-US"/>
        </w:rPr>
      </w:pPr>
      <w:r>
        <w:rPr>
          <w:rStyle w:val="FootnoteReference"/>
        </w:rPr>
        <w:footnoteRef/>
      </w:r>
      <w:r>
        <w:t xml:space="preserve"> </w:t>
      </w:r>
      <w:r>
        <w:fldChar w:fldCharType="begin"/>
      </w:r>
      <w:r w:rsidR="00CE4824">
        <w:instrText xml:space="preserve"> ADDIN ZOTERO_ITEM CSL_CITATION {"citationID":"EDUmpIlY","properties":{"formattedCitation":"Berna Lee, {\\i{}Winter Sapporo Lantern at the Portland Japanese Garden}, 2023.","plainCitation":"Berna Lee, Winter Sapporo Lantern at the Portland Japanese Garden, 2023.","noteIndex":46},"citationItems":[{"id":322,"uris":["http://zotero.org/users/9107787/items/EN6G9Q6R"],"itemData":{"id":322,"type":"graphic","title":"Winter Sapporo Lantern at the Portland Japanese Garden","author":[{"family":"Lee","given":"Berna"}],"issued":{"date-parts":[["2023",7,1]]}}}],"schema":"https://github.com/citation-style-language/schema/raw/master/csl-citation.json"} </w:instrText>
      </w:r>
      <w:r>
        <w:fldChar w:fldCharType="separate"/>
      </w:r>
      <w:r w:rsidRPr="00C57F1C">
        <w:rPr>
          <w:szCs w:val="24"/>
        </w:rPr>
        <w:t xml:space="preserve">Berna Lee, </w:t>
      </w:r>
      <w:r w:rsidRPr="00C57F1C">
        <w:rPr>
          <w:i/>
          <w:iCs/>
          <w:szCs w:val="24"/>
        </w:rPr>
        <w:t>Winter Sapporo Lantern at the Portland Japanese Garden</w:t>
      </w:r>
      <w:r w:rsidRPr="00C57F1C">
        <w:rPr>
          <w:szCs w:val="24"/>
        </w:rPr>
        <w:t>, 2023.</w:t>
      </w:r>
      <w:r>
        <w:fldChar w:fldCharType="end"/>
      </w:r>
    </w:p>
  </w:footnote>
  <w:footnote w:id="47">
    <w:p w14:paraId="5F9C9888" w14:textId="77777777" w:rsidR="006F03FB" w:rsidRDefault="003B6B8A">
      <w:pPr>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Lane, p. 7.</w:t>
      </w:r>
    </w:p>
  </w:footnote>
  <w:footnote w:id="48">
    <w:p w14:paraId="5F9C9889" w14:textId="77777777" w:rsidR="006F03FB" w:rsidRDefault="003B6B8A">
      <w:pPr>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Lane, p. 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3FB"/>
    <w:rsid w:val="000047C7"/>
    <w:rsid w:val="000139CB"/>
    <w:rsid w:val="00030F92"/>
    <w:rsid w:val="0003478A"/>
    <w:rsid w:val="000352A1"/>
    <w:rsid w:val="000F5A9B"/>
    <w:rsid w:val="001343A3"/>
    <w:rsid w:val="00156058"/>
    <w:rsid w:val="00175CC7"/>
    <w:rsid w:val="001A7ED9"/>
    <w:rsid w:val="001C050D"/>
    <w:rsid w:val="00221E18"/>
    <w:rsid w:val="00233730"/>
    <w:rsid w:val="002B13AE"/>
    <w:rsid w:val="002D1A45"/>
    <w:rsid w:val="002F19B2"/>
    <w:rsid w:val="00300D97"/>
    <w:rsid w:val="00314E65"/>
    <w:rsid w:val="003162D7"/>
    <w:rsid w:val="00332077"/>
    <w:rsid w:val="003348F2"/>
    <w:rsid w:val="003B40E1"/>
    <w:rsid w:val="003B6B8A"/>
    <w:rsid w:val="003E6900"/>
    <w:rsid w:val="00410796"/>
    <w:rsid w:val="004234E0"/>
    <w:rsid w:val="004517EA"/>
    <w:rsid w:val="00460548"/>
    <w:rsid w:val="004C2A97"/>
    <w:rsid w:val="004D7EEA"/>
    <w:rsid w:val="00520848"/>
    <w:rsid w:val="005B0026"/>
    <w:rsid w:val="005B037C"/>
    <w:rsid w:val="005F7371"/>
    <w:rsid w:val="006145FB"/>
    <w:rsid w:val="00634E5D"/>
    <w:rsid w:val="00667D1B"/>
    <w:rsid w:val="00695CBE"/>
    <w:rsid w:val="006B1095"/>
    <w:rsid w:val="006B4C1D"/>
    <w:rsid w:val="006F03FB"/>
    <w:rsid w:val="00731A57"/>
    <w:rsid w:val="00732A87"/>
    <w:rsid w:val="00735EB2"/>
    <w:rsid w:val="00771755"/>
    <w:rsid w:val="0077541A"/>
    <w:rsid w:val="007A2544"/>
    <w:rsid w:val="007A79F5"/>
    <w:rsid w:val="007B32F6"/>
    <w:rsid w:val="0080013C"/>
    <w:rsid w:val="00806F76"/>
    <w:rsid w:val="00860744"/>
    <w:rsid w:val="008F78A7"/>
    <w:rsid w:val="0092303E"/>
    <w:rsid w:val="00945228"/>
    <w:rsid w:val="009722DF"/>
    <w:rsid w:val="009A3E60"/>
    <w:rsid w:val="009B2D00"/>
    <w:rsid w:val="009F640B"/>
    <w:rsid w:val="00A51C1E"/>
    <w:rsid w:val="00A53482"/>
    <w:rsid w:val="00A6378C"/>
    <w:rsid w:val="00A90817"/>
    <w:rsid w:val="00AA400C"/>
    <w:rsid w:val="00AD12AD"/>
    <w:rsid w:val="00AF1FFE"/>
    <w:rsid w:val="00B2511B"/>
    <w:rsid w:val="00B317D8"/>
    <w:rsid w:val="00B321AC"/>
    <w:rsid w:val="00B44F6D"/>
    <w:rsid w:val="00B571C5"/>
    <w:rsid w:val="00B74D7B"/>
    <w:rsid w:val="00B82499"/>
    <w:rsid w:val="00B9484E"/>
    <w:rsid w:val="00BA3CD3"/>
    <w:rsid w:val="00BA65D1"/>
    <w:rsid w:val="00BE0768"/>
    <w:rsid w:val="00C027B1"/>
    <w:rsid w:val="00C34759"/>
    <w:rsid w:val="00C530A9"/>
    <w:rsid w:val="00C561A5"/>
    <w:rsid w:val="00C57F1C"/>
    <w:rsid w:val="00C779A1"/>
    <w:rsid w:val="00CE4824"/>
    <w:rsid w:val="00D5045B"/>
    <w:rsid w:val="00D60BA7"/>
    <w:rsid w:val="00D632F5"/>
    <w:rsid w:val="00D85A56"/>
    <w:rsid w:val="00DA0E06"/>
    <w:rsid w:val="00DA38CC"/>
    <w:rsid w:val="00E05337"/>
    <w:rsid w:val="00E16489"/>
    <w:rsid w:val="00E32938"/>
    <w:rsid w:val="00E67B8C"/>
    <w:rsid w:val="00E76676"/>
    <w:rsid w:val="00ED5988"/>
    <w:rsid w:val="00EF0651"/>
    <w:rsid w:val="00F56DB7"/>
    <w:rsid w:val="00F75983"/>
    <w:rsid w:val="00FD3322"/>
    <w:rsid w:val="00FE34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C9794"/>
  <w15:docId w15:val="{05EDF847-EEEA-4919-A81D-C9D0611FB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337"/>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3947FA"/>
    <w:pPr>
      <w:tabs>
        <w:tab w:val="center" w:pos="4680"/>
        <w:tab w:val="right" w:pos="9360"/>
      </w:tabs>
    </w:pPr>
  </w:style>
  <w:style w:type="character" w:customStyle="1" w:styleId="HeaderChar">
    <w:name w:val="Header Char"/>
    <w:basedOn w:val="DefaultParagraphFont"/>
    <w:link w:val="Header"/>
    <w:uiPriority w:val="99"/>
    <w:rsid w:val="003947FA"/>
  </w:style>
  <w:style w:type="paragraph" w:styleId="Footer">
    <w:name w:val="footer"/>
    <w:basedOn w:val="Normal"/>
    <w:link w:val="FooterChar"/>
    <w:uiPriority w:val="99"/>
    <w:unhideWhenUsed/>
    <w:rsid w:val="003947FA"/>
    <w:pPr>
      <w:tabs>
        <w:tab w:val="center" w:pos="4680"/>
        <w:tab w:val="right" w:pos="9360"/>
      </w:tabs>
    </w:pPr>
  </w:style>
  <w:style w:type="character" w:customStyle="1" w:styleId="FooterChar">
    <w:name w:val="Footer Char"/>
    <w:basedOn w:val="DefaultParagraphFont"/>
    <w:link w:val="Footer"/>
    <w:uiPriority w:val="99"/>
    <w:rsid w:val="003947FA"/>
  </w:style>
  <w:style w:type="paragraph" w:styleId="FootnoteText">
    <w:name w:val="footnote text"/>
    <w:basedOn w:val="Normal"/>
    <w:link w:val="FootnoteTextChar"/>
    <w:semiHidden/>
    <w:rsid w:val="003947FA"/>
    <w:rPr>
      <w:rFonts w:ascii="Times New Roman" w:eastAsia="Times New Roman" w:hAnsi="Times New Roman" w:cs="Times New Roman"/>
      <w:sz w:val="20"/>
      <w:szCs w:val="20"/>
      <w:lang w:eastAsia="en-US"/>
    </w:rPr>
  </w:style>
  <w:style w:type="character" w:customStyle="1" w:styleId="FootnoteTextChar">
    <w:name w:val="Footnote Text Char"/>
    <w:basedOn w:val="DefaultParagraphFont"/>
    <w:link w:val="FootnoteText"/>
    <w:semiHidden/>
    <w:rsid w:val="003947FA"/>
    <w:rPr>
      <w:rFonts w:ascii="Times New Roman" w:eastAsia="Times New Roman" w:hAnsi="Times New Roman" w:cs="Times New Roman"/>
      <w:sz w:val="20"/>
      <w:szCs w:val="20"/>
      <w:lang w:val="en-GB" w:eastAsia="en-US"/>
    </w:rPr>
  </w:style>
  <w:style w:type="character" w:styleId="FootnoteReference">
    <w:name w:val="footnote reference"/>
    <w:uiPriority w:val="99"/>
    <w:semiHidden/>
    <w:rsid w:val="003947FA"/>
    <w:rPr>
      <w:vertAlign w:val="superscript"/>
    </w:rPr>
  </w:style>
  <w:style w:type="character" w:styleId="CommentReference">
    <w:name w:val="annotation reference"/>
    <w:uiPriority w:val="99"/>
    <w:semiHidden/>
    <w:unhideWhenUsed/>
    <w:rsid w:val="003947FA"/>
    <w:rPr>
      <w:sz w:val="16"/>
      <w:szCs w:val="16"/>
    </w:rPr>
  </w:style>
  <w:style w:type="paragraph" w:styleId="CommentText">
    <w:name w:val="annotation text"/>
    <w:basedOn w:val="Normal"/>
    <w:link w:val="CommentTextChar"/>
    <w:uiPriority w:val="99"/>
    <w:unhideWhenUsed/>
    <w:rsid w:val="003947FA"/>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3947FA"/>
    <w:rPr>
      <w:rFonts w:ascii="Times New Roman" w:eastAsia="Times New Roman" w:hAnsi="Times New Roman" w:cs="Times New Roman"/>
      <w:sz w:val="20"/>
      <w:szCs w:val="20"/>
      <w:lang w:val="en-GB" w:eastAsia="en-US"/>
    </w:rPr>
  </w:style>
  <w:style w:type="paragraph" w:styleId="Bibliography">
    <w:name w:val="Bibliography"/>
    <w:basedOn w:val="Normal"/>
    <w:next w:val="Normal"/>
    <w:uiPriority w:val="37"/>
    <w:unhideWhenUsed/>
    <w:rsid w:val="00A848DD"/>
    <w:pPr>
      <w:spacing w:after="240"/>
      <w:ind w:left="720" w:hanging="720"/>
    </w:pPr>
  </w:style>
  <w:style w:type="character" w:styleId="Hyperlink">
    <w:name w:val="Hyperlink"/>
    <w:basedOn w:val="DefaultParagraphFont"/>
    <w:uiPriority w:val="99"/>
    <w:unhideWhenUsed/>
    <w:rsid w:val="00872100"/>
    <w:rPr>
      <w:color w:val="0563C1" w:themeColor="hyperlink"/>
      <w:u w:val="single"/>
    </w:rPr>
  </w:style>
  <w:style w:type="character" w:styleId="UnresolvedMention">
    <w:name w:val="Unresolved Mention"/>
    <w:basedOn w:val="DefaultParagraphFont"/>
    <w:uiPriority w:val="99"/>
    <w:semiHidden/>
    <w:unhideWhenUsed/>
    <w:rsid w:val="0087210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57315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zh1/JoTzFWHModbFnwu4vDzMsMQ==">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14</Pages>
  <Words>5229</Words>
  <Characters>29806</Characters>
  <Application>Microsoft Office Word</Application>
  <DocSecurity>0</DocSecurity>
  <Lines>248</Lines>
  <Paragraphs>69</Paragraphs>
  <ScaleCrop>false</ScaleCrop>
  <Company/>
  <LinksUpToDate>false</LinksUpToDate>
  <CharactersWithSpaces>34966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Ying Ching Lee</dc:creator>
  <cp:lastModifiedBy>Ying Ching Lee</cp:lastModifiedBy>
  <cp:revision>112</cp:revision>
  <dcterms:created xsi:type="dcterms:W3CDTF">2023-01-06T22:01:00Z</dcterms:created>
  <dcterms:modified xsi:type="dcterms:W3CDTF">2023-01-11T09:20:00Z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b928d161-585c-42cd-aa10-407b146213c5</vt:lpwstr>
  </property>
  <property fmtid="{D5CDD505-2E9C-101B-9397-08002B2CF9AE}" pid="3" name="ZOTERO_PREF_1">
    <vt:lpwstr>&lt;data data-version="3" zotero-version="6.0.19"&gt;&lt;session id="Idynu6Ae"/&gt;&lt;style id="http://www.zotero.org/styles/modern-humanities-research-association" hasBibliography="1" bibliographyStyleHasBeenSet="1"/&gt;&lt;prefs&gt;&lt;pref name="noteType" value="1"/&gt;&lt;pref name=</vt:lpwstr>
  </property>
  <property fmtid="{D5CDD505-2E9C-101B-9397-08002B2CF9AE}" pid="4" name="ZOTERO_PREF_2">
    <vt:lpwstr>"fieldType" value="Field"/&gt;&lt;/prefs&gt;&lt;/data&gt;</vt:lpwstr>
  </property>
</Properties>
</file>