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96F53" w14:textId="77777777" w:rsidR="005352B4" w:rsidRDefault="005352B4" w:rsidP="005352B4">
      <w:pPr>
        <w:spacing w:after="0" w:line="360" w:lineRule="auto"/>
        <w:jc w:val="center"/>
        <w:rPr>
          <w:rFonts w:ascii="Arial" w:eastAsia="Times New Roman" w:hAnsi="Arial" w:cs="Arial"/>
          <w:color w:val="777777"/>
          <w:sz w:val="36"/>
          <w:szCs w:val="36"/>
        </w:rPr>
      </w:pPr>
    </w:p>
    <w:p w14:paraId="4C012EB4" w14:textId="77777777" w:rsidR="005352B4" w:rsidRDefault="005352B4" w:rsidP="005352B4">
      <w:pPr>
        <w:spacing w:after="0" w:line="360" w:lineRule="auto"/>
        <w:jc w:val="center"/>
        <w:rPr>
          <w:rFonts w:ascii="Arial" w:eastAsia="Times New Roman" w:hAnsi="Arial" w:cs="Arial"/>
          <w:color w:val="777777"/>
          <w:sz w:val="36"/>
          <w:szCs w:val="36"/>
        </w:rPr>
      </w:pPr>
    </w:p>
    <w:p w14:paraId="4265EFB7" w14:textId="77777777" w:rsidR="005352B4" w:rsidRDefault="005352B4" w:rsidP="005352B4">
      <w:pPr>
        <w:spacing w:after="0" w:line="360" w:lineRule="auto"/>
        <w:jc w:val="center"/>
        <w:rPr>
          <w:rFonts w:ascii="Arial" w:eastAsia="Times New Roman" w:hAnsi="Arial" w:cs="Arial"/>
          <w:color w:val="777777"/>
          <w:sz w:val="36"/>
          <w:szCs w:val="36"/>
        </w:rPr>
      </w:pPr>
    </w:p>
    <w:p w14:paraId="2621A168" w14:textId="77777777" w:rsidR="005352B4" w:rsidRDefault="005352B4" w:rsidP="005352B4">
      <w:pPr>
        <w:spacing w:after="0" w:line="360" w:lineRule="auto"/>
        <w:jc w:val="center"/>
        <w:rPr>
          <w:rFonts w:ascii="Arial" w:eastAsia="Times New Roman" w:hAnsi="Arial" w:cs="Arial"/>
          <w:color w:val="777777"/>
          <w:sz w:val="36"/>
          <w:szCs w:val="36"/>
        </w:rPr>
      </w:pPr>
    </w:p>
    <w:p w14:paraId="0AD0BFA5" w14:textId="77777777" w:rsidR="005352B4" w:rsidRDefault="005352B4" w:rsidP="005352B4">
      <w:pPr>
        <w:spacing w:after="0" w:line="360" w:lineRule="auto"/>
        <w:jc w:val="center"/>
        <w:rPr>
          <w:rFonts w:ascii="Arial" w:eastAsia="Times New Roman" w:hAnsi="Arial" w:cs="Arial"/>
          <w:color w:val="777777"/>
          <w:sz w:val="36"/>
          <w:szCs w:val="36"/>
        </w:rPr>
      </w:pPr>
    </w:p>
    <w:p w14:paraId="1FD8410C" w14:textId="77777777" w:rsidR="005352B4" w:rsidRDefault="005352B4" w:rsidP="005352B4">
      <w:pPr>
        <w:spacing w:after="0" w:line="360" w:lineRule="auto"/>
        <w:jc w:val="center"/>
        <w:rPr>
          <w:rFonts w:ascii="Arial" w:eastAsia="Times New Roman" w:hAnsi="Arial" w:cs="Arial"/>
          <w:color w:val="777777"/>
          <w:sz w:val="36"/>
          <w:szCs w:val="36"/>
        </w:rPr>
      </w:pPr>
    </w:p>
    <w:p w14:paraId="41FB6269" w14:textId="77777777" w:rsidR="005352B4" w:rsidRPr="0057103E" w:rsidRDefault="005352B4" w:rsidP="005352B4">
      <w:pPr>
        <w:spacing w:after="0" w:line="360" w:lineRule="auto"/>
        <w:jc w:val="center"/>
        <w:rPr>
          <w:rFonts w:ascii="Arial" w:eastAsia="Times New Roman" w:hAnsi="Arial" w:cs="Arial"/>
          <w:sz w:val="36"/>
          <w:szCs w:val="36"/>
        </w:rPr>
      </w:pPr>
    </w:p>
    <w:p w14:paraId="289CABE1" w14:textId="464436E9" w:rsidR="005352B4" w:rsidRPr="0057103E" w:rsidRDefault="005352B4" w:rsidP="005352B4">
      <w:pPr>
        <w:spacing w:after="0" w:line="360" w:lineRule="auto"/>
        <w:jc w:val="center"/>
        <w:rPr>
          <w:rFonts w:ascii="Arial" w:eastAsia="Times New Roman" w:hAnsi="Arial" w:cs="Arial"/>
          <w:sz w:val="36"/>
          <w:szCs w:val="36"/>
        </w:rPr>
      </w:pPr>
      <w:r w:rsidRPr="0057103E">
        <w:rPr>
          <w:rFonts w:ascii="Arial" w:eastAsia="Times New Roman" w:hAnsi="Arial" w:cs="Arial"/>
          <w:sz w:val="36"/>
          <w:szCs w:val="36"/>
        </w:rPr>
        <w:t>University of Wales Trinity Saint David</w:t>
      </w:r>
    </w:p>
    <w:p w14:paraId="20FEC072" w14:textId="32CEE9CB" w:rsidR="005072FA" w:rsidRPr="0057103E" w:rsidRDefault="005072FA" w:rsidP="005352B4">
      <w:pPr>
        <w:spacing w:after="0" w:line="360" w:lineRule="auto"/>
        <w:jc w:val="center"/>
        <w:rPr>
          <w:rFonts w:ascii="Arial" w:eastAsia="Times New Roman" w:hAnsi="Arial" w:cs="Arial"/>
          <w:sz w:val="36"/>
          <w:szCs w:val="36"/>
        </w:rPr>
      </w:pPr>
      <w:r w:rsidRPr="0057103E">
        <w:rPr>
          <w:rFonts w:ascii="Arial" w:eastAsia="Times New Roman" w:hAnsi="Arial" w:cs="Arial"/>
          <w:sz w:val="36"/>
          <w:szCs w:val="36"/>
        </w:rPr>
        <w:t>Managing people</w:t>
      </w:r>
    </w:p>
    <w:p w14:paraId="7185DC6E" w14:textId="09C5C361" w:rsidR="005352B4" w:rsidRPr="0057103E" w:rsidRDefault="005352B4" w:rsidP="005352B4">
      <w:pPr>
        <w:spacing w:after="0" w:line="360" w:lineRule="auto"/>
        <w:jc w:val="center"/>
        <w:rPr>
          <w:rFonts w:ascii="Arial" w:eastAsia="Times New Roman" w:hAnsi="Arial" w:cs="Arial"/>
          <w:sz w:val="36"/>
          <w:szCs w:val="36"/>
        </w:rPr>
      </w:pPr>
      <w:proofErr w:type="spellStart"/>
      <w:r w:rsidRPr="0057103E">
        <w:rPr>
          <w:rFonts w:ascii="Arial" w:eastAsia="Times New Roman" w:hAnsi="Arial" w:cs="Arial"/>
          <w:sz w:val="36"/>
          <w:szCs w:val="36"/>
        </w:rPr>
        <w:t>Olusoyi</w:t>
      </w:r>
      <w:proofErr w:type="spellEnd"/>
      <w:r w:rsidRPr="0057103E">
        <w:rPr>
          <w:rFonts w:ascii="Arial" w:eastAsia="Times New Roman" w:hAnsi="Arial" w:cs="Arial"/>
          <w:sz w:val="36"/>
          <w:szCs w:val="36"/>
        </w:rPr>
        <w:t xml:space="preserve"> </w:t>
      </w:r>
      <w:proofErr w:type="spellStart"/>
      <w:r w:rsidRPr="0057103E">
        <w:rPr>
          <w:rFonts w:ascii="Arial" w:eastAsia="Times New Roman" w:hAnsi="Arial" w:cs="Arial"/>
          <w:sz w:val="36"/>
          <w:szCs w:val="36"/>
        </w:rPr>
        <w:t>Ashaye</w:t>
      </w:r>
      <w:proofErr w:type="spellEnd"/>
    </w:p>
    <w:p w14:paraId="27CE3F17" w14:textId="2B57BFE2" w:rsidR="005352B4" w:rsidRPr="0057103E" w:rsidRDefault="005352B4" w:rsidP="005352B4">
      <w:pPr>
        <w:spacing w:after="0" w:line="360" w:lineRule="auto"/>
        <w:jc w:val="center"/>
        <w:rPr>
          <w:rFonts w:ascii="Arial" w:eastAsia="Times New Roman" w:hAnsi="Arial" w:cs="Arial"/>
          <w:sz w:val="36"/>
          <w:szCs w:val="36"/>
        </w:rPr>
      </w:pPr>
      <w:r w:rsidRPr="0057103E">
        <w:rPr>
          <w:rFonts w:ascii="Arial" w:eastAsia="Times New Roman" w:hAnsi="Arial" w:cs="Arial"/>
          <w:sz w:val="36"/>
          <w:szCs w:val="36"/>
        </w:rPr>
        <w:t>Assessment 2</w:t>
      </w:r>
    </w:p>
    <w:p w14:paraId="606917DE" w14:textId="495B4E1B" w:rsidR="005352B4" w:rsidRPr="0057103E" w:rsidRDefault="005352B4" w:rsidP="005352B4">
      <w:pPr>
        <w:spacing w:after="0" w:line="360" w:lineRule="auto"/>
        <w:jc w:val="center"/>
        <w:rPr>
          <w:rFonts w:ascii="Arial" w:eastAsia="Times New Roman" w:hAnsi="Arial" w:cs="Arial"/>
          <w:sz w:val="36"/>
          <w:szCs w:val="36"/>
        </w:rPr>
      </w:pPr>
      <w:r w:rsidRPr="0057103E">
        <w:rPr>
          <w:rFonts w:ascii="Arial" w:eastAsia="Times New Roman" w:hAnsi="Arial" w:cs="Arial"/>
          <w:sz w:val="36"/>
          <w:szCs w:val="36"/>
        </w:rPr>
        <w:t>Krasimir Gadzhev</w:t>
      </w:r>
    </w:p>
    <w:p w14:paraId="4ED03DF9" w14:textId="5B81EF43" w:rsidR="005352B4" w:rsidRPr="0057103E" w:rsidRDefault="005352B4" w:rsidP="005352B4">
      <w:pPr>
        <w:spacing w:after="0" w:line="360" w:lineRule="auto"/>
        <w:jc w:val="center"/>
        <w:rPr>
          <w:rFonts w:ascii="Arial" w:eastAsia="Times New Roman" w:hAnsi="Arial" w:cs="Arial"/>
          <w:sz w:val="36"/>
          <w:szCs w:val="36"/>
        </w:rPr>
      </w:pPr>
      <w:r w:rsidRPr="0057103E">
        <w:rPr>
          <w:rFonts w:ascii="Arial" w:eastAsia="Times New Roman" w:hAnsi="Arial" w:cs="Arial"/>
          <w:sz w:val="36"/>
          <w:szCs w:val="36"/>
        </w:rPr>
        <w:t>1917134</w:t>
      </w:r>
    </w:p>
    <w:p w14:paraId="41BD5983" w14:textId="77777777" w:rsidR="005072FA" w:rsidRPr="0057103E" w:rsidRDefault="005072FA">
      <w:pPr>
        <w:rPr>
          <w:rFonts w:ascii="Arial" w:eastAsia="Times New Roman" w:hAnsi="Arial" w:cs="Arial"/>
          <w:sz w:val="40"/>
          <w:szCs w:val="40"/>
        </w:rPr>
      </w:pPr>
      <w:r w:rsidRPr="0057103E">
        <w:rPr>
          <w:rFonts w:ascii="Arial" w:eastAsia="Times New Roman" w:hAnsi="Arial" w:cs="Arial"/>
          <w:sz w:val="40"/>
          <w:szCs w:val="40"/>
        </w:rPr>
        <w:br w:type="page"/>
      </w:r>
    </w:p>
    <w:sdt>
      <w:sdtPr>
        <w:rPr>
          <w:rFonts w:asciiTheme="minorHAnsi" w:eastAsiaTheme="minorHAnsi" w:hAnsiTheme="minorHAnsi" w:cstheme="minorBidi"/>
          <w:b w:val="0"/>
          <w:bCs w:val="0"/>
          <w:color w:val="auto"/>
          <w:sz w:val="22"/>
          <w:szCs w:val="22"/>
          <w:lang w:val="en-GB" w:eastAsia="en-US"/>
        </w:rPr>
        <w:id w:val="-185294785"/>
        <w:docPartObj>
          <w:docPartGallery w:val="Table of Contents"/>
          <w:docPartUnique/>
        </w:docPartObj>
      </w:sdtPr>
      <w:sdtEndPr>
        <w:rPr>
          <w:noProof/>
        </w:rPr>
      </w:sdtEndPr>
      <w:sdtContent>
        <w:p w14:paraId="37FA0FB5" w14:textId="7BAEC2F9" w:rsidR="005072FA" w:rsidRPr="00A6559F" w:rsidRDefault="005072FA" w:rsidP="005072FA">
          <w:pPr>
            <w:pStyle w:val="TOCHeading"/>
            <w:spacing w:line="360" w:lineRule="auto"/>
            <w:rPr>
              <w:rFonts w:ascii="Arial" w:hAnsi="Arial" w:cs="Arial"/>
              <w:sz w:val="24"/>
              <w:szCs w:val="24"/>
              <w:lang w:val="en-GB"/>
            </w:rPr>
          </w:pPr>
          <w:r w:rsidRPr="00A6559F">
            <w:rPr>
              <w:rFonts w:ascii="Arial" w:hAnsi="Arial" w:cs="Arial"/>
              <w:sz w:val="24"/>
              <w:szCs w:val="24"/>
              <w:lang w:val="en-GB"/>
            </w:rPr>
            <w:t>Table of Contents</w:t>
          </w:r>
        </w:p>
        <w:p w14:paraId="30FD7C2B" w14:textId="77777777" w:rsidR="005072FA" w:rsidRPr="00A6559F" w:rsidRDefault="005072FA" w:rsidP="005072FA">
          <w:pPr>
            <w:pStyle w:val="TOC1"/>
            <w:tabs>
              <w:tab w:val="right" w:leader="dot" w:pos="9016"/>
            </w:tabs>
            <w:spacing w:line="360" w:lineRule="auto"/>
            <w:rPr>
              <w:rFonts w:ascii="Arial" w:hAnsi="Arial" w:cs="Arial"/>
              <w:noProof/>
              <w:sz w:val="24"/>
              <w:szCs w:val="24"/>
            </w:rPr>
          </w:pPr>
          <w:r w:rsidRPr="00A6559F">
            <w:rPr>
              <w:rFonts w:ascii="Arial" w:hAnsi="Arial" w:cs="Arial"/>
              <w:sz w:val="24"/>
              <w:szCs w:val="24"/>
            </w:rPr>
            <w:fldChar w:fldCharType="begin"/>
          </w:r>
          <w:r w:rsidRPr="00A6559F">
            <w:rPr>
              <w:rFonts w:ascii="Arial" w:hAnsi="Arial" w:cs="Arial"/>
              <w:sz w:val="24"/>
              <w:szCs w:val="24"/>
            </w:rPr>
            <w:instrText xml:space="preserve"> TOC \o "1-3" \h \z \u </w:instrText>
          </w:r>
          <w:r w:rsidRPr="00A6559F">
            <w:rPr>
              <w:rFonts w:ascii="Arial" w:hAnsi="Arial" w:cs="Arial"/>
              <w:sz w:val="24"/>
              <w:szCs w:val="24"/>
            </w:rPr>
            <w:fldChar w:fldCharType="separate"/>
          </w:r>
          <w:hyperlink w:anchor="_Toc91934424" w:history="1">
            <w:r w:rsidRPr="00A6559F">
              <w:rPr>
                <w:rStyle w:val="Hyperlink"/>
                <w:rFonts w:ascii="Arial" w:hAnsi="Arial" w:cs="Arial"/>
                <w:noProof/>
                <w:sz w:val="24"/>
                <w:szCs w:val="24"/>
                <w:shd w:val="clear" w:color="auto" w:fill="FFFFFF"/>
              </w:rPr>
              <w:t>Introduction</w:t>
            </w:r>
            <w:r w:rsidRPr="00A6559F">
              <w:rPr>
                <w:rFonts w:ascii="Arial" w:hAnsi="Arial" w:cs="Arial"/>
                <w:noProof/>
                <w:webHidden/>
                <w:sz w:val="24"/>
                <w:szCs w:val="24"/>
              </w:rPr>
              <w:tab/>
            </w:r>
            <w:r w:rsidRPr="00A6559F">
              <w:rPr>
                <w:rFonts w:ascii="Arial" w:hAnsi="Arial" w:cs="Arial"/>
                <w:noProof/>
                <w:webHidden/>
                <w:sz w:val="24"/>
                <w:szCs w:val="24"/>
              </w:rPr>
              <w:fldChar w:fldCharType="begin"/>
            </w:r>
            <w:r w:rsidRPr="00A6559F">
              <w:rPr>
                <w:rFonts w:ascii="Arial" w:hAnsi="Arial" w:cs="Arial"/>
                <w:noProof/>
                <w:webHidden/>
                <w:sz w:val="24"/>
                <w:szCs w:val="24"/>
              </w:rPr>
              <w:instrText xml:space="preserve"> PAGEREF _Toc91934424 \h </w:instrText>
            </w:r>
            <w:r w:rsidRPr="00A6559F">
              <w:rPr>
                <w:rFonts w:ascii="Arial" w:hAnsi="Arial" w:cs="Arial"/>
                <w:noProof/>
                <w:webHidden/>
                <w:sz w:val="24"/>
                <w:szCs w:val="24"/>
              </w:rPr>
            </w:r>
            <w:r w:rsidRPr="00A6559F">
              <w:rPr>
                <w:rFonts w:ascii="Arial" w:hAnsi="Arial" w:cs="Arial"/>
                <w:noProof/>
                <w:webHidden/>
                <w:sz w:val="24"/>
                <w:szCs w:val="24"/>
              </w:rPr>
              <w:fldChar w:fldCharType="separate"/>
            </w:r>
            <w:r w:rsidRPr="00A6559F">
              <w:rPr>
                <w:rFonts w:ascii="Arial" w:hAnsi="Arial" w:cs="Arial"/>
                <w:noProof/>
                <w:webHidden/>
                <w:sz w:val="24"/>
                <w:szCs w:val="24"/>
              </w:rPr>
              <w:t>3</w:t>
            </w:r>
            <w:r w:rsidRPr="00A6559F">
              <w:rPr>
                <w:rFonts w:ascii="Arial" w:hAnsi="Arial" w:cs="Arial"/>
                <w:noProof/>
                <w:webHidden/>
                <w:sz w:val="24"/>
                <w:szCs w:val="24"/>
              </w:rPr>
              <w:fldChar w:fldCharType="end"/>
            </w:r>
          </w:hyperlink>
        </w:p>
        <w:p w14:paraId="07915777" w14:textId="77777777" w:rsidR="005072FA" w:rsidRPr="00A6559F" w:rsidRDefault="0057103E" w:rsidP="005072FA">
          <w:pPr>
            <w:pStyle w:val="TOC1"/>
            <w:tabs>
              <w:tab w:val="right" w:leader="dot" w:pos="9016"/>
            </w:tabs>
            <w:spacing w:line="360" w:lineRule="auto"/>
            <w:rPr>
              <w:rFonts w:ascii="Arial" w:hAnsi="Arial" w:cs="Arial"/>
              <w:noProof/>
              <w:sz w:val="24"/>
              <w:szCs w:val="24"/>
            </w:rPr>
          </w:pPr>
          <w:hyperlink w:anchor="_Toc91934425" w:history="1">
            <w:r w:rsidR="005072FA" w:rsidRPr="00A6559F">
              <w:rPr>
                <w:rStyle w:val="Hyperlink"/>
                <w:rFonts w:ascii="Arial" w:hAnsi="Arial" w:cs="Arial"/>
                <w:noProof/>
                <w:sz w:val="24"/>
                <w:szCs w:val="24"/>
                <w:shd w:val="clear" w:color="auto" w:fill="FFFFFF"/>
              </w:rPr>
              <w:t>Concept and drivers of employee engagement</w:t>
            </w:r>
            <w:r w:rsidR="005072FA" w:rsidRPr="00A6559F">
              <w:rPr>
                <w:rFonts w:ascii="Arial" w:hAnsi="Arial" w:cs="Arial"/>
                <w:noProof/>
                <w:webHidden/>
                <w:sz w:val="24"/>
                <w:szCs w:val="24"/>
              </w:rPr>
              <w:tab/>
            </w:r>
            <w:r w:rsidR="005072FA" w:rsidRPr="00A6559F">
              <w:rPr>
                <w:rFonts w:ascii="Arial" w:hAnsi="Arial" w:cs="Arial"/>
                <w:noProof/>
                <w:webHidden/>
                <w:sz w:val="24"/>
                <w:szCs w:val="24"/>
              </w:rPr>
              <w:fldChar w:fldCharType="begin"/>
            </w:r>
            <w:r w:rsidR="005072FA" w:rsidRPr="00A6559F">
              <w:rPr>
                <w:rFonts w:ascii="Arial" w:hAnsi="Arial" w:cs="Arial"/>
                <w:noProof/>
                <w:webHidden/>
                <w:sz w:val="24"/>
                <w:szCs w:val="24"/>
              </w:rPr>
              <w:instrText xml:space="preserve"> PAGEREF _Toc91934425 \h </w:instrText>
            </w:r>
            <w:r w:rsidR="005072FA" w:rsidRPr="00A6559F">
              <w:rPr>
                <w:rFonts w:ascii="Arial" w:hAnsi="Arial" w:cs="Arial"/>
                <w:noProof/>
                <w:webHidden/>
                <w:sz w:val="24"/>
                <w:szCs w:val="24"/>
              </w:rPr>
            </w:r>
            <w:r w:rsidR="005072FA" w:rsidRPr="00A6559F">
              <w:rPr>
                <w:rFonts w:ascii="Arial" w:hAnsi="Arial" w:cs="Arial"/>
                <w:noProof/>
                <w:webHidden/>
                <w:sz w:val="24"/>
                <w:szCs w:val="24"/>
              </w:rPr>
              <w:fldChar w:fldCharType="separate"/>
            </w:r>
            <w:r w:rsidR="005072FA" w:rsidRPr="00A6559F">
              <w:rPr>
                <w:rFonts w:ascii="Arial" w:hAnsi="Arial" w:cs="Arial"/>
                <w:noProof/>
                <w:webHidden/>
                <w:sz w:val="24"/>
                <w:szCs w:val="24"/>
              </w:rPr>
              <w:t>3</w:t>
            </w:r>
            <w:r w:rsidR="005072FA" w:rsidRPr="00A6559F">
              <w:rPr>
                <w:rFonts w:ascii="Arial" w:hAnsi="Arial" w:cs="Arial"/>
                <w:noProof/>
                <w:webHidden/>
                <w:sz w:val="24"/>
                <w:szCs w:val="24"/>
              </w:rPr>
              <w:fldChar w:fldCharType="end"/>
            </w:r>
          </w:hyperlink>
        </w:p>
        <w:p w14:paraId="6DD51B89" w14:textId="77777777" w:rsidR="005072FA" w:rsidRPr="00A6559F" w:rsidRDefault="0057103E" w:rsidP="005072FA">
          <w:pPr>
            <w:pStyle w:val="TOC1"/>
            <w:tabs>
              <w:tab w:val="right" w:leader="dot" w:pos="9016"/>
            </w:tabs>
            <w:spacing w:line="360" w:lineRule="auto"/>
            <w:rPr>
              <w:rFonts w:ascii="Arial" w:hAnsi="Arial" w:cs="Arial"/>
              <w:noProof/>
              <w:sz w:val="24"/>
              <w:szCs w:val="24"/>
            </w:rPr>
          </w:pPr>
          <w:hyperlink w:anchor="_Toc91934426" w:history="1">
            <w:r w:rsidR="005072FA" w:rsidRPr="00A6559F">
              <w:rPr>
                <w:rStyle w:val="Hyperlink"/>
                <w:rFonts w:ascii="Arial" w:hAnsi="Arial" w:cs="Arial"/>
                <w:noProof/>
                <w:sz w:val="24"/>
                <w:szCs w:val="24"/>
                <w:shd w:val="clear" w:color="auto" w:fill="FFFFFF"/>
              </w:rPr>
              <w:t>Diagnostic tools to measure the engagement</w:t>
            </w:r>
            <w:r w:rsidR="005072FA" w:rsidRPr="00A6559F">
              <w:rPr>
                <w:rFonts w:ascii="Arial" w:hAnsi="Arial" w:cs="Arial"/>
                <w:noProof/>
                <w:webHidden/>
                <w:sz w:val="24"/>
                <w:szCs w:val="24"/>
              </w:rPr>
              <w:tab/>
            </w:r>
            <w:r w:rsidR="005072FA" w:rsidRPr="00A6559F">
              <w:rPr>
                <w:rFonts w:ascii="Arial" w:hAnsi="Arial" w:cs="Arial"/>
                <w:noProof/>
                <w:webHidden/>
                <w:sz w:val="24"/>
                <w:szCs w:val="24"/>
              </w:rPr>
              <w:fldChar w:fldCharType="begin"/>
            </w:r>
            <w:r w:rsidR="005072FA" w:rsidRPr="00A6559F">
              <w:rPr>
                <w:rFonts w:ascii="Arial" w:hAnsi="Arial" w:cs="Arial"/>
                <w:noProof/>
                <w:webHidden/>
                <w:sz w:val="24"/>
                <w:szCs w:val="24"/>
              </w:rPr>
              <w:instrText xml:space="preserve"> PAGEREF _Toc91934426 \h </w:instrText>
            </w:r>
            <w:r w:rsidR="005072FA" w:rsidRPr="00A6559F">
              <w:rPr>
                <w:rFonts w:ascii="Arial" w:hAnsi="Arial" w:cs="Arial"/>
                <w:noProof/>
                <w:webHidden/>
                <w:sz w:val="24"/>
                <w:szCs w:val="24"/>
              </w:rPr>
            </w:r>
            <w:r w:rsidR="005072FA" w:rsidRPr="00A6559F">
              <w:rPr>
                <w:rFonts w:ascii="Arial" w:hAnsi="Arial" w:cs="Arial"/>
                <w:noProof/>
                <w:webHidden/>
                <w:sz w:val="24"/>
                <w:szCs w:val="24"/>
              </w:rPr>
              <w:fldChar w:fldCharType="separate"/>
            </w:r>
            <w:r w:rsidR="005072FA" w:rsidRPr="00A6559F">
              <w:rPr>
                <w:rFonts w:ascii="Arial" w:hAnsi="Arial" w:cs="Arial"/>
                <w:noProof/>
                <w:webHidden/>
                <w:sz w:val="24"/>
                <w:szCs w:val="24"/>
              </w:rPr>
              <w:t>5</w:t>
            </w:r>
            <w:r w:rsidR="005072FA" w:rsidRPr="00A6559F">
              <w:rPr>
                <w:rFonts w:ascii="Arial" w:hAnsi="Arial" w:cs="Arial"/>
                <w:noProof/>
                <w:webHidden/>
                <w:sz w:val="24"/>
                <w:szCs w:val="24"/>
              </w:rPr>
              <w:fldChar w:fldCharType="end"/>
            </w:r>
          </w:hyperlink>
        </w:p>
        <w:p w14:paraId="238E5686" w14:textId="77777777" w:rsidR="005072FA" w:rsidRPr="00A6559F" w:rsidRDefault="0057103E" w:rsidP="005072FA">
          <w:pPr>
            <w:pStyle w:val="TOC1"/>
            <w:tabs>
              <w:tab w:val="right" w:leader="dot" w:pos="9016"/>
            </w:tabs>
            <w:spacing w:line="360" w:lineRule="auto"/>
            <w:rPr>
              <w:rFonts w:ascii="Arial" w:hAnsi="Arial" w:cs="Arial"/>
              <w:noProof/>
              <w:sz w:val="24"/>
              <w:szCs w:val="24"/>
            </w:rPr>
          </w:pPr>
          <w:hyperlink w:anchor="_Toc91934427" w:history="1">
            <w:r w:rsidR="005072FA" w:rsidRPr="00A6559F">
              <w:rPr>
                <w:rStyle w:val="Hyperlink"/>
                <w:rFonts w:ascii="Arial" w:hAnsi="Arial" w:cs="Arial"/>
                <w:noProof/>
                <w:sz w:val="24"/>
                <w:szCs w:val="24"/>
                <w:shd w:val="clear" w:color="auto" w:fill="FFFFFF"/>
              </w:rPr>
              <w:t>Employee value proposition and strategies to raise levels of engagement.</w:t>
            </w:r>
            <w:r w:rsidR="005072FA" w:rsidRPr="00A6559F">
              <w:rPr>
                <w:rFonts w:ascii="Arial" w:hAnsi="Arial" w:cs="Arial"/>
                <w:noProof/>
                <w:webHidden/>
                <w:sz w:val="24"/>
                <w:szCs w:val="24"/>
              </w:rPr>
              <w:tab/>
            </w:r>
            <w:r w:rsidR="005072FA" w:rsidRPr="00A6559F">
              <w:rPr>
                <w:rFonts w:ascii="Arial" w:hAnsi="Arial" w:cs="Arial"/>
                <w:noProof/>
                <w:webHidden/>
                <w:sz w:val="24"/>
                <w:szCs w:val="24"/>
              </w:rPr>
              <w:fldChar w:fldCharType="begin"/>
            </w:r>
            <w:r w:rsidR="005072FA" w:rsidRPr="00A6559F">
              <w:rPr>
                <w:rFonts w:ascii="Arial" w:hAnsi="Arial" w:cs="Arial"/>
                <w:noProof/>
                <w:webHidden/>
                <w:sz w:val="24"/>
                <w:szCs w:val="24"/>
              </w:rPr>
              <w:instrText xml:space="preserve"> PAGEREF _Toc91934427 \h </w:instrText>
            </w:r>
            <w:r w:rsidR="005072FA" w:rsidRPr="00A6559F">
              <w:rPr>
                <w:rFonts w:ascii="Arial" w:hAnsi="Arial" w:cs="Arial"/>
                <w:noProof/>
                <w:webHidden/>
                <w:sz w:val="24"/>
                <w:szCs w:val="24"/>
              </w:rPr>
            </w:r>
            <w:r w:rsidR="005072FA" w:rsidRPr="00A6559F">
              <w:rPr>
                <w:rFonts w:ascii="Arial" w:hAnsi="Arial" w:cs="Arial"/>
                <w:noProof/>
                <w:webHidden/>
                <w:sz w:val="24"/>
                <w:szCs w:val="24"/>
              </w:rPr>
              <w:fldChar w:fldCharType="separate"/>
            </w:r>
            <w:r w:rsidR="005072FA" w:rsidRPr="00A6559F">
              <w:rPr>
                <w:rFonts w:ascii="Arial" w:hAnsi="Arial" w:cs="Arial"/>
                <w:noProof/>
                <w:webHidden/>
                <w:sz w:val="24"/>
                <w:szCs w:val="24"/>
              </w:rPr>
              <w:t>7</w:t>
            </w:r>
            <w:r w:rsidR="005072FA" w:rsidRPr="00A6559F">
              <w:rPr>
                <w:rFonts w:ascii="Arial" w:hAnsi="Arial" w:cs="Arial"/>
                <w:noProof/>
                <w:webHidden/>
                <w:sz w:val="24"/>
                <w:szCs w:val="24"/>
              </w:rPr>
              <w:fldChar w:fldCharType="end"/>
            </w:r>
          </w:hyperlink>
        </w:p>
        <w:p w14:paraId="269A20FB" w14:textId="77777777" w:rsidR="005072FA" w:rsidRPr="00A6559F" w:rsidRDefault="0057103E" w:rsidP="005072FA">
          <w:pPr>
            <w:pStyle w:val="TOC1"/>
            <w:tabs>
              <w:tab w:val="right" w:leader="dot" w:pos="9016"/>
            </w:tabs>
            <w:spacing w:line="360" w:lineRule="auto"/>
            <w:rPr>
              <w:rFonts w:ascii="Arial" w:hAnsi="Arial" w:cs="Arial"/>
              <w:noProof/>
              <w:sz w:val="24"/>
              <w:szCs w:val="24"/>
            </w:rPr>
          </w:pPr>
          <w:hyperlink w:anchor="_Toc91934428" w:history="1">
            <w:r w:rsidR="005072FA" w:rsidRPr="00A6559F">
              <w:rPr>
                <w:rStyle w:val="Hyperlink"/>
                <w:rFonts w:ascii="Arial" w:hAnsi="Arial" w:cs="Arial"/>
                <w:noProof/>
                <w:sz w:val="24"/>
                <w:szCs w:val="24"/>
                <w:shd w:val="clear" w:color="auto" w:fill="FFFFFF"/>
              </w:rPr>
              <w:t>Conclusions and recommendations</w:t>
            </w:r>
            <w:r w:rsidR="005072FA" w:rsidRPr="00A6559F">
              <w:rPr>
                <w:rFonts w:ascii="Arial" w:hAnsi="Arial" w:cs="Arial"/>
                <w:noProof/>
                <w:webHidden/>
                <w:sz w:val="24"/>
                <w:szCs w:val="24"/>
              </w:rPr>
              <w:tab/>
            </w:r>
            <w:r w:rsidR="005072FA" w:rsidRPr="00A6559F">
              <w:rPr>
                <w:rFonts w:ascii="Arial" w:hAnsi="Arial" w:cs="Arial"/>
                <w:noProof/>
                <w:webHidden/>
                <w:sz w:val="24"/>
                <w:szCs w:val="24"/>
              </w:rPr>
              <w:fldChar w:fldCharType="begin"/>
            </w:r>
            <w:r w:rsidR="005072FA" w:rsidRPr="00A6559F">
              <w:rPr>
                <w:rFonts w:ascii="Arial" w:hAnsi="Arial" w:cs="Arial"/>
                <w:noProof/>
                <w:webHidden/>
                <w:sz w:val="24"/>
                <w:szCs w:val="24"/>
              </w:rPr>
              <w:instrText xml:space="preserve"> PAGEREF _Toc91934428 \h </w:instrText>
            </w:r>
            <w:r w:rsidR="005072FA" w:rsidRPr="00A6559F">
              <w:rPr>
                <w:rFonts w:ascii="Arial" w:hAnsi="Arial" w:cs="Arial"/>
                <w:noProof/>
                <w:webHidden/>
                <w:sz w:val="24"/>
                <w:szCs w:val="24"/>
              </w:rPr>
            </w:r>
            <w:r w:rsidR="005072FA" w:rsidRPr="00A6559F">
              <w:rPr>
                <w:rFonts w:ascii="Arial" w:hAnsi="Arial" w:cs="Arial"/>
                <w:noProof/>
                <w:webHidden/>
                <w:sz w:val="24"/>
                <w:szCs w:val="24"/>
              </w:rPr>
              <w:fldChar w:fldCharType="separate"/>
            </w:r>
            <w:r w:rsidR="005072FA" w:rsidRPr="00A6559F">
              <w:rPr>
                <w:rFonts w:ascii="Arial" w:hAnsi="Arial" w:cs="Arial"/>
                <w:noProof/>
                <w:webHidden/>
                <w:sz w:val="24"/>
                <w:szCs w:val="24"/>
              </w:rPr>
              <w:t>9</w:t>
            </w:r>
            <w:r w:rsidR="005072FA" w:rsidRPr="00A6559F">
              <w:rPr>
                <w:rFonts w:ascii="Arial" w:hAnsi="Arial" w:cs="Arial"/>
                <w:noProof/>
                <w:webHidden/>
                <w:sz w:val="24"/>
                <w:szCs w:val="24"/>
              </w:rPr>
              <w:fldChar w:fldCharType="end"/>
            </w:r>
          </w:hyperlink>
        </w:p>
        <w:p w14:paraId="01F00FE9" w14:textId="77777777" w:rsidR="005072FA" w:rsidRPr="00A6559F" w:rsidRDefault="0057103E" w:rsidP="005072FA">
          <w:pPr>
            <w:pStyle w:val="TOC1"/>
            <w:tabs>
              <w:tab w:val="right" w:leader="dot" w:pos="9016"/>
            </w:tabs>
            <w:spacing w:line="360" w:lineRule="auto"/>
            <w:rPr>
              <w:rFonts w:ascii="Arial" w:hAnsi="Arial" w:cs="Arial"/>
              <w:noProof/>
              <w:sz w:val="24"/>
              <w:szCs w:val="24"/>
            </w:rPr>
          </w:pPr>
          <w:hyperlink w:anchor="_Toc91934429" w:history="1">
            <w:r w:rsidR="005072FA" w:rsidRPr="00A6559F">
              <w:rPr>
                <w:rStyle w:val="Hyperlink"/>
                <w:rFonts w:ascii="Arial" w:hAnsi="Arial" w:cs="Arial"/>
                <w:noProof/>
                <w:sz w:val="24"/>
                <w:szCs w:val="24"/>
              </w:rPr>
              <w:t>References</w:t>
            </w:r>
            <w:r w:rsidR="005072FA" w:rsidRPr="00A6559F">
              <w:rPr>
                <w:rFonts w:ascii="Arial" w:hAnsi="Arial" w:cs="Arial"/>
                <w:noProof/>
                <w:webHidden/>
                <w:sz w:val="24"/>
                <w:szCs w:val="24"/>
              </w:rPr>
              <w:tab/>
            </w:r>
            <w:r w:rsidR="005072FA" w:rsidRPr="00A6559F">
              <w:rPr>
                <w:rFonts w:ascii="Arial" w:hAnsi="Arial" w:cs="Arial"/>
                <w:noProof/>
                <w:webHidden/>
                <w:sz w:val="24"/>
                <w:szCs w:val="24"/>
              </w:rPr>
              <w:fldChar w:fldCharType="begin"/>
            </w:r>
            <w:r w:rsidR="005072FA" w:rsidRPr="00A6559F">
              <w:rPr>
                <w:rFonts w:ascii="Arial" w:hAnsi="Arial" w:cs="Arial"/>
                <w:noProof/>
                <w:webHidden/>
                <w:sz w:val="24"/>
                <w:szCs w:val="24"/>
              </w:rPr>
              <w:instrText xml:space="preserve"> PAGEREF _Toc91934429 \h </w:instrText>
            </w:r>
            <w:r w:rsidR="005072FA" w:rsidRPr="00A6559F">
              <w:rPr>
                <w:rFonts w:ascii="Arial" w:hAnsi="Arial" w:cs="Arial"/>
                <w:noProof/>
                <w:webHidden/>
                <w:sz w:val="24"/>
                <w:szCs w:val="24"/>
              </w:rPr>
            </w:r>
            <w:r w:rsidR="005072FA" w:rsidRPr="00A6559F">
              <w:rPr>
                <w:rFonts w:ascii="Arial" w:hAnsi="Arial" w:cs="Arial"/>
                <w:noProof/>
                <w:webHidden/>
                <w:sz w:val="24"/>
                <w:szCs w:val="24"/>
              </w:rPr>
              <w:fldChar w:fldCharType="separate"/>
            </w:r>
            <w:r w:rsidR="005072FA" w:rsidRPr="00A6559F">
              <w:rPr>
                <w:rFonts w:ascii="Arial" w:hAnsi="Arial" w:cs="Arial"/>
                <w:noProof/>
                <w:webHidden/>
                <w:sz w:val="24"/>
                <w:szCs w:val="24"/>
              </w:rPr>
              <w:t>10</w:t>
            </w:r>
            <w:r w:rsidR="005072FA" w:rsidRPr="00A6559F">
              <w:rPr>
                <w:rFonts w:ascii="Arial" w:hAnsi="Arial" w:cs="Arial"/>
                <w:noProof/>
                <w:webHidden/>
                <w:sz w:val="24"/>
                <w:szCs w:val="24"/>
              </w:rPr>
              <w:fldChar w:fldCharType="end"/>
            </w:r>
          </w:hyperlink>
        </w:p>
        <w:p w14:paraId="0F395538" w14:textId="719EFF23" w:rsidR="005072FA" w:rsidRPr="00A6559F" w:rsidRDefault="005072FA" w:rsidP="005072FA">
          <w:pPr>
            <w:spacing w:line="360" w:lineRule="auto"/>
          </w:pPr>
          <w:r w:rsidRPr="00A6559F">
            <w:rPr>
              <w:rFonts w:ascii="Arial" w:hAnsi="Arial" w:cs="Arial"/>
              <w:b/>
              <w:bCs/>
              <w:noProof/>
              <w:sz w:val="24"/>
              <w:szCs w:val="24"/>
            </w:rPr>
            <w:fldChar w:fldCharType="end"/>
          </w:r>
        </w:p>
      </w:sdtContent>
    </w:sdt>
    <w:p w14:paraId="41BC4446" w14:textId="77777777" w:rsidR="005072FA" w:rsidRPr="00A6559F" w:rsidRDefault="005072FA" w:rsidP="005072FA">
      <w:pPr>
        <w:spacing w:after="0" w:line="360" w:lineRule="auto"/>
        <w:rPr>
          <w:rFonts w:ascii="Arial" w:eastAsia="Times New Roman" w:hAnsi="Arial" w:cs="Arial"/>
          <w:color w:val="777777"/>
          <w:sz w:val="40"/>
          <w:szCs w:val="40"/>
        </w:rPr>
      </w:pPr>
    </w:p>
    <w:p w14:paraId="6B3FBC35" w14:textId="77777777" w:rsidR="005072FA" w:rsidRPr="00A6559F" w:rsidRDefault="005072FA" w:rsidP="005072FA">
      <w:pPr>
        <w:spacing w:line="360" w:lineRule="auto"/>
        <w:jc w:val="both"/>
        <w:rPr>
          <w:rFonts w:ascii="Arial" w:eastAsiaTheme="majorEastAsia" w:hAnsi="Arial" w:cs="Arial"/>
          <w:color w:val="2F5496" w:themeColor="accent1" w:themeShade="BF"/>
          <w:sz w:val="24"/>
          <w:szCs w:val="24"/>
          <w:shd w:val="clear" w:color="auto" w:fill="FFFFFF"/>
        </w:rPr>
      </w:pPr>
      <w:r w:rsidRPr="00A6559F">
        <w:rPr>
          <w:rFonts w:ascii="Arial" w:hAnsi="Arial" w:cs="Arial"/>
          <w:sz w:val="24"/>
          <w:szCs w:val="24"/>
          <w:shd w:val="clear" w:color="auto" w:fill="FFFFFF"/>
        </w:rPr>
        <w:br w:type="page"/>
      </w:r>
    </w:p>
    <w:p w14:paraId="4BCFB236" w14:textId="7C192224" w:rsidR="00BF3908" w:rsidRPr="00A6559F" w:rsidRDefault="00857582" w:rsidP="005072FA">
      <w:pPr>
        <w:pStyle w:val="Heading1"/>
        <w:spacing w:line="360" w:lineRule="auto"/>
        <w:jc w:val="both"/>
        <w:rPr>
          <w:rFonts w:ascii="Arial" w:hAnsi="Arial" w:cs="Arial"/>
          <w:sz w:val="24"/>
          <w:szCs w:val="24"/>
          <w:shd w:val="clear" w:color="auto" w:fill="FFFFFF"/>
        </w:rPr>
      </w:pPr>
      <w:bookmarkStart w:id="0" w:name="_Toc91934424"/>
      <w:r w:rsidRPr="00A6559F">
        <w:rPr>
          <w:rFonts w:ascii="Arial" w:hAnsi="Arial" w:cs="Arial"/>
          <w:sz w:val="24"/>
          <w:szCs w:val="24"/>
          <w:shd w:val="clear" w:color="auto" w:fill="FFFFFF"/>
        </w:rPr>
        <w:lastRenderedPageBreak/>
        <w:t>Introduction</w:t>
      </w:r>
      <w:bookmarkEnd w:id="0"/>
    </w:p>
    <w:p w14:paraId="57F918DF" w14:textId="306F0EDF" w:rsidR="009D2858" w:rsidRPr="00A6559F" w:rsidRDefault="009D2858" w:rsidP="005072FA">
      <w:pPr>
        <w:spacing w:line="360" w:lineRule="auto"/>
        <w:jc w:val="both"/>
        <w:rPr>
          <w:rFonts w:ascii="Arial" w:eastAsia="Times New Roman" w:hAnsi="Arial" w:cs="Arial"/>
          <w:color w:val="282828"/>
          <w:sz w:val="24"/>
          <w:szCs w:val="24"/>
        </w:rPr>
      </w:pPr>
      <w:r w:rsidRPr="00A6559F">
        <w:rPr>
          <w:rFonts w:ascii="Arial" w:hAnsi="Arial" w:cs="Arial"/>
          <w:sz w:val="24"/>
          <w:szCs w:val="24"/>
        </w:rPr>
        <w:t>Employee engagement has been the key for organizational success, growth, and competitive advantage</w:t>
      </w:r>
      <w:r w:rsidR="005131B5" w:rsidRPr="00A6559F">
        <w:rPr>
          <w:rFonts w:ascii="Arial" w:hAnsi="Arial" w:cs="Arial"/>
          <w:sz w:val="24"/>
          <w:szCs w:val="24"/>
        </w:rPr>
        <w:t xml:space="preserve"> </w:t>
      </w:r>
      <w:r w:rsidR="005131B5" w:rsidRPr="00A6559F">
        <w:rPr>
          <w:rFonts w:ascii="Arial" w:hAnsi="Arial" w:cs="Arial"/>
          <w:sz w:val="24"/>
          <w:szCs w:val="24"/>
        </w:rPr>
        <w:fldChar w:fldCharType="begin" w:fldLock="1"/>
      </w:r>
      <w:r w:rsidR="005131B5" w:rsidRPr="00A6559F">
        <w:rPr>
          <w:rFonts w:ascii="Arial" w:hAnsi="Arial" w:cs="Arial"/>
          <w:sz w:val="24"/>
          <w:szCs w:val="24"/>
        </w:rPr>
        <w:instrText>ADDIN CSL_CITATION {"citationItems":[{"id":"ITEM-1","itemData":{"ISSN":"0309-1325","abstract":"The practice of public human resource management has evolved significantly in recent years due toincreased outsourcing, privatization, and the diminution of public employee rights. This thoroughly revised and updated edition of the classic reference Handbook of Human Resource Management in Government offers authoritative, state-of-the-art information for public administrators and human resource professionals. The third edition features contributions from noted experts in the field, including Donald E. Klingner, Mary E. Guy, Jonathan P. West, Jeffrey L. Brudney, Montgomery Van Wart, J. J. Steven Ott, Norma M. Riccucci, and many more.","author":[{"dropping-particle":"","family":"Armstrong","given":"S","non-dropping-particle":"","parse-names":false,"suffix":""}],"container-title":"John Wiley &amp; Sons","id":"ITEM-1","issued":{"date-parts":[["2014"]]},"title":"Handbook of human resource management in government","type":"book"},"uris":["http://www.mendeley.com/documents/?uuid=3759072f-9b2e-38ce-89cc-c362416bc279"]},{"id":"ITEM-2","itemData":{"abstract":"In the first collection of its kind, The SAGE Handbook of Human Resource Management brings together contributions from leading, international scholars in an accessible, comprehensive and influential collection that combines both global and interdisciplinary perspectives. An indispensable resource for advanced students and researchers in the field, the Handbook focuses on familiarizing the reader with the fundamentals of applied human resource management while contextualizing practice within wider theoretical considerations. Internationally minded chapters combine a critical overview with discussion of key debates and research, plus comprehensively dealing with important emerging interests.","author":[{"dropping-particle":"","family":"Armstrong","given":"Michael","non-dropping-particle":"","parse-names":false,"suffix":""},{"dropping-particle":"","family":"Taylor","given":"Stephen","non-dropping-particle":"","parse-names":false,"suffix":""}],"container-title":"Armstrong's Handbook of Human Resource Management","id":"ITEM-2","issued":{"date-parts":[["2014"]]},"title":"Armstrong's Handbook of Human Resource Management 13th Edition","type":"book"},"uris":["http://www.mendeley.com/documents/?uuid=13a4cf8a-0f1a-3523-9e2a-9484b35a672f"]},{"id":"ITEM-3","itemData":{"DOI":"10.5296/ijhrs.v9i1.14167","ISSN":"1454-0320","abstract":"Employee engagement is an important issue in management theory and practice. However, there are still major differences in the concept, theory, influencing factors and outcomes of employee engagement, and there is still no authoritative standard. This paper attempts to review and summarize previous research results on employee engagement. Two kinds of definitions of employee engagement are identified: employee engagement as a multi-faceted construct (cognition, emotions and behaviors) and as a unitary construct (a positive state of mind, a dedicated willingness, the opposite of burnout). Three theoretical frameworks are used to explain the varying degrees of employee engagement: Needs-Satisfaction framework, Job Demands-Resources model and Social Exchange Theory. The influencing factors of employee engagement are divided into three categories: organizational factors (management style, job rewards, etc.), job factors (work environment, task characteristics, etc.) and individual factors (physical energies, self-consciousness, etc.). Employee engagement is found to have a positive relationship with individual performance (organizational commitment, positive behavior, etc.) and organizational performance (customer satisfaction, financial return, etc.) The research findings show that there are three shortcomings in previous studies: lack of research on demographic variables, personality differences and cross-cultural differences in employee engagement, lack of research on the mediating or moderating role of employee engagement, and lack of intervention mechanism for employee engagement.","author":[{"dropping-particle":"","family":"Sun","given":"Li","non-dropping-particle":"","parse-names":false,"suffix":""},{"dropping-particle":"","family":"Bunchapattanasakda","given":"Chanchai","non-dropping-particle":"","parse-names":false,"suffix":""}],"container-title":"International Journal of Human Resource Studies","id":"ITEM-3","issue":"1","issued":{"date-parts":[["2019"]]},"title":"Employee Engagement: A Literature Review","type":"article-journal","volume":"9"},"uris":["http://www.mendeley.com/documents/?uuid=d6296653-1563-39fc-83c3-e037f5410271"]}],"mendeley":{"formattedCitation":"(Armstrong, 2014; Armstrong and Taylor, 2014; Sun and Bunchapattanasakda, 2019)","plainTextFormattedCitation":"(Armstrong, 2014; Armstrong and Taylor, 2014; Sun and Bunchapattanasakda, 2019)","previouslyFormattedCitation":"(Armstrong, 2014; Armstrong and Taylor, 2014; Sun and Bunchapattanasakda, 2019)"},"properties":{"noteIndex":0},"schema":"https://github.com/citation-style-language/schema/raw/master/csl-citation.json"}</w:instrText>
      </w:r>
      <w:r w:rsidR="005131B5" w:rsidRPr="00A6559F">
        <w:rPr>
          <w:rFonts w:ascii="Arial" w:hAnsi="Arial" w:cs="Arial"/>
          <w:sz w:val="24"/>
          <w:szCs w:val="24"/>
        </w:rPr>
        <w:fldChar w:fldCharType="separate"/>
      </w:r>
      <w:r w:rsidR="005131B5" w:rsidRPr="00A6559F">
        <w:rPr>
          <w:rFonts w:ascii="Arial" w:hAnsi="Arial" w:cs="Arial"/>
          <w:noProof/>
          <w:sz w:val="24"/>
          <w:szCs w:val="24"/>
        </w:rPr>
        <w:t>(Armstrong, 2014; Armstrong and Taylor, 2014; Sun and Bunchapattanasakda, 2019)</w:t>
      </w:r>
      <w:r w:rsidR="005131B5" w:rsidRPr="00A6559F">
        <w:rPr>
          <w:rFonts w:ascii="Arial" w:hAnsi="Arial" w:cs="Arial"/>
          <w:sz w:val="24"/>
          <w:szCs w:val="24"/>
        </w:rPr>
        <w:fldChar w:fldCharType="end"/>
      </w:r>
      <w:r w:rsidRPr="00A6559F">
        <w:rPr>
          <w:rFonts w:ascii="Arial" w:hAnsi="Arial" w:cs="Arial"/>
          <w:sz w:val="24"/>
          <w:szCs w:val="24"/>
        </w:rPr>
        <w:t xml:space="preserve">. </w:t>
      </w:r>
      <w:r w:rsidR="00DB0F24" w:rsidRPr="00A6559F">
        <w:rPr>
          <w:rFonts w:ascii="Arial" w:hAnsi="Arial" w:cs="Arial"/>
          <w:sz w:val="24"/>
          <w:szCs w:val="24"/>
        </w:rPr>
        <w:t xml:space="preserve">Employee engagement is a strategic partnership between the organization and its employees – where both work with mutual interdependence. While employees are geared towards improving organizational productivity, and meeting organizational goals and objectives, the organizational management has the onus of providing a conducive environment and supportive work culture to foster and facilitate the attainment of employee aspirations, and personal goals as well </w:t>
      </w:r>
      <w:r w:rsidR="00DB0F24" w:rsidRPr="00A6559F">
        <w:rPr>
          <w:rFonts w:ascii="Arial" w:hAnsi="Arial" w:cs="Arial"/>
          <w:sz w:val="24"/>
          <w:szCs w:val="24"/>
        </w:rPr>
        <w:fldChar w:fldCharType="begin" w:fldLock="1"/>
      </w:r>
      <w:r w:rsidR="00DB0F24" w:rsidRPr="00A6559F">
        <w:rPr>
          <w:rFonts w:ascii="Arial" w:hAnsi="Arial" w:cs="Arial"/>
          <w:sz w:val="24"/>
          <w:szCs w:val="24"/>
        </w:rPr>
        <w:instrText>ADDIN CSL_CITATION {"citationItems":[{"id":"ITEM-1","itemData":{"DOI":"10.1007/978-3-662-44152-7","abstract":"Human resources topics are gaining more and more strategic importance in modern business management. Only those companies that find the right answers to the following questions have a sustainable basis for their future success: - How can we attract and select the right talent for our teams? - How can we develop the skills and behaviors which are key for our business? - How can we engage and retain the talent we need for our future? While most other management disciplines have their standards and procedures, Human Resources still lacks a broadly accepted basis for its work. Both the structured collection of reflected real-life experience and the multi-perspective view support readers in making informed and well-balanced decisions. With this handbook, Springer provides a landmark reference work on today’s HR management, based on the combined experience of more than 85 globally selected HR leaders and HR experts. Rather than theoretical discussions about definitions, the handbook focuses on sharing practical experience and lessons learned from the most relevant business perspectives: - cultural / emotional perspective - economic perspective - risk perspective - operational perspective.","author":[{"dropping-particle":"","family":"Zeuch","given":"Matthias","non-dropping-particle":"","parse-names":false,"suffix":""}],"container-title":"Handbook of Human Resources Management","id":"ITEM-1","issued":{"date-parts":[["2016"]]},"title":"Handbook of human resources management","type":"book"},"uris":["http://www.mendeley.com/documents/?uuid=79f4ac3f-dce4-3c79-8157-b87711a33ad3"]}],"mendeley":{"formattedCitation":"(Zeuch, 2016)","plainTextFormattedCitation":"(Zeuch, 2016)","previouslyFormattedCitation":"(Zeuch, 2016)"},"properties":{"noteIndex":0},"schema":"https://github.com/citation-style-language/schema/raw/master/csl-citation.json"}</w:instrText>
      </w:r>
      <w:r w:rsidR="00DB0F24" w:rsidRPr="00A6559F">
        <w:rPr>
          <w:rFonts w:ascii="Arial" w:hAnsi="Arial" w:cs="Arial"/>
          <w:sz w:val="24"/>
          <w:szCs w:val="24"/>
        </w:rPr>
        <w:fldChar w:fldCharType="separate"/>
      </w:r>
      <w:r w:rsidR="00DB0F24" w:rsidRPr="00A6559F">
        <w:rPr>
          <w:rFonts w:ascii="Arial" w:hAnsi="Arial" w:cs="Arial"/>
          <w:noProof/>
          <w:sz w:val="24"/>
          <w:szCs w:val="24"/>
        </w:rPr>
        <w:t>(Zeuch, 2016)</w:t>
      </w:r>
      <w:r w:rsidR="00DB0F24" w:rsidRPr="00A6559F">
        <w:rPr>
          <w:rFonts w:ascii="Arial" w:hAnsi="Arial" w:cs="Arial"/>
          <w:sz w:val="24"/>
          <w:szCs w:val="24"/>
        </w:rPr>
        <w:fldChar w:fldCharType="end"/>
      </w:r>
      <w:r w:rsidR="00DB0F24" w:rsidRPr="00A6559F">
        <w:rPr>
          <w:rFonts w:ascii="Arial" w:hAnsi="Arial" w:cs="Arial"/>
          <w:sz w:val="24"/>
          <w:szCs w:val="24"/>
        </w:rPr>
        <w:t xml:space="preserve">. </w:t>
      </w:r>
      <w:r w:rsidRPr="00A6559F">
        <w:rPr>
          <w:rFonts w:ascii="Arial" w:hAnsi="Arial" w:cs="Arial"/>
          <w:sz w:val="24"/>
          <w:szCs w:val="24"/>
        </w:rPr>
        <w:t>The recent changes and disruptions in the job environment and working conditions brought about by the global pandemic COVID-19 has led to an increased number of disengaged employees that are reflected by an increased number of voluntary resignations</w:t>
      </w:r>
      <w:r w:rsidR="005131B5" w:rsidRPr="00A6559F">
        <w:rPr>
          <w:rFonts w:ascii="Arial" w:hAnsi="Arial" w:cs="Arial"/>
          <w:sz w:val="24"/>
          <w:szCs w:val="24"/>
        </w:rPr>
        <w:t xml:space="preserve"> </w:t>
      </w:r>
      <w:r w:rsidR="005131B5" w:rsidRPr="00A6559F">
        <w:rPr>
          <w:rFonts w:ascii="Arial" w:hAnsi="Arial" w:cs="Arial"/>
          <w:sz w:val="24"/>
          <w:szCs w:val="24"/>
        </w:rPr>
        <w:fldChar w:fldCharType="begin" w:fldLock="1"/>
      </w:r>
      <w:r w:rsidR="007C445C" w:rsidRPr="00A6559F">
        <w:rPr>
          <w:rFonts w:ascii="Arial" w:hAnsi="Arial" w:cs="Arial"/>
          <w:sz w:val="24"/>
          <w:szCs w:val="24"/>
        </w:rPr>
        <w:instrText>ADDIN CSL_CITATION {"citationItems":[{"id":"ITEM-1","itemData":{"DOI":"10.1002/pa.2508","ISSN":"14791854","abstract":"In the present business situation during the COVID-19 pandemic, employee engagement has become one of the utmost prominent primacies for human resource managers and practitioners in organizations due to lockdown. The paper is to determine the engagement of employees by various companies during coronavirus pandemic. Organizations nowadays are constantly developing innovative and effective means to engage the employees during this tough time. This paper is a conceptual paper that is based on various research papers, articles, blogs, online newspapers, and reports of World Health Organization. During this pandemic situation, organizations are evolving many engagement activities like online family engagement practices, virtual learning and development, online team building activities, webinars with industry experts, online conduct weekly alignment sessions, team meet-ups over video conference for lunch, short online game sessions, virtual challenges and competitions, online courses, appreciation sessions, communication exercises, live sessions for new-skill training, online counseling sessions, recognition and acknowledgment session, webinars dealing with anxiety and stress, providing online guidance for exercise and meditation, social interactions in a virtual office, classrooms training modules digitally, e-learning modules, and many more creative learning sessions. Work-from-home regime engagement activities are very fruitful for employees as well as for organizations. Those organizations doing these kinds of engagement activities for their employees are learning new skills and developing themselves. Employees are feeling committed to the organization and stay motivated during this tough time of COVID-19 pandemic.","author":[{"dropping-particle":"","family":"Chanana","given":"Nisha","non-dropping-particle":"","parse-names":false,"suffix":""},{"dropping-particle":"","family":"Sangeeta","given":"","non-dropping-particle":"","parse-names":false,"suffix":""}],"container-title":"Journal of Public Affairs","id":"ITEM-1","issue":"4","issued":{"date-parts":[["2021"]]},"title":"Employee engagement practices during COVID-19 lockdown","type":"article-journal","volume":"21"},"uris":["http://www.mendeley.com/documents/?uuid=64862ed4-0411-38c7-916e-4d40a4811dfd"]},{"id":"ITEM-2","itemData":{"abstract":"The period of COVID-19 brings some positivity in a few domains while some negativity in other domains of life of an employee. So, the present study is about employee relations and engagement which have affected by the COVID-19 period. The productivity of an employee lies in his/her happiness. A satisfied and happy employee opens the way of success to his/her organization. For this, healthy surroundings play an important role. Happy relations between employee and employer are key to increase the productivity and performance of both-employee and organization. But somehow, productivity and performance also linked to employee engagement. Employee engagement shows the passion and determination of an employee towards a particular job. The commitment and unrestricted efforts towards the achievement of organizational goals are all about employee engagement. But in the scenario of COVID-19 both the factors have suffered. If employee engagement has affected because of pandemic then it also has an impact on employee relations as there is poor communication or face-to-face interactions are missing. Maintaining a good rapport with employees by making excessive communication and interaction is the need of the hour by helping them not only in the technological domain but also in engaging and retaining them during this COVID-19 period.","author":[{"dropping-particle":"","family":"Kaushik","given":"Meenakshi","non-dropping-particle":"","parse-names":false,"suffix":""},{"dropping-particle":"","family":"Guleria","given":"Neha","non-dropping-particle":"","parse-names":false,"suffix":""}],"container-title":"Sparkling International Journal of Multidisciplinary Research Studies","id":"ITEM-2","issue":"2","issued":{"date-parts":[["2020"]]},"title":"Employee Relations and Engagement During Covid-19","type":"article-journal","volume":"3"},"uris":["http://www.mendeley.com/documents/?uuid=88770833-24e7-366a-91ae-3e4299730712"]}],"mendeley":{"formattedCitation":"(Kaushik and Guleria, 2020; Chanana and Sangeeta, 2021)","plainTextFormattedCitation":"(Kaushik and Guleria, 2020; Chanana and Sangeeta, 2021)","previouslyFormattedCitation":"(Kaushik and Guleria, 2020; Chanana and Sangeeta, 2021)"},"properties":{"noteIndex":0},"schema":"https://github.com/citation-style-language/schema/raw/master/csl-citation.json"}</w:instrText>
      </w:r>
      <w:r w:rsidR="005131B5" w:rsidRPr="00A6559F">
        <w:rPr>
          <w:rFonts w:ascii="Arial" w:hAnsi="Arial" w:cs="Arial"/>
          <w:sz w:val="24"/>
          <w:szCs w:val="24"/>
        </w:rPr>
        <w:fldChar w:fldCharType="separate"/>
      </w:r>
      <w:r w:rsidR="005131B5" w:rsidRPr="00A6559F">
        <w:rPr>
          <w:rFonts w:ascii="Arial" w:hAnsi="Arial" w:cs="Arial"/>
          <w:noProof/>
          <w:sz w:val="24"/>
          <w:szCs w:val="24"/>
        </w:rPr>
        <w:t>(Kaushik and Guleria, 2020; Chanana and Sangeeta, 2021)</w:t>
      </w:r>
      <w:r w:rsidR="005131B5" w:rsidRPr="00A6559F">
        <w:rPr>
          <w:rFonts w:ascii="Arial" w:hAnsi="Arial" w:cs="Arial"/>
          <w:sz w:val="24"/>
          <w:szCs w:val="24"/>
        </w:rPr>
        <w:fldChar w:fldCharType="end"/>
      </w:r>
      <w:r w:rsidRPr="00A6559F">
        <w:rPr>
          <w:rFonts w:ascii="Arial" w:hAnsi="Arial" w:cs="Arial"/>
          <w:sz w:val="24"/>
          <w:szCs w:val="24"/>
        </w:rPr>
        <w:t>. To counter this wave of employee turnover, as well as maintain competitive advantage, it is critical for organizations to focus on developing, and promoting employee engagement. This is simply because engaged employees don’t only perform better, but also experience significantly less burnout rates, display higher organizational commitment</w:t>
      </w:r>
      <w:r w:rsidR="005072FA" w:rsidRPr="00A6559F">
        <w:rPr>
          <w:rFonts w:ascii="Arial" w:hAnsi="Arial" w:cs="Arial"/>
          <w:sz w:val="24"/>
          <w:szCs w:val="24"/>
        </w:rPr>
        <w:t>,</w:t>
      </w:r>
      <w:r w:rsidRPr="00A6559F">
        <w:rPr>
          <w:rFonts w:ascii="Arial" w:hAnsi="Arial" w:cs="Arial"/>
          <w:sz w:val="24"/>
          <w:szCs w:val="24"/>
        </w:rPr>
        <w:t xml:space="preserve"> and stay with the organizations longer</w:t>
      </w:r>
      <w:r w:rsidR="00954546" w:rsidRPr="00A6559F">
        <w:rPr>
          <w:rFonts w:ascii="Arial" w:hAnsi="Arial" w:cs="Arial"/>
          <w:sz w:val="24"/>
          <w:szCs w:val="24"/>
        </w:rPr>
        <w:t xml:space="preserve"> </w:t>
      </w:r>
      <w:r w:rsidR="00954546" w:rsidRPr="00A6559F">
        <w:rPr>
          <w:rFonts w:ascii="Arial" w:hAnsi="Arial" w:cs="Arial"/>
          <w:sz w:val="24"/>
          <w:szCs w:val="24"/>
        </w:rPr>
        <w:fldChar w:fldCharType="begin" w:fldLock="1"/>
      </w:r>
      <w:r w:rsidR="00954546" w:rsidRPr="00A6559F">
        <w:rPr>
          <w:rFonts w:ascii="Arial" w:hAnsi="Arial" w:cs="Arial"/>
          <w:sz w:val="24"/>
          <w:szCs w:val="24"/>
        </w:rPr>
        <w:instrText>ADDIN CSL_CITATION {"citationItems":[{"id":"ITEM-1","itemData":{"abstract":"Improving employee engagement is not simply about improving productivity — although organizations with a high level of engagement do report 22% higher productivity, according to a new meta-analysis of 1.4 million employees conducted by the Gallup Organization.","author":[{"dropping-particle":"","family":"Baldoni","given":"John","non-dropping-particle":"","parse-names":false,"suffix":""}],"container-title":"Harvard Business Review","id":"ITEM-1","issued":{"date-parts":[["2013"]]},"title":"Employee Engagement Does More than Boost Productivity","type":"article"},"uris":["http://www.mendeley.com/documents/?uuid=bef439ab-eb0f-366f-8071-e4af1a950790"]}],"mendeley":{"formattedCitation":"(Baldoni, 2013)","plainTextFormattedCitation":"(Baldoni, 2013)","previouslyFormattedCitation":"(Baldoni, 2013)"},"properties":{"noteIndex":0},"schema":"https://github.com/citation-style-language/schema/raw/master/csl-citation.json"}</w:instrText>
      </w:r>
      <w:r w:rsidR="00954546" w:rsidRPr="00A6559F">
        <w:rPr>
          <w:rFonts w:ascii="Arial" w:hAnsi="Arial" w:cs="Arial"/>
          <w:sz w:val="24"/>
          <w:szCs w:val="24"/>
        </w:rPr>
        <w:fldChar w:fldCharType="separate"/>
      </w:r>
      <w:r w:rsidR="00954546" w:rsidRPr="00A6559F">
        <w:rPr>
          <w:rFonts w:ascii="Arial" w:hAnsi="Arial" w:cs="Arial"/>
          <w:noProof/>
          <w:sz w:val="24"/>
          <w:szCs w:val="24"/>
        </w:rPr>
        <w:t>(Baldoni, 2013)</w:t>
      </w:r>
      <w:r w:rsidR="00954546" w:rsidRPr="00A6559F">
        <w:rPr>
          <w:rFonts w:ascii="Arial" w:hAnsi="Arial" w:cs="Arial"/>
          <w:sz w:val="24"/>
          <w:szCs w:val="24"/>
        </w:rPr>
        <w:fldChar w:fldCharType="end"/>
      </w:r>
      <w:r w:rsidRPr="00A6559F">
        <w:rPr>
          <w:rFonts w:ascii="Arial" w:hAnsi="Arial" w:cs="Arial"/>
          <w:sz w:val="24"/>
          <w:szCs w:val="24"/>
        </w:rPr>
        <w:t xml:space="preserve">. </w:t>
      </w:r>
      <w:r w:rsidR="007E6750" w:rsidRPr="00A6559F">
        <w:rPr>
          <w:rFonts w:ascii="Arial" w:hAnsi="Arial" w:cs="Arial"/>
          <w:sz w:val="24"/>
          <w:szCs w:val="24"/>
        </w:rPr>
        <w:t xml:space="preserve">Indeed, engaged employee display lower turnover rates as a result of which, the organization enjoys higher retention, lower absenteeism and improved organizational citizenship behaviours </w:t>
      </w:r>
      <w:r w:rsidR="007E6750" w:rsidRPr="00A6559F">
        <w:rPr>
          <w:rFonts w:ascii="Arial" w:hAnsi="Arial" w:cs="Arial"/>
          <w:sz w:val="24"/>
          <w:szCs w:val="24"/>
        </w:rPr>
        <w:fldChar w:fldCharType="begin" w:fldLock="1"/>
      </w:r>
      <w:r w:rsidR="00C85531" w:rsidRPr="00A6559F">
        <w:rPr>
          <w:rFonts w:ascii="Arial" w:hAnsi="Arial" w:cs="Arial"/>
          <w:sz w:val="24"/>
          <w:szCs w:val="24"/>
        </w:rPr>
        <w:instrText>ADDIN CSL_CITATION {"citationItems":[{"id":"ITEM-1","itemData":{"DOI":"10.1016/j.hrmr.2010.09.004","ISSN":"10534822","abstract":"Many contemporary organizations are placing a greater emphasis on their performance management systems as a means of generating higher levels of job performance. We suggest that producing performance increments may be best achieved by orienting the performance management system to promote employee engagement. To this end, we describe a new approach to the performance management process that includes employee engagement and the key drivers of employee engagement at each stage. We present a model of engagement management that incorporates the main ideas of the paper and suggests a new perspective for thinking about how to foster and manage employee engagement to achieve high levels of job performance. © 2010 Elsevier Inc.","author":[{"dropping-particle":"","family":"Gruman","given":"Jamie A.","non-dropping-particle":"","parse-names":false,"suffix":""},{"dropping-particle":"","family":"Saks","given":"Alan M.","non-dropping-particle":"","parse-names":false,"suffix":""}],"container-title":"Human Resource Management Review","id":"ITEM-1","issue":"2","issued":{"date-parts":[["2011"]]},"title":"Performance management and employee engagement","type":"article-journal","volume":"21"},"uris":["http://www.mendeley.com/documents/?uuid=dacd3321-e50e-3021-9ee7-587a89d500a8"]}],"mendeley":{"formattedCitation":"(Gruman and Saks, 2011)","plainTextFormattedCitation":"(Gruman and Saks, 2011)","previouslyFormattedCitation":"(Gruman and Saks, 2011)"},"properties":{"noteIndex":0},"schema":"https://github.com/citation-style-language/schema/raw/master/csl-citation.json"}</w:instrText>
      </w:r>
      <w:r w:rsidR="007E6750" w:rsidRPr="00A6559F">
        <w:rPr>
          <w:rFonts w:ascii="Arial" w:hAnsi="Arial" w:cs="Arial"/>
          <w:sz w:val="24"/>
          <w:szCs w:val="24"/>
        </w:rPr>
        <w:fldChar w:fldCharType="separate"/>
      </w:r>
      <w:r w:rsidR="007E6750" w:rsidRPr="00A6559F">
        <w:rPr>
          <w:rFonts w:ascii="Arial" w:hAnsi="Arial" w:cs="Arial"/>
          <w:noProof/>
          <w:sz w:val="24"/>
          <w:szCs w:val="24"/>
        </w:rPr>
        <w:t>(Gruman and Saks, 2011)</w:t>
      </w:r>
      <w:r w:rsidR="007E6750" w:rsidRPr="00A6559F">
        <w:rPr>
          <w:rFonts w:ascii="Arial" w:hAnsi="Arial" w:cs="Arial"/>
          <w:sz w:val="24"/>
          <w:szCs w:val="24"/>
        </w:rPr>
        <w:fldChar w:fldCharType="end"/>
      </w:r>
      <w:r w:rsidR="007E6750" w:rsidRPr="00A6559F">
        <w:rPr>
          <w:rFonts w:ascii="Arial" w:hAnsi="Arial" w:cs="Arial"/>
          <w:sz w:val="24"/>
          <w:szCs w:val="24"/>
        </w:rPr>
        <w:t xml:space="preserve">. </w:t>
      </w:r>
      <w:r w:rsidRPr="00A6559F">
        <w:rPr>
          <w:rFonts w:ascii="Arial" w:hAnsi="Arial" w:cs="Arial"/>
          <w:sz w:val="24"/>
          <w:szCs w:val="24"/>
        </w:rPr>
        <w:t xml:space="preserve">This report explores how organizations can foster employee engagement. </w:t>
      </w:r>
    </w:p>
    <w:p w14:paraId="0A3C198D" w14:textId="77777777" w:rsidR="009D2858" w:rsidRPr="00A6559F" w:rsidRDefault="009D2858" w:rsidP="005072FA">
      <w:pPr>
        <w:spacing w:line="360" w:lineRule="auto"/>
        <w:jc w:val="both"/>
        <w:rPr>
          <w:rFonts w:ascii="Arial" w:hAnsi="Arial" w:cs="Arial"/>
          <w:sz w:val="24"/>
          <w:szCs w:val="24"/>
        </w:rPr>
      </w:pPr>
      <w:r w:rsidRPr="00A6559F">
        <w:rPr>
          <w:rFonts w:ascii="Arial" w:hAnsi="Arial" w:cs="Arial"/>
          <w:sz w:val="24"/>
          <w:szCs w:val="24"/>
        </w:rPr>
        <w:t xml:space="preserve">The report will first explore the concept of employee </w:t>
      </w:r>
      <w:proofErr w:type="gramStart"/>
      <w:r w:rsidRPr="00A6559F">
        <w:rPr>
          <w:rFonts w:ascii="Arial" w:hAnsi="Arial" w:cs="Arial"/>
          <w:sz w:val="24"/>
          <w:szCs w:val="24"/>
        </w:rPr>
        <w:t>engagement, and</w:t>
      </w:r>
      <w:proofErr w:type="gramEnd"/>
      <w:r w:rsidRPr="00A6559F">
        <w:rPr>
          <w:rFonts w:ascii="Arial" w:hAnsi="Arial" w:cs="Arial"/>
          <w:sz w:val="24"/>
          <w:szCs w:val="24"/>
        </w:rPr>
        <w:t xml:space="preserve"> identify the drivers of the same. It will then discuss different diagnostic tools that organizations can use to measure employee engagement. Lastly, the report will highlight and identify an employee value </w:t>
      </w:r>
      <w:proofErr w:type="gramStart"/>
      <w:r w:rsidRPr="00A6559F">
        <w:rPr>
          <w:rFonts w:ascii="Arial" w:hAnsi="Arial" w:cs="Arial"/>
          <w:sz w:val="24"/>
          <w:szCs w:val="24"/>
        </w:rPr>
        <w:t>proposition, and</w:t>
      </w:r>
      <w:proofErr w:type="gramEnd"/>
      <w:r w:rsidRPr="00A6559F">
        <w:rPr>
          <w:rFonts w:ascii="Arial" w:hAnsi="Arial" w:cs="Arial"/>
          <w:sz w:val="24"/>
          <w:szCs w:val="24"/>
        </w:rPr>
        <w:t xml:space="preserve"> discuss strategies that companies can use to increase employee engagement. The report will conclude with a summary of the findings.</w:t>
      </w:r>
    </w:p>
    <w:p w14:paraId="68525746" w14:textId="768A03D8" w:rsidR="0003521B" w:rsidRPr="00A6559F" w:rsidRDefault="00DB2A37" w:rsidP="005072FA">
      <w:pPr>
        <w:pStyle w:val="Heading1"/>
        <w:spacing w:line="360" w:lineRule="auto"/>
        <w:jc w:val="both"/>
        <w:rPr>
          <w:rFonts w:ascii="Arial" w:hAnsi="Arial" w:cs="Arial"/>
          <w:sz w:val="24"/>
          <w:szCs w:val="24"/>
          <w:shd w:val="clear" w:color="auto" w:fill="FFFFFF"/>
        </w:rPr>
      </w:pPr>
      <w:bookmarkStart w:id="1" w:name="_Toc91934425"/>
      <w:r w:rsidRPr="00A6559F">
        <w:rPr>
          <w:rFonts w:ascii="Arial" w:hAnsi="Arial" w:cs="Arial"/>
          <w:sz w:val="24"/>
          <w:szCs w:val="24"/>
          <w:shd w:val="clear" w:color="auto" w:fill="FFFFFF"/>
        </w:rPr>
        <w:t>Concept and drivers of employee engagement</w:t>
      </w:r>
      <w:bookmarkEnd w:id="1"/>
    </w:p>
    <w:p w14:paraId="07D3537E" w14:textId="64F8AFF5" w:rsidR="009706AD" w:rsidRPr="00A6559F" w:rsidRDefault="00840C98" w:rsidP="005072FA">
      <w:pPr>
        <w:spacing w:line="360" w:lineRule="auto"/>
        <w:jc w:val="both"/>
        <w:rPr>
          <w:rFonts w:ascii="Arial" w:hAnsi="Arial" w:cs="Arial"/>
          <w:sz w:val="24"/>
          <w:szCs w:val="24"/>
        </w:rPr>
      </w:pPr>
      <w:r w:rsidRPr="00A6559F">
        <w:rPr>
          <w:rFonts w:ascii="Arial" w:hAnsi="Arial" w:cs="Arial"/>
          <w:sz w:val="24"/>
          <w:szCs w:val="24"/>
        </w:rPr>
        <w:t xml:space="preserve">At large, employee engagement refers to the emotional connection and commitment that an employee has with his job role, and the organization broadly. </w:t>
      </w:r>
      <w:r w:rsidR="002263F4" w:rsidRPr="00A6559F">
        <w:rPr>
          <w:rFonts w:ascii="Arial" w:hAnsi="Arial" w:cs="Arial"/>
          <w:sz w:val="24"/>
          <w:szCs w:val="24"/>
        </w:rPr>
        <w:t>When employees are engaged, they are fully present at work and in their job roles – with their cognitive, emotional</w:t>
      </w:r>
      <w:r w:rsidR="005072FA" w:rsidRPr="00A6559F">
        <w:rPr>
          <w:rFonts w:ascii="Arial" w:hAnsi="Arial" w:cs="Arial"/>
          <w:sz w:val="24"/>
          <w:szCs w:val="24"/>
        </w:rPr>
        <w:t>,</w:t>
      </w:r>
      <w:r w:rsidR="002263F4" w:rsidRPr="00A6559F">
        <w:rPr>
          <w:rFonts w:ascii="Arial" w:hAnsi="Arial" w:cs="Arial"/>
          <w:sz w:val="24"/>
          <w:szCs w:val="24"/>
        </w:rPr>
        <w:t xml:space="preserve"> and behavioural selves; working towards improved </w:t>
      </w:r>
      <w:r w:rsidR="002263F4" w:rsidRPr="00A6559F">
        <w:rPr>
          <w:rFonts w:ascii="Arial" w:hAnsi="Arial" w:cs="Arial"/>
          <w:sz w:val="24"/>
          <w:szCs w:val="24"/>
        </w:rPr>
        <w:lastRenderedPageBreak/>
        <w:t xml:space="preserve">performance </w:t>
      </w:r>
      <w:r w:rsidR="002263F4" w:rsidRPr="00A6559F">
        <w:rPr>
          <w:rFonts w:ascii="Arial" w:hAnsi="Arial" w:cs="Arial"/>
          <w:sz w:val="24"/>
          <w:szCs w:val="24"/>
        </w:rPr>
        <w:fldChar w:fldCharType="begin" w:fldLock="1"/>
      </w:r>
      <w:r w:rsidR="002263F4" w:rsidRPr="00A6559F">
        <w:rPr>
          <w:rFonts w:ascii="Arial" w:hAnsi="Arial" w:cs="Arial"/>
          <w:sz w:val="24"/>
          <w:szCs w:val="24"/>
        </w:rPr>
        <w:instrText>ADDIN CSL_CITATION {"citationItems":[{"id":"ITEM-1","itemData":{"abstract":"5th ed. Previous edition: published as People resourcing. 2008. Fully rewritten to reflect the new CIPD syllabus, this comprehensive book examines the key processes of employee resourcing in the context of the radical changes we are now witnessing to the nature of work and jobs. ch. 1. Introducing Resourcing and Talent Management -- ch. 2. Employment Markets and Regulation -- ch. 3. Flexibility -- ch. 4. Fairness and Diversity -- ch. 5. Human Resource Planning -- ch. 6. Job Analysis and Job Design -- ch. 7. Recruitment Advertising -- ch. 8. Alternative Recruitment Methods -- ch. 9. Employer Branding -- ch. 10. Selection. The Classic Trio -- ch. 11. Advanced Methods of Employee Selection -- ch. 12. The New Employee -- ch. 13. Succession Planning -- ch. 14. Measuring and Analysing Employee Turnover -- ch. 15. Improving Employee Retention -- ch. 16. Retirement -- ch. 17. Dismissals -- ch. 18. Redundancy -- ch. 19. Resourcing Strategy -- ch. 20. The Future of Work.","author":[{"dropping-particle":"","family":"Taylor","given":"Stephen","non-dropping-particle":"","parse-names":false,"suffix":""}],"container-title":"Resourcing and Talent Management","id":"ITEM-1","issued":{"date-parts":[["2014"]]},"title":"Resourcing and Talent Management Strategies","type":"article"},"uris":["http://www.mendeley.com/documents/?uuid=f26086fe-489d-3c9f-ae8f-53adcfc4801a"]}],"mendeley":{"formattedCitation":"(Taylor, 2014)","plainTextFormattedCitation":"(Taylor, 2014)","previouslyFormattedCitation":"(Taylor, 2014)"},"properties":{"noteIndex":0},"schema":"https://github.com/citation-style-language/schema/raw/master/csl-citation.json"}</w:instrText>
      </w:r>
      <w:r w:rsidR="002263F4" w:rsidRPr="00A6559F">
        <w:rPr>
          <w:rFonts w:ascii="Arial" w:hAnsi="Arial" w:cs="Arial"/>
          <w:sz w:val="24"/>
          <w:szCs w:val="24"/>
        </w:rPr>
        <w:fldChar w:fldCharType="separate"/>
      </w:r>
      <w:r w:rsidR="002263F4" w:rsidRPr="00A6559F">
        <w:rPr>
          <w:rFonts w:ascii="Arial" w:hAnsi="Arial" w:cs="Arial"/>
          <w:noProof/>
          <w:sz w:val="24"/>
          <w:szCs w:val="24"/>
        </w:rPr>
        <w:t>(Taylor, 2014)</w:t>
      </w:r>
      <w:r w:rsidR="002263F4" w:rsidRPr="00A6559F">
        <w:rPr>
          <w:rFonts w:ascii="Arial" w:hAnsi="Arial" w:cs="Arial"/>
          <w:sz w:val="24"/>
          <w:szCs w:val="24"/>
        </w:rPr>
        <w:fldChar w:fldCharType="end"/>
      </w:r>
      <w:r w:rsidR="002263F4" w:rsidRPr="00A6559F">
        <w:rPr>
          <w:rFonts w:ascii="Arial" w:hAnsi="Arial" w:cs="Arial"/>
          <w:sz w:val="24"/>
          <w:szCs w:val="24"/>
        </w:rPr>
        <w:t xml:space="preserve">. </w:t>
      </w:r>
      <w:r w:rsidR="002263F4" w:rsidRPr="00A6559F">
        <w:rPr>
          <w:rStyle w:val="Strong"/>
          <w:rFonts w:ascii="Arial" w:hAnsi="Arial" w:cs="Arial"/>
          <w:b w:val="0"/>
          <w:color w:val="1A1A1A"/>
          <w:sz w:val="24"/>
          <w:szCs w:val="24"/>
        </w:rPr>
        <w:t xml:space="preserve">Emotional engagement largely refers to when an individual has </w:t>
      </w:r>
      <w:r w:rsidR="005072FA" w:rsidRPr="00A6559F">
        <w:rPr>
          <w:rStyle w:val="Strong"/>
          <w:rFonts w:ascii="Arial" w:hAnsi="Arial" w:cs="Arial"/>
          <w:b w:val="0"/>
          <w:color w:val="1A1A1A"/>
          <w:sz w:val="24"/>
          <w:szCs w:val="24"/>
        </w:rPr>
        <w:t xml:space="preserve">a </w:t>
      </w:r>
      <w:r w:rsidR="002263F4" w:rsidRPr="00A6559F">
        <w:rPr>
          <w:rStyle w:val="Strong"/>
          <w:rFonts w:ascii="Arial" w:hAnsi="Arial" w:cs="Arial"/>
          <w:b w:val="0"/>
          <w:color w:val="1A1A1A"/>
          <w:sz w:val="24"/>
          <w:szCs w:val="24"/>
        </w:rPr>
        <w:t>passion for his work. The individual puts not only his mind, but his heart to work as well and enjoys his job role, which in turn makes him happy, proud</w:t>
      </w:r>
      <w:r w:rsidR="005072FA" w:rsidRPr="00A6559F">
        <w:rPr>
          <w:rStyle w:val="Strong"/>
          <w:rFonts w:ascii="Arial" w:hAnsi="Arial" w:cs="Arial"/>
          <w:b w:val="0"/>
          <w:color w:val="1A1A1A"/>
          <w:sz w:val="24"/>
          <w:szCs w:val="24"/>
        </w:rPr>
        <w:t>,</w:t>
      </w:r>
      <w:r w:rsidR="002263F4" w:rsidRPr="00A6559F">
        <w:rPr>
          <w:rStyle w:val="Strong"/>
          <w:rFonts w:ascii="Arial" w:hAnsi="Arial" w:cs="Arial"/>
          <w:b w:val="0"/>
          <w:color w:val="1A1A1A"/>
          <w:sz w:val="24"/>
          <w:szCs w:val="24"/>
        </w:rPr>
        <w:t xml:space="preserve"> and fulfilled. Cognitive engagement in turn refers to the focus and commitment that an individual’s displays towards a goal through their job role and performance. Physical or </w:t>
      </w:r>
      <w:r w:rsidR="00E033E4" w:rsidRPr="00A6559F">
        <w:rPr>
          <w:rStyle w:val="Strong"/>
          <w:rFonts w:ascii="Arial" w:hAnsi="Arial" w:cs="Arial"/>
          <w:b w:val="0"/>
          <w:color w:val="1A1A1A"/>
          <w:sz w:val="24"/>
          <w:szCs w:val="24"/>
        </w:rPr>
        <w:t>behavioural</w:t>
      </w:r>
      <w:r w:rsidR="002263F4" w:rsidRPr="00A6559F">
        <w:rPr>
          <w:rStyle w:val="Strong"/>
          <w:rFonts w:ascii="Arial" w:hAnsi="Arial" w:cs="Arial"/>
          <w:b w:val="0"/>
          <w:color w:val="1A1A1A"/>
          <w:sz w:val="24"/>
          <w:szCs w:val="24"/>
        </w:rPr>
        <w:t xml:space="preserve"> commitment, lastly, </w:t>
      </w:r>
      <w:proofErr w:type="gramStart"/>
      <w:r w:rsidR="002263F4" w:rsidRPr="00A6559F">
        <w:rPr>
          <w:rStyle w:val="Strong"/>
          <w:rFonts w:ascii="Arial" w:hAnsi="Arial" w:cs="Arial"/>
          <w:b w:val="0"/>
          <w:color w:val="1A1A1A"/>
          <w:sz w:val="24"/>
          <w:szCs w:val="24"/>
        </w:rPr>
        <w:t>refers,</w:t>
      </w:r>
      <w:proofErr w:type="gramEnd"/>
      <w:r w:rsidR="002263F4" w:rsidRPr="00A6559F">
        <w:rPr>
          <w:rStyle w:val="Strong"/>
          <w:rFonts w:ascii="Arial" w:hAnsi="Arial" w:cs="Arial"/>
          <w:b w:val="0"/>
          <w:color w:val="1A1A1A"/>
          <w:sz w:val="24"/>
          <w:szCs w:val="24"/>
        </w:rPr>
        <w:t xml:space="preserve"> to the physical energy and effort that </w:t>
      </w:r>
      <w:proofErr w:type="spellStart"/>
      <w:r w:rsidR="002263F4" w:rsidRPr="00A6559F">
        <w:rPr>
          <w:rStyle w:val="Strong"/>
          <w:rFonts w:ascii="Arial" w:hAnsi="Arial" w:cs="Arial"/>
          <w:b w:val="0"/>
          <w:color w:val="1A1A1A"/>
          <w:sz w:val="24"/>
          <w:szCs w:val="24"/>
        </w:rPr>
        <w:t>en</w:t>
      </w:r>
      <w:proofErr w:type="spellEnd"/>
      <w:r w:rsidR="002263F4" w:rsidRPr="00A6559F">
        <w:rPr>
          <w:rStyle w:val="Strong"/>
          <w:rFonts w:ascii="Arial" w:hAnsi="Arial" w:cs="Arial"/>
          <w:b w:val="0"/>
          <w:color w:val="1A1A1A"/>
          <w:sz w:val="24"/>
          <w:szCs w:val="24"/>
        </w:rPr>
        <w:t xml:space="preserve"> employee puts in optimizing his job role and tasks. </w:t>
      </w:r>
      <w:r w:rsidR="009706AD" w:rsidRPr="00A6559F">
        <w:rPr>
          <w:rFonts w:ascii="Arial" w:hAnsi="Arial" w:cs="Arial"/>
          <w:sz w:val="24"/>
          <w:szCs w:val="24"/>
        </w:rPr>
        <w:t xml:space="preserve">Employee engagement is grounded in employee satisfaction, organization commitment, the degree to which an employee identifies with his job, and the extent to which an employee feels energized at work </w:t>
      </w:r>
      <w:r w:rsidR="009706AD" w:rsidRPr="00A6559F">
        <w:rPr>
          <w:rFonts w:ascii="Arial" w:hAnsi="Arial" w:cs="Arial"/>
          <w:sz w:val="24"/>
          <w:szCs w:val="24"/>
        </w:rPr>
        <w:fldChar w:fldCharType="begin" w:fldLock="1"/>
      </w:r>
      <w:r w:rsidR="009706AD" w:rsidRPr="00A6559F">
        <w:rPr>
          <w:rFonts w:ascii="Arial" w:hAnsi="Arial" w:cs="Arial"/>
          <w:sz w:val="24"/>
          <w:szCs w:val="24"/>
        </w:rPr>
        <w:instrText>ADDIN CSL_CITATION {"citationItems":[{"id":"ITEM-1","itemData":{"abstract":"Improving employee engagement is not simply about improving productivity — although organizations with a high level of engagement do report 22% higher productivity, according to a new meta-analysis of 1.4 million employees conducted by the Gallup Organization.","author":[{"dropping-particle":"","family":"Baldoni","given":"John","non-dropping-particle":"","parse-names":false,"suffix":""}],"container-title":"Harvard Business Review","id":"ITEM-1","issued":{"date-parts":[["2013"]]},"title":"Employee Engagement Does More than Boost Productivity","type":"article"},"uris":["http://www.mendeley.com/documents/?uuid=bef439ab-eb0f-366f-8071-e4af1a950790"]}],"mendeley":{"formattedCitation":"(Baldoni, 2013)","plainTextFormattedCitation":"(Baldoni, 2013)","previouslyFormattedCitation":"(Baldoni, 2013)"},"properties":{"noteIndex":0},"schema":"https://github.com/citation-style-language/schema/raw/master/csl-citation.json"}</w:instrText>
      </w:r>
      <w:r w:rsidR="009706AD" w:rsidRPr="00A6559F">
        <w:rPr>
          <w:rFonts w:ascii="Arial" w:hAnsi="Arial" w:cs="Arial"/>
          <w:sz w:val="24"/>
          <w:szCs w:val="24"/>
        </w:rPr>
        <w:fldChar w:fldCharType="separate"/>
      </w:r>
      <w:r w:rsidR="009706AD" w:rsidRPr="00A6559F">
        <w:rPr>
          <w:rFonts w:ascii="Arial" w:hAnsi="Arial" w:cs="Arial"/>
          <w:noProof/>
          <w:sz w:val="24"/>
          <w:szCs w:val="24"/>
        </w:rPr>
        <w:t>(Baldoni, 2013)</w:t>
      </w:r>
      <w:r w:rsidR="009706AD" w:rsidRPr="00A6559F">
        <w:rPr>
          <w:rFonts w:ascii="Arial" w:hAnsi="Arial" w:cs="Arial"/>
          <w:sz w:val="24"/>
          <w:szCs w:val="24"/>
        </w:rPr>
        <w:fldChar w:fldCharType="end"/>
      </w:r>
      <w:r w:rsidR="009706AD" w:rsidRPr="00A6559F">
        <w:rPr>
          <w:rFonts w:ascii="Arial" w:hAnsi="Arial" w:cs="Arial"/>
          <w:sz w:val="24"/>
          <w:szCs w:val="24"/>
        </w:rPr>
        <w:t xml:space="preserve">. </w:t>
      </w:r>
    </w:p>
    <w:p w14:paraId="2AB3BC81" w14:textId="338345B6" w:rsidR="00DB0F24" w:rsidRPr="00A6559F" w:rsidRDefault="00840C98" w:rsidP="005072FA">
      <w:pPr>
        <w:pStyle w:val="NormalWeb"/>
        <w:shd w:val="clear" w:color="auto" w:fill="FFFFFF"/>
        <w:spacing w:line="360" w:lineRule="auto"/>
        <w:jc w:val="both"/>
        <w:rPr>
          <w:rFonts w:ascii="Arial" w:hAnsi="Arial" w:cs="Arial"/>
          <w:lang w:val="en-GB"/>
        </w:rPr>
      </w:pPr>
      <w:r w:rsidRPr="00A6559F">
        <w:rPr>
          <w:rFonts w:ascii="Arial" w:hAnsi="Arial" w:cs="Arial"/>
          <w:lang w:val="en-GB"/>
        </w:rPr>
        <w:t xml:space="preserve">Organizations </w:t>
      </w:r>
      <w:r w:rsidR="002E62E7" w:rsidRPr="00A6559F">
        <w:rPr>
          <w:rFonts w:ascii="Arial" w:hAnsi="Arial" w:cs="Arial"/>
          <w:lang w:val="en-GB"/>
        </w:rPr>
        <w:t>are</w:t>
      </w:r>
      <w:r w:rsidRPr="00A6559F">
        <w:rPr>
          <w:rFonts w:ascii="Arial" w:hAnsi="Arial" w:cs="Arial"/>
          <w:lang w:val="en-GB"/>
        </w:rPr>
        <w:t xml:space="preserve"> tasked with the responsibility of developing, and cultivating the drivers of employee engagement, ensuring that they are instilled in the organizational culture. </w:t>
      </w:r>
      <w:r w:rsidR="00DB0F24" w:rsidRPr="00A6559F">
        <w:rPr>
          <w:rFonts w:ascii="Arial" w:hAnsi="Arial" w:cs="Arial"/>
          <w:color w:val="1A1A1A"/>
          <w:shd w:val="clear" w:color="auto" w:fill="FFFFFF"/>
          <w:lang w:val="en-GB"/>
        </w:rPr>
        <w:t>The four key driver’s leadership, ensuring engaged line managers, empowered employees</w:t>
      </w:r>
      <w:r w:rsidR="005072FA" w:rsidRPr="00A6559F">
        <w:rPr>
          <w:rFonts w:ascii="Arial" w:hAnsi="Arial" w:cs="Arial"/>
          <w:color w:val="1A1A1A"/>
          <w:shd w:val="clear" w:color="auto" w:fill="FFFFFF"/>
          <w:lang w:val="en-GB"/>
        </w:rPr>
        <w:t>,</w:t>
      </w:r>
      <w:r w:rsidR="00DB0F24" w:rsidRPr="00A6559F">
        <w:rPr>
          <w:rFonts w:ascii="Arial" w:hAnsi="Arial" w:cs="Arial"/>
          <w:color w:val="1A1A1A"/>
          <w:shd w:val="clear" w:color="auto" w:fill="FFFFFF"/>
          <w:lang w:val="en-GB"/>
        </w:rPr>
        <w:t xml:space="preserve"> and integrity. These drivers can be achieved through the elements present in the Hay Group model of employee engagement</w:t>
      </w:r>
      <w:r w:rsidR="0079580C" w:rsidRPr="00A6559F">
        <w:rPr>
          <w:rFonts w:ascii="Arial" w:hAnsi="Arial" w:cs="Arial"/>
          <w:lang w:val="en-GB"/>
        </w:rPr>
        <w:t xml:space="preserve"> </w:t>
      </w:r>
      <w:r w:rsidR="0079580C" w:rsidRPr="00A6559F">
        <w:rPr>
          <w:rFonts w:ascii="Arial" w:hAnsi="Arial" w:cs="Arial"/>
          <w:lang w:val="en-GB"/>
        </w:rPr>
        <w:fldChar w:fldCharType="begin" w:fldLock="1"/>
      </w:r>
      <w:r w:rsidR="0079580C" w:rsidRPr="00A6559F">
        <w:rPr>
          <w:rFonts w:ascii="Arial" w:hAnsi="Arial" w:cs="Arial"/>
          <w:lang w:val="en-GB"/>
        </w:rPr>
        <w:instrText>ADDIN CSL_CITATION {"citationItems":[{"id":"ITEM-1","itemData":{"ISSN":"0309-1325","abstract":"The practice of public human resource management has evolved significantly in recent years due toincreased outsourcing, privatization, and the diminution of public employee rights. This thoroughly revised and updated edition of the classic reference Handbook of Human Resource Management in Government offers authoritative, state-of-the-art information for public administrators and human resource professionals. The third edition features contributions from noted experts in the field, including Donald E. Klingner, Mary E. Guy, Jonathan P. West, Jeffrey L. Brudney, Montgomery Van Wart, J. J. Steven Ott, Norma M. Riccucci, and many more.","author":[{"dropping-particle":"","family":"Armstrong","given":"S","non-dropping-particle":"","parse-names":false,"suffix":""}],"container-title":"John Wiley &amp; Sons","id":"ITEM-1","issued":{"date-parts":[["2014"]]},"title":"Handbook of human resource management in government","type":"book"},"uris":["http://www.mendeley.com/documents/?uuid=3759072f-9b2e-38ce-89cc-c362416bc279"]}],"mendeley":{"formattedCitation":"(Armstrong, 2014)","plainTextFormattedCitation":"(Armstrong, 2014)","previouslyFormattedCitation":"(Armstrong, 2014)"},"properties":{"noteIndex":0},"schema":"https://github.com/citation-style-language/schema/raw/master/csl-citation.json"}</w:instrText>
      </w:r>
      <w:r w:rsidR="0079580C" w:rsidRPr="00A6559F">
        <w:rPr>
          <w:rFonts w:ascii="Arial" w:hAnsi="Arial" w:cs="Arial"/>
          <w:lang w:val="en-GB"/>
        </w:rPr>
        <w:fldChar w:fldCharType="separate"/>
      </w:r>
      <w:r w:rsidR="0079580C" w:rsidRPr="00A6559F">
        <w:rPr>
          <w:rFonts w:ascii="Arial" w:hAnsi="Arial" w:cs="Arial"/>
          <w:noProof/>
          <w:lang w:val="en-GB"/>
        </w:rPr>
        <w:t>(Armstrong, 2014)</w:t>
      </w:r>
      <w:r w:rsidR="0079580C" w:rsidRPr="00A6559F">
        <w:rPr>
          <w:rFonts w:ascii="Arial" w:hAnsi="Arial" w:cs="Arial"/>
          <w:lang w:val="en-GB"/>
        </w:rPr>
        <w:fldChar w:fldCharType="end"/>
      </w:r>
      <w:r w:rsidR="00DB0F24" w:rsidRPr="00A6559F">
        <w:rPr>
          <w:rFonts w:ascii="Arial" w:hAnsi="Arial" w:cs="Arial"/>
          <w:lang w:val="en-GB"/>
        </w:rPr>
        <w:t>:</w:t>
      </w:r>
    </w:p>
    <w:p w14:paraId="47A724AC" w14:textId="4E162CAF" w:rsidR="00840C98" w:rsidRPr="00A6559F" w:rsidRDefault="00840C98" w:rsidP="005072FA">
      <w:pPr>
        <w:pStyle w:val="NormalWeb"/>
        <w:numPr>
          <w:ilvl w:val="0"/>
          <w:numId w:val="8"/>
        </w:numPr>
        <w:shd w:val="clear" w:color="auto" w:fill="FFFFFF"/>
        <w:spacing w:line="360" w:lineRule="auto"/>
        <w:jc w:val="both"/>
        <w:rPr>
          <w:rFonts w:ascii="Arial" w:hAnsi="Arial" w:cs="Arial"/>
          <w:lang w:val="en-GB"/>
        </w:rPr>
      </w:pPr>
      <w:r w:rsidRPr="00A6559F">
        <w:rPr>
          <w:rFonts w:ascii="Arial" w:hAnsi="Arial" w:cs="Arial"/>
          <w:lang w:val="en-GB"/>
        </w:rPr>
        <w:t>Inspiration/ Value</w:t>
      </w:r>
      <w:r w:rsidR="00DB0F24" w:rsidRPr="00A6559F">
        <w:rPr>
          <w:rFonts w:ascii="Arial" w:hAnsi="Arial" w:cs="Arial"/>
          <w:lang w:val="en-GB"/>
        </w:rPr>
        <w:t xml:space="preserve"> (leadership)</w:t>
      </w:r>
      <w:r w:rsidRPr="00A6559F">
        <w:rPr>
          <w:rFonts w:ascii="Arial" w:hAnsi="Arial" w:cs="Arial"/>
          <w:lang w:val="en-GB"/>
        </w:rPr>
        <w:t xml:space="preserve">: with </w:t>
      </w:r>
      <w:r w:rsidR="005072FA" w:rsidRPr="00A6559F">
        <w:rPr>
          <w:rFonts w:ascii="Arial" w:hAnsi="Arial" w:cs="Arial"/>
          <w:lang w:val="en-GB"/>
        </w:rPr>
        <w:t xml:space="preserve">the </w:t>
      </w:r>
      <w:r w:rsidRPr="00A6559F">
        <w:rPr>
          <w:rFonts w:ascii="Arial" w:hAnsi="Arial" w:cs="Arial"/>
          <w:lang w:val="en-GB"/>
        </w:rPr>
        <w:t xml:space="preserve">high level of inspiration, and credible organizational values, employees </w:t>
      </w:r>
      <w:proofErr w:type="gramStart"/>
      <w:r w:rsidRPr="00A6559F">
        <w:rPr>
          <w:rFonts w:ascii="Arial" w:hAnsi="Arial" w:cs="Arial"/>
          <w:lang w:val="en-GB"/>
        </w:rPr>
        <w:t>are able to</w:t>
      </w:r>
      <w:proofErr w:type="gramEnd"/>
      <w:r w:rsidRPr="00A6559F">
        <w:rPr>
          <w:rFonts w:ascii="Arial" w:hAnsi="Arial" w:cs="Arial"/>
          <w:lang w:val="en-GB"/>
        </w:rPr>
        <w:t xml:space="preserve"> enjoy quality leadership, and open communication channels. Moreover, employees also experience recognition in these settings, and are motivated towards innovation and decision making through the cushion of shared risk. As a result, the overall employee engagement increases</w:t>
      </w:r>
      <w:r w:rsidR="0079580C" w:rsidRPr="00A6559F">
        <w:rPr>
          <w:rFonts w:ascii="Arial" w:hAnsi="Arial" w:cs="Arial"/>
          <w:lang w:val="en-GB"/>
        </w:rPr>
        <w:t xml:space="preserve"> </w:t>
      </w:r>
      <w:r w:rsidR="0079580C" w:rsidRPr="00A6559F">
        <w:rPr>
          <w:rFonts w:ascii="Arial" w:hAnsi="Arial" w:cs="Arial"/>
          <w:lang w:val="en-GB"/>
        </w:rPr>
        <w:fldChar w:fldCharType="begin" w:fldLock="1"/>
      </w:r>
      <w:r w:rsidR="0079580C" w:rsidRPr="00A6559F">
        <w:rPr>
          <w:rFonts w:ascii="Arial" w:hAnsi="Arial" w:cs="Arial"/>
          <w:lang w:val="en-GB"/>
        </w:rPr>
        <w:instrText>ADDIN CSL_CITATION {"citationItems":[{"id":"ITEM-1","itemData":{"abstract":"In the first collection of its kind, The SAGE Handbook of Human Resource Management brings together contributions from leading, international scholars in an accessible, comprehensive and influential collection that combines both global and interdisciplinary perspectives. An indispensable resource for advanced students and researchers in the field, the Handbook focuses on familiarizing the reader with the fundamentals of applied human resource management while contextualizing practice within wider theoretical considerations. Internationally minded chapters combine a critical overview with discussion of key debates and research, plus comprehensively dealing with important emerging interests.","author":[{"dropping-particle":"","family":"Armstrong","given":"Michael","non-dropping-particle":"","parse-names":false,"suffix":""},{"dropping-particle":"","family":"Taylor","given":"Stephen","non-dropping-particle":"","parse-names":false,"suffix":""}],"container-title":"Armstrong's Handbook of Human Resource Management","id":"ITEM-1","issued":{"date-parts":[["2014"]]},"title":"Armstrong's Handbook of Human Resource Management 13th Edition","type":"book"},"uris":["http://www.mendeley.com/documents/?uuid=13a4cf8a-0f1a-3523-9e2a-9484b35a672f"]}],"mendeley":{"formattedCitation":"(Armstrong and Taylor, 2014)","plainTextFormattedCitation":"(Armstrong and Taylor, 2014)","previouslyFormattedCitation":"(Armstrong and Taylor, 2014)"},"properties":{"noteIndex":0},"schema":"https://github.com/citation-style-language/schema/raw/master/csl-citation.json"}</w:instrText>
      </w:r>
      <w:r w:rsidR="0079580C" w:rsidRPr="00A6559F">
        <w:rPr>
          <w:rFonts w:ascii="Arial" w:hAnsi="Arial" w:cs="Arial"/>
          <w:lang w:val="en-GB"/>
        </w:rPr>
        <w:fldChar w:fldCharType="separate"/>
      </w:r>
      <w:r w:rsidR="0079580C" w:rsidRPr="00A6559F">
        <w:rPr>
          <w:rFonts w:ascii="Arial" w:hAnsi="Arial" w:cs="Arial"/>
          <w:noProof/>
          <w:lang w:val="en-GB"/>
        </w:rPr>
        <w:t>(Armstrong and Taylor, 2014)</w:t>
      </w:r>
      <w:r w:rsidR="0079580C" w:rsidRPr="00A6559F">
        <w:rPr>
          <w:rFonts w:ascii="Arial" w:hAnsi="Arial" w:cs="Arial"/>
          <w:lang w:val="en-GB"/>
        </w:rPr>
        <w:fldChar w:fldCharType="end"/>
      </w:r>
      <w:r w:rsidRPr="00A6559F">
        <w:rPr>
          <w:rFonts w:ascii="Arial" w:hAnsi="Arial" w:cs="Arial"/>
          <w:lang w:val="en-GB"/>
        </w:rPr>
        <w:t>.</w:t>
      </w:r>
    </w:p>
    <w:p w14:paraId="7236B0E0" w14:textId="43BD200C" w:rsidR="00840C98" w:rsidRPr="00A6559F" w:rsidRDefault="00840C98" w:rsidP="005072FA">
      <w:pPr>
        <w:pStyle w:val="ListParagraph"/>
        <w:numPr>
          <w:ilvl w:val="0"/>
          <w:numId w:val="8"/>
        </w:numPr>
        <w:spacing w:line="360" w:lineRule="auto"/>
        <w:jc w:val="both"/>
        <w:rPr>
          <w:rFonts w:ascii="Arial" w:hAnsi="Arial" w:cs="Arial"/>
          <w:sz w:val="24"/>
          <w:szCs w:val="24"/>
        </w:rPr>
      </w:pPr>
      <w:r w:rsidRPr="00A6559F">
        <w:rPr>
          <w:rFonts w:ascii="Arial" w:hAnsi="Arial" w:cs="Arial"/>
          <w:sz w:val="24"/>
          <w:szCs w:val="24"/>
        </w:rPr>
        <w:t>Tangible rewards</w:t>
      </w:r>
      <w:r w:rsidR="00DB0F24" w:rsidRPr="00A6559F">
        <w:rPr>
          <w:rFonts w:ascii="Arial" w:hAnsi="Arial" w:cs="Arial"/>
          <w:sz w:val="24"/>
          <w:szCs w:val="24"/>
        </w:rPr>
        <w:t xml:space="preserve"> (</w:t>
      </w:r>
      <w:r w:rsidR="00291F07" w:rsidRPr="00A6559F">
        <w:rPr>
          <w:rFonts w:ascii="Arial" w:hAnsi="Arial" w:cs="Arial"/>
          <w:sz w:val="24"/>
          <w:szCs w:val="24"/>
        </w:rPr>
        <w:t>integrity)</w:t>
      </w:r>
      <w:r w:rsidRPr="00A6559F">
        <w:rPr>
          <w:rFonts w:ascii="Arial" w:hAnsi="Arial" w:cs="Arial"/>
          <w:sz w:val="24"/>
          <w:szCs w:val="24"/>
        </w:rPr>
        <w:t>: tangible rewards, such as a competitive pay and salary, recognition rewards, competitive benefits</w:t>
      </w:r>
      <w:r w:rsidR="005072FA" w:rsidRPr="00A6559F">
        <w:rPr>
          <w:rFonts w:ascii="Arial" w:hAnsi="Arial" w:cs="Arial"/>
          <w:sz w:val="24"/>
          <w:szCs w:val="24"/>
        </w:rPr>
        <w:t>,</w:t>
      </w:r>
      <w:r w:rsidRPr="00A6559F">
        <w:rPr>
          <w:rFonts w:ascii="Arial" w:hAnsi="Arial" w:cs="Arial"/>
          <w:sz w:val="24"/>
          <w:szCs w:val="24"/>
        </w:rPr>
        <w:t xml:space="preserve"> and potential for sharing ownership within the organization cultivate and promote employee engagement through developing and nurturing motivation towards increased and improved performance</w:t>
      </w:r>
      <w:r w:rsidR="0079580C" w:rsidRPr="00A6559F">
        <w:rPr>
          <w:rFonts w:ascii="Arial" w:hAnsi="Arial" w:cs="Arial"/>
          <w:sz w:val="24"/>
          <w:szCs w:val="24"/>
        </w:rPr>
        <w:t xml:space="preserve"> </w:t>
      </w:r>
      <w:r w:rsidR="0079580C" w:rsidRPr="00A6559F">
        <w:rPr>
          <w:rFonts w:ascii="Arial" w:hAnsi="Arial" w:cs="Arial"/>
          <w:sz w:val="24"/>
          <w:szCs w:val="24"/>
        </w:rPr>
        <w:fldChar w:fldCharType="begin" w:fldLock="1"/>
      </w:r>
      <w:r w:rsidR="0079580C" w:rsidRPr="00A6559F">
        <w:rPr>
          <w:rFonts w:ascii="Arial" w:hAnsi="Arial" w:cs="Arial"/>
          <w:sz w:val="24"/>
          <w:szCs w:val="24"/>
        </w:rPr>
        <w:instrText>ADDIN CSL_CITATION {"citationItems":[{"id":"ITEM-1","itemData":{"DOI":"10.5267/j.msl.2019.10.003","ISSN":"19239343","abstract":"Employee engagement is one of the most important issues in human resource management in order to ameliorate the turnover intention in organizations. Employers often face different challenges of finding ways to increase the interaction with their employees in order to have good labor force. This paper investigates the effects of different factors on employment engagement in Vietnam industries. The results indicate that work-life balance and work stress positively impact on employee engagement. However, our results do not confirm that working condition could positively impact on employee engagement nor did we find any evidence to believe that relationship with supervisor could positively impact on employee engagement. In terms of mediation effect, work-life balance, in this survey, mediates the relationship between working condition and employee engagement. Also, work-life balance mediates the relationship between the relationship with supervisor and employee engagement. Moreover, work stress mediates the relationship between working condition and employee engagement. Finally, work stress mediates the relationship between relationship with supervisor and employee engagement.","author":[{"dropping-particle":"","family":"Dinh","given":"Luan Nguyen","non-dropping-particle":"","parse-names":false,"suffix":""}],"container-title":"Management Science Letters","id":"ITEM-1","issue":"4","issued":{"date-parts":[["2020"]]},"title":"Determinants of employee engagement mediated by work-life balance and work stress","type":"article-journal","volume":"10"},"uris":["http://www.mendeley.com/documents/?uuid=4e24bd6a-1aaf-3829-8de3-b6fe88b0da3d"]}],"mendeley":{"formattedCitation":"(Dinh, 2020)","plainTextFormattedCitation":"(Dinh, 2020)","previouslyFormattedCitation":"(Dinh, 2020)"},"properties":{"noteIndex":0},"schema":"https://github.com/citation-style-language/schema/raw/master/csl-citation.json"}</w:instrText>
      </w:r>
      <w:r w:rsidR="0079580C" w:rsidRPr="00A6559F">
        <w:rPr>
          <w:rFonts w:ascii="Arial" w:hAnsi="Arial" w:cs="Arial"/>
          <w:sz w:val="24"/>
          <w:szCs w:val="24"/>
        </w:rPr>
        <w:fldChar w:fldCharType="separate"/>
      </w:r>
      <w:r w:rsidR="0079580C" w:rsidRPr="00A6559F">
        <w:rPr>
          <w:rFonts w:ascii="Arial" w:hAnsi="Arial" w:cs="Arial"/>
          <w:noProof/>
          <w:sz w:val="24"/>
          <w:szCs w:val="24"/>
        </w:rPr>
        <w:t>(Dinh, 2020)</w:t>
      </w:r>
      <w:r w:rsidR="0079580C" w:rsidRPr="00A6559F">
        <w:rPr>
          <w:rFonts w:ascii="Arial" w:hAnsi="Arial" w:cs="Arial"/>
          <w:sz w:val="24"/>
          <w:szCs w:val="24"/>
        </w:rPr>
        <w:fldChar w:fldCharType="end"/>
      </w:r>
      <w:r w:rsidRPr="00A6559F">
        <w:rPr>
          <w:rFonts w:ascii="Arial" w:hAnsi="Arial" w:cs="Arial"/>
          <w:sz w:val="24"/>
          <w:szCs w:val="24"/>
        </w:rPr>
        <w:t>.</w:t>
      </w:r>
    </w:p>
    <w:p w14:paraId="372C6BC6" w14:textId="330C2E87" w:rsidR="00840C98" w:rsidRPr="00A6559F" w:rsidRDefault="00840C98" w:rsidP="005072FA">
      <w:pPr>
        <w:pStyle w:val="ListParagraph"/>
        <w:numPr>
          <w:ilvl w:val="0"/>
          <w:numId w:val="8"/>
        </w:numPr>
        <w:spacing w:line="360" w:lineRule="auto"/>
        <w:jc w:val="both"/>
        <w:rPr>
          <w:rFonts w:ascii="Arial" w:hAnsi="Arial" w:cs="Arial"/>
          <w:sz w:val="24"/>
          <w:szCs w:val="24"/>
        </w:rPr>
      </w:pPr>
      <w:r w:rsidRPr="00A6559F">
        <w:rPr>
          <w:rFonts w:ascii="Arial" w:hAnsi="Arial" w:cs="Arial"/>
          <w:sz w:val="24"/>
          <w:szCs w:val="24"/>
        </w:rPr>
        <w:t>Work-life balance</w:t>
      </w:r>
      <w:r w:rsidR="00291F07" w:rsidRPr="00A6559F">
        <w:rPr>
          <w:rFonts w:ascii="Arial" w:hAnsi="Arial" w:cs="Arial"/>
          <w:sz w:val="24"/>
          <w:szCs w:val="24"/>
        </w:rPr>
        <w:t xml:space="preserve"> (engaged line managers)</w:t>
      </w:r>
      <w:r w:rsidRPr="00A6559F">
        <w:rPr>
          <w:rFonts w:ascii="Arial" w:hAnsi="Arial" w:cs="Arial"/>
          <w:sz w:val="24"/>
          <w:szCs w:val="24"/>
        </w:rPr>
        <w:t xml:space="preserve">: it is critical for organizational leadership to provide employees with supportive work environments that promises security f income as well as social support. In addition, organizational management and leadership should also offer flexibility owing to the different personal life needs of the employees. This in turn increased </w:t>
      </w:r>
      <w:r w:rsidRPr="00A6559F">
        <w:rPr>
          <w:rFonts w:ascii="Arial" w:hAnsi="Arial" w:cs="Arial"/>
          <w:sz w:val="24"/>
          <w:szCs w:val="24"/>
        </w:rPr>
        <w:lastRenderedPageBreak/>
        <w:t>organizational commitment, thereby improving and increasing employee engagement</w:t>
      </w:r>
      <w:r w:rsidR="0079580C" w:rsidRPr="00A6559F">
        <w:rPr>
          <w:rFonts w:ascii="Arial" w:hAnsi="Arial" w:cs="Arial"/>
          <w:sz w:val="24"/>
          <w:szCs w:val="24"/>
        </w:rPr>
        <w:t xml:space="preserve"> </w:t>
      </w:r>
      <w:r w:rsidR="0079580C" w:rsidRPr="00A6559F">
        <w:rPr>
          <w:rFonts w:ascii="Arial" w:hAnsi="Arial" w:cs="Arial"/>
          <w:sz w:val="24"/>
          <w:szCs w:val="24"/>
        </w:rPr>
        <w:fldChar w:fldCharType="begin" w:fldLock="1"/>
      </w:r>
      <w:r w:rsidR="0079580C" w:rsidRPr="00A6559F">
        <w:rPr>
          <w:rFonts w:ascii="Arial" w:hAnsi="Arial" w:cs="Arial"/>
          <w:sz w:val="24"/>
          <w:szCs w:val="24"/>
        </w:rPr>
        <w:instrText>ADDIN CSL_CITATION {"citationItems":[{"id":"ITEM-1","itemData":{"DOI":"10.4102/sajhrm.v18i0.1209","ISSN":"2071078X","abstract":"Orientation: The influence of flexible work arrangements (FWAs) on employee engagement. Research purpose: This research was conducted to explore the influence of FWAs on employee engagement in order to gain a richer understanding than what is offered in pre-existing literature, and to provide practical recommendations to practitioners through a proposed framework. Motivation for the study: Flexible work arrangements are becoming increasingly popular management practices within the business landscape. Significant research has been conducted to understand the influence of FWAs on various employee engagement constructs; however, these findings still show considerable variations and are highly inconsistent. Research approach/design and method: This study used a qualitative mono method to explore the influence of FWAs on employee engagement. Qualitative, exploratory data allowed the researchers to gain new insights. A total of 23 semi-structured, face-to-face interviews were conducted. Respondents comprised eight subject matter experts and 15 employees from six different organisations, across six different industries. Interviews were analysed using a thematic analysis approach. Main findings: This study found a positive relationship between FWAs and employee engagement. It also revealed that FWAs were positively associated with various employee engagement constructs found in the literature, with the most prominent finding showing positive influence of FWAs on employee well-being. Practical/managerial implications: This study further developed a proposed framework for the successful implementation of FWAs to improve employee engagement. Contribution/value-add: This study offers theoretical, methodological and practical implications for employee engagement and human resource development scholars and practitioners motivated to find ways to better manage FWAs and improve employee engagement.","author":[{"dropping-particle":"","family":"Weideman","given":"Marcel","non-dropping-particle":"","parse-names":false,"suffix":""},{"dropping-particle":"","family":"Hofmeyr","given":"Karl B.","non-dropping-particle":"","parse-names":false,"suffix":""}],"container-title":"SA Journal of Human Resource Management","id":"ITEM-1","issued":{"date-parts":[["2020"]]},"title":"The influence of flexible work arrangements on employee engagement: An exploratory study","type":"article-journal","volume":"18"},"uris":["http://www.mendeley.com/documents/?uuid=c52371c8-4d08-3c5a-ae15-4ba8fdd39b74"]}],"mendeley":{"formattedCitation":"(Weideman and Hofmeyr, 2020)","plainTextFormattedCitation":"(Weideman and Hofmeyr, 2020)","previouslyFormattedCitation":"(Weideman and Hofmeyr, 2020)"},"properties":{"noteIndex":0},"schema":"https://github.com/citation-style-language/schema/raw/master/csl-citation.json"}</w:instrText>
      </w:r>
      <w:r w:rsidR="0079580C" w:rsidRPr="00A6559F">
        <w:rPr>
          <w:rFonts w:ascii="Arial" w:hAnsi="Arial" w:cs="Arial"/>
          <w:sz w:val="24"/>
          <w:szCs w:val="24"/>
        </w:rPr>
        <w:fldChar w:fldCharType="separate"/>
      </w:r>
      <w:r w:rsidR="0079580C" w:rsidRPr="00A6559F">
        <w:rPr>
          <w:rFonts w:ascii="Arial" w:hAnsi="Arial" w:cs="Arial"/>
          <w:noProof/>
          <w:sz w:val="24"/>
          <w:szCs w:val="24"/>
        </w:rPr>
        <w:t>(Weideman and Hofmeyr, 2020)</w:t>
      </w:r>
      <w:r w:rsidR="0079580C" w:rsidRPr="00A6559F">
        <w:rPr>
          <w:rFonts w:ascii="Arial" w:hAnsi="Arial" w:cs="Arial"/>
          <w:sz w:val="24"/>
          <w:szCs w:val="24"/>
        </w:rPr>
        <w:fldChar w:fldCharType="end"/>
      </w:r>
      <w:r w:rsidRPr="00A6559F">
        <w:rPr>
          <w:rFonts w:ascii="Arial" w:hAnsi="Arial" w:cs="Arial"/>
          <w:sz w:val="24"/>
          <w:szCs w:val="24"/>
        </w:rPr>
        <w:t xml:space="preserve">. </w:t>
      </w:r>
    </w:p>
    <w:p w14:paraId="3E2F6212" w14:textId="5E23EE8A" w:rsidR="00840C98" w:rsidRPr="00A6559F" w:rsidRDefault="00840C98" w:rsidP="005072FA">
      <w:pPr>
        <w:pStyle w:val="ListParagraph"/>
        <w:numPr>
          <w:ilvl w:val="0"/>
          <w:numId w:val="8"/>
        </w:numPr>
        <w:spacing w:line="360" w:lineRule="auto"/>
        <w:jc w:val="both"/>
        <w:rPr>
          <w:rFonts w:ascii="Arial" w:hAnsi="Arial" w:cs="Arial"/>
          <w:sz w:val="24"/>
          <w:szCs w:val="24"/>
        </w:rPr>
      </w:pPr>
      <w:r w:rsidRPr="00A6559F">
        <w:rPr>
          <w:rFonts w:ascii="Arial" w:hAnsi="Arial" w:cs="Arial"/>
          <w:sz w:val="24"/>
          <w:szCs w:val="24"/>
        </w:rPr>
        <w:t>Quality of work</w:t>
      </w:r>
      <w:r w:rsidR="00291F07" w:rsidRPr="00A6559F">
        <w:rPr>
          <w:rFonts w:ascii="Arial" w:hAnsi="Arial" w:cs="Arial"/>
          <w:sz w:val="24"/>
          <w:szCs w:val="24"/>
        </w:rPr>
        <w:t xml:space="preserve"> (leadership and engaged line managers)</w:t>
      </w:r>
      <w:r w:rsidRPr="00A6559F">
        <w:rPr>
          <w:rFonts w:ascii="Arial" w:hAnsi="Arial" w:cs="Arial"/>
          <w:sz w:val="24"/>
          <w:szCs w:val="24"/>
        </w:rPr>
        <w:t>: one of the most important drivers of employee engagement, it is critical for employees to not only understand their job roles and tasks, but also feel challenged and stimulated by it. At the same time, employees must also understand the importance of their own job roles towards the needs of the overall organizational growth. This allows employees to connect with their job roles not only physically but also cognitively and emotionally –thereby positively impacting employee engagement</w:t>
      </w:r>
      <w:r w:rsidR="005B6A89" w:rsidRPr="00A6559F">
        <w:rPr>
          <w:rFonts w:ascii="Arial" w:hAnsi="Arial" w:cs="Arial"/>
          <w:sz w:val="24"/>
          <w:szCs w:val="24"/>
        </w:rPr>
        <w:t xml:space="preserve"> </w:t>
      </w:r>
      <w:r w:rsidR="005B6A89" w:rsidRPr="00A6559F">
        <w:rPr>
          <w:rFonts w:ascii="Arial" w:hAnsi="Arial" w:cs="Arial"/>
          <w:sz w:val="24"/>
          <w:szCs w:val="24"/>
        </w:rPr>
        <w:fldChar w:fldCharType="begin" w:fldLock="1"/>
      </w:r>
      <w:r w:rsidR="003D5C11" w:rsidRPr="00A6559F">
        <w:rPr>
          <w:rFonts w:ascii="Arial" w:hAnsi="Arial" w:cs="Arial"/>
          <w:sz w:val="24"/>
          <w:szCs w:val="24"/>
        </w:rPr>
        <w:instrText>ADDIN CSL_CITATION {"citationItems":[{"id":"ITEM-1","itemData":{"DOI":"10.1002/pa.2508","ISSN":"14791854","abstract":"In the present business situation during the COVID-19 pandemic, employee engagement has become one of the utmost prominent primacies for human resource managers and practitioners in organizations due to lockdown. The paper is to determine the engagement of employees by various companies during coronavirus pandemic. Organizations nowadays are constantly developing innovative and effective means to engage the employees during this tough time. This paper is a conceptual paper that is based on various research papers, articles, blogs, online newspapers, and reports of World Health Organization. During this pandemic situation, organizations are evolving many engagement activities like online family engagement practices, virtual learning and development, online team building activities, webinars with industry experts, online conduct weekly alignment sessions, team meet-ups over video conference for lunch, short online game sessions, virtual challenges and competitions, online courses, appreciation sessions, communication exercises, live sessions for new-skill training, online counseling sessions, recognition and acknowledgment session, webinars dealing with anxiety and stress, providing online guidance for exercise and meditation, social interactions in a virtual office, classrooms training modules digitally, e-learning modules, and many more creative learning sessions. Work-from-home regime engagement activities are very fruitful for employees as well as for organizations. Those organizations doing these kinds of engagement activities for their employees are learning new skills and developing themselves. Employees are feeling committed to the organization and stay motivated during this tough time of COVID-19 pandemic.","author":[{"dropping-particle":"","family":"Chanana","given":"Nisha","non-dropping-particle":"","parse-names":false,"suffix":""},{"dropping-particle":"","family":"Sangeeta","given":"","non-dropping-particle":"","parse-names":false,"suffix":""}],"container-title":"Journal of Public Affairs","id":"ITEM-1","issue":"4","issued":{"date-parts":[["2021"]]},"title":"Employee engagement practices during COVID-19 lockdown","type":"article-journal","volume":"21"},"uris":["http://www.mendeley.com/documents/?uuid=64862ed4-0411-38c7-916e-4d40a4811dfd"]},{"id":"ITEM-2","itemData":{"ISSN":"0309-1325","abstract":"The practice of public human resource management has evolved significantly in recent years due toincreased outsourcing, privatization, and the diminution of public employee rights. This thoroughly revised and updated edition of the classic reference Handbook of Human Resource Management in Government offers authoritative, state-of-the-art information for public administrators and human resource professionals. The third edition features contributions from noted experts in the field, including Donald E. Klingner, Mary E. Guy, Jonathan P. West, Jeffrey L. Brudney, Montgomery Van Wart, J. J. Steven Ott, Norma M. Riccucci, and many more.","author":[{"dropping-particle":"","family":"Armstrong","given":"S","non-dropping-particle":"","parse-names":false,"suffix":""}],"container-title":"John Wiley &amp; Sons","id":"ITEM-2","issued":{"date-parts":[["2014"]]},"title":"Handbook of human resource management in government","type":"book"},"uris":["http://www.mendeley.com/documents/?uuid=3759072f-9b2e-38ce-89cc-c362416bc279"]}],"mendeley":{"formattedCitation":"(Armstrong, 2014; Chanana and Sangeeta, 2021)","plainTextFormattedCitation":"(Armstrong, 2014; Chanana and Sangeeta, 2021)","previouslyFormattedCitation":"(Armstrong, 2014; Chanana and Sangeeta, 2021)"},"properties":{"noteIndex":0},"schema":"https://github.com/citation-style-language/schema/raw/master/csl-citation.json"}</w:instrText>
      </w:r>
      <w:r w:rsidR="005B6A89" w:rsidRPr="00A6559F">
        <w:rPr>
          <w:rFonts w:ascii="Arial" w:hAnsi="Arial" w:cs="Arial"/>
          <w:sz w:val="24"/>
          <w:szCs w:val="24"/>
        </w:rPr>
        <w:fldChar w:fldCharType="separate"/>
      </w:r>
      <w:r w:rsidR="005B6A89" w:rsidRPr="00A6559F">
        <w:rPr>
          <w:rFonts w:ascii="Arial" w:hAnsi="Arial" w:cs="Arial"/>
          <w:noProof/>
          <w:sz w:val="24"/>
          <w:szCs w:val="24"/>
        </w:rPr>
        <w:t>(Armstrong, 2014; Chanana and Sangeeta, 2021)</w:t>
      </w:r>
      <w:r w:rsidR="005B6A89" w:rsidRPr="00A6559F">
        <w:rPr>
          <w:rFonts w:ascii="Arial" w:hAnsi="Arial" w:cs="Arial"/>
          <w:sz w:val="24"/>
          <w:szCs w:val="24"/>
        </w:rPr>
        <w:fldChar w:fldCharType="end"/>
      </w:r>
      <w:r w:rsidRPr="00A6559F">
        <w:rPr>
          <w:rFonts w:ascii="Arial" w:hAnsi="Arial" w:cs="Arial"/>
          <w:sz w:val="24"/>
          <w:szCs w:val="24"/>
        </w:rPr>
        <w:t>.</w:t>
      </w:r>
    </w:p>
    <w:p w14:paraId="3AD22FE5" w14:textId="7053864B" w:rsidR="00840C98" w:rsidRPr="00A6559F" w:rsidRDefault="00840C98" w:rsidP="005072FA">
      <w:pPr>
        <w:pStyle w:val="ListParagraph"/>
        <w:numPr>
          <w:ilvl w:val="0"/>
          <w:numId w:val="8"/>
        </w:numPr>
        <w:spacing w:line="360" w:lineRule="auto"/>
        <w:jc w:val="both"/>
        <w:rPr>
          <w:rFonts w:ascii="Arial" w:hAnsi="Arial" w:cs="Arial"/>
          <w:sz w:val="24"/>
          <w:szCs w:val="24"/>
        </w:rPr>
      </w:pPr>
      <w:r w:rsidRPr="00A6559F">
        <w:rPr>
          <w:rFonts w:ascii="Arial" w:hAnsi="Arial" w:cs="Arial"/>
          <w:sz w:val="24"/>
          <w:szCs w:val="24"/>
        </w:rPr>
        <w:t>Enabling environment</w:t>
      </w:r>
      <w:r w:rsidR="001F74B7" w:rsidRPr="00A6559F">
        <w:rPr>
          <w:rFonts w:ascii="Arial" w:hAnsi="Arial" w:cs="Arial"/>
          <w:sz w:val="24"/>
          <w:szCs w:val="24"/>
        </w:rPr>
        <w:t xml:space="preserve"> (leadership, empowered employees, engaged line managers)</w:t>
      </w:r>
      <w:r w:rsidRPr="00A6559F">
        <w:rPr>
          <w:rFonts w:ascii="Arial" w:hAnsi="Arial" w:cs="Arial"/>
          <w:sz w:val="24"/>
          <w:szCs w:val="24"/>
        </w:rPr>
        <w:t>: an enabling environment and supportive work culture are provided by the organization through for example supportive tools and equipment needed or performing job roles and tasks optimally and continuous trainings for skill upgrading. This allows employees to perform better, and improve job satisfaction levels – thereby improving employee engagement as well</w:t>
      </w:r>
      <w:r w:rsidR="005B6A89" w:rsidRPr="00A6559F">
        <w:rPr>
          <w:rFonts w:ascii="Arial" w:hAnsi="Arial" w:cs="Arial"/>
          <w:sz w:val="24"/>
          <w:szCs w:val="24"/>
        </w:rPr>
        <w:t xml:space="preserve"> </w:t>
      </w:r>
      <w:r w:rsidR="005B6A89" w:rsidRPr="00A6559F">
        <w:rPr>
          <w:rFonts w:ascii="Arial" w:hAnsi="Arial" w:cs="Arial"/>
          <w:sz w:val="24"/>
          <w:szCs w:val="24"/>
        </w:rPr>
        <w:fldChar w:fldCharType="begin" w:fldLock="1"/>
      </w:r>
      <w:r w:rsidR="005B6A89" w:rsidRPr="00A6559F">
        <w:rPr>
          <w:rFonts w:ascii="Arial" w:hAnsi="Arial" w:cs="Arial"/>
          <w:sz w:val="24"/>
          <w:szCs w:val="24"/>
        </w:rPr>
        <w:instrText>ADDIN CSL_CITATION {"citationItems":[{"id":"ITEM-1","itemData":{"DOI":"10.5267/j.msl.2019.10.003","ISSN":"19239343","abstract":"Employee engagement is one of the most important issues in human resource management in order to ameliorate the turnover intention in organizations. Employers often face different challenges of finding ways to increase the interaction with their employees in order to have good labor force. This paper investigates the effects of different factors on employment engagement in Vietnam industries. The results indicate that work-life balance and work stress positively impact on employee engagement. However, our results do not confirm that working condition could positively impact on employee engagement nor did we find any evidence to believe that relationship with supervisor could positively impact on employee engagement. In terms of mediation effect, work-life balance, in this survey, mediates the relationship between working condition and employee engagement. Also, work-life balance mediates the relationship between the relationship with supervisor and employee engagement. Moreover, work stress mediates the relationship between working condition and employee engagement. Finally, work stress mediates the relationship between relationship with supervisor and employee engagement.","author":[{"dropping-particle":"","family":"Dinh","given":"Luan Nguyen","non-dropping-particle":"","parse-names":false,"suffix":""}],"container-title":"Management Science Letters","id":"ITEM-1","issue":"4","issued":{"date-parts":[["2020"]]},"title":"Determinants of employee engagement mediated by work-life balance and work stress","type":"article-journal","volume":"10"},"uris":["http://www.mendeley.com/documents/?uuid=4e24bd6a-1aaf-3829-8de3-b6fe88b0da3d"]}],"mendeley":{"formattedCitation":"(Dinh, 2020)","plainTextFormattedCitation":"(Dinh, 2020)","previouslyFormattedCitation":"(Dinh, 2020)"},"properties":{"noteIndex":0},"schema":"https://github.com/citation-style-language/schema/raw/master/csl-citation.json"}</w:instrText>
      </w:r>
      <w:r w:rsidR="005B6A89" w:rsidRPr="00A6559F">
        <w:rPr>
          <w:rFonts w:ascii="Arial" w:hAnsi="Arial" w:cs="Arial"/>
          <w:sz w:val="24"/>
          <w:szCs w:val="24"/>
        </w:rPr>
        <w:fldChar w:fldCharType="separate"/>
      </w:r>
      <w:r w:rsidR="005B6A89" w:rsidRPr="00A6559F">
        <w:rPr>
          <w:rFonts w:ascii="Arial" w:hAnsi="Arial" w:cs="Arial"/>
          <w:noProof/>
          <w:sz w:val="24"/>
          <w:szCs w:val="24"/>
        </w:rPr>
        <w:t>(Dinh, 2020)</w:t>
      </w:r>
      <w:r w:rsidR="005B6A89" w:rsidRPr="00A6559F">
        <w:rPr>
          <w:rFonts w:ascii="Arial" w:hAnsi="Arial" w:cs="Arial"/>
          <w:sz w:val="24"/>
          <w:szCs w:val="24"/>
        </w:rPr>
        <w:fldChar w:fldCharType="end"/>
      </w:r>
      <w:r w:rsidRPr="00A6559F">
        <w:rPr>
          <w:rFonts w:ascii="Arial" w:hAnsi="Arial" w:cs="Arial"/>
          <w:sz w:val="24"/>
          <w:szCs w:val="24"/>
        </w:rPr>
        <w:t xml:space="preserve">. </w:t>
      </w:r>
    </w:p>
    <w:p w14:paraId="2C84387D" w14:textId="38EECF00" w:rsidR="00840C98" w:rsidRPr="00A6559F" w:rsidRDefault="00840C98" w:rsidP="005072FA">
      <w:pPr>
        <w:pStyle w:val="ListParagraph"/>
        <w:numPr>
          <w:ilvl w:val="0"/>
          <w:numId w:val="8"/>
        </w:numPr>
        <w:spacing w:line="360" w:lineRule="auto"/>
        <w:jc w:val="both"/>
        <w:rPr>
          <w:rFonts w:ascii="Arial" w:hAnsi="Arial" w:cs="Arial"/>
          <w:sz w:val="24"/>
          <w:szCs w:val="24"/>
        </w:rPr>
      </w:pPr>
      <w:r w:rsidRPr="00A6559F">
        <w:rPr>
          <w:rFonts w:ascii="Arial" w:hAnsi="Arial" w:cs="Arial"/>
          <w:sz w:val="24"/>
          <w:szCs w:val="24"/>
        </w:rPr>
        <w:t>Career development and growth opportunities</w:t>
      </w:r>
      <w:r w:rsidR="00291F07" w:rsidRPr="00A6559F">
        <w:rPr>
          <w:rFonts w:ascii="Arial" w:hAnsi="Arial" w:cs="Arial"/>
          <w:sz w:val="24"/>
          <w:szCs w:val="24"/>
        </w:rPr>
        <w:t xml:space="preserve"> (leadership, empowered employees, and integrity)</w:t>
      </w:r>
      <w:r w:rsidRPr="00A6559F">
        <w:rPr>
          <w:rFonts w:ascii="Arial" w:hAnsi="Arial" w:cs="Arial"/>
          <w:sz w:val="24"/>
          <w:szCs w:val="24"/>
        </w:rPr>
        <w:t>: these are important drivers of employee engagement as they directly impact levels of organizational commitment and citizenship behaviours. As organizations invest in employees, and work to develop them beyond their current job roles, employees feel increased organizational commitment and ownership. Opportunities for progression and growth also lead to lower turnover – which is indicative of higher engagement. However, Growth opportunities and development within an organization are largely dependent on the holistic and transparent performance management system employed</w:t>
      </w:r>
      <w:r w:rsidR="0079580C" w:rsidRPr="00A6559F">
        <w:rPr>
          <w:rFonts w:ascii="Arial" w:hAnsi="Arial" w:cs="Arial"/>
          <w:sz w:val="24"/>
          <w:szCs w:val="24"/>
        </w:rPr>
        <w:t xml:space="preserve"> </w:t>
      </w:r>
      <w:r w:rsidR="0079580C" w:rsidRPr="00A6559F">
        <w:rPr>
          <w:rFonts w:ascii="Arial" w:hAnsi="Arial" w:cs="Arial"/>
          <w:sz w:val="24"/>
          <w:szCs w:val="24"/>
        </w:rPr>
        <w:fldChar w:fldCharType="begin" w:fldLock="1"/>
      </w:r>
      <w:r w:rsidR="005B6A89" w:rsidRPr="00A6559F">
        <w:rPr>
          <w:rFonts w:ascii="Arial" w:hAnsi="Arial" w:cs="Arial"/>
          <w:sz w:val="24"/>
          <w:szCs w:val="24"/>
        </w:rPr>
        <w:instrText>ADDIN CSL_CITATION {"citationItems":[{"id":"ITEM-1","itemData":{"ISSN":"0309-1325","abstract":"The practice of public human resource management has evolved significantly in recent years due toincreased outsourcing, privatization, and the diminution of public employee rights. This thoroughly revised and updated edition of the classic reference Handbook of Human Resource Management in Government offers authoritative, state-of-the-art information for public administrators and human resource professionals. The third edition features contributions from noted experts in the field, including Donald E. Klingner, Mary E. Guy, Jonathan P. West, Jeffrey L. Brudney, Montgomery Van Wart, J. J. Steven Ott, Norma M. Riccucci, and many more.","author":[{"dropping-particle":"","family":"Armstrong","given":"S","non-dropping-particle":"","parse-names":false,"suffix":""}],"container-title":"John Wiley &amp; Sons","id":"ITEM-1","issued":{"date-parts":[["2014"]]},"title":"Handbook of human resource management in government","type":"book"},"uris":["http://www.mendeley.com/documents/?uuid=3759072f-9b2e-38ce-89cc-c362416bc279"]}],"mendeley":{"formattedCitation":"(Armstrong, 2014)","plainTextFormattedCitation":"(Armstrong, 2014)","previouslyFormattedCitation":"(Armstrong, 2014)"},"properties":{"noteIndex":0},"schema":"https://github.com/citation-style-language/schema/raw/master/csl-citation.json"}</w:instrText>
      </w:r>
      <w:r w:rsidR="0079580C" w:rsidRPr="00A6559F">
        <w:rPr>
          <w:rFonts w:ascii="Arial" w:hAnsi="Arial" w:cs="Arial"/>
          <w:sz w:val="24"/>
          <w:szCs w:val="24"/>
        </w:rPr>
        <w:fldChar w:fldCharType="separate"/>
      </w:r>
      <w:r w:rsidR="0079580C" w:rsidRPr="00A6559F">
        <w:rPr>
          <w:rFonts w:ascii="Arial" w:hAnsi="Arial" w:cs="Arial"/>
          <w:noProof/>
          <w:sz w:val="24"/>
          <w:szCs w:val="24"/>
        </w:rPr>
        <w:t>(Armstrong, 2014)</w:t>
      </w:r>
      <w:r w:rsidR="0079580C" w:rsidRPr="00A6559F">
        <w:rPr>
          <w:rFonts w:ascii="Arial" w:hAnsi="Arial" w:cs="Arial"/>
          <w:sz w:val="24"/>
          <w:szCs w:val="24"/>
        </w:rPr>
        <w:fldChar w:fldCharType="end"/>
      </w:r>
      <w:r w:rsidRPr="00A6559F">
        <w:rPr>
          <w:rFonts w:ascii="Arial" w:hAnsi="Arial" w:cs="Arial"/>
          <w:sz w:val="24"/>
          <w:szCs w:val="24"/>
        </w:rPr>
        <w:t>.</w:t>
      </w:r>
    </w:p>
    <w:p w14:paraId="698DCDE1" w14:textId="49834A78" w:rsidR="0003521B" w:rsidRPr="00A6559F" w:rsidRDefault="00DB2A37" w:rsidP="005072FA">
      <w:pPr>
        <w:pStyle w:val="Heading1"/>
        <w:spacing w:line="360" w:lineRule="auto"/>
        <w:jc w:val="both"/>
        <w:rPr>
          <w:rFonts w:ascii="Arial" w:hAnsi="Arial" w:cs="Arial"/>
          <w:sz w:val="24"/>
          <w:szCs w:val="24"/>
          <w:shd w:val="clear" w:color="auto" w:fill="FFFFFF"/>
        </w:rPr>
      </w:pPr>
      <w:bookmarkStart w:id="2" w:name="_Toc91934426"/>
      <w:r w:rsidRPr="00A6559F">
        <w:rPr>
          <w:rFonts w:ascii="Arial" w:hAnsi="Arial" w:cs="Arial"/>
          <w:sz w:val="24"/>
          <w:szCs w:val="24"/>
          <w:shd w:val="clear" w:color="auto" w:fill="FFFFFF"/>
        </w:rPr>
        <w:t xml:space="preserve">Diagnostic tools to measure </w:t>
      </w:r>
      <w:r w:rsidR="005072FA" w:rsidRPr="00A6559F">
        <w:rPr>
          <w:rFonts w:ascii="Arial" w:hAnsi="Arial" w:cs="Arial"/>
          <w:sz w:val="24"/>
          <w:szCs w:val="24"/>
          <w:shd w:val="clear" w:color="auto" w:fill="FFFFFF"/>
        </w:rPr>
        <w:t xml:space="preserve">the </w:t>
      </w:r>
      <w:r w:rsidRPr="00A6559F">
        <w:rPr>
          <w:rFonts w:ascii="Arial" w:hAnsi="Arial" w:cs="Arial"/>
          <w:sz w:val="24"/>
          <w:szCs w:val="24"/>
          <w:shd w:val="clear" w:color="auto" w:fill="FFFFFF"/>
        </w:rPr>
        <w:t>engagement</w:t>
      </w:r>
      <w:bookmarkEnd w:id="2"/>
    </w:p>
    <w:p w14:paraId="1F71C03E" w14:textId="4CCCBCD4" w:rsidR="003D5C11" w:rsidRPr="00A6559F" w:rsidRDefault="009706AD" w:rsidP="005072FA">
      <w:pPr>
        <w:pStyle w:val="NormalWeb"/>
        <w:shd w:val="clear" w:color="auto" w:fill="FFFFFF"/>
        <w:spacing w:line="360" w:lineRule="auto"/>
        <w:jc w:val="both"/>
        <w:rPr>
          <w:rStyle w:val="Strong"/>
          <w:rFonts w:ascii="Arial" w:hAnsi="Arial" w:cs="Arial"/>
          <w:b w:val="0"/>
          <w:color w:val="1A1A1A"/>
          <w:lang w:val="en-GB"/>
        </w:rPr>
      </w:pPr>
      <w:r w:rsidRPr="00A6559F">
        <w:rPr>
          <w:rStyle w:val="Strong"/>
          <w:rFonts w:ascii="Arial" w:hAnsi="Arial" w:cs="Arial"/>
          <w:b w:val="0"/>
          <w:color w:val="1A1A1A"/>
          <w:lang w:val="en-GB"/>
        </w:rPr>
        <w:t xml:space="preserve">Employee engagement can be measured using </w:t>
      </w:r>
      <w:proofErr w:type="gramStart"/>
      <w:r w:rsidRPr="00A6559F">
        <w:rPr>
          <w:rStyle w:val="Strong"/>
          <w:rFonts w:ascii="Arial" w:hAnsi="Arial" w:cs="Arial"/>
          <w:b w:val="0"/>
          <w:color w:val="1A1A1A"/>
          <w:lang w:val="en-GB"/>
        </w:rPr>
        <w:t>a number of</w:t>
      </w:r>
      <w:proofErr w:type="gramEnd"/>
      <w:r w:rsidRPr="00A6559F">
        <w:rPr>
          <w:rStyle w:val="Strong"/>
          <w:rFonts w:ascii="Arial" w:hAnsi="Arial" w:cs="Arial"/>
          <w:b w:val="0"/>
          <w:color w:val="1A1A1A"/>
          <w:lang w:val="en-GB"/>
        </w:rPr>
        <w:t xml:space="preserve"> different diagnostic tools. Organizations can fore mostly conduct frequent focus groups with small, randomly selected employee groups to understand in-death their attitudes towards </w:t>
      </w:r>
      <w:r w:rsidRPr="00A6559F">
        <w:rPr>
          <w:rStyle w:val="Strong"/>
          <w:rFonts w:ascii="Arial" w:hAnsi="Arial" w:cs="Arial"/>
          <w:b w:val="0"/>
          <w:color w:val="1A1A1A"/>
          <w:lang w:val="en-GB"/>
        </w:rPr>
        <w:lastRenderedPageBreak/>
        <w:t xml:space="preserve">their job roles and the organization. The focus groups can lead to powerful, and impactful discussions where employees feel empowered, and suggest ways to support and facilitate the leadership and management to improve their engagement tactics. While focus groups would require invested time, and would generate results from </w:t>
      </w:r>
      <w:r w:rsidR="005072FA" w:rsidRPr="00A6559F">
        <w:rPr>
          <w:rStyle w:val="Strong"/>
          <w:rFonts w:ascii="Arial" w:hAnsi="Arial" w:cs="Arial"/>
          <w:b w:val="0"/>
          <w:color w:val="1A1A1A"/>
          <w:lang w:val="en-GB"/>
        </w:rPr>
        <w:t xml:space="preserve">a </w:t>
      </w:r>
      <w:r w:rsidRPr="00A6559F">
        <w:rPr>
          <w:rStyle w:val="Strong"/>
          <w:rFonts w:ascii="Arial" w:hAnsi="Arial" w:cs="Arial"/>
          <w:b w:val="0"/>
          <w:color w:val="1A1A1A"/>
          <w:lang w:val="en-GB"/>
        </w:rPr>
        <w:t>small group at a time only</w:t>
      </w:r>
      <w:r w:rsidR="003D5C11" w:rsidRPr="00A6559F">
        <w:rPr>
          <w:rStyle w:val="Strong"/>
          <w:rFonts w:ascii="Arial" w:hAnsi="Arial" w:cs="Arial"/>
          <w:b w:val="0"/>
          <w:color w:val="1A1A1A"/>
          <w:lang w:val="en-GB"/>
        </w:rPr>
        <w:t xml:space="preserve"> </w:t>
      </w:r>
      <w:r w:rsidR="003D5C11" w:rsidRPr="00A6559F">
        <w:rPr>
          <w:rStyle w:val="Strong"/>
          <w:rFonts w:ascii="Arial" w:hAnsi="Arial" w:cs="Arial"/>
          <w:b w:val="0"/>
          <w:color w:val="1A1A1A"/>
          <w:lang w:val="en-GB"/>
        </w:rPr>
        <w:fldChar w:fldCharType="begin" w:fldLock="1"/>
      </w:r>
      <w:r w:rsidR="003D5C11" w:rsidRPr="00A6559F">
        <w:rPr>
          <w:rStyle w:val="Strong"/>
          <w:rFonts w:ascii="Arial" w:hAnsi="Arial" w:cs="Arial"/>
          <w:b w:val="0"/>
          <w:color w:val="1A1A1A"/>
          <w:lang w:val="en-GB"/>
        </w:rPr>
        <w:instrText>ADDIN CSL_CITATION {"citationItems":[{"id":"ITEM-1","itemData":{"DOI":"10.1037/apl0000124","ISSN":"00219010","abstract":"Among scholarly researchers, the Utrecht Work Engagement Scale (UWES) is a popular scale for assessing employee or work engagement. However, challenges to the scale's validity have raised major concerns about the measurement and conceptualization of engagement as a construct. Across 4 field samples, we examined 2 measures of engagement, the UWES and the Job Engagement Scale (JES), in both factor structure and patterns of relationships with theoretically hypothesized antecedents and consequences. In a fifth field sample, we examined the construct-level relationships between engagement and related variables, while controlling for sources of measurement error (i.e., item-specific factor, scale-specific factor, random response, and transient). By examining 2 measures, each derived from different theoretical bases, we provide unique insight into the measurement and construct of engagement. Our results show that, although correlated, the JES and UWES are not interchangeable. The UWES, more so than the JES, assesses engagement with overlap from other job attitudes, requiring improvement in the measurement of engagement. We offer guidance as to when to use each measure. Furthermore, by isolating the construct versus measurement of engagement relative to burnout, commitment, stress, and psychological meaningfulness and availability, we determined (a) the engagement construct is not the same as the opposite of burnout, warranting a reevaluation of the opposite-of-burnout conceptualization of engagement; and (b) psychological meaningfulness and engagement are highly correlated and likely reciprocally related, necessitating a modification to the self-role-expression conceptualization of engagement.","author":[{"dropping-particle":"","family":"Byrne","given":"Zinta S.","non-dropping-particle":"","parse-names":false,"suffix":""},{"dropping-particle":"","family":"Peters","given":"Janet M.","non-dropping-particle":"","parse-names":false,"suffix":""},{"dropping-particle":"","family":"Weston","given":"James W.","non-dropping-particle":"","parse-names":false,"suffix":""}],"container-title":"Journal of Applied Psychology","id":"ITEM-1","issue":"9","issued":{"date-parts":[["2016"]]},"title":"The struggle with employee engagement: Measures and construct clarification using five samples","type":"article-journal","volume":"101"},"uris":["http://www.mendeley.com/documents/?uuid=45eae4ec-8f4f-3d18-b54e-324085fd08f5"]}],"mendeley":{"formattedCitation":"(Byrne, Peters and Weston, 2016)","plainTextFormattedCitation":"(Byrne, Peters and Weston, 2016)","previouslyFormattedCitation":"(Byrne, Peters and Weston, 2016)"},"properties":{"noteIndex":0},"schema":"https://github.com/citation-style-language/schema/raw/master/csl-citation.json"}</w:instrText>
      </w:r>
      <w:r w:rsidR="003D5C11" w:rsidRPr="00A6559F">
        <w:rPr>
          <w:rStyle w:val="Strong"/>
          <w:rFonts w:ascii="Arial" w:hAnsi="Arial" w:cs="Arial"/>
          <w:b w:val="0"/>
          <w:color w:val="1A1A1A"/>
          <w:lang w:val="en-GB"/>
        </w:rPr>
        <w:fldChar w:fldCharType="separate"/>
      </w:r>
      <w:r w:rsidR="003D5C11" w:rsidRPr="00A6559F">
        <w:rPr>
          <w:rStyle w:val="Strong"/>
          <w:rFonts w:ascii="Arial" w:hAnsi="Arial" w:cs="Arial"/>
          <w:b w:val="0"/>
          <w:noProof/>
          <w:color w:val="1A1A1A"/>
          <w:lang w:val="en-GB"/>
        </w:rPr>
        <w:t>(Byrne, Peters and Weston, 2016)</w:t>
      </w:r>
      <w:r w:rsidR="003D5C11" w:rsidRPr="00A6559F">
        <w:rPr>
          <w:rStyle w:val="Strong"/>
          <w:rFonts w:ascii="Arial" w:hAnsi="Arial" w:cs="Arial"/>
          <w:b w:val="0"/>
          <w:color w:val="1A1A1A"/>
          <w:lang w:val="en-GB"/>
        </w:rPr>
        <w:fldChar w:fldCharType="end"/>
      </w:r>
      <w:r w:rsidRPr="00A6559F">
        <w:rPr>
          <w:rStyle w:val="Strong"/>
          <w:rFonts w:ascii="Arial" w:hAnsi="Arial" w:cs="Arial"/>
          <w:b w:val="0"/>
          <w:color w:val="1A1A1A"/>
          <w:lang w:val="en-GB"/>
        </w:rPr>
        <w:t xml:space="preserve">. </w:t>
      </w:r>
    </w:p>
    <w:p w14:paraId="64CACA47" w14:textId="509C4E27" w:rsidR="009706AD" w:rsidRPr="00A6559F" w:rsidRDefault="009706AD" w:rsidP="005072FA">
      <w:pPr>
        <w:pStyle w:val="NormalWeb"/>
        <w:shd w:val="clear" w:color="auto" w:fill="FFFFFF"/>
        <w:spacing w:line="360" w:lineRule="auto"/>
        <w:jc w:val="both"/>
        <w:rPr>
          <w:rStyle w:val="Strong"/>
          <w:rFonts w:ascii="Arial" w:hAnsi="Arial" w:cs="Arial"/>
          <w:b w:val="0"/>
          <w:color w:val="1A1A1A"/>
          <w:lang w:val="en-GB"/>
        </w:rPr>
      </w:pPr>
      <w:r w:rsidRPr="00A6559F">
        <w:rPr>
          <w:rStyle w:val="Strong"/>
          <w:rFonts w:ascii="Arial" w:hAnsi="Arial" w:cs="Arial"/>
          <w:b w:val="0"/>
          <w:color w:val="1A1A1A"/>
          <w:lang w:val="en-GB"/>
        </w:rPr>
        <w:t xml:space="preserve">Organizations can also opt for quarterly electronic surveys. The surveys usually consist of questions along a like scale, or yes/no questions and are targeted </w:t>
      </w:r>
      <w:r w:rsidR="005072FA" w:rsidRPr="00A6559F">
        <w:rPr>
          <w:rStyle w:val="Strong"/>
          <w:rFonts w:ascii="Arial" w:hAnsi="Arial" w:cs="Arial"/>
          <w:b w:val="0"/>
          <w:color w:val="1A1A1A"/>
          <w:lang w:val="en-GB"/>
        </w:rPr>
        <w:t xml:space="preserve">to </w:t>
      </w:r>
      <w:r w:rsidRPr="00A6559F">
        <w:rPr>
          <w:rStyle w:val="Strong"/>
          <w:rFonts w:ascii="Arial" w:hAnsi="Arial" w:cs="Arial"/>
          <w:b w:val="0"/>
          <w:color w:val="1A1A1A"/>
          <w:lang w:val="en-GB"/>
        </w:rPr>
        <w:t xml:space="preserve">collect more holistic responses from </w:t>
      </w:r>
      <w:r w:rsidR="005072FA" w:rsidRPr="00A6559F">
        <w:rPr>
          <w:rStyle w:val="Strong"/>
          <w:rFonts w:ascii="Arial" w:hAnsi="Arial" w:cs="Arial"/>
          <w:b w:val="0"/>
          <w:color w:val="1A1A1A"/>
          <w:lang w:val="en-GB"/>
        </w:rPr>
        <w:t xml:space="preserve">a </w:t>
      </w:r>
      <w:r w:rsidRPr="00A6559F">
        <w:rPr>
          <w:rStyle w:val="Strong"/>
          <w:rFonts w:ascii="Arial" w:hAnsi="Arial" w:cs="Arial"/>
          <w:b w:val="0"/>
          <w:color w:val="1A1A1A"/>
          <w:lang w:val="en-GB"/>
        </w:rPr>
        <w:t>broader group of employees. The surveys can comprise of measures, for example, from the:</w:t>
      </w:r>
    </w:p>
    <w:p w14:paraId="52BEF0B7" w14:textId="77777777" w:rsidR="009706AD" w:rsidRPr="00A6559F" w:rsidRDefault="009706AD" w:rsidP="005072FA">
      <w:pPr>
        <w:pStyle w:val="NormalWeb"/>
        <w:numPr>
          <w:ilvl w:val="0"/>
          <w:numId w:val="9"/>
        </w:numPr>
        <w:shd w:val="clear" w:color="auto" w:fill="FFFFFF"/>
        <w:spacing w:line="360" w:lineRule="auto"/>
        <w:jc w:val="both"/>
        <w:rPr>
          <w:rFonts w:ascii="Arial" w:hAnsi="Arial" w:cs="Arial"/>
          <w:color w:val="1A1A1A"/>
          <w:lang w:val="en-GB"/>
        </w:rPr>
      </w:pPr>
      <w:r w:rsidRPr="00A6559F">
        <w:rPr>
          <w:rFonts w:ascii="Arial" w:hAnsi="Arial" w:cs="Arial"/>
          <w:lang w:val="en-GB"/>
        </w:rPr>
        <w:t xml:space="preserve">The Utrecht Work Engagement Scale (UWES) </w:t>
      </w:r>
    </w:p>
    <w:p w14:paraId="02257E0B" w14:textId="77777777" w:rsidR="009706AD" w:rsidRPr="00A6559F" w:rsidRDefault="009706AD" w:rsidP="005072FA">
      <w:pPr>
        <w:pStyle w:val="NormalWeb"/>
        <w:numPr>
          <w:ilvl w:val="0"/>
          <w:numId w:val="9"/>
        </w:numPr>
        <w:shd w:val="clear" w:color="auto" w:fill="FFFFFF"/>
        <w:spacing w:line="360" w:lineRule="auto"/>
        <w:jc w:val="both"/>
        <w:rPr>
          <w:rFonts w:ascii="Arial" w:hAnsi="Arial" w:cs="Arial"/>
          <w:color w:val="1A1A1A"/>
          <w:lang w:val="en-GB"/>
        </w:rPr>
      </w:pPr>
      <w:r w:rsidRPr="00A6559F">
        <w:rPr>
          <w:rFonts w:ascii="Arial" w:hAnsi="Arial" w:cs="Arial"/>
          <w:lang w:val="en-GB"/>
        </w:rPr>
        <w:t xml:space="preserve">the Intellectual, Social, Affective (ISA) scale, which makes use Kahn’s model, and adapts it to introduce relational dimension in place </w:t>
      </w:r>
      <w:proofErr w:type="spellStart"/>
      <w:r w:rsidRPr="00A6559F">
        <w:rPr>
          <w:rFonts w:ascii="Arial" w:hAnsi="Arial" w:cs="Arial"/>
          <w:lang w:val="en-GB"/>
        </w:rPr>
        <w:t>f</w:t>
      </w:r>
      <w:proofErr w:type="spellEnd"/>
      <w:r w:rsidRPr="00A6559F">
        <w:rPr>
          <w:rFonts w:ascii="Arial" w:hAnsi="Arial" w:cs="Arial"/>
          <w:lang w:val="en-GB"/>
        </w:rPr>
        <w:t xml:space="preserve"> physical engagement</w:t>
      </w:r>
    </w:p>
    <w:p w14:paraId="73610C23" w14:textId="587856F0" w:rsidR="009706AD" w:rsidRPr="00A6559F" w:rsidRDefault="009706AD" w:rsidP="005072FA">
      <w:pPr>
        <w:pStyle w:val="NormalWeb"/>
        <w:numPr>
          <w:ilvl w:val="0"/>
          <w:numId w:val="9"/>
        </w:numPr>
        <w:shd w:val="clear" w:color="auto" w:fill="FFFFFF"/>
        <w:spacing w:line="360" w:lineRule="auto"/>
        <w:jc w:val="both"/>
        <w:rPr>
          <w:rFonts w:ascii="Arial" w:hAnsi="Arial" w:cs="Arial"/>
          <w:color w:val="1A1A1A"/>
          <w:lang w:val="en-GB"/>
        </w:rPr>
      </w:pPr>
      <w:r w:rsidRPr="00A6559F">
        <w:rPr>
          <w:rFonts w:ascii="Arial" w:hAnsi="Arial" w:cs="Arial"/>
          <w:lang w:val="en-GB"/>
        </w:rPr>
        <w:t>measures that use, and build on Kahn’s model to allow identification of differences in job engagement, and organizational engagement that employees may feel</w:t>
      </w:r>
      <w:r w:rsidR="003D5C11" w:rsidRPr="00A6559F">
        <w:rPr>
          <w:rFonts w:ascii="Arial" w:hAnsi="Arial" w:cs="Arial"/>
          <w:lang w:val="en-GB"/>
        </w:rPr>
        <w:t xml:space="preserve"> </w:t>
      </w:r>
      <w:r w:rsidR="003D5C11" w:rsidRPr="00A6559F">
        <w:rPr>
          <w:rFonts w:ascii="Arial" w:hAnsi="Arial" w:cs="Arial"/>
          <w:lang w:val="en-GB"/>
        </w:rPr>
        <w:fldChar w:fldCharType="begin" w:fldLock="1"/>
      </w:r>
      <w:r w:rsidR="003D5C11" w:rsidRPr="00A6559F">
        <w:rPr>
          <w:rFonts w:ascii="Arial" w:hAnsi="Arial" w:cs="Arial"/>
          <w:lang w:val="en-GB"/>
        </w:rPr>
        <w:instrText>ADDIN CSL_CITATION {"citationItems":[{"id":"ITEM-1","itemData":{"abstract":"The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1 1 Employee engagement: definitions, measures and outcomes Discussion report Employee engagement: definitions, measures and outcomes Acknowledgements This report was written by Jonny Gifford and Jake Young of the CIPD. It draws on three rapid evidence assessments on employee engagement, organisational commitment and organisational identification, and a thematic review of work motivation. The reviews were conducted of the Center for Evidence-Based Management (CEBMa). Scientific summaries of the evidence reviews are available at cipd.co.uk/evidence-engagement We would like to thank a number of people for their valuable guidance and feedback on this","author":[{"dropping-particle":"","family":"Gifford","given":"Jonny","non-dropping-particle":"","parse-names":false,"suffix":""},{"dropping-particle":"","family":"Young","given":"Jake","non-dropping-particle":"","parse-names":false,"suffix":""},{"dropping-particle":"","family":"Baczor Of The Cipd","given":"Louisa","non-dropping-particle":"","parse-names":false,"suffix":""},{"dropping-particle":"","family":"Barends","given":"Eric","non-dropping-particle":"","parse-names":false,"suffix":""},{"dropping-particle":"","family":"Cioca","given":"Iulia","non-dropping-particle":"","parse-names":false,"suffix":""},{"dropping-particle":"","family":"Rousseau","given":"Denise","non-dropping-particle":"","parse-names":false,"suffix":""},{"dropping-particle":"","family":"Wietrak","given":"Emilia","non-dropping-particle":"","parse-names":false,"suffix":""}],"container-title":"CIPD","id":"ITEM-1","issued":{"date-parts":[["2021"]]},"title":"Employee engagement: definitions, measures and outcomes","type":"article-journal"},"uris":["http://www.mendeley.com/documents/?uuid=e7ef7de8-d0f7-3a94-b6c7-424c44463346"]}],"mendeley":{"formattedCitation":"(Gifford &lt;i&gt;et al.&lt;/i&gt;, 2021)","plainTextFormattedCitation":"(Gifford et al., 2021)","previouslyFormattedCitation":"(Gifford &lt;i&gt;et al.&lt;/i&gt;, 2021)"},"properties":{"noteIndex":0},"schema":"https://github.com/citation-style-language/schema/raw/master/csl-citation.json"}</w:instrText>
      </w:r>
      <w:r w:rsidR="003D5C11" w:rsidRPr="00A6559F">
        <w:rPr>
          <w:rFonts w:ascii="Arial" w:hAnsi="Arial" w:cs="Arial"/>
          <w:lang w:val="en-GB"/>
        </w:rPr>
        <w:fldChar w:fldCharType="separate"/>
      </w:r>
      <w:r w:rsidR="003D5C11" w:rsidRPr="00A6559F">
        <w:rPr>
          <w:rFonts w:ascii="Arial" w:hAnsi="Arial" w:cs="Arial"/>
          <w:noProof/>
          <w:lang w:val="en-GB"/>
        </w:rPr>
        <w:t xml:space="preserve">(Gifford </w:t>
      </w:r>
      <w:r w:rsidR="003D5C11" w:rsidRPr="00A6559F">
        <w:rPr>
          <w:rFonts w:ascii="Arial" w:hAnsi="Arial" w:cs="Arial"/>
          <w:i/>
          <w:noProof/>
          <w:lang w:val="en-GB"/>
        </w:rPr>
        <w:t>et al.</w:t>
      </w:r>
      <w:r w:rsidR="003D5C11" w:rsidRPr="00A6559F">
        <w:rPr>
          <w:rFonts w:ascii="Arial" w:hAnsi="Arial" w:cs="Arial"/>
          <w:noProof/>
          <w:lang w:val="en-GB"/>
        </w:rPr>
        <w:t>, 2021)</w:t>
      </w:r>
      <w:r w:rsidR="003D5C11" w:rsidRPr="00A6559F">
        <w:rPr>
          <w:rFonts w:ascii="Arial" w:hAnsi="Arial" w:cs="Arial"/>
          <w:lang w:val="en-GB"/>
        </w:rPr>
        <w:fldChar w:fldCharType="end"/>
      </w:r>
      <w:r w:rsidR="003D5C11" w:rsidRPr="00A6559F">
        <w:rPr>
          <w:rFonts w:ascii="Arial" w:hAnsi="Arial" w:cs="Arial"/>
          <w:lang w:val="en-GB"/>
        </w:rPr>
        <w:t>.</w:t>
      </w:r>
    </w:p>
    <w:p w14:paraId="6D1B97FF" w14:textId="176F175F" w:rsidR="009706AD" w:rsidRPr="00A6559F" w:rsidRDefault="009706AD" w:rsidP="005072FA">
      <w:pPr>
        <w:pStyle w:val="NormalWeb"/>
        <w:shd w:val="clear" w:color="auto" w:fill="FFFFFF"/>
        <w:spacing w:line="360" w:lineRule="auto"/>
        <w:jc w:val="both"/>
        <w:rPr>
          <w:rFonts w:ascii="Arial" w:hAnsi="Arial" w:cs="Arial"/>
          <w:color w:val="1A1A1A"/>
          <w:lang w:val="en-GB"/>
        </w:rPr>
      </w:pPr>
      <w:r w:rsidRPr="00A6559F">
        <w:rPr>
          <w:rFonts w:ascii="Arial" w:hAnsi="Arial" w:cs="Arial"/>
          <w:lang w:val="en-GB"/>
        </w:rPr>
        <w:t xml:space="preserve">The electronic surveys, however, will not be able to capture the depth of feelings and attitudes that employees may feel owing to </w:t>
      </w:r>
      <w:r w:rsidR="005072FA" w:rsidRPr="00A6559F">
        <w:rPr>
          <w:rFonts w:ascii="Arial" w:hAnsi="Arial" w:cs="Arial"/>
          <w:lang w:val="en-GB"/>
        </w:rPr>
        <w:t xml:space="preserve">the </w:t>
      </w:r>
      <w:r w:rsidRPr="00A6559F">
        <w:rPr>
          <w:rFonts w:ascii="Arial" w:hAnsi="Arial" w:cs="Arial"/>
          <w:lang w:val="en-GB"/>
        </w:rPr>
        <w:t>limited feedback channels present.</w:t>
      </w:r>
      <w:r w:rsidRPr="00A6559F">
        <w:rPr>
          <w:rFonts w:ascii="Arial" w:hAnsi="Arial" w:cs="Arial"/>
          <w:color w:val="1A1A1A"/>
          <w:lang w:val="en-GB"/>
        </w:rPr>
        <w:t xml:space="preserve"> In addition to quarterly electronic surveys, pulse surveys are also a good diagnostic tool for measuring employee engagement, where organizations frequently communicate with the employees, and ask simple yes/no questions. While these questions are basic immature, they help the management and leadership identify the ongoing organizational vibe, feel and culture – helping them understand the general and more prevalent employee moods and attitudes</w:t>
      </w:r>
      <w:r w:rsidR="003D5C11" w:rsidRPr="00A6559F">
        <w:rPr>
          <w:rFonts w:ascii="Arial" w:hAnsi="Arial" w:cs="Arial"/>
          <w:color w:val="1A1A1A"/>
          <w:lang w:val="en-GB"/>
        </w:rPr>
        <w:t xml:space="preserve"> </w:t>
      </w:r>
      <w:r w:rsidR="003D5C11" w:rsidRPr="00A6559F">
        <w:rPr>
          <w:rFonts w:ascii="Arial" w:hAnsi="Arial" w:cs="Arial"/>
          <w:color w:val="1A1A1A"/>
          <w:lang w:val="en-GB"/>
        </w:rPr>
        <w:fldChar w:fldCharType="begin" w:fldLock="1"/>
      </w:r>
      <w:r w:rsidR="002F7C48" w:rsidRPr="00A6559F">
        <w:rPr>
          <w:rFonts w:ascii="Arial" w:hAnsi="Arial" w:cs="Arial"/>
          <w:color w:val="1A1A1A"/>
          <w:lang w:val="en-GB"/>
        </w:rPr>
        <w:instrText>ADDIN CSL_CITATION {"citationItems":[{"id":"ITEM-1","itemData":{"abstract":"The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1 1 Employee engagement: definitions, measures and outcomes Discussion report Employee engagement: definitions, measures and outcomes Acknowledgements This report was written by Jonny Gifford and Jake Young of the CIPD. It draws on three rapid evidence assessments on employee engagement, organisational commitment and organisational identification, and a thematic review of work motivation. The reviews were conducted of the Center for Evidence-Based Management (CEBMa). Scientific summaries of the evidence reviews are available at cipd.co.uk/evidence-engagement We would like to thank a number of people for their valuable guidance and feedback on this","author":[{"dropping-particle":"","family":"Gifford","given":"Jonny","non-dropping-particle":"","parse-names":false,"suffix":""},{"dropping-particle":"","family":"Young","given":"Jake","non-dropping-particle":"","parse-names":false,"suffix":""},{"dropping-particle":"","family":"Baczor Of The Cipd","given":"Louisa","non-dropping-particle":"","parse-names":false,"suffix":""},{"dropping-particle":"","family":"Barends","given":"Eric","non-dropping-particle":"","parse-names":false,"suffix":""},{"dropping-particle":"","family":"Cioca","given":"Iulia","non-dropping-particle":"","parse-names":false,"suffix":""},{"dropping-particle":"","family":"Rousseau","given":"Denise","non-dropping-particle":"","parse-names":false,"suffix":""},{"dropping-particle":"","family":"Wietrak","given":"Emilia","non-dropping-particle":"","parse-names":false,"suffix":""}],"container-title":"CIPD","id":"ITEM-1","issued":{"date-parts":[["2021"]]},"title":"Employee engagement: definitions, measures and outcomes","type":"article-journal"},"uris":["http://www.mendeley.com/documents/?uuid=e7ef7de8-d0f7-3a94-b6c7-424c44463346"]},{"id":"ITEM-2","itemData":{"DOI":"10.1108/shr.2008.37207baf.003","ISSN":"1475-4398","abstract":"The article discusses ways to effectively measure employee engagement. Employee engagement refers to employees' advocacy of the organization and commitment to the organizational success. The key recommendations when measuring employee engagement are ensuring the commitment of the senior management team to the engagement research, asking the right questions, comparing results, providing opportunities for managers to receive direct feedback on the perceptions of their team and their own personal effectiveness and ensuring that the survey leads to real improvements.","author":[{"dropping-particle":"","family":"Pritchard","given":"Kate","non-dropping-particle":"","parse-names":false,"suffix":""}],"container-title":"Strategic HR Review","id":"ITEM-2","issue":"2","issued":{"date-parts":[["2008"]]},"title":"Effectively measure employee engagement","type":"article-journal","volume":"7"},"uris":["http://www.mendeley.com/documents/?uuid=48ebb711-5047-31e8-8122-5ad1094bb98f"]},{"id":"ITEM-3","itemData":{"ISSN":"18105467","abstract":"The objective of this article is to develop a model to measure employee engagement. In doing so, the article firstly develops a theoretical model by identifying employee engagement constructs from the literature. Secondly, identifying measuring criteria of these constructs from the literature, and thirdly, to validate the theoretical model to measure employee engagement in South Africa. The theoretical model consists of 11 employee engagement constructs, measured by a total of 94 measuring criteria. The empirical process of validation employed data collected from 260 respondents who study towards an MBA degree at two private business schools in KwaZulu-Natal. The validation process aimed to validate the variables that measure each of the constructs by determining statistically that the sample employed is adequate, use the Bartlett test to ensure the applicability of the data for multivariate statistical analysis; to validate the measuring criteria as relevant to employee engagement, and to determine the reliability of each of the employee engagement constructs in the model. All these objectives were met. This culminated in the final result, namely an adapted empirical model to measure employee engagement in SA. The model tested statistically to be a valid and reliable model. The research is of value to management in the private and public sector, academics and researchers.","author":[{"dropping-particle":"","family":"Imandin","given":"Lailah","non-dropping-particle":"","parse-names":false,"suffix":""},{"dropping-particle":"","family":"Bisschoff","given":"Christo","non-dropping-particle":"","parse-names":false,"suffix":""},{"dropping-particle":"","family":"Botha","given":"Christoff","non-dropping-particle":"","parse-names":false,"suffix":""}],"container-title":"Problems and Perspectives in Management","id":"ITEM-3","issue":"4","issued":{"date-parts":[["2014"]]},"title":"A model to measure employee engagement","type":"article-journal","volume":"12"},"uris":["http://www.mendeley.com/documents/?uuid=9e2d61dd-4f12-3814-ba9c-29585b594e86"]}],"mendeley":{"formattedCitation":"(Pritchard, 2008; Imandin, Bisschoff and Botha, 2014; Gifford &lt;i&gt;et al.&lt;/i&gt;, 2021)","plainTextFormattedCitation":"(Pritchard, 2008; Imandin, Bisschoff and Botha, 2014; Gifford et al., 2021)","previouslyFormattedCitation":"(Pritchard, 2008; Imandin, Bisschoff and Botha, 2014; Gifford &lt;i&gt;et al.&lt;/i&gt;, 2021)"},"properties":{"noteIndex":0},"schema":"https://github.com/citation-style-language/schema/raw/master/csl-citation.json"}</w:instrText>
      </w:r>
      <w:r w:rsidR="003D5C11" w:rsidRPr="00A6559F">
        <w:rPr>
          <w:rFonts w:ascii="Arial" w:hAnsi="Arial" w:cs="Arial"/>
          <w:color w:val="1A1A1A"/>
          <w:lang w:val="en-GB"/>
        </w:rPr>
        <w:fldChar w:fldCharType="separate"/>
      </w:r>
      <w:r w:rsidR="003D5C11" w:rsidRPr="00A6559F">
        <w:rPr>
          <w:rFonts w:ascii="Arial" w:hAnsi="Arial" w:cs="Arial"/>
          <w:noProof/>
          <w:color w:val="1A1A1A"/>
          <w:lang w:val="en-GB"/>
        </w:rPr>
        <w:t xml:space="preserve">(Pritchard, 2008; Imandin, Bisschoff and Botha, 2014; Gifford </w:t>
      </w:r>
      <w:r w:rsidR="003D5C11" w:rsidRPr="00A6559F">
        <w:rPr>
          <w:rFonts w:ascii="Arial" w:hAnsi="Arial" w:cs="Arial"/>
          <w:i/>
          <w:noProof/>
          <w:color w:val="1A1A1A"/>
          <w:lang w:val="en-GB"/>
        </w:rPr>
        <w:t>et al.</w:t>
      </w:r>
      <w:r w:rsidR="003D5C11" w:rsidRPr="00A6559F">
        <w:rPr>
          <w:rFonts w:ascii="Arial" w:hAnsi="Arial" w:cs="Arial"/>
          <w:noProof/>
          <w:color w:val="1A1A1A"/>
          <w:lang w:val="en-GB"/>
        </w:rPr>
        <w:t>, 2021)</w:t>
      </w:r>
      <w:r w:rsidR="003D5C11" w:rsidRPr="00A6559F">
        <w:rPr>
          <w:rFonts w:ascii="Arial" w:hAnsi="Arial" w:cs="Arial"/>
          <w:color w:val="1A1A1A"/>
          <w:lang w:val="en-GB"/>
        </w:rPr>
        <w:fldChar w:fldCharType="end"/>
      </w:r>
      <w:r w:rsidRPr="00A6559F">
        <w:rPr>
          <w:rFonts w:ascii="Arial" w:hAnsi="Arial" w:cs="Arial"/>
          <w:color w:val="1A1A1A"/>
          <w:lang w:val="en-GB"/>
        </w:rPr>
        <w:t>.</w:t>
      </w:r>
    </w:p>
    <w:p w14:paraId="56A2F72A" w14:textId="5AC159DA" w:rsidR="009706AD" w:rsidRPr="00A6559F" w:rsidRDefault="009706AD" w:rsidP="005072FA">
      <w:pPr>
        <w:pStyle w:val="NormalWeb"/>
        <w:shd w:val="clear" w:color="auto" w:fill="FFFFFF"/>
        <w:spacing w:line="360" w:lineRule="auto"/>
        <w:jc w:val="both"/>
        <w:rPr>
          <w:rFonts w:ascii="Arial" w:hAnsi="Arial" w:cs="Arial"/>
          <w:color w:val="1A1A1A"/>
          <w:lang w:val="en-GB"/>
        </w:rPr>
      </w:pPr>
      <w:r w:rsidRPr="00A6559F">
        <w:rPr>
          <w:rFonts w:ascii="Arial" w:hAnsi="Arial" w:cs="Arial"/>
          <w:color w:val="1A1A1A"/>
          <w:lang w:val="en-GB"/>
        </w:rPr>
        <w:t>Another tool for measuring employee engagement includes the use of the Employee Net Promotor Score (</w:t>
      </w:r>
      <w:proofErr w:type="spellStart"/>
      <w:r w:rsidRPr="00A6559F">
        <w:rPr>
          <w:rFonts w:ascii="Arial" w:hAnsi="Arial" w:cs="Arial"/>
          <w:color w:val="1A1A1A"/>
          <w:lang w:val="en-GB"/>
        </w:rPr>
        <w:t>eNPS</w:t>
      </w:r>
      <w:proofErr w:type="spellEnd"/>
      <w:r w:rsidRPr="00A6559F">
        <w:rPr>
          <w:rFonts w:ascii="Arial" w:hAnsi="Arial" w:cs="Arial"/>
          <w:color w:val="1A1A1A"/>
          <w:lang w:val="en-GB"/>
        </w:rPr>
        <w:t xml:space="preserve">), which is derived from the NPS measurement. The use of the </w:t>
      </w:r>
      <w:proofErr w:type="spellStart"/>
      <w:r w:rsidRPr="00A6559F">
        <w:rPr>
          <w:rFonts w:ascii="Arial" w:hAnsi="Arial" w:cs="Arial"/>
          <w:color w:val="1A1A1A"/>
          <w:lang w:val="en-GB"/>
        </w:rPr>
        <w:t>eNPS</w:t>
      </w:r>
      <w:proofErr w:type="spellEnd"/>
      <w:r w:rsidRPr="00A6559F">
        <w:rPr>
          <w:rFonts w:ascii="Arial" w:hAnsi="Arial" w:cs="Arial"/>
          <w:color w:val="1A1A1A"/>
          <w:lang w:val="en-GB"/>
        </w:rPr>
        <w:t xml:space="preserve"> would allow the management and leadership to understand the general brand image of their organization – developed through employees who work there, and introduce corrective measures as needed based on the results</w:t>
      </w:r>
      <w:r w:rsidR="003D5C11" w:rsidRPr="00A6559F">
        <w:rPr>
          <w:rFonts w:ascii="Arial" w:hAnsi="Arial" w:cs="Arial"/>
          <w:color w:val="1A1A1A"/>
          <w:lang w:val="en-GB"/>
        </w:rPr>
        <w:t xml:space="preserve"> </w:t>
      </w:r>
      <w:r w:rsidR="003D5C11" w:rsidRPr="00A6559F">
        <w:rPr>
          <w:rFonts w:ascii="Arial" w:hAnsi="Arial" w:cs="Arial"/>
          <w:color w:val="1A1A1A"/>
          <w:lang w:val="en-GB"/>
        </w:rPr>
        <w:fldChar w:fldCharType="begin" w:fldLock="1"/>
      </w:r>
      <w:r w:rsidR="003D5C11" w:rsidRPr="00A6559F">
        <w:rPr>
          <w:rFonts w:ascii="Arial" w:hAnsi="Arial" w:cs="Arial"/>
          <w:color w:val="1A1A1A"/>
          <w:lang w:val="en-GB"/>
        </w:rPr>
        <w:instrText>ADDIN CSL_CITATION {"citationItems":[{"id":"ITEM-1","itemData":{"abstract":"The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1 1 Employee engagement: definitions, measures and outcomes Discussion report Employee engagement: definitions, measures and outcomes Acknowledgements This report was written by Jonny Gifford and Jake Young of the CIPD. It draws on three rapid evidence assessments on employee engagement, organisational commitment and organisational identification, and a thematic review of work motivation. The reviews were conducted of the Center for Evidence-Based Management (CEBMa). Scientific summaries of the evidence reviews are available at cipd.co.uk/evidence-engagement We would like to thank a number of people for their valuable guidance and feedback on this","author":[{"dropping-particle":"","family":"Gifford","given":"Jonny","non-dropping-particle":"","parse-names":false,"suffix":""},{"dropping-particle":"","family":"Young","given":"Jake","non-dropping-particle":"","parse-names":false,"suffix":""},{"dropping-particle":"","family":"Baczor Of The Cipd","given":"Louisa","non-dropping-particle":"","parse-names":false,"suffix":""},{"dropping-particle":"","family":"Barends","given":"Eric","non-dropping-particle":"","parse-names":false,"suffix":""},{"dropping-particle":"","family":"Cioca","given":"Iulia","non-dropping-particle":"","parse-names":false,"suffix":""},{"dropping-particle":"","family":"Rousseau","given":"Denise","non-dropping-particle":"","parse-names":false,"suffix":""},{"dropping-particle":"","family":"Wietrak","given":"Emilia","non-dropping-particle":"","parse-names":false,"suffix":""}],"container-title":"CIPD","id":"ITEM-1","issued":{"date-parts":[["2021"]]},"title":"Employee engagement: definitions, measures and outcomes","type":"article-journal"},"uris":["http://www.mendeley.com/documents/?uuid=e7ef7de8-d0f7-3a94-b6c7-424c44463346"]}],"mendeley":{"formattedCitation":"(Gifford &lt;i&gt;et al.&lt;/i&gt;, 2021)","plainTextFormattedCitation":"(Gifford et al., 2021)","previouslyFormattedCitation":"(Gifford &lt;i&gt;et al.&lt;/i&gt;, 2021)"},"properties":{"noteIndex":0},"schema":"https://github.com/citation-style-language/schema/raw/master/csl-citation.json"}</w:instrText>
      </w:r>
      <w:r w:rsidR="003D5C11" w:rsidRPr="00A6559F">
        <w:rPr>
          <w:rFonts w:ascii="Arial" w:hAnsi="Arial" w:cs="Arial"/>
          <w:color w:val="1A1A1A"/>
          <w:lang w:val="en-GB"/>
        </w:rPr>
        <w:fldChar w:fldCharType="separate"/>
      </w:r>
      <w:r w:rsidR="003D5C11" w:rsidRPr="00A6559F">
        <w:rPr>
          <w:rFonts w:ascii="Arial" w:hAnsi="Arial" w:cs="Arial"/>
          <w:noProof/>
          <w:color w:val="1A1A1A"/>
          <w:lang w:val="en-GB"/>
        </w:rPr>
        <w:t xml:space="preserve">(Gifford </w:t>
      </w:r>
      <w:r w:rsidR="003D5C11" w:rsidRPr="00A6559F">
        <w:rPr>
          <w:rFonts w:ascii="Arial" w:hAnsi="Arial" w:cs="Arial"/>
          <w:i/>
          <w:noProof/>
          <w:color w:val="1A1A1A"/>
          <w:lang w:val="en-GB"/>
        </w:rPr>
        <w:t>et al.</w:t>
      </w:r>
      <w:r w:rsidR="003D5C11" w:rsidRPr="00A6559F">
        <w:rPr>
          <w:rFonts w:ascii="Arial" w:hAnsi="Arial" w:cs="Arial"/>
          <w:noProof/>
          <w:color w:val="1A1A1A"/>
          <w:lang w:val="en-GB"/>
        </w:rPr>
        <w:t>, 2021)</w:t>
      </w:r>
      <w:r w:rsidR="003D5C11" w:rsidRPr="00A6559F">
        <w:rPr>
          <w:rFonts w:ascii="Arial" w:hAnsi="Arial" w:cs="Arial"/>
          <w:color w:val="1A1A1A"/>
          <w:lang w:val="en-GB"/>
        </w:rPr>
        <w:fldChar w:fldCharType="end"/>
      </w:r>
      <w:r w:rsidRPr="00A6559F">
        <w:rPr>
          <w:rFonts w:ascii="Arial" w:hAnsi="Arial" w:cs="Arial"/>
          <w:color w:val="1A1A1A"/>
          <w:lang w:val="en-GB"/>
        </w:rPr>
        <w:t xml:space="preserve">. </w:t>
      </w:r>
    </w:p>
    <w:p w14:paraId="00201D2A" w14:textId="05291845" w:rsidR="0003521B" w:rsidRPr="00A6559F" w:rsidRDefault="009706AD" w:rsidP="005072FA">
      <w:pPr>
        <w:pStyle w:val="NormalWeb"/>
        <w:shd w:val="clear" w:color="auto" w:fill="FFFFFF"/>
        <w:spacing w:line="360" w:lineRule="auto"/>
        <w:jc w:val="both"/>
        <w:rPr>
          <w:rFonts w:ascii="Arial" w:hAnsi="Arial" w:cs="Arial"/>
          <w:color w:val="1A1A1A"/>
          <w:lang w:val="en-GB"/>
        </w:rPr>
      </w:pPr>
      <w:r w:rsidRPr="00A6559F">
        <w:rPr>
          <w:rFonts w:ascii="Arial" w:hAnsi="Arial" w:cs="Arial"/>
          <w:color w:val="1A1A1A"/>
          <w:lang w:val="en-GB"/>
        </w:rPr>
        <w:lastRenderedPageBreak/>
        <w:t>Lastly, employee engagement can also be measures through assessing the absence statistics – which will help the leadership and the management identify reasons and trends in employee absenteeism. This will help in devising targeted areas for improvement in employee retention, presence, and engagement. At the same time, exit interviews will also facilitate the management in identifying lags in employee engagement and identify ways through which these lags and loophole could be addressed</w:t>
      </w:r>
      <w:r w:rsidR="003D5C11" w:rsidRPr="00A6559F">
        <w:rPr>
          <w:rFonts w:ascii="Arial" w:hAnsi="Arial" w:cs="Arial"/>
          <w:color w:val="1A1A1A"/>
          <w:lang w:val="en-GB"/>
        </w:rPr>
        <w:t xml:space="preserve"> </w:t>
      </w:r>
      <w:r w:rsidR="003D5C11" w:rsidRPr="00A6559F">
        <w:rPr>
          <w:rFonts w:ascii="Arial" w:hAnsi="Arial" w:cs="Arial"/>
          <w:color w:val="1A1A1A"/>
          <w:lang w:val="en-GB"/>
        </w:rPr>
        <w:fldChar w:fldCharType="begin" w:fldLock="1"/>
      </w:r>
      <w:r w:rsidR="003D5C11" w:rsidRPr="00A6559F">
        <w:rPr>
          <w:rFonts w:ascii="Arial" w:hAnsi="Arial" w:cs="Arial"/>
          <w:color w:val="1A1A1A"/>
          <w:lang w:val="en-GB"/>
        </w:rPr>
        <w:instrText>ADDIN CSL_CITATION {"citationItems":[{"id":"ITEM-1","itemData":{"DOI":"10.1108/shr.2008.37207baf.003","ISSN":"1475-4398","abstract":"The article discusses ways to effectively measure employee engagement. Employee engagement refers to employees' advocacy of the organization and commitment to the organizational success. The key recommendations when measuring employee engagement are ensuring the commitment of the senior management team to the engagement research, asking the right questions, comparing results, providing opportunities for managers to receive direct feedback on the perceptions of their team and their own personal effectiveness and ensuring that the survey leads to real improvements.","author":[{"dropping-particle":"","family":"Pritchard","given":"Kate","non-dropping-particle":"","parse-names":false,"suffix":""}],"container-title":"Strategic HR Review","id":"ITEM-1","issue":"2","issued":{"date-parts":[["2008"]]},"title":"Effectively measure employee engagement","type":"article-journal","volume":"7"},"uris":["http://www.mendeley.com/documents/?uuid=48ebb711-5047-31e8-8122-5ad1094bb98f"]},{"id":"ITEM-2","itemData":{"abstract":"The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1 1 Employee engagement: definitions, measures and outcomes Discussion report Employee engagement: definitions, measures and outcomes Acknowledgements This report was written by Jonny Gifford and Jake Young of the CIPD. It draws on three rapid evidence assessments on employee engagement, organisational commitment and organisational identification, and a thematic review of work motivation. The reviews were conducted of the Center for Evidence-Based Management (CEBMa). Scientific summaries of the evidence reviews are available at cipd.co.uk/evidence-engagement We would like to thank a number of people for their valuable guidance and feedback on this","author":[{"dropping-particle":"","family":"Gifford","given":"Jonny","non-dropping-particle":"","parse-names":false,"suffix":""},{"dropping-particle":"","family":"Young","given":"Jake","non-dropping-particle":"","parse-names":false,"suffix":""},{"dropping-particle":"","family":"Baczor Of The Cipd","given":"Louisa","non-dropping-particle":"","parse-names":false,"suffix":""},{"dropping-particle":"","family":"Barends","given":"Eric","non-dropping-particle":"","parse-names":false,"suffix":""},{"dropping-particle":"","family":"Cioca","given":"Iulia","non-dropping-particle":"","parse-names":false,"suffix":""},{"dropping-particle":"","family":"Rousseau","given":"Denise","non-dropping-particle":"","parse-names":false,"suffix":""},{"dropping-particle":"","family":"Wietrak","given":"Emilia","non-dropping-particle":"","parse-names":false,"suffix":""}],"container-title":"CIPD","id":"ITEM-2","issued":{"date-parts":[["2021"]]},"title":"Employee engagement: definitions, measures and outcomes","type":"article-journal"},"uris":["http://www.mendeley.com/documents/?uuid=e7ef7de8-d0f7-3a94-b6c7-424c44463346"]}],"mendeley":{"formattedCitation":"(Pritchard, 2008; Gifford &lt;i&gt;et al.&lt;/i&gt;, 2021)","plainTextFormattedCitation":"(Pritchard, 2008; Gifford et al., 2021)","previouslyFormattedCitation":"(Pritchard, 2008; Gifford &lt;i&gt;et al.&lt;/i&gt;, 2021)"},"properties":{"noteIndex":0},"schema":"https://github.com/citation-style-language/schema/raw/master/csl-citation.json"}</w:instrText>
      </w:r>
      <w:r w:rsidR="003D5C11" w:rsidRPr="00A6559F">
        <w:rPr>
          <w:rFonts w:ascii="Arial" w:hAnsi="Arial" w:cs="Arial"/>
          <w:color w:val="1A1A1A"/>
          <w:lang w:val="en-GB"/>
        </w:rPr>
        <w:fldChar w:fldCharType="separate"/>
      </w:r>
      <w:r w:rsidR="003D5C11" w:rsidRPr="00A6559F">
        <w:rPr>
          <w:rFonts w:ascii="Arial" w:hAnsi="Arial" w:cs="Arial"/>
          <w:noProof/>
          <w:color w:val="1A1A1A"/>
          <w:lang w:val="en-GB"/>
        </w:rPr>
        <w:t xml:space="preserve">(Pritchard, 2008; Gifford </w:t>
      </w:r>
      <w:r w:rsidR="003D5C11" w:rsidRPr="00A6559F">
        <w:rPr>
          <w:rFonts w:ascii="Arial" w:hAnsi="Arial" w:cs="Arial"/>
          <w:i/>
          <w:noProof/>
          <w:color w:val="1A1A1A"/>
          <w:lang w:val="en-GB"/>
        </w:rPr>
        <w:t>et al.</w:t>
      </w:r>
      <w:r w:rsidR="003D5C11" w:rsidRPr="00A6559F">
        <w:rPr>
          <w:rFonts w:ascii="Arial" w:hAnsi="Arial" w:cs="Arial"/>
          <w:noProof/>
          <w:color w:val="1A1A1A"/>
          <w:lang w:val="en-GB"/>
        </w:rPr>
        <w:t>, 2021)</w:t>
      </w:r>
      <w:r w:rsidR="003D5C11" w:rsidRPr="00A6559F">
        <w:rPr>
          <w:rFonts w:ascii="Arial" w:hAnsi="Arial" w:cs="Arial"/>
          <w:color w:val="1A1A1A"/>
          <w:lang w:val="en-GB"/>
        </w:rPr>
        <w:fldChar w:fldCharType="end"/>
      </w:r>
      <w:r w:rsidRPr="00A6559F">
        <w:rPr>
          <w:rFonts w:ascii="Arial" w:hAnsi="Arial" w:cs="Arial"/>
          <w:color w:val="1A1A1A"/>
          <w:lang w:val="en-GB"/>
        </w:rPr>
        <w:t xml:space="preserve">. </w:t>
      </w:r>
    </w:p>
    <w:p w14:paraId="1332F29F" w14:textId="128AD06C" w:rsidR="0003521B" w:rsidRPr="00A6559F" w:rsidRDefault="00DB2A37" w:rsidP="005072FA">
      <w:pPr>
        <w:pStyle w:val="Heading1"/>
        <w:spacing w:line="360" w:lineRule="auto"/>
        <w:jc w:val="both"/>
        <w:rPr>
          <w:rFonts w:ascii="Arial" w:hAnsi="Arial" w:cs="Arial"/>
          <w:sz w:val="24"/>
          <w:szCs w:val="24"/>
          <w:shd w:val="clear" w:color="auto" w:fill="FFFFFF"/>
        </w:rPr>
      </w:pPr>
      <w:bookmarkStart w:id="3" w:name="_Toc91934427"/>
      <w:r w:rsidRPr="00A6559F">
        <w:rPr>
          <w:rFonts w:ascii="Arial" w:hAnsi="Arial" w:cs="Arial"/>
          <w:sz w:val="24"/>
          <w:szCs w:val="24"/>
          <w:shd w:val="clear" w:color="auto" w:fill="FFFFFF"/>
        </w:rPr>
        <w:t>Employee value proposition and</w:t>
      </w:r>
      <w:r w:rsidR="0003521B" w:rsidRPr="00A6559F">
        <w:rPr>
          <w:rFonts w:ascii="Arial" w:hAnsi="Arial" w:cs="Arial"/>
          <w:sz w:val="24"/>
          <w:szCs w:val="24"/>
          <w:shd w:val="clear" w:color="auto" w:fill="FFFFFF"/>
        </w:rPr>
        <w:t xml:space="preserve"> strategies to raise levels of engagement.</w:t>
      </w:r>
      <w:bookmarkEnd w:id="3"/>
    </w:p>
    <w:p w14:paraId="51C8EDC9" w14:textId="50FCEC47" w:rsidR="009D460A" w:rsidRPr="00A6559F" w:rsidRDefault="009D460A" w:rsidP="005072FA">
      <w:pPr>
        <w:pStyle w:val="NormalWeb"/>
        <w:shd w:val="clear" w:color="auto" w:fill="FFFFFF"/>
        <w:spacing w:line="360" w:lineRule="auto"/>
        <w:jc w:val="both"/>
        <w:rPr>
          <w:rFonts w:ascii="Arial" w:hAnsi="Arial" w:cs="Arial"/>
          <w:lang w:val="en-GB"/>
        </w:rPr>
      </w:pPr>
      <w:r w:rsidRPr="00A6559F">
        <w:rPr>
          <w:rFonts w:ascii="Arial" w:hAnsi="Arial" w:cs="Arial"/>
          <w:lang w:val="en-GB"/>
        </w:rPr>
        <w:t xml:space="preserve">An employee value proposition refers to the experience that an organization offers to its employees in exchange for the employee’s performance and productivity. This employee experience includes everything from rewards and benefits to growth opportunities as well as the more intrinsic aspects of the management style, organizational cultures, and the work environment. A good EVP should be unique and help the organization stand apart from its competitors. The EVP should also be relevant and compelling. This means that an EVP should be aligned not only with the business goals and </w:t>
      </w:r>
      <w:proofErr w:type="gramStart"/>
      <w:r w:rsidRPr="00A6559F">
        <w:rPr>
          <w:rFonts w:ascii="Arial" w:hAnsi="Arial" w:cs="Arial"/>
          <w:lang w:val="en-GB"/>
        </w:rPr>
        <w:t>objectives, but</w:t>
      </w:r>
      <w:proofErr w:type="gramEnd"/>
      <w:r w:rsidRPr="00A6559F">
        <w:rPr>
          <w:rFonts w:ascii="Arial" w:hAnsi="Arial" w:cs="Arial"/>
          <w:lang w:val="en-GB"/>
        </w:rPr>
        <w:t xml:space="preserve"> should also meet the needs of the external environment to be competent and relevant. For example, Starbucks EVP focuses on ‘more than coffee,’ and celebrates its employees as partners along</w:t>
      </w:r>
      <w:r w:rsidR="005072FA" w:rsidRPr="00A6559F">
        <w:rPr>
          <w:rFonts w:ascii="Arial" w:hAnsi="Arial" w:cs="Arial"/>
          <w:lang w:val="en-GB"/>
        </w:rPr>
        <w:t xml:space="preserve"> with</w:t>
      </w:r>
      <w:r w:rsidRPr="00A6559F">
        <w:rPr>
          <w:rFonts w:ascii="Arial" w:hAnsi="Arial" w:cs="Arial"/>
          <w:lang w:val="en-GB"/>
        </w:rPr>
        <w:t xml:space="preserve"> all managerial levels. The career page at Starbucks highlights that, </w:t>
      </w:r>
      <w:r w:rsidRPr="00A6559F">
        <w:rPr>
          <w:rFonts w:ascii="Arial" w:hAnsi="Arial" w:cs="Arial"/>
          <w:i/>
          <w:lang w:val="en-GB"/>
        </w:rPr>
        <w:t>“We call our employees partners because we are all partners in shared success. We make sure everything we do is through the lens of humanity—from our commitment to the highest-quality coffee in the world to the way we engage with our customers and communi</w:t>
      </w:r>
      <w:r w:rsidR="000F612D" w:rsidRPr="00A6559F">
        <w:rPr>
          <w:rFonts w:ascii="Arial" w:hAnsi="Arial" w:cs="Arial"/>
          <w:i/>
          <w:lang w:val="en-GB"/>
        </w:rPr>
        <w:t>ties to do business responsibly</w:t>
      </w:r>
      <w:r w:rsidRPr="00A6559F">
        <w:rPr>
          <w:rFonts w:ascii="Arial" w:hAnsi="Arial" w:cs="Arial"/>
          <w:i/>
          <w:lang w:val="en-GB"/>
        </w:rPr>
        <w:t>”</w:t>
      </w:r>
      <w:r w:rsidR="000F612D" w:rsidRPr="00A6559F">
        <w:rPr>
          <w:rFonts w:ascii="Arial" w:hAnsi="Arial" w:cs="Arial"/>
          <w:i/>
          <w:lang w:val="en-GB"/>
        </w:rPr>
        <w:fldChar w:fldCharType="begin" w:fldLock="1"/>
      </w:r>
      <w:r w:rsidR="00DE6E23" w:rsidRPr="00A6559F">
        <w:rPr>
          <w:rFonts w:ascii="Arial" w:hAnsi="Arial" w:cs="Arial"/>
          <w:i/>
          <w:lang w:val="en-GB"/>
        </w:rPr>
        <w:instrText>ADDIN CSL_CITATION {"citationItems":[{"id":"ITEM-1","itemData":{"abstract":"We call our employees partners because we are all partners in shared success. Every partner at every level of the company is eligible to receive an annual grant of company stock through our Bean Stock program.  Our Culture  • We are proud to be one of the most progressive employers in the U.S. We believe we’ve earned this designation because we openly value and respect each partner and acknowledge that our success would not be possible without the contributions they make on a daily basis.  • People want to work at Starbucks because we are a different kind of company that believes in and leads with our values. We are a place where people can connect to something bigger and make an impact every day when they come into work.  • Our culture values and respects diversity and inclusion, and our goal is to create a place where everyone can be a leader. A place where people can acquire the skills that will help them succeed in whatever career they may ultimately pursue. Our Benefits  • Starbucks offers comprehensive benefits packages to eligible partners working at least 20 hours per week. We fund approximately 70 percent of premium costs and cover 100 percent of preventive care services. New in 2014, the company will also fund 100 percent of women’s preventive health coverage.  • We pride ourselves in offering partners flexible work hours. When our partners told us they wanted more work hours and more regular work schedules, we implemented “Optimal Scheduling” during the fall of 2008. The goal was to provide the most working hours to those partners who were available to do so – providing them with the opportunity for more consistent and predictable weekly schedules. It even gives our partners the chance to form relationships with our customers who tell us they enjoy the chance to see their favorite barista regularly. The feedback we’ve received on this new program has been exceptionally positive.  • We offer our partners a fair and competitive wage, and one of the most comprehensive total pay packages in the retail industry. Our total pay package includes affordable health care, company stock, eligibility for merit increases every six months, tuition reimbursement, paid vacation, free coffee and a 30 percent in-store discount on beverages, food and merchandise.  Learn more about the partner experience and what it means #tobeapartner.","author":[{"dropping-particle":"","family":"Starbucks","given":"","non-dropping-particle":"","parse-names":false,"suffix":""}],"container-title":"Starbucks.com","id":"ITEM-1","issued":{"date-parts":[["2013"]]},"title":"Facts About Starbucks and Our Partners (Employees)","type":"article-journal"},"uris":["http://www.mendeley.com/documents/?uuid=d7135981-9b43-38da-9af1-e8cceca9b758"]}],"mendeley":{"formattedCitation":"(Starbucks, 2013)","plainTextFormattedCitation":"(Starbucks, 2013)","previouslyFormattedCitation":"(Starbucks, 2013)"},"properties":{"noteIndex":0},"schema":"https://github.com/citation-style-language/schema/raw/master/csl-citation.json"}</w:instrText>
      </w:r>
      <w:r w:rsidR="000F612D" w:rsidRPr="00A6559F">
        <w:rPr>
          <w:rFonts w:ascii="Arial" w:hAnsi="Arial" w:cs="Arial"/>
          <w:i/>
          <w:lang w:val="en-GB"/>
        </w:rPr>
        <w:fldChar w:fldCharType="separate"/>
      </w:r>
      <w:r w:rsidR="000F612D" w:rsidRPr="00A6559F">
        <w:rPr>
          <w:rFonts w:ascii="Arial" w:hAnsi="Arial" w:cs="Arial"/>
          <w:noProof/>
          <w:lang w:val="en-GB"/>
        </w:rPr>
        <w:t>(Starbucks, 2013)</w:t>
      </w:r>
      <w:r w:rsidR="000F612D" w:rsidRPr="00A6559F">
        <w:rPr>
          <w:rFonts w:ascii="Arial" w:hAnsi="Arial" w:cs="Arial"/>
          <w:i/>
          <w:lang w:val="en-GB"/>
        </w:rPr>
        <w:fldChar w:fldCharType="end"/>
      </w:r>
      <w:r w:rsidR="00DE6E23" w:rsidRPr="00A6559F">
        <w:rPr>
          <w:rFonts w:ascii="Arial" w:hAnsi="Arial" w:cs="Arial"/>
          <w:i/>
          <w:lang w:val="en-GB"/>
        </w:rPr>
        <w:t>.</w:t>
      </w:r>
      <w:r w:rsidRPr="00A6559F">
        <w:rPr>
          <w:rFonts w:ascii="Arial" w:hAnsi="Arial" w:cs="Arial"/>
          <w:lang w:val="en-GB"/>
        </w:rPr>
        <w:t xml:space="preserve"> This makes their EVP unique in its treatment of employees, and what employees can expect out of the company as well. It</w:t>
      </w:r>
      <w:r w:rsidR="005072FA" w:rsidRPr="00A6559F">
        <w:rPr>
          <w:rFonts w:ascii="Arial" w:hAnsi="Arial" w:cs="Arial"/>
          <w:lang w:val="en-GB"/>
        </w:rPr>
        <w:t xml:space="preserve"> is</w:t>
      </w:r>
      <w:r w:rsidRPr="00A6559F">
        <w:rPr>
          <w:rFonts w:ascii="Arial" w:hAnsi="Arial" w:cs="Arial"/>
          <w:lang w:val="en-GB"/>
        </w:rPr>
        <w:t xml:space="preserve"> so compelling as it paints Starbucks as an appealing employers that offer to </w:t>
      </w:r>
      <w:proofErr w:type="spellStart"/>
      <w:r w:rsidRPr="00A6559F">
        <w:rPr>
          <w:rFonts w:ascii="Arial" w:hAnsi="Arial" w:cs="Arial"/>
          <w:lang w:val="en-GB"/>
        </w:rPr>
        <w:t>fulfill</w:t>
      </w:r>
      <w:proofErr w:type="spellEnd"/>
      <w:r w:rsidRPr="00A6559F">
        <w:rPr>
          <w:rFonts w:ascii="Arial" w:hAnsi="Arial" w:cs="Arial"/>
          <w:lang w:val="en-GB"/>
        </w:rPr>
        <w:t xml:space="preserve"> employees’ extrinsic as well as intrinsic needs</w:t>
      </w:r>
      <w:r w:rsidR="00DE6E23" w:rsidRPr="00A6559F">
        <w:rPr>
          <w:rFonts w:ascii="Arial" w:hAnsi="Arial" w:cs="Arial"/>
          <w:lang w:val="en-GB"/>
        </w:rPr>
        <w:t xml:space="preserve"> </w:t>
      </w:r>
      <w:r w:rsidR="00DE6E23" w:rsidRPr="00A6559F">
        <w:rPr>
          <w:rFonts w:ascii="Arial" w:hAnsi="Arial" w:cs="Arial"/>
          <w:lang w:val="en-GB"/>
        </w:rPr>
        <w:fldChar w:fldCharType="begin" w:fldLock="1"/>
      </w:r>
      <w:r w:rsidR="007E6750" w:rsidRPr="00A6559F">
        <w:rPr>
          <w:rFonts w:ascii="Arial" w:hAnsi="Arial" w:cs="Arial"/>
          <w:lang w:val="en-GB"/>
        </w:rPr>
        <w:instrText>ADDIN CSL_CITATION {"citationItems":[{"id":"ITEM-1","itemData":{"abstract":"We call our employees partners because we are all partners in shared success. Every partner at every level of the company is eligible to receive an annual grant of company stock through our Bean Stock program.  Our Culture  • We are proud to be one of the most progressive employers in the U.S. We believe we’ve earned this designation because we openly value and respect each partner and acknowledge that our success would not be possible without the contributions they make on a daily basis.  • People want to work at Starbucks because we are a different kind of company that believes in and leads with our values. We are a place where people can connect to something bigger and make an impact every day when they come into work.  • Our culture values and respects diversity and inclusion, and our goal is to create a place where everyone can be a leader. A place where people can acquire the skills that will help them succeed in whatever career they may ultimately pursue. Our Benefits  • Starbucks offers comprehensive benefits packages to eligible partners working at least 20 hours per week. We fund approximately 70 percent of premium costs and cover 100 percent of preventive care services. New in 2014, the company will also fund 100 percent of women’s preventive health coverage.  • We pride ourselves in offering partners flexible work hours. When our partners told us they wanted more work hours and more regular work schedules, we implemented “Optimal Scheduling” during the fall of 2008. The goal was to provide the most working hours to those partners who were available to do so – providing them with the opportunity for more consistent and predictable weekly schedules. It even gives our partners the chance to form relationships with our customers who tell us they enjoy the chance to see their favorite barista regularly. The feedback we’ve received on this new program has been exceptionally positive.  • We offer our partners a fair and competitive wage, and one of the most comprehensive total pay packages in the retail industry. Our total pay package includes affordable health care, company stock, eligibility for merit increases every six months, tuition reimbursement, paid vacation, free coffee and a 30 percent in-store discount on beverages, food and merchandise.  Learn more about the partner experience and what it means #tobeapartner.","author":[{"dropping-particle":"","family":"Starbucks","given":"","non-dropping-particle":"","parse-names":false,"suffix":""}],"container-title":"Starbucks.com","id":"ITEM-1","issued":{"date-parts":[["2013"]]},"title":"Facts About Starbucks and Our Partners (Employees)","type":"article-journal"},"uris":["http://www.mendeley.com/documents/?uuid=d7135981-9b43-38da-9af1-e8cceca9b758"]},{"id":"ITEM-2","itemData":{"abstract":"From the beginning, Starbucks has made it a priority to invest in its people.  “The equity of the Starbucks brand has been built by the experience, which comes to life through our partners and the relationships they have with our customers,” said Starbucks chairman and chief executive officer Howard Schultz to shareholders in 2014. “We are continuing to invest in our most important assets: our people.” Early Days  1971 Starbucks opens its doors in Seattle’s Pike Place Market  From the early days of Starbucks as a small specialty shop selling bulk coffee and tea, employees could mark out a free pound of coffee.  1988 Extends health coverage for part-time employees  When Howard Schultz becomes chief executive officer in 1987, Starbucks begins its new chapter as a coffeehouse. Schultz advocates extending comprehensive health coverage to part-time employees at a time when most companies were not doing so. In 1988, Starbucks begins to offer full health benefits to eligible full- and part-time employees, including coverage for domestic partnerships.  1991 Introduces Bean Stock  As the company prepares for its initial public offering, Starbucks takes an extraordinary step and becomes the first privately owned U.S. company to offer a stock option program that includes part-time employees. From this point forward, Starbucks employees are called “partners,” because they have a share in the company’s success. The program starts with 700 partners in just over 100 stores in the U.S. and Canada. The first stock options are granted at $6 per share to partners ($0.09 per share, adjusted for subsequent stock splits).  1992 Completes initial public offering  Starbucks goes public on June 26, 1992 at a price of $17 per share ($0.27 per share, adjusted for subsequent stock splits) and closes trading the first day at $21.50 per share. In 1995, Starbucks introduces SIP (Stock Investment Plan) offering partners the opportunity to purchase company stock each quarter at a discounted price through regular payroll deductions. Starbucks Expands Globally As Health Care Costs Grow  1990s  In the decade, Starbucks grew from 84 stores in the U.S. and Canada to more than 3,000 stores in 14 countries around the world. Healthcare costs skyrocket, with millions in the U.S. left uninsured. In 1994, Howard Schultz goes to the White House to discuss Starbucks approach to health care as an example of corporate citizenship.  2004 Cover the Uninsured  In 2004 as health care costs continue to gr…","author":[{"dropping-particle":"","family":"Starbucks","given":"","non-dropping-particle":"","parse-names":false,"suffix":""}],"container-title":"Starbucks.com","id":"ITEM-2","issued":{"date-parts":[["2016"]]},"title":"History of Partner Benefits at Starbucks","type":"article-journal"},"uris":["http://www.mendeley.com/documents/?uuid=93bb9739-e687-309b-9b3c-33420a37b008"]}],"mendeley":{"formattedCitation":"(Starbucks, 2013, 2016)","plainTextFormattedCitation":"(Starbucks, 2013, 2016)","previouslyFormattedCitation":"(Starbucks, 2013, 2016)"},"properties":{"noteIndex":0},"schema":"https://github.com/citation-style-language/schema/raw/master/csl-citation.json"}</w:instrText>
      </w:r>
      <w:r w:rsidR="00DE6E23" w:rsidRPr="00A6559F">
        <w:rPr>
          <w:rFonts w:ascii="Arial" w:hAnsi="Arial" w:cs="Arial"/>
          <w:lang w:val="en-GB"/>
        </w:rPr>
        <w:fldChar w:fldCharType="separate"/>
      </w:r>
      <w:r w:rsidR="00DE6E23" w:rsidRPr="00A6559F">
        <w:rPr>
          <w:rFonts w:ascii="Arial" w:hAnsi="Arial" w:cs="Arial"/>
          <w:noProof/>
          <w:lang w:val="en-GB"/>
        </w:rPr>
        <w:t>(Starbucks, 2013, 2016)</w:t>
      </w:r>
      <w:r w:rsidR="00DE6E23" w:rsidRPr="00A6559F">
        <w:rPr>
          <w:rFonts w:ascii="Arial" w:hAnsi="Arial" w:cs="Arial"/>
          <w:lang w:val="en-GB"/>
        </w:rPr>
        <w:fldChar w:fldCharType="end"/>
      </w:r>
      <w:r w:rsidRPr="00A6559F">
        <w:rPr>
          <w:rFonts w:ascii="Arial" w:hAnsi="Arial" w:cs="Arial"/>
          <w:lang w:val="en-GB"/>
        </w:rPr>
        <w:t xml:space="preserve">. More importantly, it remains relevant with the internal goals and objectives, the external environmental factors, and the changing employee needs and demands. </w:t>
      </w:r>
    </w:p>
    <w:p w14:paraId="24570D24" w14:textId="77777777" w:rsidR="009D460A" w:rsidRPr="00A6559F" w:rsidRDefault="009D460A" w:rsidP="005072FA">
      <w:pPr>
        <w:pStyle w:val="NormalWeb"/>
        <w:shd w:val="clear" w:color="auto" w:fill="FFFFFF"/>
        <w:spacing w:line="360" w:lineRule="auto"/>
        <w:jc w:val="both"/>
        <w:rPr>
          <w:rFonts w:ascii="Arial" w:hAnsi="Arial" w:cs="Arial"/>
          <w:lang w:val="en-GB"/>
        </w:rPr>
      </w:pPr>
    </w:p>
    <w:p w14:paraId="3A9FDEBE" w14:textId="77777777" w:rsidR="009D460A" w:rsidRPr="00A6559F" w:rsidRDefault="009D460A" w:rsidP="005072FA">
      <w:pPr>
        <w:pStyle w:val="NormalWeb"/>
        <w:shd w:val="clear" w:color="auto" w:fill="FFFFFF"/>
        <w:spacing w:line="360" w:lineRule="auto"/>
        <w:jc w:val="both"/>
        <w:rPr>
          <w:rFonts w:ascii="Arial" w:hAnsi="Arial" w:cs="Arial"/>
          <w:lang w:val="en-GB"/>
        </w:rPr>
      </w:pPr>
      <w:r w:rsidRPr="00A6559F">
        <w:rPr>
          <w:rFonts w:ascii="Arial" w:hAnsi="Arial" w:cs="Arial"/>
          <w:noProof/>
          <w:lang w:val="en-GB"/>
        </w:rPr>
        <w:lastRenderedPageBreak/>
        <w:drawing>
          <wp:inline distT="0" distB="0" distL="0" distR="0" wp14:anchorId="08C47C6A" wp14:editId="74E5AB59">
            <wp:extent cx="5943600" cy="3053060"/>
            <wp:effectExtent l="0" t="0" r="0" b="0"/>
            <wp:docPr id="1" name="Picture 1" descr="Starbucks employee value proposi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employee value proposition ex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053060"/>
                    </a:xfrm>
                    <a:prstGeom prst="rect">
                      <a:avLst/>
                    </a:prstGeom>
                    <a:noFill/>
                    <a:ln>
                      <a:noFill/>
                    </a:ln>
                  </pic:spPr>
                </pic:pic>
              </a:graphicData>
            </a:graphic>
          </wp:inline>
        </w:drawing>
      </w:r>
    </w:p>
    <w:p w14:paraId="2230EF80" w14:textId="77777777" w:rsidR="009D460A" w:rsidRPr="00A6559F" w:rsidRDefault="009D460A" w:rsidP="005072FA">
      <w:pPr>
        <w:pStyle w:val="NormalWeb"/>
        <w:shd w:val="clear" w:color="auto" w:fill="FFFFFF"/>
        <w:spacing w:line="360" w:lineRule="auto"/>
        <w:jc w:val="both"/>
        <w:rPr>
          <w:rFonts w:ascii="Arial" w:hAnsi="Arial" w:cs="Arial"/>
          <w:lang w:val="en-GB"/>
        </w:rPr>
      </w:pPr>
      <w:r w:rsidRPr="00A6559F">
        <w:rPr>
          <w:rFonts w:ascii="Arial" w:hAnsi="Arial" w:cs="Arial"/>
          <w:lang w:val="en-GB"/>
        </w:rPr>
        <w:t>Starbucks is also notably celebrated for putting in place a range of employee engagement strategies. Examples of these strategies, as employed by Starbucks and other organizations to increase employee engagement include:</w:t>
      </w:r>
    </w:p>
    <w:p w14:paraId="4A60B81F" w14:textId="315BD21C" w:rsidR="009D460A" w:rsidRPr="00A6559F" w:rsidRDefault="009D460A" w:rsidP="005072FA">
      <w:pPr>
        <w:pStyle w:val="NormalWeb"/>
        <w:numPr>
          <w:ilvl w:val="0"/>
          <w:numId w:val="10"/>
        </w:numPr>
        <w:shd w:val="clear" w:color="auto" w:fill="FFFFFF"/>
        <w:spacing w:line="360" w:lineRule="auto"/>
        <w:jc w:val="both"/>
        <w:rPr>
          <w:rFonts w:ascii="Arial" w:hAnsi="Arial" w:cs="Arial"/>
          <w:lang w:val="en-GB"/>
        </w:rPr>
      </w:pPr>
      <w:r w:rsidRPr="00A6559F">
        <w:rPr>
          <w:rFonts w:ascii="Arial" w:hAnsi="Arial" w:cs="Arial"/>
          <w:lang w:val="en-GB"/>
        </w:rPr>
        <w:t>Sounding boards: managers and supervisors serve as sounding boards for the employees and ensure that their concerns and opinions are communicated effectively to the HR department and the leadership. As sounding boards and the most frequent touch point for employees, managers are therefore also made responsible for ensuring that employee concerns and opinions are addressed and resolved</w:t>
      </w:r>
      <w:r w:rsidR="002F7C48" w:rsidRPr="00A6559F">
        <w:rPr>
          <w:rFonts w:ascii="Arial" w:hAnsi="Arial" w:cs="Arial"/>
          <w:lang w:val="en-GB"/>
        </w:rPr>
        <w:t xml:space="preserve"> </w:t>
      </w:r>
      <w:r w:rsidR="002F7C48" w:rsidRPr="00A6559F">
        <w:rPr>
          <w:rFonts w:ascii="Arial" w:hAnsi="Arial" w:cs="Arial"/>
          <w:lang w:val="en-GB"/>
        </w:rPr>
        <w:fldChar w:fldCharType="begin" w:fldLock="1"/>
      </w:r>
      <w:r w:rsidR="000F612D" w:rsidRPr="00A6559F">
        <w:rPr>
          <w:rFonts w:ascii="Arial" w:hAnsi="Arial" w:cs="Arial"/>
          <w:lang w:val="en-GB"/>
        </w:rPr>
        <w:instrText>ADDIN CSL_CITATION {"citationItems":[{"id":"ITEM-1","itemData":{"DOI":"10.1108/shr-07-2018-0059","ISSN":"1475-4398","abstract":"Purpose – The purpose of this paper is to set out to discuss the best strategies to engage millennial employees in the workplace. Design methodology/approach – The feature explores desktop data, theories of psychology, social data and industry research. Findings – The feature explains that via a flat structure approach, and an ‘‘experience-led’’ culture, with team working and connectivity, millennials can be very successfully engaged in the workforce. Originality/value – The feature offers a fascinating insight into how generations have evolved in the workplace and how social and economic conditions have effected an employee’s motivation over the years.","author":[{"dropping-particle":"","family":"Cattermole","given":"Gary","non-dropping-particle":"","parse-names":false,"suffix":""}],"container-title":"Strategic HR Review","id":"ITEM-1","issue":"6","issued":{"date-parts":[["2018"]]},"title":"Creating an employee engagement strategy for millennials","type":"article-journal","volume":"17"},"uris":["http://www.mendeley.com/documents/?uuid=ec576904-609e-3b42-a16b-7b86468e3470"]}],"mendeley":{"formattedCitation":"(Cattermole, 2018)","plainTextFormattedCitation":"(Cattermole, 2018)","previouslyFormattedCitation":"(Cattermole, 2018)"},"properties":{"noteIndex":0},"schema":"https://github.com/citation-style-language/schema/raw/master/csl-citation.json"}</w:instrText>
      </w:r>
      <w:r w:rsidR="002F7C48" w:rsidRPr="00A6559F">
        <w:rPr>
          <w:rFonts w:ascii="Arial" w:hAnsi="Arial" w:cs="Arial"/>
          <w:lang w:val="en-GB"/>
        </w:rPr>
        <w:fldChar w:fldCharType="separate"/>
      </w:r>
      <w:r w:rsidR="002F7C48" w:rsidRPr="00A6559F">
        <w:rPr>
          <w:rFonts w:ascii="Arial" w:hAnsi="Arial" w:cs="Arial"/>
          <w:noProof/>
          <w:lang w:val="en-GB"/>
        </w:rPr>
        <w:t>(Cattermole, 2018)</w:t>
      </w:r>
      <w:r w:rsidR="002F7C48" w:rsidRPr="00A6559F">
        <w:rPr>
          <w:rFonts w:ascii="Arial" w:hAnsi="Arial" w:cs="Arial"/>
          <w:lang w:val="en-GB"/>
        </w:rPr>
        <w:fldChar w:fldCharType="end"/>
      </w:r>
      <w:r w:rsidRPr="00A6559F">
        <w:rPr>
          <w:rFonts w:ascii="Arial" w:hAnsi="Arial" w:cs="Arial"/>
          <w:lang w:val="en-GB"/>
        </w:rPr>
        <w:t xml:space="preserve">. </w:t>
      </w:r>
    </w:p>
    <w:p w14:paraId="7B84670F" w14:textId="0B555D57" w:rsidR="009D460A" w:rsidRPr="00A6559F" w:rsidRDefault="009D460A" w:rsidP="005072FA">
      <w:pPr>
        <w:pStyle w:val="NormalWeb"/>
        <w:numPr>
          <w:ilvl w:val="0"/>
          <w:numId w:val="10"/>
        </w:numPr>
        <w:shd w:val="clear" w:color="auto" w:fill="FFFFFF"/>
        <w:spacing w:line="360" w:lineRule="auto"/>
        <w:jc w:val="both"/>
        <w:rPr>
          <w:rFonts w:ascii="Arial" w:hAnsi="Arial" w:cs="Arial"/>
          <w:lang w:val="en-GB"/>
        </w:rPr>
      </w:pPr>
      <w:r w:rsidRPr="00A6559F">
        <w:rPr>
          <w:rFonts w:ascii="Arial" w:hAnsi="Arial" w:cs="Arial"/>
          <w:lang w:val="en-GB"/>
        </w:rPr>
        <w:t>Focus groups: Focus groups can help improve employee engagement by allowing the management to effectively identify targeted areas that need improvement</w:t>
      </w:r>
      <w:r w:rsidR="005072FA" w:rsidRPr="00A6559F">
        <w:rPr>
          <w:rFonts w:ascii="Arial" w:hAnsi="Arial" w:cs="Arial"/>
          <w:lang w:val="en-GB"/>
        </w:rPr>
        <w:t>s</w:t>
      </w:r>
      <w:r w:rsidRPr="00A6559F">
        <w:rPr>
          <w:rFonts w:ascii="Arial" w:hAnsi="Arial" w:cs="Arial"/>
          <w:lang w:val="en-GB"/>
        </w:rPr>
        <w:t xml:space="preserve"> – such as lack of feedback, </w:t>
      </w:r>
      <w:r w:rsidR="005072FA" w:rsidRPr="00A6559F">
        <w:rPr>
          <w:rFonts w:ascii="Arial" w:hAnsi="Arial" w:cs="Arial"/>
          <w:lang w:val="en-GB"/>
        </w:rPr>
        <w:t xml:space="preserve">the </w:t>
      </w:r>
      <w:r w:rsidRPr="00A6559F">
        <w:rPr>
          <w:rFonts w:ascii="Arial" w:hAnsi="Arial" w:cs="Arial"/>
          <w:lang w:val="en-GB"/>
        </w:rPr>
        <w:t xml:space="preserve">discrepancy in reward management, and lack of commination channels for example. </w:t>
      </w:r>
      <w:r w:rsidR="005072FA" w:rsidRPr="00A6559F">
        <w:rPr>
          <w:rFonts w:ascii="Arial" w:hAnsi="Arial" w:cs="Arial"/>
          <w:lang w:val="en-GB"/>
        </w:rPr>
        <w:t>An i</w:t>
      </w:r>
      <w:r w:rsidRPr="00A6559F">
        <w:rPr>
          <w:rFonts w:ascii="Arial" w:hAnsi="Arial" w:cs="Arial"/>
          <w:lang w:val="en-GB"/>
        </w:rPr>
        <w:t>n-depth discussion with small groups of employees allow</w:t>
      </w:r>
      <w:r w:rsidR="005072FA" w:rsidRPr="00A6559F">
        <w:rPr>
          <w:rFonts w:ascii="Arial" w:hAnsi="Arial" w:cs="Arial"/>
          <w:lang w:val="en-GB"/>
        </w:rPr>
        <w:t>s</w:t>
      </w:r>
      <w:r w:rsidRPr="00A6559F">
        <w:rPr>
          <w:rFonts w:ascii="Arial" w:hAnsi="Arial" w:cs="Arial"/>
          <w:lang w:val="en-GB"/>
        </w:rPr>
        <w:t xml:space="preserve"> the management and leadership to address issues of employee disengagement, identify areas of difficulties, and devise tactics to address the same. The corrective interventions and measures are also often devised within the focus groups, and are employee led to ensure higher results</w:t>
      </w:r>
      <w:r w:rsidR="002F7C48" w:rsidRPr="00A6559F">
        <w:rPr>
          <w:rFonts w:ascii="Arial" w:hAnsi="Arial" w:cs="Arial"/>
          <w:lang w:val="en-GB"/>
        </w:rPr>
        <w:t xml:space="preserve"> </w:t>
      </w:r>
      <w:r w:rsidR="002F7C48" w:rsidRPr="00A6559F">
        <w:rPr>
          <w:rFonts w:ascii="Arial" w:hAnsi="Arial" w:cs="Arial"/>
          <w:lang w:val="en-GB"/>
        </w:rPr>
        <w:fldChar w:fldCharType="begin" w:fldLock="1"/>
      </w:r>
      <w:r w:rsidR="002F7C48" w:rsidRPr="00A6559F">
        <w:rPr>
          <w:rFonts w:ascii="Arial" w:hAnsi="Arial" w:cs="Arial"/>
          <w:lang w:val="en-GB"/>
        </w:rPr>
        <w:instrText>ADDIN CSL_CITATION {"citationItems":[{"id":"ITEM-1","itemData":{"DOI":"10.1017/jmo.2019.22","ISSN":"18333672","abstract":"Research worldwide reports low levels of employee engagement reflecting employee well-being. This observation spells dire consequences for enterprise performance, expressed as goal achievement, and attained via strategy. Strategy implementation failure adds to enterprise performance pressures, while reducing employee well-being. Research investigating employee engagement as driver of strategy implementation through dimensions of organisation is limited. This paper conceptually examines how employee engagement can be enhanced while driving strategy implementation through dimensions of organisation. The Nienaber and Martins (2015, Journal of Contemporary Management, 12(1), 401-425) survey results serve as illustration. The conclusions arrived at here show that all six factors - at individual, team/unit, and enterprise levels - can be classified according to the dimensions of organisation. Moreover, the dimensions of organisation are not necessarily mutually exclusive, but rather interrelated, and influence employee engagement in unexpected ways. The contribution of this paper stems from the promise that dimensions of organisation serve as mechanism to drive strategy implementation via employee engagement.","author":[{"dropping-particle":"","family":"Nienaber","given":"Hester","non-dropping-particle":"","parse-names":false,"suffix":""}],"container-title":"Journal of Management and Organization","id":"ITEM-1","issued":{"date-parts":[["2019"]]},"title":"Employee engagement: Driving strategy implementation through dimensions of organisation","type":"article-journal"},"uris":["http://www.mendeley.com/documents/?uuid=f1bd7df5-c4a3-39e9-97b5-d2e8b4c2fb34"]}],"mendeley":{"formattedCitation":"(Nienaber, 2019)","plainTextFormattedCitation":"(Nienaber, 2019)","previouslyFormattedCitation":"(Nienaber, 2019)"},"properties":{"noteIndex":0},"schema":"https://github.com/citation-style-language/schema/raw/master/csl-citation.json"}</w:instrText>
      </w:r>
      <w:r w:rsidR="002F7C48" w:rsidRPr="00A6559F">
        <w:rPr>
          <w:rFonts w:ascii="Arial" w:hAnsi="Arial" w:cs="Arial"/>
          <w:lang w:val="en-GB"/>
        </w:rPr>
        <w:fldChar w:fldCharType="separate"/>
      </w:r>
      <w:r w:rsidR="002F7C48" w:rsidRPr="00A6559F">
        <w:rPr>
          <w:rFonts w:ascii="Arial" w:hAnsi="Arial" w:cs="Arial"/>
          <w:noProof/>
          <w:lang w:val="en-GB"/>
        </w:rPr>
        <w:t>(Nienaber, 2019)</w:t>
      </w:r>
      <w:r w:rsidR="002F7C48" w:rsidRPr="00A6559F">
        <w:rPr>
          <w:rFonts w:ascii="Arial" w:hAnsi="Arial" w:cs="Arial"/>
          <w:lang w:val="en-GB"/>
        </w:rPr>
        <w:fldChar w:fldCharType="end"/>
      </w:r>
      <w:r w:rsidRPr="00A6559F">
        <w:rPr>
          <w:rFonts w:ascii="Arial" w:hAnsi="Arial" w:cs="Arial"/>
          <w:lang w:val="en-GB"/>
        </w:rPr>
        <w:t>.</w:t>
      </w:r>
    </w:p>
    <w:p w14:paraId="21729693" w14:textId="277F936D" w:rsidR="009D460A" w:rsidRPr="00A6559F" w:rsidRDefault="009D460A" w:rsidP="005072FA">
      <w:pPr>
        <w:pStyle w:val="NormalWeb"/>
        <w:numPr>
          <w:ilvl w:val="0"/>
          <w:numId w:val="10"/>
        </w:numPr>
        <w:shd w:val="clear" w:color="auto" w:fill="FFFFFF"/>
        <w:spacing w:line="360" w:lineRule="auto"/>
        <w:jc w:val="both"/>
        <w:rPr>
          <w:rFonts w:ascii="Arial" w:hAnsi="Arial" w:cs="Arial"/>
          <w:lang w:val="en-GB"/>
        </w:rPr>
      </w:pPr>
      <w:r w:rsidRPr="00A6559F">
        <w:rPr>
          <w:rFonts w:ascii="Arial" w:hAnsi="Arial" w:cs="Arial"/>
          <w:lang w:val="en-GB"/>
        </w:rPr>
        <w:t xml:space="preserve">Mentoring programs: the management and leadership should frequently arrange mentoring sessions for boosting employee morale and confidence. </w:t>
      </w:r>
      <w:r w:rsidRPr="00A6559F">
        <w:rPr>
          <w:rFonts w:ascii="Arial" w:hAnsi="Arial" w:cs="Arial"/>
          <w:lang w:val="en-GB"/>
        </w:rPr>
        <w:lastRenderedPageBreak/>
        <w:t>This can be done through peer minors or peer buddies as well – as is done in Google. The program will help boost confidence in employees, and increase work engagement</w:t>
      </w:r>
      <w:r w:rsidR="002F7C48" w:rsidRPr="00A6559F">
        <w:rPr>
          <w:rFonts w:ascii="Arial" w:hAnsi="Arial" w:cs="Arial"/>
          <w:lang w:val="en-GB"/>
        </w:rPr>
        <w:t xml:space="preserve"> </w:t>
      </w:r>
      <w:r w:rsidR="002F7C48" w:rsidRPr="00A6559F">
        <w:rPr>
          <w:rFonts w:ascii="Arial" w:hAnsi="Arial" w:cs="Arial"/>
          <w:lang w:val="en-GB"/>
        </w:rPr>
        <w:fldChar w:fldCharType="begin" w:fldLock="1"/>
      </w:r>
      <w:r w:rsidR="002F7C48" w:rsidRPr="00A6559F">
        <w:rPr>
          <w:rFonts w:ascii="Arial" w:hAnsi="Arial" w:cs="Arial"/>
          <w:lang w:val="en-GB"/>
        </w:rPr>
        <w:instrText>ADDIN CSL_CITATION {"citationItems":[{"id":"ITEM-1","itemData":{"abstract":"The State of the Global Workplace: Employee Engagement Insights for Business Leaders Worldwide report highlights findings from Gallup’s ongoing study of workplaces in more than 140 countries from 2011 through 2012. This is a continuation of Gallup’s previous report on employee engagement worldwide, which covered data from 2009 through 2010. This latest report provides insights into what leaders can do to improve employee engagement and performance in their companies. It includes regional analyses of employee engagement data, country-level insights from Gallup consultants around the globe, a look at the impact of engagement on organizational and individual performance, and information about how companies can accelerate employee engagement.","author":[{"dropping-particle":"","family":"Gallup","given":"","non-dropping-particle":"","parse-names":false,"suffix":""}],"container-title":"Workplace Insights","id":"ITEM-1","issued":{"date-parts":[["2021"]]},"title":"State of the Global Workplace: 2021 Report","type":"article-journal"},"uris":["http://www.mendeley.com/documents/?uuid=6e314f59-a639-3c0e-89f9-c2c0e4d1af85"]}],"mendeley":{"formattedCitation":"(Gallup, 2021)","plainTextFormattedCitation":"(Gallup, 2021)","previouslyFormattedCitation":"(Gallup, 2021)"},"properties":{"noteIndex":0},"schema":"https://github.com/citation-style-language/schema/raw/master/csl-citation.json"}</w:instrText>
      </w:r>
      <w:r w:rsidR="002F7C48" w:rsidRPr="00A6559F">
        <w:rPr>
          <w:rFonts w:ascii="Arial" w:hAnsi="Arial" w:cs="Arial"/>
          <w:lang w:val="en-GB"/>
        </w:rPr>
        <w:fldChar w:fldCharType="separate"/>
      </w:r>
      <w:r w:rsidR="002F7C48" w:rsidRPr="00A6559F">
        <w:rPr>
          <w:rFonts w:ascii="Arial" w:hAnsi="Arial" w:cs="Arial"/>
          <w:noProof/>
          <w:lang w:val="en-GB"/>
        </w:rPr>
        <w:t>(Gallup, 2021)</w:t>
      </w:r>
      <w:r w:rsidR="002F7C48" w:rsidRPr="00A6559F">
        <w:rPr>
          <w:rFonts w:ascii="Arial" w:hAnsi="Arial" w:cs="Arial"/>
          <w:lang w:val="en-GB"/>
        </w:rPr>
        <w:fldChar w:fldCharType="end"/>
      </w:r>
      <w:r w:rsidRPr="00A6559F">
        <w:rPr>
          <w:rFonts w:ascii="Arial" w:hAnsi="Arial" w:cs="Arial"/>
          <w:lang w:val="en-GB"/>
        </w:rPr>
        <w:t>.</w:t>
      </w:r>
    </w:p>
    <w:p w14:paraId="44073D13" w14:textId="09ABADA4" w:rsidR="009D460A" w:rsidRPr="00A6559F" w:rsidRDefault="009D460A" w:rsidP="005072FA">
      <w:pPr>
        <w:pStyle w:val="NormalWeb"/>
        <w:numPr>
          <w:ilvl w:val="0"/>
          <w:numId w:val="10"/>
        </w:numPr>
        <w:shd w:val="clear" w:color="auto" w:fill="FFFFFF"/>
        <w:spacing w:line="360" w:lineRule="auto"/>
        <w:jc w:val="both"/>
        <w:rPr>
          <w:rFonts w:ascii="Arial" w:hAnsi="Arial" w:cs="Arial"/>
          <w:lang w:val="en-GB"/>
        </w:rPr>
      </w:pPr>
      <w:r w:rsidRPr="00A6559F">
        <w:rPr>
          <w:rFonts w:ascii="Arial" w:hAnsi="Arial" w:cs="Arial"/>
          <w:lang w:val="en-GB"/>
        </w:rPr>
        <w:t xml:space="preserve">Inputs to strategy: it is critical that the leadership and management connect the overall business objectives and goals to employee goals. Managers should learn, and train to connect the business objectives with what employees </w:t>
      </w:r>
      <w:proofErr w:type="gramStart"/>
      <w:r w:rsidRPr="00A6559F">
        <w:rPr>
          <w:rFonts w:ascii="Arial" w:hAnsi="Arial" w:cs="Arial"/>
          <w:lang w:val="en-GB"/>
        </w:rPr>
        <w:t>actually care</w:t>
      </w:r>
      <w:proofErr w:type="gramEnd"/>
      <w:r w:rsidRPr="00A6559F">
        <w:rPr>
          <w:rFonts w:ascii="Arial" w:hAnsi="Arial" w:cs="Arial"/>
          <w:lang w:val="en-GB"/>
        </w:rPr>
        <w:t xml:space="preserve"> about. The simultaneous attainment of goals will increase employee commitment, satisfactions well as engagement</w:t>
      </w:r>
      <w:r w:rsidR="002F7C48" w:rsidRPr="00A6559F">
        <w:rPr>
          <w:rFonts w:ascii="Arial" w:hAnsi="Arial" w:cs="Arial"/>
          <w:lang w:val="en-GB"/>
        </w:rPr>
        <w:t xml:space="preserve"> </w:t>
      </w:r>
      <w:r w:rsidR="002F7C48" w:rsidRPr="00A6559F">
        <w:rPr>
          <w:rFonts w:ascii="Arial" w:hAnsi="Arial" w:cs="Arial"/>
          <w:lang w:val="en-GB"/>
        </w:rPr>
        <w:fldChar w:fldCharType="begin" w:fldLock="1"/>
      </w:r>
      <w:r w:rsidR="002F7C48" w:rsidRPr="00A6559F">
        <w:rPr>
          <w:rFonts w:ascii="Arial" w:hAnsi="Arial" w:cs="Arial"/>
          <w:lang w:val="en-GB"/>
        </w:rPr>
        <w:instrText>ADDIN CSL_CITATION {"citationItems":[{"id":"ITEM-1","itemData":{"abstract":"The State of the Global Workplace: Employee Engagement Insights for Business Leaders Worldwide report highlights findings from Gallup’s ongoing study of workplaces in more than 140 countries from 2011 through 2012. This is a continuation of Gallup’s previous report on employee engagement worldwide, which covered data from 2009 through 2010. This latest report provides insights into what leaders can do to improve employee engagement and performance in their companies. It includes regional analyses of employee engagement data, country-level insights from Gallup consultants around the globe, a look at the impact of engagement on organizational and individual performance, and information about how companies can accelerate employee engagement.","author":[{"dropping-particle":"","family":"Gallup","given":"","non-dropping-particle":"","parse-names":false,"suffix":""}],"container-title":"Workplace Insights","id":"ITEM-1","issued":{"date-parts":[["2021"]]},"title":"State of the Global Workplace: 2021 Report","type":"article-journal"},"uris":["http://www.mendeley.com/documents/?uuid=6e314f59-a639-3c0e-89f9-c2c0e4d1af85"]}],"mendeley":{"formattedCitation":"(Gallup, 2021)","plainTextFormattedCitation":"(Gallup, 2021)","previouslyFormattedCitation":"(Gallup, 2021)"},"properties":{"noteIndex":0},"schema":"https://github.com/citation-style-language/schema/raw/master/csl-citation.json"}</w:instrText>
      </w:r>
      <w:r w:rsidR="002F7C48" w:rsidRPr="00A6559F">
        <w:rPr>
          <w:rFonts w:ascii="Arial" w:hAnsi="Arial" w:cs="Arial"/>
          <w:lang w:val="en-GB"/>
        </w:rPr>
        <w:fldChar w:fldCharType="separate"/>
      </w:r>
      <w:r w:rsidR="002F7C48" w:rsidRPr="00A6559F">
        <w:rPr>
          <w:rFonts w:ascii="Arial" w:hAnsi="Arial" w:cs="Arial"/>
          <w:noProof/>
          <w:lang w:val="en-GB"/>
        </w:rPr>
        <w:t>(Gallup, 2021)</w:t>
      </w:r>
      <w:r w:rsidR="002F7C48" w:rsidRPr="00A6559F">
        <w:rPr>
          <w:rFonts w:ascii="Arial" w:hAnsi="Arial" w:cs="Arial"/>
          <w:lang w:val="en-GB"/>
        </w:rPr>
        <w:fldChar w:fldCharType="end"/>
      </w:r>
      <w:r w:rsidRPr="00A6559F">
        <w:rPr>
          <w:rFonts w:ascii="Arial" w:hAnsi="Arial" w:cs="Arial"/>
          <w:lang w:val="en-GB"/>
        </w:rPr>
        <w:t xml:space="preserve">. </w:t>
      </w:r>
    </w:p>
    <w:p w14:paraId="5CEF2A25" w14:textId="455E9FA3" w:rsidR="00BF3908" w:rsidRPr="00A6559F" w:rsidRDefault="00857582" w:rsidP="005072FA">
      <w:pPr>
        <w:pStyle w:val="Heading1"/>
        <w:spacing w:line="360" w:lineRule="auto"/>
        <w:jc w:val="both"/>
        <w:rPr>
          <w:rFonts w:ascii="Arial" w:hAnsi="Arial" w:cs="Arial"/>
          <w:sz w:val="24"/>
          <w:szCs w:val="24"/>
          <w:shd w:val="clear" w:color="auto" w:fill="FFFFFF"/>
        </w:rPr>
      </w:pPr>
      <w:bookmarkStart w:id="4" w:name="_Toc91934428"/>
      <w:r w:rsidRPr="00A6559F">
        <w:rPr>
          <w:rFonts w:ascii="Arial" w:hAnsi="Arial" w:cs="Arial"/>
          <w:sz w:val="24"/>
          <w:szCs w:val="24"/>
          <w:shd w:val="clear" w:color="auto" w:fill="FFFFFF"/>
        </w:rPr>
        <w:t>Conclusions and recommendations</w:t>
      </w:r>
      <w:bookmarkEnd w:id="4"/>
    </w:p>
    <w:p w14:paraId="5A1F1A89" w14:textId="4771EB50" w:rsidR="00857582" w:rsidRPr="00A6559F" w:rsidRDefault="00857582" w:rsidP="005072FA">
      <w:pPr>
        <w:spacing w:line="360" w:lineRule="auto"/>
        <w:jc w:val="both"/>
        <w:rPr>
          <w:rFonts w:ascii="Arial" w:hAnsi="Arial" w:cs="Arial"/>
          <w:sz w:val="24"/>
          <w:szCs w:val="24"/>
        </w:rPr>
      </w:pPr>
      <w:r w:rsidRPr="00A6559F">
        <w:rPr>
          <w:rFonts w:ascii="Arial" w:hAnsi="Arial" w:cs="Arial"/>
          <w:sz w:val="24"/>
          <w:szCs w:val="24"/>
        </w:rPr>
        <w:t>Employees are true assets, and the heart of any organization. Organizations need to maintain highly engaged, committed</w:t>
      </w:r>
      <w:r w:rsidR="005072FA" w:rsidRPr="00A6559F">
        <w:rPr>
          <w:rFonts w:ascii="Arial" w:hAnsi="Arial" w:cs="Arial"/>
          <w:sz w:val="24"/>
          <w:szCs w:val="24"/>
        </w:rPr>
        <w:t>,</w:t>
      </w:r>
      <w:r w:rsidRPr="00A6559F">
        <w:rPr>
          <w:rFonts w:ascii="Arial" w:hAnsi="Arial" w:cs="Arial"/>
          <w:sz w:val="24"/>
          <w:szCs w:val="24"/>
        </w:rPr>
        <w:t xml:space="preserve"> and motivated employees for improved performance, growth</w:t>
      </w:r>
      <w:r w:rsidR="005072FA" w:rsidRPr="00A6559F">
        <w:rPr>
          <w:rFonts w:ascii="Arial" w:hAnsi="Arial" w:cs="Arial"/>
          <w:sz w:val="24"/>
          <w:szCs w:val="24"/>
        </w:rPr>
        <w:t>,</w:t>
      </w:r>
      <w:r w:rsidRPr="00A6559F">
        <w:rPr>
          <w:rFonts w:ascii="Arial" w:hAnsi="Arial" w:cs="Arial"/>
          <w:sz w:val="24"/>
          <w:szCs w:val="24"/>
        </w:rPr>
        <w:t xml:space="preserve"> and success. In post</w:t>
      </w:r>
      <w:r w:rsidR="005072FA" w:rsidRPr="00A6559F">
        <w:rPr>
          <w:rFonts w:ascii="Arial" w:hAnsi="Arial" w:cs="Arial"/>
          <w:sz w:val="24"/>
          <w:szCs w:val="24"/>
        </w:rPr>
        <w:t>-</w:t>
      </w:r>
      <w:r w:rsidRPr="00A6559F">
        <w:rPr>
          <w:rFonts w:ascii="Arial" w:hAnsi="Arial" w:cs="Arial"/>
          <w:sz w:val="24"/>
          <w:szCs w:val="24"/>
        </w:rPr>
        <w:t>Covid- times that are riddled with changing work environments, evolving work-life balance, and changing needs of the employees, organizations</w:t>
      </w:r>
      <w:r w:rsidR="005072FA" w:rsidRPr="00A6559F">
        <w:rPr>
          <w:rFonts w:ascii="Arial" w:hAnsi="Arial" w:cs="Arial"/>
          <w:sz w:val="24"/>
          <w:szCs w:val="24"/>
        </w:rPr>
        <w:t>,</w:t>
      </w:r>
      <w:r w:rsidRPr="00A6559F">
        <w:rPr>
          <w:rFonts w:ascii="Arial" w:hAnsi="Arial" w:cs="Arial"/>
          <w:sz w:val="24"/>
          <w:szCs w:val="24"/>
        </w:rPr>
        <w:t xml:space="preserve"> and managers should maintain focus on trust and respect. Managers should remember to treat their employees with </w:t>
      </w:r>
      <w:proofErr w:type="gramStart"/>
      <w:r w:rsidRPr="00A6559F">
        <w:rPr>
          <w:rFonts w:ascii="Arial" w:hAnsi="Arial" w:cs="Arial"/>
          <w:sz w:val="24"/>
          <w:szCs w:val="24"/>
        </w:rPr>
        <w:t>respect, and</w:t>
      </w:r>
      <w:proofErr w:type="gramEnd"/>
      <w:r w:rsidRPr="00A6559F">
        <w:rPr>
          <w:rFonts w:ascii="Arial" w:hAnsi="Arial" w:cs="Arial"/>
          <w:sz w:val="24"/>
          <w:szCs w:val="24"/>
        </w:rPr>
        <w:t xml:space="preserve"> </w:t>
      </w:r>
      <w:proofErr w:type="spellStart"/>
      <w:r w:rsidRPr="00A6559F">
        <w:rPr>
          <w:rFonts w:ascii="Arial" w:hAnsi="Arial" w:cs="Arial"/>
          <w:sz w:val="24"/>
          <w:szCs w:val="24"/>
        </w:rPr>
        <w:t>instill</w:t>
      </w:r>
      <w:proofErr w:type="spellEnd"/>
      <w:r w:rsidRPr="00A6559F">
        <w:rPr>
          <w:rFonts w:ascii="Arial" w:hAnsi="Arial" w:cs="Arial"/>
          <w:sz w:val="24"/>
          <w:szCs w:val="24"/>
        </w:rPr>
        <w:t xml:space="preserve"> a culture of recognition and responsibility. Organizations need to employ different employee engagement strategies to be able to innovate and grow, and this engagement can be achieved and developed through cultivating and nurturing engagement drivers, and tapping into intrinsic employee needs via open, honest</w:t>
      </w:r>
      <w:r w:rsidR="005072FA" w:rsidRPr="00A6559F">
        <w:rPr>
          <w:rFonts w:ascii="Arial" w:hAnsi="Arial" w:cs="Arial"/>
          <w:sz w:val="24"/>
          <w:szCs w:val="24"/>
        </w:rPr>
        <w:t>,</w:t>
      </w:r>
      <w:r w:rsidRPr="00A6559F">
        <w:rPr>
          <w:rFonts w:ascii="Arial" w:hAnsi="Arial" w:cs="Arial"/>
          <w:sz w:val="24"/>
          <w:szCs w:val="24"/>
        </w:rPr>
        <w:t xml:space="preserve"> and frequent communication. Managers and organizational leadership, at the same time, should also develop perceptions of integrity and justice in its internal systems for maintaining high employee engagement and credibility. Lastly, the organization should continually employ multiple tools to measure employee </w:t>
      </w:r>
      <w:proofErr w:type="gramStart"/>
      <w:r w:rsidRPr="00A6559F">
        <w:rPr>
          <w:rFonts w:ascii="Arial" w:hAnsi="Arial" w:cs="Arial"/>
          <w:sz w:val="24"/>
          <w:szCs w:val="24"/>
        </w:rPr>
        <w:t>engagement, and</w:t>
      </w:r>
      <w:proofErr w:type="gramEnd"/>
      <w:r w:rsidRPr="00A6559F">
        <w:rPr>
          <w:rFonts w:ascii="Arial" w:hAnsi="Arial" w:cs="Arial"/>
          <w:sz w:val="24"/>
          <w:szCs w:val="24"/>
        </w:rPr>
        <w:t xml:space="preserve"> introduce relevant interventions where needed based on the results. </w:t>
      </w:r>
    </w:p>
    <w:p w14:paraId="5E30C314" w14:textId="7574CD01" w:rsidR="00E85F70" w:rsidRPr="00A6559F" w:rsidRDefault="00E85F70" w:rsidP="005072FA">
      <w:pPr>
        <w:spacing w:line="360" w:lineRule="auto"/>
        <w:jc w:val="both"/>
        <w:rPr>
          <w:rFonts w:ascii="Arial" w:hAnsi="Arial" w:cs="Arial"/>
          <w:sz w:val="24"/>
          <w:szCs w:val="24"/>
        </w:rPr>
      </w:pPr>
    </w:p>
    <w:p w14:paraId="06E1CA7D" w14:textId="77777777" w:rsidR="00C85531" w:rsidRPr="00A6559F" w:rsidRDefault="00C85531" w:rsidP="005072FA">
      <w:pPr>
        <w:spacing w:line="360" w:lineRule="auto"/>
        <w:jc w:val="both"/>
        <w:rPr>
          <w:rFonts w:ascii="Arial" w:hAnsi="Arial" w:cs="Arial"/>
          <w:sz w:val="24"/>
          <w:szCs w:val="24"/>
        </w:rPr>
      </w:pPr>
    </w:p>
    <w:p w14:paraId="1F21D229" w14:textId="77777777" w:rsidR="00C85531" w:rsidRPr="00A6559F" w:rsidRDefault="00C85531" w:rsidP="005072FA">
      <w:pPr>
        <w:spacing w:line="360" w:lineRule="auto"/>
        <w:jc w:val="both"/>
        <w:rPr>
          <w:rFonts w:ascii="Arial" w:hAnsi="Arial" w:cs="Arial"/>
          <w:sz w:val="24"/>
          <w:szCs w:val="24"/>
        </w:rPr>
      </w:pPr>
    </w:p>
    <w:p w14:paraId="6F8843F0" w14:textId="77777777" w:rsidR="00C85531" w:rsidRPr="00A6559F" w:rsidRDefault="00C85531" w:rsidP="005072FA">
      <w:pPr>
        <w:spacing w:line="360" w:lineRule="auto"/>
        <w:jc w:val="both"/>
        <w:rPr>
          <w:rFonts w:ascii="Arial" w:hAnsi="Arial" w:cs="Arial"/>
          <w:sz w:val="24"/>
          <w:szCs w:val="24"/>
        </w:rPr>
      </w:pPr>
    </w:p>
    <w:p w14:paraId="59A32E3F" w14:textId="77777777" w:rsidR="00C85531" w:rsidRPr="00A6559F" w:rsidRDefault="00C85531" w:rsidP="005072FA">
      <w:pPr>
        <w:spacing w:line="360" w:lineRule="auto"/>
        <w:jc w:val="both"/>
        <w:rPr>
          <w:rFonts w:ascii="Arial" w:hAnsi="Arial" w:cs="Arial"/>
          <w:sz w:val="24"/>
          <w:szCs w:val="24"/>
        </w:rPr>
      </w:pPr>
    </w:p>
    <w:p w14:paraId="4DB25059" w14:textId="77777777" w:rsidR="00C85531" w:rsidRPr="00A6559F" w:rsidRDefault="00C85531" w:rsidP="005072FA">
      <w:pPr>
        <w:spacing w:line="360" w:lineRule="auto"/>
        <w:jc w:val="both"/>
        <w:rPr>
          <w:rFonts w:ascii="Arial" w:hAnsi="Arial" w:cs="Arial"/>
          <w:sz w:val="24"/>
          <w:szCs w:val="24"/>
        </w:rPr>
      </w:pPr>
    </w:p>
    <w:p w14:paraId="4CC14185" w14:textId="7FB7801B" w:rsidR="00C85531" w:rsidRPr="00A6559F" w:rsidRDefault="00C85531" w:rsidP="005072FA">
      <w:pPr>
        <w:pStyle w:val="Heading1"/>
        <w:spacing w:line="360" w:lineRule="auto"/>
        <w:rPr>
          <w:rFonts w:ascii="Arial" w:hAnsi="Arial" w:cs="Arial"/>
          <w:sz w:val="24"/>
          <w:szCs w:val="24"/>
        </w:rPr>
      </w:pPr>
      <w:bookmarkStart w:id="5" w:name="_Toc91934429"/>
      <w:r w:rsidRPr="00A6559F">
        <w:rPr>
          <w:rFonts w:ascii="Arial" w:hAnsi="Arial" w:cs="Arial"/>
          <w:sz w:val="24"/>
          <w:szCs w:val="24"/>
        </w:rPr>
        <w:lastRenderedPageBreak/>
        <w:t>References</w:t>
      </w:r>
      <w:bookmarkEnd w:id="5"/>
    </w:p>
    <w:p w14:paraId="66EEA8C8" w14:textId="4AF68B0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sz w:val="24"/>
          <w:szCs w:val="24"/>
        </w:rPr>
        <w:fldChar w:fldCharType="begin" w:fldLock="1"/>
      </w:r>
      <w:r w:rsidRPr="00A6559F">
        <w:rPr>
          <w:rFonts w:ascii="Arial" w:hAnsi="Arial" w:cs="Arial"/>
          <w:sz w:val="24"/>
          <w:szCs w:val="24"/>
        </w:rPr>
        <w:instrText xml:space="preserve">ADDIN Mendeley Bibliography CSL_BIBLIOGRAPHY </w:instrText>
      </w:r>
      <w:r w:rsidRPr="00A6559F">
        <w:rPr>
          <w:rFonts w:ascii="Arial" w:hAnsi="Arial" w:cs="Arial"/>
          <w:sz w:val="24"/>
          <w:szCs w:val="24"/>
        </w:rPr>
        <w:fldChar w:fldCharType="separate"/>
      </w:r>
      <w:r w:rsidRPr="00A6559F">
        <w:rPr>
          <w:rFonts w:ascii="Arial" w:hAnsi="Arial" w:cs="Arial"/>
          <w:noProof/>
          <w:sz w:val="24"/>
          <w:szCs w:val="24"/>
        </w:rPr>
        <w:t xml:space="preserve">Armstrong, M. and Taylor, S. (2014) </w:t>
      </w:r>
      <w:r w:rsidRPr="00A6559F">
        <w:rPr>
          <w:rFonts w:ascii="Arial" w:hAnsi="Arial" w:cs="Arial"/>
          <w:i/>
          <w:iCs/>
          <w:noProof/>
          <w:sz w:val="24"/>
          <w:szCs w:val="24"/>
        </w:rPr>
        <w:t>Armstrong’s Handbook of Human Resource Management 13th Edition</w:t>
      </w:r>
      <w:r w:rsidRPr="00A6559F">
        <w:rPr>
          <w:rFonts w:ascii="Arial" w:hAnsi="Arial" w:cs="Arial"/>
          <w:noProof/>
          <w:sz w:val="24"/>
          <w:szCs w:val="24"/>
        </w:rPr>
        <w:t xml:space="preserve">, </w:t>
      </w:r>
      <w:r w:rsidRPr="00A6559F">
        <w:rPr>
          <w:rFonts w:ascii="Arial" w:hAnsi="Arial" w:cs="Arial"/>
          <w:i/>
          <w:iCs/>
          <w:noProof/>
          <w:sz w:val="24"/>
          <w:szCs w:val="24"/>
        </w:rPr>
        <w:t>Armstrong’s Handbook of Human Resource Management</w:t>
      </w:r>
      <w:r w:rsidRPr="00A6559F">
        <w:rPr>
          <w:rFonts w:ascii="Arial" w:hAnsi="Arial" w:cs="Arial"/>
          <w:noProof/>
          <w:sz w:val="24"/>
          <w:szCs w:val="24"/>
        </w:rPr>
        <w:t>.</w:t>
      </w:r>
    </w:p>
    <w:p w14:paraId="6CCDDF70" w14:textId="19BBB204"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Armstrong, S. (2014) </w:t>
      </w:r>
      <w:r w:rsidRPr="00A6559F">
        <w:rPr>
          <w:rFonts w:ascii="Arial" w:hAnsi="Arial" w:cs="Arial"/>
          <w:i/>
          <w:iCs/>
          <w:noProof/>
          <w:sz w:val="24"/>
          <w:szCs w:val="24"/>
        </w:rPr>
        <w:t>Handbook of human resource management in government</w:t>
      </w:r>
      <w:r w:rsidRPr="00A6559F">
        <w:rPr>
          <w:rFonts w:ascii="Arial" w:hAnsi="Arial" w:cs="Arial"/>
          <w:noProof/>
          <w:sz w:val="24"/>
          <w:szCs w:val="24"/>
        </w:rPr>
        <w:t xml:space="preserve">, </w:t>
      </w:r>
      <w:r w:rsidRPr="00A6559F">
        <w:rPr>
          <w:rFonts w:ascii="Arial" w:hAnsi="Arial" w:cs="Arial"/>
          <w:i/>
          <w:iCs/>
          <w:noProof/>
          <w:sz w:val="24"/>
          <w:szCs w:val="24"/>
        </w:rPr>
        <w:t>John Wiley &amp; Sons</w:t>
      </w:r>
      <w:r w:rsidRPr="00A6559F">
        <w:rPr>
          <w:rFonts w:ascii="Arial" w:hAnsi="Arial" w:cs="Arial"/>
          <w:noProof/>
          <w:sz w:val="24"/>
          <w:szCs w:val="24"/>
        </w:rPr>
        <w:t>.</w:t>
      </w:r>
    </w:p>
    <w:p w14:paraId="3101C346"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Baldoni, J. (2013) ‘Employee Engagement Does More than Boost Productivity’, </w:t>
      </w:r>
      <w:r w:rsidRPr="00A6559F">
        <w:rPr>
          <w:rFonts w:ascii="Arial" w:hAnsi="Arial" w:cs="Arial"/>
          <w:i/>
          <w:iCs/>
          <w:noProof/>
          <w:sz w:val="24"/>
          <w:szCs w:val="24"/>
        </w:rPr>
        <w:t>Harvard Business Review</w:t>
      </w:r>
      <w:r w:rsidRPr="00A6559F">
        <w:rPr>
          <w:rFonts w:ascii="Arial" w:hAnsi="Arial" w:cs="Arial"/>
          <w:noProof/>
          <w:sz w:val="24"/>
          <w:szCs w:val="24"/>
        </w:rPr>
        <w:t>.</w:t>
      </w:r>
    </w:p>
    <w:p w14:paraId="2BAD2A60"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Byrne, Z. S., Peters, J. M. and Weston, J. W. (2016) ‘The struggle with employee engagement: Measures and construct clarification using five samples’, </w:t>
      </w:r>
      <w:r w:rsidRPr="00A6559F">
        <w:rPr>
          <w:rFonts w:ascii="Arial" w:hAnsi="Arial" w:cs="Arial"/>
          <w:i/>
          <w:iCs/>
          <w:noProof/>
          <w:sz w:val="24"/>
          <w:szCs w:val="24"/>
        </w:rPr>
        <w:t>Journal of Applied Psychology</w:t>
      </w:r>
      <w:r w:rsidRPr="00A6559F">
        <w:rPr>
          <w:rFonts w:ascii="Arial" w:hAnsi="Arial" w:cs="Arial"/>
          <w:noProof/>
          <w:sz w:val="24"/>
          <w:szCs w:val="24"/>
        </w:rPr>
        <w:t>, 101(9). doi: 10.1037/apl0000124.</w:t>
      </w:r>
    </w:p>
    <w:p w14:paraId="2D3F6577"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Cattermole, G. (2018) ‘Creating an employee engagement strategy for millennials’, </w:t>
      </w:r>
      <w:r w:rsidRPr="00A6559F">
        <w:rPr>
          <w:rFonts w:ascii="Arial" w:hAnsi="Arial" w:cs="Arial"/>
          <w:i/>
          <w:iCs/>
          <w:noProof/>
          <w:sz w:val="24"/>
          <w:szCs w:val="24"/>
        </w:rPr>
        <w:t>Strategic HR Review</w:t>
      </w:r>
      <w:r w:rsidRPr="00A6559F">
        <w:rPr>
          <w:rFonts w:ascii="Arial" w:hAnsi="Arial" w:cs="Arial"/>
          <w:noProof/>
          <w:sz w:val="24"/>
          <w:szCs w:val="24"/>
        </w:rPr>
        <w:t>, 17(6). doi: 10.1108/shr-07-2018-0059.</w:t>
      </w:r>
    </w:p>
    <w:p w14:paraId="74244FBB"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Chanana, N. and Sangeeta (2021) ‘Employee engagement practices during COVID-19 lockdown’, </w:t>
      </w:r>
      <w:r w:rsidRPr="00A6559F">
        <w:rPr>
          <w:rFonts w:ascii="Arial" w:hAnsi="Arial" w:cs="Arial"/>
          <w:i/>
          <w:iCs/>
          <w:noProof/>
          <w:sz w:val="24"/>
          <w:szCs w:val="24"/>
        </w:rPr>
        <w:t>Journal of Public Affairs</w:t>
      </w:r>
      <w:r w:rsidRPr="00A6559F">
        <w:rPr>
          <w:rFonts w:ascii="Arial" w:hAnsi="Arial" w:cs="Arial"/>
          <w:noProof/>
          <w:sz w:val="24"/>
          <w:szCs w:val="24"/>
        </w:rPr>
        <w:t>, 21(4). doi: 10.1002/pa.2508.</w:t>
      </w:r>
    </w:p>
    <w:p w14:paraId="3013C068"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Dinh, L. N. (2020) ‘Determinants of employee engagement mediated by work-life balance and work stress’, </w:t>
      </w:r>
      <w:r w:rsidRPr="00A6559F">
        <w:rPr>
          <w:rFonts w:ascii="Arial" w:hAnsi="Arial" w:cs="Arial"/>
          <w:i/>
          <w:iCs/>
          <w:noProof/>
          <w:sz w:val="24"/>
          <w:szCs w:val="24"/>
        </w:rPr>
        <w:t>Management Science Letters</w:t>
      </w:r>
      <w:r w:rsidRPr="00A6559F">
        <w:rPr>
          <w:rFonts w:ascii="Arial" w:hAnsi="Arial" w:cs="Arial"/>
          <w:noProof/>
          <w:sz w:val="24"/>
          <w:szCs w:val="24"/>
        </w:rPr>
        <w:t>, 10(4). doi: 10.5267/j.msl.2019.10.003.</w:t>
      </w:r>
    </w:p>
    <w:p w14:paraId="00C918D9"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Gallup (2021) ‘State of the Global Workplace: 2021 Report’, </w:t>
      </w:r>
      <w:r w:rsidRPr="00A6559F">
        <w:rPr>
          <w:rFonts w:ascii="Arial" w:hAnsi="Arial" w:cs="Arial"/>
          <w:i/>
          <w:iCs/>
          <w:noProof/>
          <w:sz w:val="24"/>
          <w:szCs w:val="24"/>
        </w:rPr>
        <w:t>Workplace Insights</w:t>
      </w:r>
      <w:r w:rsidRPr="00A6559F">
        <w:rPr>
          <w:rFonts w:ascii="Arial" w:hAnsi="Arial" w:cs="Arial"/>
          <w:noProof/>
          <w:sz w:val="24"/>
          <w:szCs w:val="24"/>
        </w:rPr>
        <w:t>.</w:t>
      </w:r>
    </w:p>
    <w:p w14:paraId="3DCADFC0"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Gifford, J. </w:t>
      </w:r>
      <w:r w:rsidRPr="00A6559F">
        <w:rPr>
          <w:rFonts w:ascii="Arial" w:hAnsi="Arial" w:cs="Arial"/>
          <w:i/>
          <w:iCs/>
          <w:noProof/>
          <w:sz w:val="24"/>
          <w:szCs w:val="24"/>
        </w:rPr>
        <w:t>et al.</w:t>
      </w:r>
      <w:r w:rsidRPr="00A6559F">
        <w:rPr>
          <w:rFonts w:ascii="Arial" w:hAnsi="Arial" w:cs="Arial"/>
          <w:noProof/>
          <w:sz w:val="24"/>
          <w:szCs w:val="24"/>
        </w:rPr>
        <w:t xml:space="preserve"> (2021) ‘Employee engagement: definitions, measures and outcomes’, </w:t>
      </w:r>
      <w:r w:rsidRPr="00A6559F">
        <w:rPr>
          <w:rFonts w:ascii="Arial" w:hAnsi="Arial" w:cs="Arial"/>
          <w:i/>
          <w:iCs/>
          <w:noProof/>
          <w:sz w:val="24"/>
          <w:szCs w:val="24"/>
        </w:rPr>
        <w:t>CIPD</w:t>
      </w:r>
      <w:r w:rsidRPr="00A6559F">
        <w:rPr>
          <w:rFonts w:ascii="Arial" w:hAnsi="Arial" w:cs="Arial"/>
          <w:noProof/>
          <w:sz w:val="24"/>
          <w:szCs w:val="24"/>
        </w:rPr>
        <w:t>.</w:t>
      </w:r>
    </w:p>
    <w:p w14:paraId="2AF694F4"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Gruman, J. A. and Saks, A. M. (2011) ‘Performance management and employee engagement’, </w:t>
      </w:r>
      <w:r w:rsidRPr="00A6559F">
        <w:rPr>
          <w:rFonts w:ascii="Arial" w:hAnsi="Arial" w:cs="Arial"/>
          <w:i/>
          <w:iCs/>
          <w:noProof/>
          <w:sz w:val="24"/>
          <w:szCs w:val="24"/>
        </w:rPr>
        <w:t>Human Resource Management Review</w:t>
      </w:r>
      <w:r w:rsidRPr="00A6559F">
        <w:rPr>
          <w:rFonts w:ascii="Arial" w:hAnsi="Arial" w:cs="Arial"/>
          <w:noProof/>
          <w:sz w:val="24"/>
          <w:szCs w:val="24"/>
        </w:rPr>
        <w:t>, 21(2). doi: 10.1016/j.hrmr.2010.09.004.</w:t>
      </w:r>
    </w:p>
    <w:p w14:paraId="50BD2F87"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Imandin, L., Bisschoff, C. and Botha, C. (2014) ‘A model to measure employee engagement’, </w:t>
      </w:r>
      <w:r w:rsidRPr="00A6559F">
        <w:rPr>
          <w:rFonts w:ascii="Arial" w:hAnsi="Arial" w:cs="Arial"/>
          <w:i/>
          <w:iCs/>
          <w:noProof/>
          <w:sz w:val="24"/>
          <w:szCs w:val="24"/>
        </w:rPr>
        <w:t>Problems and Perspectives in Management</w:t>
      </w:r>
      <w:r w:rsidRPr="00A6559F">
        <w:rPr>
          <w:rFonts w:ascii="Arial" w:hAnsi="Arial" w:cs="Arial"/>
          <w:noProof/>
          <w:sz w:val="24"/>
          <w:szCs w:val="24"/>
        </w:rPr>
        <w:t>, 12(4).</w:t>
      </w:r>
    </w:p>
    <w:p w14:paraId="04D5348C"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Kaushik, M. and Guleria, N. (2020) ‘Employee Relations and Engagement During Covid-19’, </w:t>
      </w:r>
      <w:r w:rsidRPr="00A6559F">
        <w:rPr>
          <w:rFonts w:ascii="Arial" w:hAnsi="Arial" w:cs="Arial"/>
          <w:i/>
          <w:iCs/>
          <w:noProof/>
          <w:sz w:val="24"/>
          <w:szCs w:val="24"/>
        </w:rPr>
        <w:t>Sparkling International Journal of Multidisciplinary Research Studies</w:t>
      </w:r>
      <w:r w:rsidRPr="00A6559F">
        <w:rPr>
          <w:rFonts w:ascii="Arial" w:hAnsi="Arial" w:cs="Arial"/>
          <w:noProof/>
          <w:sz w:val="24"/>
          <w:szCs w:val="24"/>
        </w:rPr>
        <w:t>, 3(2).</w:t>
      </w:r>
    </w:p>
    <w:p w14:paraId="024DA4EC"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Nienaber, H. (2019) ‘Employee engagement: Driving strategy implementation </w:t>
      </w:r>
      <w:r w:rsidRPr="00A6559F">
        <w:rPr>
          <w:rFonts w:ascii="Arial" w:hAnsi="Arial" w:cs="Arial"/>
          <w:noProof/>
          <w:sz w:val="24"/>
          <w:szCs w:val="24"/>
        </w:rPr>
        <w:lastRenderedPageBreak/>
        <w:t xml:space="preserve">through dimensions of organisation’, </w:t>
      </w:r>
      <w:r w:rsidRPr="00A6559F">
        <w:rPr>
          <w:rFonts w:ascii="Arial" w:hAnsi="Arial" w:cs="Arial"/>
          <w:i/>
          <w:iCs/>
          <w:noProof/>
          <w:sz w:val="24"/>
          <w:szCs w:val="24"/>
        </w:rPr>
        <w:t>Journal of Management and Organization</w:t>
      </w:r>
      <w:r w:rsidRPr="00A6559F">
        <w:rPr>
          <w:rFonts w:ascii="Arial" w:hAnsi="Arial" w:cs="Arial"/>
          <w:noProof/>
          <w:sz w:val="24"/>
          <w:szCs w:val="24"/>
        </w:rPr>
        <w:t>. doi: 10.1017/jmo.2019.22.</w:t>
      </w:r>
    </w:p>
    <w:p w14:paraId="77BC9ED7"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Pritchard, K. (2008) ‘Effectively measure employee engagement’, </w:t>
      </w:r>
      <w:r w:rsidRPr="00A6559F">
        <w:rPr>
          <w:rFonts w:ascii="Arial" w:hAnsi="Arial" w:cs="Arial"/>
          <w:i/>
          <w:iCs/>
          <w:noProof/>
          <w:sz w:val="24"/>
          <w:szCs w:val="24"/>
        </w:rPr>
        <w:t>Strategic HR Review</w:t>
      </w:r>
      <w:r w:rsidRPr="00A6559F">
        <w:rPr>
          <w:rFonts w:ascii="Arial" w:hAnsi="Arial" w:cs="Arial"/>
          <w:noProof/>
          <w:sz w:val="24"/>
          <w:szCs w:val="24"/>
        </w:rPr>
        <w:t>, 7(2). doi: 10.1108/shr.2008.37207baf.003.</w:t>
      </w:r>
    </w:p>
    <w:p w14:paraId="1A268549"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Starbucks (2013) ‘Facts About Starbucks and Our Partners (Employees)’, </w:t>
      </w:r>
      <w:r w:rsidRPr="00A6559F">
        <w:rPr>
          <w:rFonts w:ascii="Arial" w:hAnsi="Arial" w:cs="Arial"/>
          <w:i/>
          <w:iCs/>
          <w:noProof/>
          <w:sz w:val="24"/>
          <w:szCs w:val="24"/>
        </w:rPr>
        <w:t>Starbucks.com</w:t>
      </w:r>
      <w:r w:rsidRPr="00A6559F">
        <w:rPr>
          <w:rFonts w:ascii="Arial" w:hAnsi="Arial" w:cs="Arial"/>
          <w:noProof/>
          <w:sz w:val="24"/>
          <w:szCs w:val="24"/>
        </w:rPr>
        <w:t>.</w:t>
      </w:r>
    </w:p>
    <w:p w14:paraId="52D41091"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Starbucks (2016) ‘History of Partner Benefits at Starbucks’, </w:t>
      </w:r>
      <w:r w:rsidRPr="00A6559F">
        <w:rPr>
          <w:rFonts w:ascii="Arial" w:hAnsi="Arial" w:cs="Arial"/>
          <w:i/>
          <w:iCs/>
          <w:noProof/>
          <w:sz w:val="24"/>
          <w:szCs w:val="24"/>
        </w:rPr>
        <w:t>Starbucks.com</w:t>
      </w:r>
      <w:r w:rsidRPr="00A6559F">
        <w:rPr>
          <w:rFonts w:ascii="Arial" w:hAnsi="Arial" w:cs="Arial"/>
          <w:noProof/>
          <w:sz w:val="24"/>
          <w:szCs w:val="24"/>
        </w:rPr>
        <w:t>.</w:t>
      </w:r>
    </w:p>
    <w:p w14:paraId="2C8C7CB8"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Sun, L. and Bunchapattanasakda, C. (2019) ‘Employee Engagement: A Literature Review’, </w:t>
      </w:r>
      <w:r w:rsidRPr="00A6559F">
        <w:rPr>
          <w:rFonts w:ascii="Arial" w:hAnsi="Arial" w:cs="Arial"/>
          <w:i/>
          <w:iCs/>
          <w:noProof/>
          <w:sz w:val="24"/>
          <w:szCs w:val="24"/>
        </w:rPr>
        <w:t>International Journal of Human Resource Studies</w:t>
      </w:r>
      <w:r w:rsidRPr="00A6559F">
        <w:rPr>
          <w:rFonts w:ascii="Arial" w:hAnsi="Arial" w:cs="Arial"/>
          <w:noProof/>
          <w:sz w:val="24"/>
          <w:szCs w:val="24"/>
        </w:rPr>
        <w:t>, 9(1). doi: 10.5296/ijhrs.v9i1.14167.</w:t>
      </w:r>
    </w:p>
    <w:p w14:paraId="249963DB"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Taylor, S. (2014) ‘Resourcing and Talent Management Strategies’, </w:t>
      </w:r>
      <w:r w:rsidRPr="00A6559F">
        <w:rPr>
          <w:rFonts w:ascii="Arial" w:hAnsi="Arial" w:cs="Arial"/>
          <w:i/>
          <w:iCs/>
          <w:noProof/>
          <w:sz w:val="24"/>
          <w:szCs w:val="24"/>
        </w:rPr>
        <w:t>Resourcing and Talent Management</w:t>
      </w:r>
      <w:r w:rsidRPr="00A6559F">
        <w:rPr>
          <w:rFonts w:ascii="Arial" w:hAnsi="Arial" w:cs="Arial"/>
          <w:noProof/>
          <w:sz w:val="24"/>
          <w:szCs w:val="24"/>
        </w:rPr>
        <w:t>.</w:t>
      </w:r>
    </w:p>
    <w:p w14:paraId="2B988733"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Weideman, M. and Hofmeyr, K. B. (2020) ‘The influence of flexible work arrangements on employee engagement: An exploratory study’, </w:t>
      </w:r>
      <w:r w:rsidRPr="00A6559F">
        <w:rPr>
          <w:rFonts w:ascii="Arial" w:hAnsi="Arial" w:cs="Arial"/>
          <w:i/>
          <w:iCs/>
          <w:noProof/>
          <w:sz w:val="24"/>
          <w:szCs w:val="24"/>
        </w:rPr>
        <w:t>SA Journal of Human Resource Management</w:t>
      </w:r>
      <w:r w:rsidRPr="00A6559F">
        <w:rPr>
          <w:rFonts w:ascii="Arial" w:hAnsi="Arial" w:cs="Arial"/>
          <w:noProof/>
          <w:sz w:val="24"/>
          <w:szCs w:val="24"/>
        </w:rPr>
        <w:t>, 18. doi: 10.4102/sajhrm.v18i0.1209.</w:t>
      </w:r>
    </w:p>
    <w:p w14:paraId="158783AD" w14:textId="77777777" w:rsidR="00C85531" w:rsidRPr="00A6559F" w:rsidRDefault="00C85531" w:rsidP="005072FA">
      <w:pPr>
        <w:widowControl w:val="0"/>
        <w:autoSpaceDE w:val="0"/>
        <w:autoSpaceDN w:val="0"/>
        <w:adjustRightInd w:val="0"/>
        <w:spacing w:line="360" w:lineRule="auto"/>
        <w:rPr>
          <w:rFonts w:ascii="Arial" w:hAnsi="Arial" w:cs="Arial"/>
          <w:noProof/>
          <w:sz w:val="24"/>
          <w:szCs w:val="24"/>
        </w:rPr>
      </w:pPr>
      <w:r w:rsidRPr="00A6559F">
        <w:rPr>
          <w:rFonts w:ascii="Arial" w:hAnsi="Arial" w:cs="Arial"/>
          <w:noProof/>
          <w:sz w:val="24"/>
          <w:szCs w:val="24"/>
        </w:rPr>
        <w:t xml:space="preserve">Zeuch, M. (2016) </w:t>
      </w:r>
      <w:r w:rsidRPr="00A6559F">
        <w:rPr>
          <w:rFonts w:ascii="Arial" w:hAnsi="Arial" w:cs="Arial"/>
          <w:i/>
          <w:iCs/>
          <w:noProof/>
          <w:sz w:val="24"/>
          <w:szCs w:val="24"/>
        </w:rPr>
        <w:t>Handbook of human resources management</w:t>
      </w:r>
      <w:r w:rsidRPr="00A6559F">
        <w:rPr>
          <w:rFonts w:ascii="Arial" w:hAnsi="Arial" w:cs="Arial"/>
          <w:noProof/>
          <w:sz w:val="24"/>
          <w:szCs w:val="24"/>
        </w:rPr>
        <w:t xml:space="preserve">, </w:t>
      </w:r>
      <w:r w:rsidRPr="00A6559F">
        <w:rPr>
          <w:rFonts w:ascii="Arial" w:hAnsi="Arial" w:cs="Arial"/>
          <w:i/>
          <w:iCs/>
          <w:noProof/>
          <w:sz w:val="24"/>
          <w:szCs w:val="24"/>
        </w:rPr>
        <w:t>Handbook of Human Resources Management</w:t>
      </w:r>
      <w:r w:rsidRPr="00A6559F">
        <w:rPr>
          <w:rFonts w:ascii="Arial" w:hAnsi="Arial" w:cs="Arial"/>
          <w:noProof/>
          <w:sz w:val="24"/>
          <w:szCs w:val="24"/>
        </w:rPr>
        <w:t>. doi: 10.1007/978-3-662-44152-7.</w:t>
      </w:r>
    </w:p>
    <w:p w14:paraId="43B7DD74" w14:textId="63E45DFC" w:rsidR="00C85531" w:rsidRPr="00A6559F" w:rsidRDefault="00C85531" w:rsidP="005072FA">
      <w:pPr>
        <w:spacing w:line="360" w:lineRule="auto"/>
        <w:rPr>
          <w:rFonts w:ascii="Arial" w:hAnsi="Arial" w:cs="Arial"/>
          <w:sz w:val="24"/>
          <w:szCs w:val="24"/>
        </w:rPr>
      </w:pPr>
      <w:r w:rsidRPr="00A6559F">
        <w:rPr>
          <w:rFonts w:ascii="Arial" w:hAnsi="Arial" w:cs="Arial"/>
          <w:sz w:val="24"/>
          <w:szCs w:val="24"/>
        </w:rPr>
        <w:fldChar w:fldCharType="end"/>
      </w:r>
    </w:p>
    <w:sectPr w:rsidR="00C85531" w:rsidRPr="00A6559F" w:rsidSect="00BA395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FFD94" w14:textId="77777777" w:rsidR="00917E52" w:rsidRDefault="00917E52" w:rsidP="005072FA">
      <w:pPr>
        <w:spacing w:after="0" w:line="240" w:lineRule="auto"/>
      </w:pPr>
      <w:r>
        <w:separator/>
      </w:r>
    </w:p>
  </w:endnote>
  <w:endnote w:type="continuationSeparator" w:id="0">
    <w:p w14:paraId="53728696" w14:textId="77777777" w:rsidR="00917E52" w:rsidRDefault="00917E52" w:rsidP="00507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DC360" w14:textId="77777777" w:rsidR="005072FA" w:rsidRDefault="005072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793343"/>
      <w:docPartObj>
        <w:docPartGallery w:val="Page Numbers (Bottom of Page)"/>
        <w:docPartUnique/>
      </w:docPartObj>
    </w:sdtPr>
    <w:sdtEndPr>
      <w:rPr>
        <w:noProof/>
      </w:rPr>
    </w:sdtEndPr>
    <w:sdtContent>
      <w:p w14:paraId="746B0AA7" w14:textId="012146D5" w:rsidR="005072FA" w:rsidRDefault="005072FA">
        <w:pPr>
          <w:pStyle w:val="Footer"/>
          <w:jc w:val="center"/>
        </w:pPr>
        <w:r>
          <w:fldChar w:fldCharType="begin"/>
        </w:r>
        <w:r>
          <w:instrText xml:space="preserve"> PAGE   \* MERGEFORMAT </w:instrText>
        </w:r>
        <w:r>
          <w:fldChar w:fldCharType="separate"/>
        </w:r>
        <w:r w:rsidR="00A6559F">
          <w:rPr>
            <w:noProof/>
          </w:rPr>
          <w:t>11</w:t>
        </w:r>
        <w:r>
          <w:rPr>
            <w:noProof/>
          </w:rPr>
          <w:fldChar w:fldCharType="end"/>
        </w:r>
      </w:p>
    </w:sdtContent>
  </w:sdt>
  <w:p w14:paraId="51931B31" w14:textId="77777777" w:rsidR="005072FA" w:rsidRDefault="005072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6ABD6" w14:textId="77777777" w:rsidR="005072FA" w:rsidRDefault="00507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8D4E6" w14:textId="77777777" w:rsidR="00917E52" w:rsidRDefault="00917E52" w:rsidP="005072FA">
      <w:pPr>
        <w:spacing w:after="0" w:line="240" w:lineRule="auto"/>
      </w:pPr>
      <w:r>
        <w:separator/>
      </w:r>
    </w:p>
  </w:footnote>
  <w:footnote w:type="continuationSeparator" w:id="0">
    <w:p w14:paraId="37C98BCB" w14:textId="77777777" w:rsidR="00917E52" w:rsidRDefault="00917E52" w:rsidP="00507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7D7C4" w14:textId="77777777" w:rsidR="005072FA" w:rsidRDefault="005072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FFFA5" w14:textId="77777777" w:rsidR="005072FA" w:rsidRDefault="005072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19E53" w14:textId="77777777" w:rsidR="005072FA" w:rsidRDefault="005072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0002CD6"/>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5FA7036"/>
    <w:multiLevelType w:val="hybridMultilevel"/>
    <w:tmpl w:val="537E8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03D45"/>
    <w:multiLevelType w:val="hybridMultilevel"/>
    <w:tmpl w:val="175A32C2"/>
    <w:lvl w:ilvl="0" w:tplc="2000F33E">
      <w:start w:val="3"/>
      <w:numFmt w:val="bullet"/>
      <w:lvlText w:val="-"/>
      <w:lvlJc w:val="left"/>
      <w:pPr>
        <w:ind w:left="720" w:hanging="360"/>
      </w:pPr>
      <w:rPr>
        <w:rFonts w:ascii="Tahoma" w:eastAsia="Times New Roman" w:hAnsi="Tahoma" w:cs="Tahoma"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311D68"/>
    <w:multiLevelType w:val="hybridMultilevel"/>
    <w:tmpl w:val="9B9ACB10"/>
    <w:lvl w:ilvl="0" w:tplc="7BD2C3D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E53D68"/>
    <w:multiLevelType w:val="hybridMultilevel"/>
    <w:tmpl w:val="FCC252B6"/>
    <w:lvl w:ilvl="0" w:tplc="7BD2C3D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4539EA"/>
    <w:multiLevelType w:val="hybridMultilevel"/>
    <w:tmpl w:val="46F6B5E8"/>
    <w:lvl w:ilvl="0" w:tplc="C06C97A0">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1A7831"/>
    <w:multiLevelType w:val="hybridMultilevel"/>
    <w:tmpl w:val="A7C00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A4670C"/>
    <w:multiLevelType w:val="hybridMultilevel"/>
    <w:tmpl w:val="F8684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651A42"/>
    <w:multiLevelType w:val="hybridMultilevel"/>
    <w:tmpl w:val="37401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E0F8D"/>
    <w:multiLevelType w:val="multilevel"/>
    <w:tmpl w:val="94DE7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7"/>
  </w:num>
  <w:num w:numId="4">
    <w:abstractNumId w:val="4"/>
  </w:num>
  <w:num w:numId="5">
    <w:abstractNumId w:val="3"/>
  </w:num>
  <w:num w:numId="6">
    <w:abstractNumId w:val="6"/>
  </w:num>
  <w:num w:numId="7">
    <w:abstractNumId w:val="8"/>
  </w:num>
  <w:num w:numId="8">
    <w:abstractNumId w:val="9"/>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WxNDc0M7c0M7cwNzJQ0lEKTi0uzszPAykwrAUAap8NFywAAAA="/>
  </w:docVars>
  <w:rsids>
    <w:rsidRoot w:val="00BE6D8C"/>
    <w:rsid w:val="00034383"/>
    <w:rsid w:val="00034C24"/>
    <w:rsid w:val="0003521B"/>
    <w:rsid w:val="0009156B"/>
    <w:rsid w:val="000D1542"/>
    <w:rsid w:val="000F612D"/>
    <w:rsid w:val="00110F9C"/>
    <w:rsid w:val="001F74B7"/>
    <w:rsid w:val="002263F4"/>
    <w:rsid w:val="00241D65"/>
    <w:rsid w:val="00291F07"/>
    <w:rsid w:val="002E62E7"/>
    <w:rsid w:val="002F7C48"/>
    <w:rsid w:val="003D5C11"/>
    <w:rsid w:val="00426E6C"/>
    <w:rsid w:val="005072FA"/>
    <w:rsid w:val="005131B5"/>
    <w:rsid w:val="005352B4"/>
    <w:rsid w:val="0057103E"/>
    <w:rsid w:val="005B6A89"/>
    <w:rsid w:val="00604189"/>
    <w:rsid w:val="006242E5"/>
    <w:rsid w:val="00680F99"/>
    <w:rsid w:val="00740A2B"/>
    <w:rsid w:val="0079580C"/>
    <w:rsid w:val="007C445C"/>
    <w:rsid w:val="007E6750"/>
    <w:rsid w:val="00840C98"/>
    <w:rsid w:val="00857582"/>
    <w:rsid w:val="00917E52"/>
    <w:rsid w:val="00925AE4"/>
    <w:rsid w:val="00954546"/>
    <w:rsid w:val="009706AD"/>
    <w:rsid w:val="009D2858"/>
    <w:rsid w:val="009D460A"/>
    <w:rsid w:val="00A00C7C"/>
    <w:rsid w:val="00A2492E"/>
    <w:rsid w:val="00A6559F"/>
    <w:rsid w:val="00AF31B0"/>
    <w:rsid w:val="00AF4F90"/>
    <w:rsid w:val="00B52D7B"/>
    <w:rsid w:val="00B77CEB"/>
    <w:rsid w:val="00B97786"/>
    <w:rsid w:val="00BA3959"/>
    <w:rsid w:val="00BE2272"/>
    <w:rsid w:val="00BE6D8C"/>
    <w:rsid w:val="00BF3908"/>
    <w:rsid w:val="00C147C1"/>
    <w:rsid w:val="00C85531"/>
    <w:rsid w:val="00DB0F24"/>
    <w:rsid w:val="00DB2A37"/>
    <w:rsid w:val="00DE6E23"/>
    <w:rsid w:val="00E033E4"/>
    <w:rsid w:val="00E37EE3"/>
    <w:rsid w:val="00E5434F"/>
    <w:rsid w:val="00E85F70"/>
    <w:rsid w:val="00E959FB"/>
    <w:rsid w:val="00F21038"/>
    <w:rsid w:val="00F213A5"/>
    <w:rsid w:val="00F85445"/>
    <w:rsid w:val="00FD0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81D7"/>
  <w15:docId w15:val="{82B3A31D-16D0-4191-B4D2-84AF745FC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959"/>
  </w:style>
  <w:style w:type="paragraph" w:styleId="Heading1">
    <w:name w:val="heading 1"/>
    <w:basedOn w:val="Normal"/>
    <w:next w:val="Normal"/>
    <w:link w:val="Heading1Char"/>
    <w:uiPriority w:val="9"/>
    <w:qFormat/>
    <w:rsid w:val="00BE22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6D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5F70"/>
    <w:pPr>
      <w:ind w:left="720"/>
      <w:contextualSpacing/>
    </w:pPr>
  </w:style>
  <w:style w:type="character" w:customStyle="1" w:styleId="Heading1Char">
    <w:name w:val="Heading 1 Char"/>
    <w:basedOn w:val="DefaultParagraphFont"/>
    <w:link w:val="Heading1"/>
    <w:uiPriority w:val="9"/>
    <w:rsid w:val="00BE227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263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2263F4"/>
    <w:rPr>
      <w:b/>
      <w:bCs/>
    </w:rPr>
  </w:style>
  <w:style w:type="paragraph" w:styleId="BalloonText">
    <w:name w:val="Balloon Text"/>
    <w:basedOn w:val="Normal"/>
    <w:link w:val="BalloonTextChar"/>
    <w:uiPriority w:val="99"/>
    <w:semiHidden/>
    <w:unhideWhenUsed/>
    <w:rsid w:val="005072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2FA"/>
    <w:rPr>
      <w:rFonts w:ascii="Tahoma" w:hAnsi="Tahoma" w:cs="Tahoma"/>
      <w:sz w:val="16"/>
      <w:szCs w:val="16"/>
    </w:rPr>
  </w:style>
  <w:style w:type="paragraph" w:styleId="Header">
    <w:name w:val="header"/>
    <w:basedOn w:val="Normal"/>
    <w:link w:val="HeaderChar"/>
    <w:uiPriority w:val="99"/>
    <w:unhideWhenUsed/>
    <w:rsid w:val="005072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2FA"/>
  </w:style>
  <w:style w:type="paragraph" w:styleId="Footer">
    <w:name w:val="footer"/>
    <w:basedOn w:val="Normal"/>
    <w:link w:val="FooterChar"/>
    <w:uiPriority w:val="99"/>
    <w:unhideWhenUsed/>
    <w:rsid w:val="005072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2FA"/>
  </w:style>
  <w:style w:type="paragraph" w:styleId="TOCHeading">
    <w:name w:val="TOC Heading"/>
    <w:basedOn w:val="Heading1"/>
    <w:next w:val="Normal"/>
    <w:uiPriority w:val="39"/>
    <w:semiHidden/>
    <w:unhideWhenUsed/>
    <w:qFormat/>
    <w:rsid w:val="005072FA"/>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5072FA"/>
    <w:pPr>
      <w:spacing w:after="100"/>
    </w:pPr>
  </w:style>
  <w:style w:type="character" w:styleId="Hyperlink">
    <w:name w:val="Hyperlink"/>
    <w:basedOn w:val="DefaultParagraphFont"/>
    <w:uiPriority w:val="99"/>
    <w:unhideWhenUsed/>
    <w:rsid w:val="005072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4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25C920-4DC0-48F4-BE1B-99BAAFD0D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12548</Words>
  <Characters>71529</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lloyd Beharry</dc:creator>
  <cp:lastModifiedBy>krasimir gadzhev</cp:lastModifiedBy>
  <cp:revision>2</cp:revision>
  <cp:lastPrinted>2021-12-04T00:52:00Z</cp:lastPrinted>
  <dcterms:created xsi:type="dcterms:W3CDTF">2022-01-03T12:44:00Z</dcterms:created>
  <dcterms:modified xsi:type="dcterms:W3CDTF">2022-01-03T12:44:00Z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4f7749df-dcd8-351d-ad40-5c1cffe72b99</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