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7E6E6" w:themeColor="background2"/>
  <w:body>
    <w:p w:rsidR="00FA12D9" w:rsidRPr="00B83DCF" w:rsidRDefault="005C6C30" w:rsidP="00B83DCF">
      <w:pPr>
        <w:jc w:val="center"/>
        <w:rPr>
          <w:sz w:val="24"/>
          <w:szCs w:val="24"/>
        </w:rPr>
      </w:pPr>
      <w:r w:rsidRPr="00B83DCF">
        <w:rPr>
          <w:sz w:val="24"/>
          <w:szCs w:val="24"/>
        </w:rPr>
        <w:t xml:space="preserve">Choose either one building or one object and explain its significance and importance within </w:t>
      </w:r>
      <w:bookmarkStart w:id="0" w:name="_GoBack"/>
      <w:bookmarkEnd w:id="0"/>
      <w:r w:rsidRPr="00B83DCF">
        <w:rPr>
          <w:sz w:val="24"/>
          <w:szCs w:val="24"/>
        </w:rPr>
        <w:t>Islamic art and archaeology</w:t>
      </w:r>
      <w:r w:rsidR="006A721C">
        <w:rPr>
          <w:sz w:val="24"/>
          <w:szCs w:val="24"/>
        </w:rPr>
        <w:t xml:space="preserve">:    </w:t>
      </w:r>
    </w:p>
    <w:p w:rsidR="005C6C30" w:rsidRDefault="005C6C30" w:rsidP="005C6C30">
      <w:pPr>
        <w:rPr>
          <w:sz w:val="24"/>
          <w:szCs w:val="24"/>
        </w:rPr>
      </w:pPr>
    </w:p>
    <w:p w:rsidR="00EA766C" w:rsidRPr="00B83DCF" w:rsidRDefault="00EA766C" w:rsidP="005C6C30">
      <w:pPr>
        <w:rPr>
          <w:sz w:val="24"/>
          <w:szCs w:val="24"/>
        </w:rPr>
      </w:pPr>
    </w:p>
    <w:p w:rsidR="005C6C30" w:rsidRPr="00B83DCF" w:rsidRDefault="005C6C30" w:rsidP="005C6C30">
      <w:pPr>
        <w:rPr>
          <w:sz w:val="24"/>
          <w:szCs w:val="24"/>
        </w:rPr>
      </w:pPr>
      <w:r w:rsidRPr="00B83DCF">
        <w:rPr>
          <w:sz w:val="24"/>
          <w:szCs w:val="24"/>
        </w:rPr>
        <w:t>In this essay I will explain the signi</w:t>
      </w:r>
      <w:r w:rsidR="00B83DCF" w:rsidRPr="00B83DCF">
        <w:rPr>
          <w:sz w:val="24"/>
          <w:szCs w:val="24"/>
        </w:rPr>
        <w:t>fic</w:t>
      </w:r>
      <w:r w:rsidRPr="00B83DCF">
        <w:rPr>
          <w:sz w:val="24"/>
          <w:szCs w:val="24"/>
        </w:rPr>
        <w:t xml:space="preserve">ance of the Great Mosque Al </w:t>
      </w:r>
      <w:r w:rsidR="00381DEF" w:rsidRPr="00B83DCF">
        <w:rPr>
          <w:sz w:val="24"/>
          <w:szCs w:val="24"/>
        </w:rPr>
        <w:t>Mansur</w:t>
      </w:r>
      <w:r w:rsidR="007803B7">
        <w:rPr>
          <w:sz w:val="24"/>
          <w:szCs w:val="24"/>
        </w:rPr>
        <w:t xml:space="preserve"> and </w:t>
      </w:r>
      <w:r w:rsidR="007A39FC">
        <w:rPr>
          <w:sz w:val="24"/>
          <w:szCs w:val="24"/>
        </w:rPr>
        <w:t>its</w:t>
      </w:r>
      <w:r w:rsidR="007803B7">
        <w:rPr>
          <w:sz w:val="24"/>
          <w:szCs w:val="24"/>
        </w:rPr>
        <w:t xml:space="preserve"> successor buildings, </w:t>
      </w:r>
      <w:r w:rsidR="00381DEF" w:rsidRPr="00B83DCF">
        <w:rPr>
          <w:sz w:val="24"/>
          <w:szCs w:val="24"/>
        </w:rPr>
        <w:t>in</w:t>
      </w:r>
      <w:r w:rsidRPr="00B83DCF">
        <w:rPr>
          <w:sz w:val="24"/>
          <w:szCs w:val="24"/>
        </w:rPr>
        <w:t xml:space="preserve"> relationship </w:t>
      </w:r>
      <w:r w:rsidR="007803B7">
        <w:rPr>
          <w:sz w:val="24"/>
          <w:szCs w:val="24"/>
        </w:rPr>
        <w:t>to</w:t>
      </w:r>
      <w:r w:rsidRPr="00B83DCF">
        <w:rPr>
          <w:sz w:val="24"/>
          <w:szCs w:val="24"/>
        </w:rPr>
        <w:t xml:space="preserve"> </w:t>
      </w:r>
      <w:r w:rsidR="00381DEF" w:rsidRPr="00B83DCF">
        <w:rPr>
          <w:sz w:val="24"/>
          <w:szCs w:val="24"/>
        </w:rPr>
        <w:t>Islamic</w:t>
      </w:r>
      <w:r w:rsidR="00030C70">
        <w:rPr>
          <w:sz w:val="24"/>
          <w:szCs w:val="24"/>
        </w:rPr>
        <w:t xml:space="preserve"> art and archaeology</w:t>
      </w:r>
      <w:r w:rsidR="00381DEF" w:rsidRPr="00B83DCF">
        <w:rPr>
          <w:sz w:val="24"/>
          <w:szCs w:val="24"/>
        </w:rPr>
        <w:t>.</w:t>
      </w:r>
    </w:p>
    <w:p w:rsidR="0014044D" w:rsidRDefault="005C6C30" w:rsidP="005C6C30">
      <w:pPr>
        <w:rPr>
          <w:sz w:val="24"/>
          <w:szCs w:val="24"/>
        </w:rPr>
      </w:pPr>
      <w:r w:rsidRPr="00B83DCF">
        <w:rPr>
          <w:sz w:val="24"/>
          <w:szCs w:val="24"/>
        </w:rPr>
        <w:t xml:space="preserve">Its importance to Islamic archaeology is connected to its role as a prototype for </w:t>
      </w:r>
      <w:r w:rsidR="00FF7659" w:rsidRPr="00B83DCF">
        <w:rPr>
          <w:sz w:val="24"/>
          <w:szCs w:val="24"/>
        </w:rPr>
        <w:t xml:space="preserve">later </w:t>
      </w:r>
      <w:r w:rsidR="00FF7659">
        <w:rPr>
          <w:sz w:val="24"/>
          <w:szCs w:val="24"/>
        </w:rPr>
        <w:t>mosques</w:t>
      </w:r>
      <w:r w:rsidRPr="00B83DCF">
        <w:rPr>
          <w:sz w:val="24"/>
          <w:szCs w:val="24"/>
        </w:rPr>
        <w:t>.</w:t>
      </w:r>
      <w:r w:rsidR="00030C70">
        <w:rPr>
          <w:sz w:val="24"/>
          <w:szCs w:val="24"/>
        </w:rPr>
        <w:t xml:space="preserve"> Little is </w:t>
      </w:r>
      <w:r w:rsidR="0014044D">
        <w:rPr>
          <w:sz w:val="24"/>
          <w:szCs w:val="24"/>
        </w:rPr>
        <w:t>known</w:t>
      </w:r>
      <w:r w:rsidR="00030C70">
        <w:rPr>
          <w:sz w:val="24"/>
          <w:szCs w:val="24"/>
        </w:rPr>
        <w:t xml:space="preserve"> about the building and the only description extant is one given by an al-Khatib. The description runs as follow</w:t>
      </w:r>
      <w:r w:rsidR="00601D06">
        <w:rPr>
          <w:sz w:val="24"/>
          <w:szCs w:val="24"/>
        </w:rPr>
        <w:t>s</w:t>
      </w:r>
      <w:r w:rsidR="00030C70">
        <w:rPr>
          <w:sz w:val="24"/>
          <w:szCs w:val="24"/>
        </w:rPr>
        <w:t xml:space="preserve">: </w:t>
      </w:r>
      <w:r w:rsidR="00601D06">
        <w:rPr>
          <w:sz w:val="24"/>
          <w:szCs w:val="24"/>
        </w:rPr>
        <w:t>‘</w:t>
      </w:r>
      <w:r w:rsidR="00030C70">
        <w:rPr>
          <w:sz w:val="24"/>
          <w:szCs w:val="24"/>
        </w:rPr>
        <w:t>Abu Ja’far al-Mansur established the principal mosque… in contact with his palace</w:t>
      </w:r>
      <w:r w:rsidR="00000B6B">
        <w:rPr>
          <w:sz w:val="24"/>
          <w:szCs w:val="24"/>
        </w:rPr>
        <w:t>, he had succeeded his brother al- Saffah (750-54</w:t>
      </w:r>
      <w:r w:rsidR="00E26689">
        <w:rPr>
          <w:sz w:val="24"/>
          <w:szCs w:val="24"/>
        </w:rPr>
        <w:t xml:space="preserve"> AD</w:t>
      </w:r>
      <w:r w:rsidR="00000B6B">
        <w:rPr>
          <w:sz w:val="24"/>
          <w:szCs w:val="24"/>
        </w:rPr>
        <w:t>) who had been the first Abbasid Caliph he had assumed power in Kufa.</w:t>
      </w:r>
      <w:r w:rsidR="00601D06">
        <w:rPr>
          <w:sz w:val="24"/>
          <w:szCs w:val="24"/>
        </w:rPr>
        <w:t>’</w:t>
      </w:r>
      <w:r w:rsidR="00000B6B">
        <w:rPr>
          <w:rStyle w:val="FootnoteReference"/>
          <w:sz w:val="24"/>
          <w:szCs w:val="24"/>
        </w:rPr>
        <w:footnoteReference w:id="1"/>
      </w:r>
      <w:r w:rsidR="009859A5">
        <w:rPr>
          <w:sz w:val="24"/>
          <w:szCs w:val="24"/>
        </w:rPr>
        <w:t xml:space="preserve"> The building of the mosque started in 762</w:t>
      </w:r>
      <w:r w:rsidR="00E26689">
        <w:rPr>
          <w:sz w:val="24"/>
          <w:szCs w:val="24"/>
        </w:rPr>
        <w:t xml:space="preserve"> AD</w:t>
      </w:r>
      <w:r w:rsidR="00601D06">
        <w:rPr>
          <w:sz w:val="24"/>
          <w:szCs w:val="24"/>
        </w:rPr>
        <w:t>;</w:t>
      </w:r>
      <w:r w:rsidR="00000B6B">
        <w:rPr>
          <w:sz w:val="24"/>
          <w:szCs w:val="24"/>
        </w:rPr>
        <w:t xml:space="preserve"> </w:t>
      </w:r>
      <w:r w:rsidR="00601D06">
        <w:rPr>
          <w:sz w:val="24"/>
          <w:szCs w:val="24"/>
        </w:rPr>
        <w:t>i</w:t>
      </w:r>
      <w:r w:rsidR="00030C70">
        <w:rPr>
          <w:sz w:val="24"/>
          <w:szCs w:val="24"/>
        </w:rPr>
        <w:t xml:space="preserve">t is (what is now known as) the Old Court </w:t>
      </w:r>
      <w:r w:rsidR="006A721C">
        <w:rPr>
          <w:sz w:val="24"/>
          <w:szCs w:val="24"/>
        </w:rPr>
        <w:t>–</w:t>
      </w:r>
      <w:r w:rsidR="009859A5">
        <w:rPr>
          <w:sz w:val="24"/>
          <w:szCs w:val="24"/>
        </w:rPr>
        <w:t xml:space="preserve"> the building was of a circular design  and was</w:t>
      </w:r>
      <w:r w:rsidR="006A721C">
        <w:rPr>
          <w:sz w:val="24"/>
          <w:szCs w:val="24"/>
        </w:rPr>
        <w:t xml:space="preserve"> built</w:t>
      </w:r>
      <w:r w:rsidR="009859A5">
        <w:rPr>
          <w:sz w:val="24"/>
          <w:szCs w:val="24"/>
        </w:rPr>
        <w:t xml:space="preserve"> w</w:t>
      </w:r>
      <w:r w:rsidR="006A721C">
        <w:rPr>
          <w:sz w:val="24"/>
          <w:szCs w:val="24"/>
        </w:rPr>
        <w:t xml:space="preserve">ith sun-dried bricks and </w:t>
      </w:r>
      <w:r w:rsidR="00513C1B">
        <w:rPr>
          <w:sz w:val="24"/>
          <w:szCs w:val="24"/>
        </w:rPr>
        <w:t>clay</w:t>
      </w:r>
      <w:r w:rsidR="006A721C">
        <w:rPr>
          <w:sz w:val="24"/>
          <w:szCs w:val="24"/>
        </w:rPr>
        <w:t xml:space="preserve"> </w:t>
      </w:r>
      <w:r w:rsidR="002C4E83">
        <w:rPr>
          <w:sz w:val="24"/>
          <w:szCs w:val="24"/>
        </w:rPr>
        <w:t>and was</w:t>
      </w:r>
      <w:r w:rsidR="00260F1E">
        <w:rPr>
          <w:sz w:val="24"/>
          <w:szCs w:val="24"/>
        </w:rPr>
        <w:t xml:space="preserve"> </w:t>
      </w:r>
      <w:r w:rsidR="002C4E83">
        <w:rPr>
          <w:sz w:val="24"/>
          <w:szCs w:val="24"/>
        </w:rPr>
        <w:t xml:space="preserve"> called the city of peace.</w:t>
      </w:r>
      <w:r w:rsidR="002C4E83">
        <w:rPr>
          <w:rStyle w:val="FootnoteReference"/>
          <w:sz w:val="24"/>
          <w:szCs w:val="24"/>
        </w:rPr>
        <w:footnoteReference w:id="2"/>
      </w:r>
      <w:r w:rsidR="006A721C">
        <w:rPr>
          <w:sz w:val="24"/>
          <w:szCs w:val="24"/>
        </w:rPr>
        <w:t xml:space="preserve"> </w:t>
      </w:r>
      <w:r w:rsidR="00601D06">
        <w:rPr>
          <w:sz w:val="24"/>
          <w:szCs w:val="24"/>
        </w:rPr>
        <w:t>As Cresswell notes: ‘</w:t>
      </w:r>
      <w:r w:rsidR="00B751A5">
        <w:rPr>
          <w:sz w:val="24"/>
          <w:szCs w:val="24"/>
        </w:rPr>
        <w:t xml:space="preserve">The </w:t>
      </w:r>
      <w:r w:rsidR="006A721C">
        <w:rPr>
          <w:sz w:val="24"/>
          <w:szCs w:val="24"/>
        </w:rPr>
        <w:t xml:space="preserve">dimensions of the palace of al- Mansur were 400 x 400 cubits and those of the mosque 200 x 200; and the columns of wood </w:t>
      </w:r>
      <w:r w:rsidR="00B751A5">
        <w:rPr>
          <w:sz w:val="24"/>
          <w:szCs w:val="24"/>
        </w:rPr>
        <w:t>in</w:t>
      </w:r>
      <w:r w:rsidR="006A721C">
        <w:rPr>
          <w:sz w:val="24"/>
          <w:szCs w:val="24"/>
        </w:rPr>
        <w:t xml:space="preserve"> the mosque each consisted of two pieces…</w:t>
      </w:r>
      <w:r w:rsidR="00601D06">
        <w:rPr>
          <w:sz w:val="24"/>
          <w:szCs w:val="24"/>
        </w:rPr>
        <w:t>’</w:t>
      </w:r>
      <w:r w:rsidR="006A721C">
        <w:rPr>
          <w:sz w:val="24"/>
          <w:szCs w:val="24"/>
        </w:rPr>
        <w:t xml:space="preserve"> </w:t>
      </w:r>
      <w:r w:rsidR="00513C1B">
        <w:rPr>
          <w:rStyle w:val="FootnoteReference"/>
          <w:sz w:val="24"/>
          <w:szCs w:val="24"/>
        </w:rPr>
        <w:footnoteReference w:id="3"/>
      </w:r>
      <w:r w:rsidR="00030C70">
        <w:rPr>
          <w:sz w:val="24"/>
          <w:szCs w:val="24"/>
        </w:rPr>
        <w:t xml:space="preserve"> </w:t>
      </w:r>
      <w:r w:rsidR="00A45063">
        <w:rPr>
          <w:sz w:val="24"/>
          <w:szCs w:val="24"/>
        </w:rPr>
        <w:t>The mosque would have been one of the first purpose built Muslim prayer houses and the fact that it was round made it unique.</w:t>
      </w:r>
      <w:r w:rsidR="00CA3C5D">
        <w:rPr>
          <w:rStyle w:val="FootnoteReference"/>
          <w:sz w:val="24"/>
          <w:szCs w:val="24"/>
        </w:rPr>
        <w:footnoteReference w:id="4"/>
      </w:r>
      <w:r w:rsidR="00A45063">
        <w:rPr>
          <w:sz w:val="24"/>
          <w:szCs w:val="24"/>
        </w:rPr>
        <w:t xml:space="preserve"> </w:t>
      </w:r>
      <w:r w:rsidR="009816BF">
        <w:rPr>
          <w:sz w:val="24"/>
          <w:szCs w:val="24"/>
        </w:rPr>
        <w:t>Ibn ‘Arabi says of the qibla that it needed turning slightly towards the Basra Gate.</w:t>
      </w:r>
      <w:r w:rsidR="00CA3C5D">
        <w:rPr>
          <w:rStyle w:val="FootnoteReference"/>
          <w:sz w:val="24"/>
          <w:szCs w:val="24"/>
        </w:rPr>
        <w:footnoteReference w:id="5"/>
      </w:r>
      <w:r w:rsidR="009816BF">
        <w:rPr>
          <w:sz w:val="24"/>
          <w:szCs w:val="24"/>
        </w:rPr>
        <w:t xml:space="preserve"> </w:t>
      </w:r>
      <w:r w:rsidR="00712AAD">
        <w:rPr>
          <w:sz w:val="24"/>
          <w:szCs w:val="24"/>
        </w:rPr>
        <w:t xml:space="preserve">The qibla is the indicator of the direction of Mecca from any particular mosque. The mosque was built with traditional building </w:t>
      </w:r>
      <w:r w:rsidR="001528DC">
        <w:rPr>
          <w:sz w:val="24"/>
          <w:szCs w:val="24"/>
        </w:rPr>
        <w:t>materials</w:t>
      </w:r>
      <w:r w:rsidR="00712AAD">
        <w:rPr>
          <w:sz w:val="24"/>
          <w:szCs w:val="24"/>
        </w:rPr>
        <w:t xml:space="preserve"> w</w:t>
      </w:r>
      <w:r w:rsidR="00C601C1">
        <w:rPr>
          <w:sz w:val="24"/>
          <w:szCs w:val="24"/>
        </w:rPr>
        <w:t xml:space="preserve">hich </w:t>
      </w:r>
      <w:r w:rsidR="001F7325">
        <w:rPr>
          <w:sz w:val="24"/>
          <w:szCs w:val="24"/>
        </w:rPr>
        <w:t>were readily</w:t>
      </w:r>
      <w:r w:rsidR="0014044D">
        <w:rPr>
          <w:sz w:val="24"/>
          <w:szCs w:val="24"/>
        </w:rPr>
        <w:t xml:space="preserve"> at</w:t>
      </w:r>
      <w:r w:rsidR="00712AAD">
        <w:rPr>
          <w:sz w:val="24"/>
          <w:szCs w:val="24"/>
        </w:rPr>
        <w:t xml:space="preserve"> hand and easily available. </w:t>
      </w:r>
    </w:p>
    <w:p w:rsidR="00C40CC6" w:rsidRDefault="0014044D" w:rsidP="005C6C30">
      <w:pPr>
        <w:rPr>
          <w:sz w:val="24"/>
          <w:szCs w:val="24"/>
        </w:rPr>
      </w:pPr>
      <w:r>
        <w:rPr>
          <w:sz w:val="24"/>
          <w:szCs w:val="24"/>
        </w:rPr>
        <w:t>There were no other alterations to the mosque until the time of Harun ar-Rashid</w:t>
      </w:r>
      <w:r w:rsidR="00883D84">
        <w:rPr>
          <w:sz w:val="24"/>
          <w:szCs w:val="24"/>
        </w:rPr>
        <w:t xml:space="preserve"> who</w:t>
      </w:r>
      <w:r w:rsidR="00C40CC6">
        <w:rPr>
          <w:sz w:val="24"/>
          <w:szCs w:val="24"/>
        </w:rPr>
        <w:t xml:space="preserve"> ordered the destruction of the mosque and its reconstruction with kiln-baked bricks and gypsum.</w:t>
      </w:r>
      <w:r w:rsidR="00C40CC6">
        <w:rPr>
          <w:rStyle w:val="FootnoteReference"/>
          <w:sz w:val="24"/>
          <w:szCs w:val="24"/>
        </w:rPr>
        <w:footnoteReference w:id="6"/>
      </w:r>
      <w:r w:rsidR="00D06A2D">
        <w:rPr>
          <w:sz w:val="24"/>
          <w:szCs w:val="24"/>
        </w:rPr>
        <w:t xml:space="preserve"> </w:t>
      </w:r>
      <w:r w:rsidR="00851434">
        <w:rPr>
          <w:sz w:val="24"/>
          <w:szCs w:val="24"/>
        </w:rPr>
        <w:t>The name of the architect, carpenter and date were stamped into the bricks, and can still be seen today on the outside wall of the mosque on the side of the Khurasin Gate.</w:t>
      </w:r>
      <w:r w:rsidR="00851434">
        <w:rPr>
          <w:rStyle w:val="FootnoteReference"/>
          <w:sz w:val="24"/>
          <w:szCs w:val="24"/>
        </w:rPr>
        <w:footnoteReference w:id="7"/>
      </w:r>
      <w:r w:rsidR="00601D06">
        <w:rPr>
          <w:sz w:val="24"/>
          <w:szCs w:val="24"/>
        </w:rPr>
        <w:t xml:space="preserve"> </w:t>
      </w:r>
      <w:r w:rsidR="00D06A2D">
        <w:rPr>
          <w:sz w:val="24"/>
          <w:szCs w:val="24"/>
        </w:rPr>
        <w:t>Harun ar-Rashid</w:t>
      </w:r>
      <w:r w:rsidR="00FA20E3">
        <w:rPr>
          <w:sz w:val="24"/>
          <w:szCs w:val="24"/>
        </w:rPr>
        <w:t xml:space="preserve"> was to</w:t>
      </w:r>
      <w:r w:rsidR="00883D84">
        <w:rPr>
          <w:sz w:val="24"/>
          <w:szCs w:val="24"/>
        </w:rPr>
        <w:t xml:space="preserve"> die suddenly in Tus in 809 AD.</w:t>
      </w:r>
      <w:r w:rsidR="0060561B">
        <w:rPr>
          <w:rStyle w:val="FootnoteReference"/>
          <w:sz w:val="24"/>
          <w:szCs w:val="24"/>
        </w:rPr>
        <w:footnoteReference w:id="8"/>
      </w:r>
      <w:r w:rsidR="00C40CC6">
        <w:rPr>
          <w:sz w:val="24"/>
          <w:szCs w:val="24"/>
        </w:rPr>
        <w:t xml:space="preserve"> </w:t>
      </w:r>
      <w:r w:rsidR="000C6428">
        <w:rPr>
          <w:sz w:val="24"/>
          <w:szCs w:val="24"/>
        </w:rPr>
        <w:t xml:space="preserve"> </w:t>
      </w:r>
      <w:r w:rsidR="00140BBC">
        <w:rPr>
          <w:sz w:val="24"/>
          <w:szCs w:val="24"/>
        </w:rPr>
        <w:t xml:space="preserve">After </w:t>
      </w:r>
      <w:r w:rsidR="00601D06">
        <w:rPr>
          <w:sz w:val="24"/>
          <w:szCs w:val="24"/>
        </w:rPr>
        <w:t>his</w:t>
      </w:r>
      <w:r w:rsidR="00140BBC">
        <w:rPr>
          <w:sz w:val="24"/>
          <w:szCs w:val="24"/>
        </w:rPr>
        <w:t xml:space="preserve"> death, several years of war followed and it was not until </w:t>
      </w:r>
      <w:r w:rsidR="00E926B7">
        <w:rPr>
          <w:sz w:val="24"/>
          <w:szCs w:val="24"/>
        </w:rPr>
        <w:t>819</w:t>
      </w:r>
      <w:r w:rsidR="00601D06">
        <w:rPr>
          <w:sz w:val="24"/>
          <w:szCs w:val="24"/>
        </w:rPr>
        <w:t xml:space="preserve"> AD</w:t>
      </w:r>
      <w:r w:rsidR="00E926B7">
        <w:rPr>
          <w:sz w:val="24"/>
          <w:szCs w:val="24"/>
        </w:rPr>
        <w:t>, that al-Ma</w:t>
      </w:r>
      <w:r w:rsidR="00601D06">
        <w:rPr>
          <w:sz w:val="24"/>
          <w:szCs w:val="24"/>
        </w:rPr>
        <w:t>’</w:t>
      </w:r>
      <w:r w:rsidR="00E926B7">
        <w:rPr>
          <w:sz w:val="24"/>
          <w:szCs w:val="24"/>
        </w:rPr>
        <w:t>mun</w:t>
      </w:r>
      <w:r w:rsidR="00CA3C5D">
        <w:rPr>
          <w:sz w:val="24"/>
          <w:szCs w:val="24"/>
        </w:rPr>
        <w:t>,</w:t>
      </w:r>
      <w:r w:rsidR="00E926B7">
        <w:rPr>
          <w:sz w:val="24"/>
          <w:szCs w:val="24"/>
        </w:rPr>
        <w:t xml:space="preserve"> an elder son of Harun</w:t>
      </w:r>
      <w:r w:rsidR="00CA3C5D">
        <w:rPr>
          <w:sz w:val="24"/>
          <w:szCs w:val="24"/>
        </w:rPr>
        <w:t>,</w:t>
      </w:r>
      <w:r w:rsidR="00E926B7">
        <w:rPr>
          <w:sz w:val="24"/>
          <w:szCs w:val="24"/>
        </w:rPr>
        <w:t xml:space="preserve"> entered Baghdad and attempted to impose the doctrine of Mu,tazilism on the community. Th</w:t>
      </w:r>
      <w:r w:rsidR="00B322A6">
        <w:rPr>
          <w:sz w:val="24"/>
          <w:szCs w:val="24"/>
        </w:rPr>
        <w:t>is</w:t>
      </w:r>
      <w:r w:rsidR="00E926B7">
        <w:rPr>
          <w:sz w:val="24"/>
          <w:szCs w:val="24"/>
        </w:rPr>
        <w:t xml:space="preserve"> doctrine was the doctrine of the Koran, which at the time was a form of Islamic fundamentalism.</w:t>
      </w:r>
      <w:r w:rsidR="00E926B7">
        <w:rPr>
          <w:rStyle w:val="FootnoteReference"/>
          <w:sz w:val="24"/>
          <w:szCs w:val="24"/>
        </w:rPr>
        <w:footnoteReference w:id="9"/>
      </w:r>
      <w:r w:rsidR="00140BBC">
        <w:rPr>
          <w:sz w:val="24"/>
          <w:szCs w:val="24"/>
        </w:rPr>
        <w:t xml:space="preserve"> </w:t>
      </w:r>
      <w:r w:rsidR="00B677B0">
        <w:rPr>
          <w:sz w:val="24"/>
          <w:szCs w:val="24"/>
        </w:rPr>
        <w:t>The doctrine was neither popular with the Sunni or Shi’ite sects</w:t>
      </w:r>
      <w:r w:rsidR="00A45043">
        <w:rPr>
          <w:sz w:val="24"/>
          <w:szCs w:val="24"/>
        </w:rPr>
        <w:t>;</w:t>
      </w:r>
      <w:r w:rsidR="00B677B0">
        <w:rPr>
          <w:sz w:val="24"/>
          <w:szCs w:val="24"/>
        </w:rPr>
        <w:t xml:space="preserve"> civil war </w:t>
      </w:r>
      <w:r w:rsidR="003C1BD0">
        <w:rPr>
          <w:sz w:val="24"/>
          <w:szCs w:val="24"/>
        </w:rPr>
        <w:t>followed,</w:t>
      </w:r>
      <w:r w:rsidR="00B677B0">
        <w:rPr>
          <w:sz w:val="24"/>
          <w:szCs w:val="24"/>
        </w:rPr>
        <w:t xml:space="preserve"> and a Caliph </w:t>
      </w:r>
      <w:r w:rsidR="003C1BD0">
        <w:rPr>
          <w:sz w:val="24"/>
          <w:szCs w:val="24"/>
        </w:rPr>
        <w:t>appeared in the form of al-Mu’tasim 833-42</w:t>
      </w:r>
      <w:r w:rsidR="00A45043">
        <w:rPr>
          <w:sz w:val="24"/>
          <w:szCs w:val="24"/>
        </w:rPr>
        <w:t xml:space="preserve"> AD</w:t>
      </w:r>
      <w:r w:rsidR="003C1BD0">
        <w:rPr>
          <w:sz w:val="24"/>
          <w:szCs w:val="24"/>
        </w:rPr>
        <w:t>.</w:t>
      </w:r>
      <w:r w:rsidR="003C1BD0">
        <w:rPr>
          <w:rStyle w:val="FootnoteReference"/>
          <w:sz w:val="24"/>
          <w:szCs w:val="24"/>
        </w:rPr>
        <w:footnoteReference w:id="10"/>
      </w:r>
      <w:r w:rsidR="003C1BD0">
        <w:rPr>
          <w:sz w:val="24"/>
          <w:szCs w:val="24"/>
        </w:rPr>
        <w:t xml:space="preserve"> </w:t>
      </w:r>
      <w:r w:rsidR="000E289D">
        <w:rPr>
          <w:sz w:val="24"/>
          <w:szCs w:val="24"/>
        </w:rPr>
        <w:t>The palace and barracks at Baghdad after 836 AD w</w:t>
      </w:r>
      <w:r w:rsidR="00A45043">
        <w:rPr>
          <w:sz w:val="24"/>
          <w:szCs w:val="24"/>
        </w:rPr>
        <w:t>ere</w:t>
      </w:r>
      <w:r w:rsidR="000E289D">
        <w:rPr>
          <w:sz w:val="24"/>
          <w:szCs w:val="24"/>
        </w:rPr>
        <w:t xml:space="preserve"> abandoned and a new capital built at Samarra sixty miles north of the former principal city.</w:t>
      </w:r>
      <w:r w:rsidR="00DF6A70">
        <w:rPr>
          <w:rStyle w:val="FootnoteReference"/>
          <w:sz w:val="24"/>
          <w:szCs w:val="24"/>
        </w:rPr>
        <w:footnoteReference w:id="11"/>
      </w:r>
      <w:r w:rsidR="00B677B0">
        <w:rPr>
          <w:sz w:val="24"/>
          <w:szCs w:val="24"/>
        </w:rPr>
        <w:t xml:space="preserve"> </w:t>
      </w:r>
      <w:r w:rsidR="00D940B8">
        <w:rPr>
          <w:sz w:val="24"/>
          <w:szCs w:val="24"/>
        </w:rPr>
        <w:t xml:space="preserve">The new capital was neither walled </w:t>
      </w:r>
      <w:r w:rsidR="00A45043">
        <w:rPr>
          <w:sz w:val="24"/>
          <w:szCs w:val="24"/>
        </w:rPr>
        <w:t>n</w:t>
      </w:r>
      <w:r w:rsidR="00D940B8">
        <w:rPr>
          <w:sz w:val="24"/>
          <w:szCs w:val="24"/>
        </w:rPr>
        <w:t xml:space="preserve">or fortified </w:t>
      </w:r>
      <w:r w:rsidR="00D940B8">
        <w:rPr>
          <w:sz w:val="24"/>
          <w:szCs w:val="24"/>
        </w:rPr>
        <w:lastRenderedPageBreak/>
        <w:t>and only held a tenuous hold on a small area of land.</w:t>
      </w:r>
      <w:r w:rsidR="00D940B8">
        <w:rPr>
          <w:rStyle w:val="FootnoteReference"/>
          <w:sz w:val="24"/>
          <w:szCs w:val="24"/>
        </w:rPr>
        <w:footnoteReference w:id="12"/>
      </w:r>
      <w:r w:rsidR="0021277D">
        <w:rPr>
          <w:sz w:val="24"/>
          <w:szCs w:val="24"/>
        </w:rPr>
        <w:t xml:space="preserve"> Before Samarra was finally decided upon other sites were begun</w:t>
      </w:r>
      <w:r w:rsidR="00A45043">
        <w:rPr>
          <w:sz w:val="24"/>
          <w:szCs w:val="24"/>
        </w:rPr>
        <w:t>,</w:t>
      </w:r>
      <w:r w:rsidR="0021277D">
        <w:rPr>
          <w:sz w:val="24"/>
          <w:szCs w:val="24"/>
        </w:rPr>
        <w:t xml:space="preserve"> the most </w:t>
      </w:r>
      <w:r w:rsidR="0006210A">
        <w:rPr>
          <w:sz w:val="24"/>
          <w:szCs w:val="24"/>
        </w:rPr>
        <w:t>prominent</w:t>
      </w:r>
      <w:r w:rsidR="0021277D">
        <w:rPr>
          <w:sz w:val="24"/>
          <w:szCs w:val="24"/>
        </w:rPr>
        <w:t xml:space="preserve"> </w:t>
      </w:r>
      <w:r w:rsidR="0006210A">
        <w:rPr>
          <w:sz w:val="24"/>
          <w:szCs w:val="24"/>
        </w:rPr>
        <w:t xml:space="preserve">being a site called al-Qatul where it is possible that al-Mu’tasim may </w:t>
      </w:r>
      <w:r w:rsidR="00A45043">
        <w:rPr>
          <w:sz w:val="24"/>
          <w:szCs w:val="24"/>
        </w:rPr>
        <w:t>have</w:t>
      </w:r>
      <w:r w:rsidR="0006210A">
        <w:rPr>
          <w:sz w:val="24"/>
          <w:szCs w:val="24"/>
        </w:rPr>
        <w:t xml:space="preserve"> repeated  al-Mansur’s more secure circular city.</w:t>
      </w:r>
      <w:r w:rsidR="0006210A">
        <w:rPr>
          <w:rStyle w:val="FootnoteReference"/>
          <w:sz w:val="24"/>
          <w:szCs w:val="24"/>
        </w:rPr>
        <w:footnoteReference w:id="13"/>
      </w:r>
      <w:r w:rsidR="0006210A">
        <w:rPr>
          <w:sz w:val="24"/>
          <w:szCs w:val="24"/>
        </w:rPr>
        <w:t xml:space="preserve"> </w:t>
      </w:r>
      <w:r w:rsidR="00EB7B78">
        <w:rPr>
          <w:sz w:val="24"/>
          <w:szCs w:val="24"/>
        </w:rPr>
        <w:t>There is a palace built outside the city which is again a repeat of al-Mansur’s plan of Baghdad where he built a palace at al-Khuld in 773 AD.</w:t>
      </w:r>
      <w:r w:rsidR="00A45043">
        <w:rPr>
          <w:rStyle w:val="FootnoteReference"/>
          <w:sz w:val="24"/>
          <w:szCs w:val="24"/>
        </w:rPr>
        <w:footnoteReference w:id="14"/>
      </w:r>
      <w:r w:rsidR="00A45043">
        <w:rPr>
          <w:sz w:val="24"/>
          <w:szCs w:val="24"/>
        </w:rPr>
        <w:t xml:space="preserve"> </w:t>
      </w:r>
      <w:r w:rsidR="000D681C">
        <w:rPr>
          <w:sz w:val="24"/>
          <w:szCs w:val="24"/>
        </w:rPr>
        <w:t>This shows that the complex at Baghdad was used as a prototype for future construction, its circular shape being deemed to be more secure.</w:t>
      </w:r>
    </w:p>
    <w:p w:rsidR="00722397" w:rsidRDefault="00722397" w:rsidP="005C6C30">
      <w:pPr>
        <w:rPr>
          <w:sz w:val="24"/>
          <w:szCs w:val="24"/>
        </w:rPr>
      </w:pPr>
      <w:r>
        <w:rPr>
          <w:sz w:val="24"/>
          <w:szCs w:val="24"/>
        </w:rPr>
        <w:t xml:space="preserve">Yet other accounts of the building of Abu Ja’far al- Mansur, </w:t>
      </w:r>
      <w:r w:rsidR="00A45043">
        <w:rPr>
          <w:sz w:val="24"/>
          <w:szCs w:val="24"/>
        </w:rPr>
        <w:t xml:space="preserve">its </w:t>
      </w:r>
      <w:r w:rsidR="00206CC1">
        <w:rPr>
          <w:sz w:val="24"/>
          <w:szCs w:val="24"/>
        </w:rPr>
        <w:t>demolition</w:t>
      </w:r>
      <w:r>
        <w:rPr>
          <w:sz w:val="24"/>
          <w:szCs w:val="24"/>
        </w:rPr>
        <w:t xml:space="preserve">, enlargement and eventual rebuilding exist, </w:t>
      </w:r>
      <w:r w:rsidR="00206CC1">
        <w:rPr>
          <w:sz w:val="24"/>
          <w:szCs w:val="24"/>
        </w:rPr>
        <w:t>the work being done in 808-9 AD.</w:t>
      </w:r>
      <w:r w:rsidR="004B1099">
        <w:rPr>
          <w:sz w:val="24"/>
          <w:szCs w:val="24"/>
        </w:rPr>
        <w:t xml:space="preserve"> The prayer held on Friday’s was always held in the </w:t>
      </w:r>
      <w:proofErr w:type="spellStart"/>
      <w:r w:rsidR="004B1099">
        <w:rPr>
          <w:sz w:val="24"/>
          <w:szCs w:val="24"/>
        </w:rPr>
        <w:t>Sahn</w:t>
      </w:r>
      <w:proofErr w:type="spellEnd"/>
      <w:r w:rsidR="004B1099">
        <w:rPr>
          <w:sz w:val="24"/>
          <w:szCs w:val="24"/>
        </w:rPr>
        <w:t xml:space="preserve"> al</w:t>
      </w:r>
      <w:r w:rsidR="001E1993">
        <w:rPr>
          <w:sz w:val="24"/>
          <w:szCs w:val="24"/>
        </w:rPr>
        <w:t>- ‘</w:t>
      </w:r>
      <w:proofErr w:type="spellStart"/>
      <w:r w:rsidR="004B1099">
        <w:rPr>
          <w:sz w:val="24"/>
          <w:szCs w:val="24"/>
        </w:rPr>
        <w:t>atiq</w:t>
      </w:r>
      <w:proofErr w:type="spellEnd"/>
      <w:r w:rsidR="004B1099">
        <w:rPr>
          <w:sz w:val="24"/>
          <w:szCs w:val="24"/>
        </w:rPr>
        <w:t xml:space="preserve"> (the Old Court), which was the original mosque, before it was enlarged with the taking in of the Dar al-Qattan which had originally been al-Mansur’s Government offices. This then eventually became the pray</w:t>
      </w:r>
      <w:r w:rsidR="008124BF">
        <w:rPr>
          <w:sz w:val="24"/>
          <w:szCs w:val="24"/>
        </w:rPr>
        <w:t>er</w:t>
      </w:r>
      <w:r w:rsidR="004B1099">
        <w:rPr>
          <w:sz w:val="24"/>
          <w:szCs w:val="24"/>
        </w:rPr>
        <w:t xml:space="preserve"> place for the people and in 873-4 or 874-5 </w:t>
      </w:r>
      <w:r w:rsidR="008124BF">
        <w:rPr>
          <w:sz w:val="24"/>
          <w:szCs w:val="24"/>
        </w:rPr>
        <w:t>t</w:t>
      </w:r>
      <w:r w:rsidR="004500DD">
        <w:rPr>
          <w:sz w:val="24"/>
          <w:szCs w:val="24"/>
        </w:rPr>
        <w:t xml:space="preserve">he </w:t>
      </w:r>
      <w:r w:rsidR="00BC2F02">
        <w:rPr>
          <w:sz w:val="24"/>
          <w:szCs w:val="24"/>
        </w:rPr>
        <w:t>first court was added by al-Mu’tadid billah</w:t>
      </w:r>
      <w:r w:rsidR="008124BF">
        <w:rPr>
          <w:sz w:val="24"/>
          <w:szCs w:val="24"/>
        </w:rPr>
        <w:t>;</w:t>
      </w:r>
      <w:r w:rsidR="008124BF" w:rsidRPr="008124BF">
        <w:rPr>
          <w:rStyle w:val="FootnoteReference"/>
          <w:sz w:val="24"/>
          <w:szCs w:val="24"/>
        </w:rPr>
        <w:t xml:space="preserve"> </w:t>
      </w:r>
      <w:r w:rsidR="00BC2F02">
        <w:rPr>
          <w:sz w:val="24"/>
          <w:szCs w:val="24"/>
        </w:rPr>
        <w:t>this was originally part of the palace of al-Mansur</w:t>
      </w:r>
      <w:r w:rsidR="001F7325">
        <w:rPr>
          <w:sz w:val="24"/>
          <w:szCs w:val="24"/>
        </w:rPr>
        <w:t>.</w:t>
      </w:r>
      <w:r w:rsidR="008124BF" w:rsidRPr="008124BF">
        <w:rPr>
          <w:rStyle w:val="FootnoteReference"/>
          <w:sz w:val="24"/>
          <w:szCs w:val="24"/>
        </w:rPr>
        <w:t xml:space="preserve"> </w:t>
      </w:r>
      <w:r w:rsidR="001F7325">
        <w:rPr>
          <w:sz w:val="24"/>
          <w:szCs w:val="24"/>
        </w:rPr>
        <w:t>T</w:t>
      </w:r>
      <w:r w:rsidR="00BC2F02">
        <w:rPr>
          <w:sz w:val="24"/>
          <w:szCs w:val="24"/>
        </w:rPr>
        <w:t>his</w:t>
      </w:r>
      <w:r w:rsidR="001F7325">
        <w:rPr>
          <w:sz w:val="24"/>
          <w:szCs w:val="24"/>
        </w:rPr>
        <w:t xml:space="preserve"> </w:t>
      </w:r>
      <w:r w:rsidR="00BC2F02">
        <w:rPr>
          <w:sz w:val="24"/>
          <w:szCs w:val="24"/>
        </w:rPr>
        <w:t>achieve</w:t>
      </w:r>
      <w:r w:rsidR="001F7325">
        <w:rPr>
          <w:sz w:val="24"/>
          <w:szCs w:val="24"/>
        </w:rPr>
        <w:t xml:space="preserve">ment saw </w:t>
      </w:r>
      <w:r w:rsidR="00BC2F02">
        <w:rPr>
          <w:sz w:val="24"/>
          <w:szCs w:val="24"/>
        </w:rPr>
        <w:t>the opening of 17 arches in the partitioning wall between the Old Palace and Mosque.</w:t>
      </w:r>
      <w:r w:rsidR="00F141EF">
        <w:rPr>
          <w:sz w:val="24"/>
          <w:szCs w:val="24"/>
        </w:rPr>
        <w:t xml:space="preserve"> </w:t>
      </w:r>
      <w:r w:rsidR="00DF3D36">
        <w:rPr>
          <w:sz w:val="24"/>
          <w:szCs w:val="24"/>
        </w:rPr>
        <w:t>Of the 17 archways, 13 of them opened into the sahn and 4 into the side arcades. The pulpit, the mithrab and the maqsura all came into the mosque at this time.</w:t>
      </w:r>
      <w:r w:rsidR="00DF3D36">
        <w:rPr>
          <w:rStyle w:val="FootnoteReference"/>
          <w:sz w:val="24"/>
          <w:szCs w:val="24"/>
        </w:rPr>
        <w:footnoteReference w:id="15"/>
      </w:r>
      <w:r w:rsidR="008124BF">
        <w:rPr>
          <w:sz w:val="24"/>
          <w:szCs w:val="24"/>
        </w:rPr>
        <w:t xml:space="preserve">  </w:t>
      </w:r>
    </w:p>
    <w:p w:rsidR="00162BAE" w:rsidRDefault="00162BAE" w:rsidP="005C6C30">
      <w:pPr>
        <w:rPr>
          <w:sz w:val="24"/>
          <w:szCs w:val="24"/>
        </w:rPr>
      </w:pPr>
      <w:r>
        <w:rPr>
          <w:sz w:val="24"/>
          <w:szCs w:val="24"/>
        </w:rPr>
        <w:t xml:space="preserve">Another account states that al-Mu’tadid billah was informed that </w:t>
      </w:r>
      <w:r w:rsidR="00693BCE">
        <w:rPr>
          <w:sz w:val="24"/>
          <w:szCs w:val="24"/>
        </w:rPr>
        <w:t>because</w:t>
      </w:r>
      <w:r>
        <w:rPr>
          <w:sz w:val="24"/>
          <w:szCs w:val="24"/>
        </w:rPr>
        <w:t xml:space="preserve"> there was not enough room for </w:t>
      </w:r>
      <w:r w:rsidR="00693BCE">
        <w:rPr>
          <w:sz w:val="24"/>
          <w:szCs w:val="24"/>
        </w:rPr>
        <w:t>the people wanting to pray,</w:t>
      </w:r>
      <w:r w:rsidR="00816A3F">
        <w:rPr>
          <w:sz w:val="24"/>
          <w:szCs w:val="24"/>
        </w:rPr>
        <w:t xml:space="preserve"> and</w:t>
      </w:r>
      <w:r w:rsidR="00693BCE">
        <w:rPr>
          <w:sz w:val="24"/>
          <w:szCs w:val="24"/>
        </w:rPr>
        <w:t xml:space="preserve"> to do so in permissible places</w:t>
      </w:r>
      <w:r w:rsidR="00816A3F">
        <w:rPr>
          <w:sz w:val="24"/>
          <w:szCs w:val="24"/>
        </w:rPr>
        <w:t>,</w:t>
      </w:r>
      <w:r w:rsidR="00693BCE">
        <w:rPr>
          <w:sz w:val="24"/>
          <w:szCs w:val="24"/>
        </w:rPr>
        <w:t xml:space="preserve"> ordered the enlargement of the mosque, at the expense of the Palace of the Commander of the Faithful. It</w:t>
      </w:r>
      <w:r w:rsidR="00F5683E">
        <w:rPr>
          <w:sz w:val="24"/>
          <w:szCs w:val="24"/>
        </w:rPr>
        <w:t xml:space="preserve"> was</w:t>
      </w:r>
      <w:r w:rsidR="00693BCE">
        <w:rPr>
          <w:sz w:val="24"/>
          <w:szCs w:val="24"/>
        </w:rPr>
        <w:t xml:space="preserve"> considered that the Dar al-Qattin was not a permissible place</w:t>
      </w:r>
      <w:r w:rsidR="00F5683E">
        <w:rPr>
          <w:sz w:val="24"/>
          <w:szCs w:val="24"/>
        </w:rPr>
        <w:t>,</w:t>
      </w:r>
      <w:r w:rsidR="00693BCE">
        <w:rPr>
          <w:sz w:val="24"/>
          <w:szCs w:val="24"/>
        </w:rPr>
        <w:t xml:space="preserve"> for prayer to take place in.</w:t>
      </w:r>
      <w:r w:rsidR="00693BCE">
        <w:rPr>
          <w:rStyle w:val="FootnoteReference"/>
          <w:sz w:val="24"/>
          <w:szCs w:val="24"/>
        </w:rPr>
        <w:footnoteReference w:id="16"/>
      </w:r>
      <w:r w:rsidR="00816A3F">
        <w:rPr>
          <w:sz w:val="24"/>
          <w:szCs w:val="24"/>
        </w:rPr>
        <w:t xml:space="preserve"> </w:t>
      </w:r>
    </w:p>
    <w:p w:rsidR="00EE0E9B" w:rsidRDefault="001F7325" w:rsidP="005C6C30">
      <w:pPr>
        <w:rPr>
          <w:sz w:val="24"/>
          <w:szCs w:val="24"/>
        </w:rPr>
      </w:pPr>
      <w:r>
        <w:rPr>
          <w:sz w:val="24"/>
          <w:szCs w:val="24"/>
        </w:rPr>
        <w:t xml:space="preserve">Herzfeld has concluded that the statement of seventeen archways in the partition wall suggests that the original mosque must have had seventeen aisles from left to right. He also said that the side aisles must have been two deep, and that the sanctuary must have had five, taking as an analogy the Mosque of </w:t>
      </w:r>
      <w:r w:rsidR="008D2180">
        <w:rPr>
          <w:sz w:val="24"/>
          <w:szCs w:val="24"/>
        </w:rPr>
        <w:t xml:space="preserve">ibn Tulun. Al-Khatib says that the place and mosque were built in close contact to each other but did not specify on </w:t>
      </w:r>
      <w:r w:rsidR="00F141EF">
        <w:rPr>
          <w:sz w:val="24"/>
          <w:szCs w:val="24"/>
        </w:rPr>
        <w:t>which</w:t>
      </w:r>
      <w:r w:rsidR="008D2180">
        <w:rPr>
          <w:sz w:val="24"/>
          <w:szCs w:val="24"/>
        </w:rPr>
        <w:t xml:space="preserve"> side.</w:t>
      </w:r>
      <w:r w:rsidR="00193853">
        <w:rPr>
          <w:sz w:val="24"/>
          <w:szCs w:val="24"/>
        </w:rPr>
        <w:t xml:space="preserve"> This then </w:t>
      </w:r>
      <w:r w:rsidR="00F141EF">
        <w:rPr>
          <w:sz w:val="24"/>
          <w:szCs w:val="24"/>
        </w:rPr>
        <w:t>leaves some doubt as</w:t>
      </w:r>
      <w:r w:rsidR="009340E6">
        <w:rPr>
          <w:sz w:val="24"/>
          <w:szCs w:val="24"/>
        </w:rPr>
        <w:t xml:space="preserve"> to</w:t>
      </w:r>
      <w:r w:rsidR="00193853">
        <w:rPr>
          <w:sz w:val="24"/>
          <w:szCs w:val="24"/>
        </w:rPr>
        <w:t xml:space="preserve"> which side it was</w:t>
      </w:r>
      <w:r w:rsidR="00F141EF">
        <w:rPr>
          <w:sz w:val="24"/>
          <w:szCs w:val="24"/>
        </w:rPr>
        <w:t xml:space="preserve"> attached</w:t>
      </w:r>
      <w:r w:rsidR="009340E6">
        <w:rPr>
          <w:sz w:val="24"/>
          <w:szCs w:val="24"/>
        </w:rPr>
        <w:t>,</w:t>
      </w:r>
      <w:r w:rsidR="00193853">
        <w:rPr>
          <w:sz w:val="24"/>
          <w:szCs w:val="24"/>
        </w:rPr>
        <w:t xml:space="preserve"> </w:t>
      </w:r>
      <w:r w:rsidR="00F141EF">
        <w:rPr>
          <w:sz w:val="24"/>
          <w:szCs w:val="24"/>
        </w:rPr>
        <w:t>but</w:t>
      </w:r>
      <w:r w:rsidR="00193853">
        <w:rPr>
          <w:sz w:val="24"/>
          <w:szCs w:val="24"/>
        </w:rPr>
        <w:t xml:space="preserve"> the majority would say it was the north-east side w</w:t>
      </w:r>
      <w:r w:rsidR="00F141EF">
        <w:rPr>
          <w:sz w:val="24"/>
          <w:szCs w:val="24"/>
        </w:rPr>
        <w:t>h</w:t>
      </w:r>
      <w:r w:rsidR="00193853">
        <w:rPr>
          <w:sz w:val="24"/>
          <w:szCs w:val="24"/>
        </w:rPr>
        <w:t>ere the qibla wall</w:t>
      </w:r>
      <w:r w:rsidR="00F141EF">
        <w:rPr>
          <w:sz w:val="24"/>
          <w:szCs w:val="24"/>
        </w:rPr>
        <w:t xml:space="preserve"> was situated</w:t>
      </w:r>
      <w:r w:rsidR="00193853">
        <w:rPr>
          <w:sz w:val="24"/>
          <w:szCs w:val="24"/>
        </w:rPr>
        <w:t xml:space="preserve"> which </w:t>
      </w:r>
      <w:r w:rsidR="00F141EF">
        <w:rPr>
          <w:sz w:val="24"/>
          <w:szCs w:val="24"/>
        </w:rPr>
        <w:t xml:space="preserve">in turn </w:t>
      </w:r>
      <w:r w:rsidR="00193853">
        <w:rPr>
          <w:sz w:val="24"/>
          <w:szCs w:val="24"/>
        </w:rPr>
        <w:t xml:space="preserve">would have been in contact with the palace. This then would </w:t>
      </w:r>
      <w:r w:rsidR="009340E6">
        <w:rPr>
          <w:sz w:val="24"/>
          <w:szCs w:val="24"/>
        </w:rPr>
        <w:t>have</w:t>
      </w:r>
      <w:r w:rsidR="00193853">
        <w:rPr>
          <w:sz w:val="24"/>
          <w:szCs w:val="24"/>
        </w:rPr>
        <w:t xml:space="preserve"> enabled the Khalif to pass</w:t>
      </w:r>
      <w:r w:rsidR="0075053C">
        <w:rPr>
          <w:sz w:val="24"/>
          <w:szCs w:val="24"/>
        </w:rPr>
        <w:t xml:space="preserve"> into the maqsura through the door in the qibla as was the practice in the early centuries of Islam.</w:t>
      </w:r>
      <w:r w:rsidR="0075053C">
        <w:rPr>
          <w:rStyle w:val="FootnoteReference"/>
          <w:sz w:val="24"/>
          <w:szCs w:val="24"/>
        </w:rPr>
        <w:footnoteReference w:id="17"/>
      </w:r>
      <w:r w:rsidR="0075053C">
        <w:rPr>
          <w:sz w:val="24"/>
          <w:szCs w:val="24"/>
        </w:rPr>
        <w:t xml:space="preserve"> </w:t>
      </w:r>
      <w:r w:rsidR="009340E6">
        <w:rPr>
          <w:sz w:val="24"/>
          <w:szCs w:val="24"/>
        </w:rPr>
        <w:t xml:space="preserve">The parts added were not only built on the derelict ground of the palace but also against the </w:t>
      </w:r>
      <w:proofErr w:type="spellStart"/>
      <w:r w:rsidR="009340E6">
        <w:rPr>
          <w:sz w:val="24"/>
          <w:szCs w:val="24"/>
        </w:rPr>
        <w:t>sadr</w:t>
      </w:r>
      <w:proofErr w:type="spellEnd"/>
      <w:r w:rsidR="009340E6">
        <w:rPr>
          <w:sz w:val="24"/>
          <w:szCs w:val="24"/>
        </w:rPr>
        <w:t xml:space="preserve"> which </w:t>
      </w:r>
      <w:r w:rsidR="001E1993">
        <w:rPr>
          <w:sz w:val="24"/>
          <w:szCs w:val="24"/>
        </w:rPr>
        <w:t>the part is furthest</w:t>
      </w:r>
      <w:r w:rsidR="009340E6">
        <w:rPr>
          <w:sz w:val="24"/>
          <w:szCs w:val="24"/>
        </w:rPr>
        <w:t xml:space="preserve"> from the entrance. </w:t>
      </w:r>
      <w:r w:rsidR="002F6118">
        <w:rPr>
          <w:sz w:val="24"/>
          <w:szCs w:val="24"/>
        </w:rPr>
        <w:t>Furthermore,</w:t>
      </w:r>
      <w:r w:rsidR="009340E6">
        <w:rPr>
          <w:sz w:val="24"/>
          <w:szCs w:val="24"/>
        </w:rPr>
        <w:t xml:space="preserve"> arches were cut into the back wall, a duplicate of the first mosque was then added but with no north-east</w:t>
      </w:r>
      <w:r w:rsidR="00C94F45">
        <w:rPr>
          <w:sz w:val="24"/>
          <w:szCs w:val="24"/>
        </w:rPr>
        <w:t xml:space="preserve">ern riwaq, </w:t>
      </w:r>
      <w:r w:rsidR="002F6118">
        <w:rPr>
          <w:sz w:val="24"/>
          <w:szCs w:val="24"/>
        </w:rPr>
        <w:t xml:space="preserve">and </w:t>
      </w:r>
      <w:r w:rsidR="00C94F45">
        <w:rPr>
          <w:sz w:val="24"/>
          <w:szCs w:val="24"/>
        </w:rPr>
        <w:t>the pulpit, mihrab and maqsura were then transferred to the new mosque, in accordance with al-Khatib.</w:t>
      </w:r>
      <w:r w:rsidR="00C94F45">
        <w:rPr>
          <w:rStyle w:val="FootnoteReference"/>
          <w:sz w:val="24"/>
          <w:szCs w:val="24"/>
        </w:rPr>
        <w:footnoteReference w:id="18"/>
      </w:r>
      <w:r w:rsidR="00C94F45">
        <w:rPr>
          <w:sz w:val="24"/>
          <w:szCs w:val="24"/>
        </w:rPr>
        <w:t xml:space="preserve"> </w:t>
      </w:r>
      <w:r w:rsidR="009340E6">
        <w:rPr>
          <w:sz w:val="24"/>
          <w:szCs w:val="24"/>
        </w:rPr>
        <w:t xml:space="preserve"> </w:t>
      </w:r>
      <w:r w:rsidR="00385135">
        <w:rPr>
          <w:sz w:val="24"/>
          <w:szCs w:val="24"/>
        </w:rPr>
        <w:t xml:space="preserve">The new mosque </w:t>
      </w:r>
      <w:r w:rsidR="002F6118">
        <w:rPr>
          <w:sz w:val="24"/>
          <w:szCs w:val="24"/>
        </w:rPr>
        <w:t>was</w:t>
      </w:r>
      <w:r w:rsidR="00385135">
        <w:rPr>
          <w:sz w:val="24"/>
          <w:szCs w:val="24"/>
        </w:rPr>
        <w:t xml:space="preserve"> then nearly as big as the original (as al-Khatib says: </w:t>
      </w:r>
      <w:r w:rsidR="00385135">
        <w:rPr>
          <w:sz w:val="24"/>
          <w:szCs w:val="24"/>
        </w:rPr>
        <w:lastRenderedPageBreak/>
        <w:t>‘of the same size or nearly so’), separated from it by a covered colonnade. Muqaddasi, a century later</w:t>
      </w:r>
      <w:r w:rsidR="002F6118">
        <w:rPr>
          <w:sz w:val="24"/>
          <w:szCs w:val="24"/>
        </w:rPr>
        <w:t>,</w:t>
      </w:r>
      <w:r w:rsidR="00385135">
        <w:rPr>
          <w:sz w:val="24"/>
          <w:szCs w:val="24"/>
        </w:rPr>
        <w:t xml:space="preserve"> drew </w:t>
      </w:r>
      <w:r w:rsidR="008522C9">
        <w:rPr>
          <w:sz w:val="24"/>
          <w:szCs w:val="24"/>
        </w:rPr>
        <w:t>parallels</w:t>
      </w:r>
      <w:r w:rsidR="00385135">
        <w:rPr>
          <w:sz w:val="24"/>
          <w:szCs w:val="24"/>
        </w:rPr>
        <w:t xml:space="preserve"> between the mosques</w:t>
      </w:r>
      <w:r w:rsidR="008522C9">
        <w:rPr>
          <w:sz w:val="24"/>
          <w:szCs w:val="24"/>
        </w:rPr>
        <w:t xml:space="preserve"> </w:t>
      </w:r>
      <w:r w:rsidR="00385135">
        <w:rPr>
          <w:sz w:val="24"/>
          <w:szCs w:val="24"/>
        </w:rPr>
        <w:t>of Fasa</w:t>
      </w:r>
      <w:r w:rsidR="008522C9">
        <w:rPr>
          <w:sz w:val="24"/>
          <w:szCs w:val="24"/>
        </w:rPr>
        <w:t xml:space="preserve"> </w:t>
      </w:r>
      <w:r w:rsidR="00385135">
        <w:rPr>
          <w:sz w:val="24"/>
          <w:szCs w:val="24"/>
        </w:rPr>
        <w:t>in Fars an</w:t>
      </w:r>
      <w:r w:rsidR="008522C9">
        <w:rPr>
          <w:sz w:val="24"/>
          <w:szCs w:val="24"/>
        </w:rPr>
        <w:t>d that of Madinat as-Salam in Baghdad both having two sahns and a covered part between them.</w:t>
      </w:r>
      <w:r w:rsidR="00906132">
        <w:rPr>
          <w:rStyle w:val="FootnoteReference"/>
          <w:sz w:val="24"/>
          <w:szCs w:val="24"/>
        </w:rPr>
        <w:footnoteReference w:id="19"/>
      </w:r>
      <w:r w:rsidR="00385135">
        <w:rPr>
          <w:sz w:val="24"/>
          <w:szCs w:val="24"/>
        </w:rPr>
        <w:t xml:space="preserve"> </w:t>
      </w:r>
      <w:r w:rsidR="007E095E">
        <w:rPr>
          <w:sz w:val="24"/>
          <w:szCs w:val="24"/>
        </w:rPr>
        <w:t>It would appear that al-Khatib’s account agrees with the facts and that Herzfeld is wrong to suggest that the Dar al-Qattan was still used for prayer</w:t>
      </w:r>
      <w:r w:rsidR="002F6118">
        <w:rPr>
          <w:sz w:val="24"/>
          <w:szCs w:val="24"/>
        </w:rPr>
        <w:t>,</w:t>
      </w:r>
      <w:r w:rsidR="007E095E">
        <w:rPr>
          <w:sz w:val="24"/>
          <w:szCs w:val="24"/>
        </w:rPr>
        <w:t xml:space="preserve"> as the rebuild and enlargement was supposed to rectify the problem.</w:t>
      </w:r>
      <w:r w:rsidR="007E095E">
        <w:rPr>
          <w:rStyle w:val="FootnoteReference"/>
          <w:sz w:val="24"/>
          <w:szCs w:val="24"/>
        </w:rPr>
        <w:footnoteReference w:id="20"/>
      </w:r>
      <w:r w:rsidR="00385135">
        <w:rPr>
          <w:sz w:val="24"/>
          <w:szCs w:val="24"/>
        </w:rPr>
        <w:t xml:space="preserve"> </w:t>
      </w:r>
    </w:p>
    <w:p w:rsidR="00852C99" w:rsidRDefault="00EE0E9B" w:rsidP="005C6C30">
      <w:pPr>
        <w:rPr>
          <w:sz w:val="24"/>
          <w:szCs w:val="24"/>
        </w:rPr>
      </w:pPr>
      <w:r>
        <w:rPr>
          <w:sz w:val="24"/>
          <w:szCs w:val="24"/>
        </w:rPr>
        <w:t xml:space="preserve">Yet another proposal has been put forward by Lassner about an alternative reconstruction of the round city. </w:t>
      </w:r>
      <w:r w:rsidR="006A2FC4">
        <w:rPr>
          <w:sz w:val="24"/>
          <w:szCs w:val="24"/>
        </w:rPr>
        <w:t>According to Lassner</w:t>
      </w:r>
      <w:r w:rsidR="00C66A26">
        <w:rPr>
          <w:sz w:val="24"/>
          <w:szCs w:val="24"/>
        </w:rPr>
        <w:t>, who was quoting Ya’qubi</w:t>
      </w:r>
      <w:r w:rsidR="0067735D">
        <w:rPr>
          <w:sz w:val="24"/>
          <w:szCs w:val="24"/>
        </w:rPr>
        <w:t>,</w:t>
      </w:r>
      <w:r w:rsidR="006A2FC4">
        <w:rPr>
          <w:sz w:val="24"/>
          <w:szCs w:val="24"/>
        </w:rPr>
        <w:t xml:space="preserve"> there were two extra buildings in the central court</w:t>
      </w:r>
      <w:r w:rsidR="002F6118">
        <w:rPr>
          <w:sz w:val="24"/>
          <w:szCs w:val="24"/>
        </w:rPr>
        <w:t>:</w:t>
      </w:r>
      <w:r w:rsidR="006A2FC4">
        <w:rPr>
          <w:sz w:val="24"/>
          <w:szCs w:val="24"/>
        </w:rPr>
        <w:t xml:space="preserve"> one was adjacent to the Damascus Gate which housed the chief of the guard and his troops</w:t>
      </w:r>
      <w:r w:rsidR="002F6118">
        <w:rPr>
          <w:sz w:val="24"/>
          <w:szCs w:val="24"/>
        </w:rPr>
        <w:t>, whereas t</w:t>
      </w:r>
      <w:r w:rsidR="006A2FC4">
        <w:rPr>
          <w:sz w:val="24"/>
          <w:szCs w:val="24"/>
        </w:rPr>
        <w:t>he other</w:t>
      </w:r>
      <w:r w:rsidR="002F6118">
        <w:rPr>
          <w:sz w:val="24"/>
          <w:szCs w:val="24"/>
        </w:rPr>
        <w:t>, which</w:t>
      </w:r>
      <w:r w:rsidR="006A2FC4">
        <w:rPr>
          <w:sz w:val="24"/>
          <w:szCs w:val="24"/>
        </w:rPr>
        <w:t xml:space="preserve"> had an uncertain location</w:t>
      </w:r>
      <w:r w:rsidR="002F6118">
        <w:rPr>
          <w:sz w:val="24"/>
          <w:szCs w:val="24"/>
        </w:rPr>
        <w:t>,</w:t>
      </w:r>
      <w:r w:rsidR="006A2FC4">
        <w:rPr>
          <w:sz w:val="24"/>
          <w:szCs w:val="24"/>
        </w:rPr>
        <w:t xml:space="preserve"> was a large portico which contain</w:t>
      </w:r>
      <w:r w:rsidR="002F6118">
        <w:rPr>
          <w:sz w:val="24"/>
          <w:szCs w:val="24"/>
        </w:rPr>
        <w:t>ed</w:t>
      </w:r>
      <w:r w:rsidR="006A2FC4">
        <w:rPr>
          <w:sz w:val="24"/>
          <w:szCs w:val="24"/>
        </w:rPr>
        <w:t xml:space="preserve"> the dar of the chief of police and his men. </w:t>
      </w:r>
      <w:r w:rsidR="007B119B">
        <w:rPr>
          <w:rStyle w:val="FootnoteReference"/>
          <w:sz w:val="24"/>
          <w:szCs w:val="24"/>
        </w:rPr>
        <w:footnoteReference w:id="21"/>
      </w:r>
      <w:r w:rsidR="006A2FC4">
        <w:rPr>
          <w:sz w:val="24"/>
          <w:szCs w:val="24"/>
        </w:rPr>
        <w:t xml:space="preserve">  </w:t>
      </w:r>
      <w:r w:rsidR="00385135">
        <w:rPr>
          <w:sz w:val="24"/>
          <w:szCs w:val="24"/>
        </w:rPr>
        <w:t xml:space="preserve"> </w:t>
      </w:r>
    </w:p>
    <w:p w:rsidR="007052F4" w:rsidRDefault="00852C99" w:rsidP="005C6C30">
      <w:pPr>
        <w:rPr>
          <w:sz w:val="24"/>
          <w:szCs w:val="24"/>
        </w:rPr>
      </w:pPr>
      <w:r>
        <w:rPr>
          <w:sz w:val="24"/>
          <w:szCs w:val="24"/>
        </w:rPr>
        <w:t xml:space="preserve">Ya’qubi also indicated that the residences for al-Mansur’s younger children, his servants, slaves, the arsenal, the diwan of the palace personnel, </w:t>
      </w:r>
      <w:r w:rsidR="002F6118">
        <w:rPr>
          <w:sz w:val="24"/>
          <w:szCs w:val="24"/>
        </w:rPr>
        <w:t xml:space="preserve">the </w:t>
      </w:r>
      <w:r>
        <w:rPr>
          <w:sz w:val="24"/>
          <w:szCs w:val="24"/>
        </w:rPr>
        <w:t>public kitchen</w:t>
      </w:r>
      <w:r w:rsidR="00127B82">
        <w:rPr>
          <w:sz w:val="24"/>
          <w:szCs w:val="24"/>
        </w:rPr>
        <w:t xml:space="preserve"> plus other government agencies</w:t>
      </w:r>
      <w:r w:rsidR="002F6118" w:rsidRPr="002F6118">
        <w:rPr>
          <w:sz w:val="24"/>
          <w:szCs w:val="24"/>
        </w:rPr>
        <w:t xml:space="preserve"> </w:t>
      </w:r>
      <w:r w:rsidR="002F6118">
        <w:rPr>
          <w:sz w:val="24"/>
          <w:szCs w:val="24"/>
        </w:rPr>
        <w:t>were in the central court</w:t>
      </w:r>
      <w:r w:rsidR="00127B82">
        <w:rPr>
          <w:sz w:val="24"/>
          <w:szCs w:val="24"/>
        </w:rPr>
        <w:t>.</w:t>
      </w:r>
      <w:r w:rsidR="00127B82">
        <w:rPr>
          <w:rStyle w:val="FootnoteReference"/>
          <w:sz w:val="24"/>
          <w:szCs w:val="24"/>
        </w:rPr>
        <w:footnoteReference w:id="22"/>
      </w:r>
      <w:r w:rsidR="00127B82">
        <w:rPr>
          <w:sz w:val="24"/>
          <w:szCs w:val="24"/>
        </w:rPr>
        <w:t xml:space="preserve"> </w:t>
      </w:r>
      <w:r w:rsidR="00253113">
        <w:rPr>
          <w:sz w:val="24"/>
          <w:szCs w:val="24"/>
        </w:rPr>
        <w:t xml:space="preserve">All these must have been </w:t>
      </w:r>
      <w:r w:rsidR="007052F4">
        <w:rPr>
          <w:sz w:val="24"/>
          <w:szCs w:val="24"/>
        </w:rPr>
        <w:t>around</w:t>
      </w:r>
      <w:r w:rsidR="00253113">
        <w:rPr>
          <w:sz w:val="24"/>
          <w:szCs w:val="24"/>
        </w:rPr>
        <w:t xml:space="preserve"> the third intervallum</w:t>
      </w:r>
      <w:r w:rsidR="002F6118">
        <w:rPr>
          <w:sz w:val="24"/>
          <w:szCs w:val="24"/>
        </w:rPr>
        <w:t>;</w:t>
      </w:r>
      <w:r w:rsidR="00253113">
        <w:rPr>
          <w:sz w:val="24"/>
          <w:szCs w:val="24"/>
        </w:rPr>
        <w:t xml:space="preserve"> this marked the limits of the residential and central court areas. This option has been supported by Tabari, whose text implies that the gates of the chambers of a group of al-Mansur’s generals and scribes opened on</w:t>
      </w:r>
      <w:r w:rsidR="002F6118">
        <w:rPr>
          <w:sz w:val="24"/>
          <w:szCs w:val="24"/>
        </w:rPr>
        <w:t>to</w:t>
      </w:r>
      <w:r w:rsidR="00253113">
        <w:rPr>
          <w:sz w:val="24"/>
          <w:szCs w:val="24"/>
        </w:rPr>
        <w:t xml:space="preserve"> the court.</w:t>
      </w:r>
      <w:r w:rsidR="0030476E">
        <w:rPr>
          <w:rStyle w:val="FootnoteReference"/>
          <w:sz w:val="24"/>
          <w:szCs w:val="24"/>
        </w:rPr>
        <w:footnoteReference w:id="23"/>
      </w:r>
      <w:r w:rsidR="00253113">
        <w:rPr>
          <w:sz w:val="24"/>
          <w:szCs w:val="24"/>
        </w:rPr>
        <w:t xml:space="preserve">  </w:t>
      </w:r>
    </w:p>
    <w:p w:rsidR="00E004CC" w:rsidRDefault="007052F4" w:rsidP="005C6C30">
      <w:pPr>
        <w:rPr>
          <w:sz w:val="24"/>
          <w:szCs w:val="24"/>
        </w:rPr>
      </w:pPr>
      <w:r>
        <w:rPr>
          <w:sz w:val="24"/>
          <w:szCs w:val="24"/>
        </w:rPr>
        <w:t xml:space="preserve">The palace al-Khatib </w:t>
      </w:r>
      <w:r w:rsidR="00B4360A">
        <w:rPr>
          <w:sz w:val="24"/>
          <w:szCs w:val="24"/>
        </w:rPr>
        <w:t>mentions only one iwan</w:t>
      </w:r>
      <w:r w:rsidR="002F6118">
        <w:rPr>
          <w:sz w:val="24"/>
          <w:szCs w:val="24"/>
        </w:rPr>
        <w:t>.</w:t>
      </w:r>
      <w:r w:rsidR="00B4360A">
        <w:rPr>
          <w:sz w:val="24"/>
          <w:szCs w:val="24"/>
        </w:rPr>
        <w:t xml:space="preserve"> Cresswell on the other hand agrees with Herzfeld</w:t>
      </w:r>
      <w:r w:rsidR="002F6118">
        <w:rPr>
          <w:sz w:val="24"/>
          <w:szCs w:val="24"/>
        </w:rPr>
        <w:t xml:space="preserve"> that the</w:t>
      </w:r>
      <w:r w:rsidR="00B4360A">
        <w:rPr>
          <w:sz w:val="24"/>
          <w:szCs w:val="24"/>
        </w:rPr>
        <w:t xml:space="preserve"> palace </w:t>
      </w:r>
      <w:r w:rsidR="002F6118">
        <w:rPr>
          <w:sz w:val="24"/>
          <w:szCs w:val="24"/>
        </w:rPr>
        <w:t>building had four</w:t>
      </w:r>
      <w:r w:rsidR="00B4360A">
        <w:rPr>
          <w:sz w:val="24"/>
          <w:szCs w:val="24"/>
        </w:rPr>
        <w:t xml:space="preserve"> iwan building</w:t>
      </w:r>
      <w:r w:rsidR="002F6118">
        <w:rPr>
          <w:sz w:val="24"/>
          <w:szCs w:val="24"/>
        </w:rPr>
        <w:t>s</w:t>
      </w:r>
      <w:r w:rsidR="00B4360A">
        <w:rPr>
          <w:sz w:val="24"/>
          <w:szCs w:val="24"/>
        </w:rPr>
        <w:t xml:space="preserve">, </w:t>
      </w:r>
      <w:r w:rsidR="001D757A">
        <w:rPr>
          <w:sz w:val="24"/>
          <w:szCs w:val="24"/>
        </w:rPr>
        <w:t>like</w:t>
      </w:r>
      <w:r w:rsidR="00B4360A">
        <w:rPr>
          <w:sz w:val="24"/>
          <w:szCs w:val="24"/>
        </w:rPr>
        <w:t xml:space="preserve"> the Dar al-Imara of Abu Muslim at Merv. Lassner and Grabar both agree with al-Khatib with it being a one iwan form.</w:t>
      </w:r>
      <w:r w:rsidR="002D7359">
        <w:rPr>
          <w:rStyle w:val="FootnoteReference"/>
          <w:sz w:val="24"/>
          <w:szCs w:val="24"/>
        </w:rPr>
        <w:footnoteReference w:id="24"/>
      </w:r>
      <w:r w:rsidR="00B4360A">
        <w:rPr>
          <w:sz w:val="24"/>
          <w:szCs w:val="24"/>
        </w:rPr>
        <w:t xml:space="preserve"> </w:t>
      </w:r>
    </w:p>
    <w:p w:rsidR="00D81170" w:rsidRDefault="00E004CC" w:rsidP="005C6C30">
      <w:pPr>
        <w:rPr>
          <w:sz w:val="24"/>
          <w:szCs w:val="24"/>
        </w:rPr>
      </w:pPr>
      <w:r>
        <w:rPr>
          <w:sz w:val="24"/>
          <w:szCs w:val="24"/>
        </w:rPr>
        <w:t xml:space="preserve">Cresswell </w:t>
      </w:r>
      <w:r w:rsidR="002D7359">
        <w:rPr>
          <w:sz w:val="24"/>
          <w:szCs w:val="24"/>
        </w:rPr>
        <w:t>overlooks one of the accounts given by al-Khatib regarding</w:t>
      </w:r>
      <w:r w:rsidR="0075518C">
        <w:rPr>
          <w:sz w:val="24"/>
          <w:szCs w:val="24"/>
        </w:rPr>
        <w:t xml:space="preserve"> the Great Mosque of al-Mansur, that Harun ar-Rashid rebuilt and enlarged the mosque. When al-</w:t>
      </w:r>
      <w:r w:rsidR="007A39FC">
        <w:rPr>
          <w:sz w:val="24"/>
          <w:szCs w:val="24"/>
        </w:rPr>
        <w:t>Mu’tadid billah</w:t>
      </w:r>
      <w:r w:rsidR="0075518C">
        <w:rPr>
          <w:sz w:val="24"/>
          <w:szCs w:val="24"/>
        </w:rPr>
        <w:t xml:space="preserve"> doubled the size of the mosque it was not al-Mansur’s mosque but Huran ar-Rashid</w:t>
      </w:r>
      <w:r w:rsidR="002D7359">
        <w:rPr>
          <w:sz w:val="24"/>
          <w:szCs w:val="24"/>
        </w:rPr>
        <w:t>’s</w:t>
      </w:r>
      <w:r w:rsidR="0075518C">
        <w:rPr>
          <w:sz w:val="24"/>
          <w:szCs w:val="24"/>
        </w:rPr>
        <w:t xml:space="preserve"> mosque that was doubled. Lassner also states that there were three possible ways of enlarging the mosque, </w:t>
      </w:r>
      <w:r w:rsidR="002D7359">
        <w:rPr>
          <w:sz w:val="24"/>
          <w:szCs w:val="24"/>
        </w:rPr>
        <w:t>by</w:t>
      </w:r>
      <w:r w:rsidR="0075518C">
        <w:rPr>
          <w:sz w:val="24"/>
          <w:szCs w:val="24"/>
        </w:rPr>
        <w:t xml:space="preserve"> lengthen</w:t>
      </w:r>
      <w:r w:rsidR="002D7359">
        <w:rPr>
          <w:sz w:val="24"/>
          <w:szCs w:val="24"/>
        </w:rPr>
        <w:t>ing</w:t>
      </w:r>
      <w:r w:rsidR="0075518C">
        <w:rPr>
          <w:sz w:val="24"/>
          <w:szCs w:val="24"/>
        </w:rPr>
        <w:t>, widen</w:t>
      </w:r>
      <w:r w:rsidR="002D7359">
        <w:rPr>
          <w:sz w:val="24"/>
          <w:szCs w:val="24"/>
        </w:rPr>
        <w:t>ing or both</w:t>
      </w:r>
      <w:r w:rsidR="0075518C">
        <w:rPr>
          <w:sz w:val="24"/>
          <w:szCs w:val="24"/>
        </w:rPr>
        <w:t xml:space="preserve">. Lassner </w:t>
      </w:r>
      <w:r w:rsidR="001D757A">
        <w:rPr>
          <w:sz w:val="24"/>
          <w:szCs w:val="24"/>
        </w:rPr>
        <w:t>believed</w:t>
      </w:r>
      <w:r w:rsidR="002D7359">
        <w:rPr>
          <w:sz w:val="24"/>
          <w:szCs w:val="24"/>
        </w:rPr>
        <w:t xml:space="preserve"> the mosque was both lengthened and widened.</w:t>
      </w:r>
      <w:r w:rsidR="0075518C">
        <w:rPr>
          <w:rStyle w:val="FootnoteReference"/>
          <w:sz w:val="24"/>
          <w:szCs w:val="24"/>
        </w:rPr>
        <w:footnoteReference w:id="25"/>
      </w:r>
      <w:r w:rsidR="0075518C">
        <w:rPr>
          <w:sz w:val="24"/>
          <w:szCs w:val="24"/>
        </w:rPr>
        <w:t xml:space="preserve"> </w:t>
      </w:r>
    </w:p>
    <w:p w:rsidR="00192EBC" w:rsidRDefault="00D81170" w:rsidP="005C6C30">
      <w:pPr>
        <w:rPr>
          <w:sz w:val="24"/>
          <w:szCs w:val="24"/>
        </w:rPr>
      </w:pPr>
      <w:r>
        <w:rPr>
          <w:sz w:val="24"/>
          <w:szCs w:val="24"/>
        </w:rPr>
        <w:t>The al-Mansur mosque had wooden pillars when it was originally built</w:t>
      </w:r>
      <w:r w:rsidR="002D7359">
        <w:rPr>
          <w:sz w:val="24"/>
          <w:szCs w:val="24"/>
        </w:rPr>
        <w:t>. T</w:t>
      </w:r>
      <w:r>
        <w:rPr>
          <w:sz w:val="24"/>
          <w:szCs w:val="24"/>
        </w:rPr>
        <w:t xml:space="preserve">his </w:t>
      </w:r>
      <w:r w:rsidR="002D7359">
        <w:rPr>
          <w:sz w:val="24"/>
          <w:szCs w:val="24"/>
        </w:rPr>
        <w:t>might suggest</w:t>
      </w:r>
      <w:r>
        <w:rPr>
          <w:sz w:val="24"/>
          <w:szCs w:val="24"/>
        </w:rPr>
        <w:t xml:space="preserve"> that there </w:t>
      </w:r>
      <w:r w:rsidR="002D7359">
        <w:rPr>
          <w:sz w:val="24"/>
          <w:szCs w:val="24"/>
        </w:rPr>
        <w:t>was</w:t>
      </w:r>
      <w:r>
        <w:rPr>
          <w:sz w:val="24"/>
          <w:szCs w:val="24"/>
        </w:rPr>
        <w:t xml:space="preserve"> no decoration on them and as such would </w:t>
      </w:r>
      <w:r w:rsidR="002D7359">
        <w:rPr>
          <w:sz w:val="24"/>
          <w:szCs w:val="24"/>
        </w:rPr>
        <w:t xml:space="preserve">have </w:t>
      </w:r>
      <w:r>
        <w:rPr>
          <w:sz w:val="24"/>
          <w:szCs w:val="24"/>
        </w:rPr>
        <w:t>enhanced the starkness of the interior of the mosque. It is though quite likely that the arches over the pillars may have had some painted decoration. The walls would have been white</w:t>
      </w:r>
      <w:r w:rsidR="002D7359">
        <w:rPr>
          <w:sz w:val="24"/>
          <w:szCs w:val="24"/>
        </w:rPr>
        <w:t>-</w:t>
      </w:r>
      <w:r>
        <w:rPr>
          <w:sz w:val="24"/>
          <w:szCs w:val="24"/>
        </w:rPr>
        <w:t>washed or of some other neutral colour and only later would they have been better decorated.</w:t>
      </w:r>
      <w:r>
        <w:rPr>
          <w:rStyle w:val="FootnoteReference"/>
          <w:sz w:val="24"/>
          <w:szCs w:val="24"/>
        </w:rPr>
        <w:footnoteReference w:id="26"/>
      </w:r>
      <w:r w:rsidR="0075518C">
        <w:rPr>
          <w:sz w:val="24"/>
          <w:szCs w:val="24"/>
        </w:rPr>
        <w:t xml:space="preserve"> </w:t>
      </w:r>
      <w:r w:rsidR="00A00E51">
        <w:rPr>
          <w:sz w:val="24"/>
          <w:szCs w:val="24"/>
        </w:rPr>
        <w:t>The ceilings of the mosques were richly decorated</w:t>
      </w:r>
      <w:r w:rsidR="00362D14">
        <w:rPr>
          <w:sz w:val="24"/>
          <w:szCs w:val="24"/>
        </w:rPr>
        <w:t>, the domes especially being highly patterned.</w:t>
      </w:r>
      <w:r w:rsidR="00AE6720">
        <w:rPr>
          <w:sz w:val="24"/>
          <w:szCs w:val="24"/>
        </w:rPr>
        <w:t xml:space="preserve"> It is difficult to be sure how richly decorated the al-Mansur mosque was as no information has survived to </w:t>
      </w:r>
      <w:r w:rsidR="00AE6720">
        <w:rPr>
          <w:sz w:val="24"/>
          <w:szCs w:val="24"/>
        </w:rPr>
        <w:lastRenderedPageBreak/>
        <w:t>come down to us.</w:t>
      </w:r>
      <w:r w:rsidR="00A00E51">
        <w:rPr>
          <w:sz w:val="24"/>
          <w:szCs w:val="24"/>
        </w:rPr>
        <w:t xml:space="preserve"> </w:t>
      </w:r>
      <w:r w:rsidR="002E42BC">
        <w:rPr>
          <w:sz w:val="24"/>
          <w:szCs w:val="24"/>
        </w:rPr>
        <w:t>Looking at Hoag’s book, the later mosques seem to have be</w:t>
      </w:r>
      <w:r w:rsidR="00B55D1F">
        <w:rPr>
          <w:sz w:val="24"/>
          <w:szCs w:val="24"/>
        </w:rPr>
        <w:t>en f</w:t>
      </w:r>
      <w:r w:rsidR="002E42BC">
        <w:rPr>
          <w:sz w:val="24"/>
          <w:szCs w:val="24"/>
        </w:rPr>
        <w:t>ar more colourful and better decorated. Mosques such as Masjid-</w:t>
      </w:r>
      <w:r w:rsidR="00030850">
        <w:rPr>
          <w:sz w:val="24"/>
          <w:szCs w:val="24"/>
        </w:rPr>
        <w:t>I</w:t>
      </w:r>
      <w:r w:rsidR="002E42BC">
        <w:rPr>
          <w:sz w:val="24"/>
          <w:szCs w:val="24"/>
        </w:rPr>
        <w:t xml:space="preserve">-Sab, Isfahan, </w:t>
      </w:r>
      <w:r w:rsidR="002E42BC">
        <w:rPr>
          <w:rStyle w:val="FootnoteReference"/>
          <w:sz w:val="24"/>
          <w:szCs w:val="24"/>
        </w:rPr>
        <w:footnoteReference w:id="27"/>
      </w:r>
      <w:r w:rsidR="0075518C">
        <w:rPr>
          <w:sz w:val="24"/>
          <w:szCs w:val="24"/>
        </w:rPr>
        <w:t xml:space="preserve"> </w:t>
      </w:r>
      <w:r w:rsidR="000E4C15">
        <w:rPr>
          <w:sz w:val="24"/>
          <w:szCs w:val="24"/>
        </w:rPr>
        <w:t xml:space="preserve">or Abmediye, </w:t>
      </w:r>
      <w:r w:rsidR="00030850">
        <w:rPr>
          <w:sz w:val="24"/>
          <w:szCs w:val="24"/>
        </w:rPr>
        <w:t>Istanbul (Blue</w:t>
      </w:r>
      <w:r w:rsidR="000E4C15">
        <w:rPr>
          <w:sz w:val="24"/>
          <w:szCs w:val="24"/>
        </w:rPr>
        <w:t xml:space="preserve"> Mosque).</w:t>
      </w:r>
      <w:r w:rsidR="000E4C15">
        <w:rPr>
          <w:rStyle w:val="FootnoteReference"/>
          <w:sz w:val="24"/>
          <w:szCs w:val="24"/>
        </w:rPr>
        <w:footnoteReference w:id="28"/>
      </w:r>
      <w:r w:rsidR="000E4C15">
        <w:rPr>
          <w:sz w:val="24"/>
          <w:szCs w:val="24"/>
        </w:rPr>
        <w:t xml:space="preserve"> </w:t>
      </w:r>
    </w:p>
    <w:p w:rsidR="00D9762D" w:rsidRDefault="00192EBC" w:rsidP="005C6C30">
      <w:pPr>
        <w:rPr>
          <w:sz w:val="24"/>
          <w:szCs w:val="24"/>
        </w:rPr>
      </w:pPr>
      <w:r>
        <w:rPr>
          <w:sz w:val="24"/>
          <w:szCs w:val="24"/>
        </w:rPr>
        <w:t xml:space="preserve">Minarets were highly decorated examples being Serefeli Cami at Edirne, or the Jami Masjid, Champanir. As </w:t>
      </w:r>
      <w:r w:rsidR="002D7359">
        <w:rPr>
          <w:sz w:val="24"/>
          <w:szCs w:val="24"/>
        </w:rPr>
        <w:t xml:space="preserve">already </w:t>
      </w:r>
      <w:r w:rsidR="001D757A">
        <w:rPr>
          <w:sz w:val="24"/>
          <w:szCs w:val="24"/>
        </w:rPr>
        <w:t>mentioned, the</w:t>
      </w:r>
      <w:r>
        <w:rPr>
          <w:sz w:val="24"/>
          <w:szCs w:val="24"/>
        </w:rPr>
        <w:t xml:space="preserve"> pillars inside the mosques were </w:t>
      </w:r>
      <w:r w:rsidR="002D7359">
        <w:rPr>
          <w:sz w:val="24"/>
          <w:szCs w:val="24"/>
        </w:rPr>
        <w:t xml:space="preserve">usually </w:t>
      </w:r>
      <w:r>
        <w:rPr>
          <w:sz w:val="24"/>
          <w:szCs w:val="24"/>
        </w:rPr>
        <w:t>also highly decorated either</w:t>
      </w:r>
      <w:r w:rsidR="00730A9B">
        <w:rPr>
          <w:sz w:val="24"/>
          <w:szCs w:val="24"/>
        </w:rPr>
        <w:t xml:space="preserve"> with</w:t>
      </w:r>
      <w:r>
        <w:rPr>
          <w:sz w:val="24"/>
          <w:szCs w:val="24"/>
        </w:rPr>
        <w:t xml:space="preserve"> paint or other decoration types.</w:t>
      </w:r>
      <w:r w:rsidR="007762F4">
        <w:rPr>
          <w:sz w:val="24"/>
          <w:szCs w:val="24"/>
        </w:rPr>
        <w:t xml:space="preserve"> Pillars </w:t>
      </w:r>
      <w:r w:rsidR="002D7359">
        <w:rPr>
          <w:sz w:val="24"/>
          <w:szCs w:val="24"/>
        </w:rPr>
        <w:t>c</w:t>
      </w:r>
      <w:r w:rsidR="007762F4">
        <w:rPr>
          <w:sz w:val="24"/>
          <w:szCs w:val="24"/>
        </w:rPr>
        <w:t xml:space="preserve">ould also be highly carved pieces and </w:t>
      </w:r>
      <w:r w:rsidR="002D7359">
        <w:rPr>
          <w:sz w:val="24"/>
          <w:szCs w:val="24"/>
        </w:rPr>
        <w:t xml:space="preserve">they </w:t>
      </w:r>
      <w:r w:rsidR="007762F4">
        <w:rPr>
          <w:sz w:val="24"/>
          <w:szCs w:val="24"/>
        </w:rPr>
        <w:t>often ha</w:t>
      </w:r>
      <w:r w:rsidR="002D7359">
        <w:rPr>
          <w:sz w:val="24"/>
          <w:szCs w:val="24"/>
        </w:rPr>
        <w:t>d</w:t>
      </w:r>
      <w:r w:rsidR="007762F4">
        <w:rPr>
          <w:sz w:val="24"/>
          <w:szCs w:val="24"/>
        </w:rPr>
        <w:t xml:space="preserve"> capitals at the top and solid bases.</w:t>
      </w:r>
      <w:r w:rsidR="00FC5647">
        <w:rPr>
          <w:rStyle w:val="FootnoteReference"/>
          <w:sz w:val="24"/>
          <w:szCs w:val="24"/>
        </w:rPr>
        <w:footnoteReference w:id="29"/>
      </w:r>
      <w:r>
        <w:rPr>
          <w:sz w:val="24"/>
          <w:szCs w:val="24"/>
        </w:rPr>
        <w:t xml:space="preserve"> But as I have said it is difficult to describe how the al-Mansur mosque would have looked as only one description of it has come down to us. Later additions such as pulpits</w:t>
      </w:r>
      <w:r w:rsidR="002D7359">
        <w:rPr>
          <w:sz w:val="24"/>
          <w:szCs w:val="24"/>
        </w:rPr>
        <w:t>,</w:t>
      </w:r>
      <w:r>
        <w:rPr>
          <w:sz w:val="24"/>
          <w:szCs w:val="24"/>
        </w:rPr>
        <w:t xml:space="preserve"> </w:t>
      </w:r>
      <w:r w:rsidR="006D2D53">
        <w:rPr>
          <w:sz w:val="24"/>
          <w:szCs w:val="24"/>
        </w:rPr>
        <w:t>although having some carving</w:t>
      </w:r>
      <w:r w:rsidR="002D7359">
        <w:rPr>
          <w:sz w:val="24"/>
          <w:szCs w:val="24"/>
        </w:rPr>
        <w:t>,</w:t>
      </w:r>
      <w:r w:rsidR="006D2D53">
        <w:rPr>
          <w:sz w:val="24"/>
          <w:szCs w:val="24"/>
        </w:rPr>
        <w:t xml:space="preserve"> would not </w:t>
      </w:r>
      <w:r w:rsidR="00645B2D">
        <w:rPr>
          <w:sz w:val="24"/>
          <w:szCs w:val="24"/>
        </w:rPr>
        <w:t>have</w:t>
      </w:r>
      <w:r w:rsidR="006D2D53">
        <w:rPr>
          <w:sz w:val="24"/>
          <w:szCs w:val="24"/>
        </w:rPr>
        <w:t xml:space="preserve"> been painted.</w:t>
      </w:r>
      <w:r>
        <w:rPr>
          <w:sz w:val="24"/>
          <w:szCs w:val="24"/>
        </w:rPr>
        <w:t xml:space="preserve"> </w:t>
      </w:r>
      <w:r w:rsidR="002F470E">
        <w:rPr>
          <w:rStyle w:val="FootnoteReference"/>
          <w:sz w:val="24"/>
          <w:szCs w:val="24"/>
        </w:rPr>
        <w:footnoteReference w:id="30"/>
      </w:r>
      <w:r>
        <w:rPr>
          <w:sz w:val="24"/>
          <w:szCs w:val="24"/>
        </w:rPr>
        <w:t xml:space="preserve"> </w:t>
      </w:r>
    </w:p>
    <w:p w:rsidR="00645B2D" w:rsidRDefault="00D9762D" w:rsidP="005C6C30">
      <w:pPr>
        <w:rPr>
          <w:sz w:val="24"/>
          <w:szCs w:val="24"/>
        </w:rPr>
      </w:pPr>
      <w:r>
        <w:rPr>
          <w:sz w:val="24"/>
          <w:szCs w:val="24"/>
        </w:rPr>
        <w:t xml:space="preserve">It is difficult to give a complete picture of the al-Mansur mosque as only a single statement of its existence has come down to us and </w:t>
      </w:r>
      <w:r w:rsidR="00E9373C">
        <w:rPr>
          <w:sz w:val="24"/>
          <w:szCs w:val="24"/>
        </w:rPr>
        <w:t xml:space="preserve">because </w:t>
      </w:r>
      <w:r>
        <w:rPr>
          <w:sz w:val="24"/>
          <w:szCs w:val="24"/>
        </w:rPr>
        <w:t>of</w:t>
      </w:r>
      <w:r w:rsidR="00E9373C">
        <w:rPr>
          <w:sz w:val="24"/>
          <w:szCs w:val="24"/>
        </w:rPr>
        <w:t xml:space="preserve"> </w:t>
      </w:r>
      <w:r>
        <w:rPr>
          <w:sz w:val="24"/>
          <w:szCs w:val="24"/>
        </w:rPr>
        <w:t xml:space="preserve">the many re-buildings and alterations </w:t>
      </w:r>
      <w:r w:rsidR="00E9373C">
        <w:rPr>
          <w:sz w:val="24"/>
          <w:szCs w:val="24"/>
        </w:rPr>
        <w:t xml:space="preserve">that </w:t>
      </w:r>
      <w:r w:rsidR="002D7359">
        <w:rPr>
          <w:sz w:val="24"/>
          <w:szCs w:val="24"/>
        </w:rPr>
        <w:t>have taken</w:t>
      </w:r>
      <w:r>
        <w:rPr>
          <w:sz w:val="24"/>
          <w:szCs w:val="24"/>
        </w:rPr>
        <w:t xml:space="preserve"> place.</w:t>
      </w:r>
      <w:r w:rsidR="00730A9B">
        <w:rPr>
          <w:sz w:val="24"/>
          <w:szCs w:val="24"/>
        </w:rPr>
        <w:t xml:space="preserve"> The fact that it was a circular building was unique and it did become the prototype for other mosques and </w:t>
      </w:r>
      <w:r w:rsidR="000E5A4D">
        <w:rPr>
          <w:sz w:val="24"/>
          <w:szCs w:val="24"/>
        </w:rPr>
        <w:t>even</w:t>
      </w:r>
      <w:r w:rsidR="00730A9B">
        <w:rPr>
          <w:sz w:val="24"/>
          <w:szCs w:val="24"/>
        </w:rPr>
        <w:t xml:space="preserve"> some churches had circular elements in their construction.</w:t>
      </w:r>
      <w:r w:rsidR="00B55D1F">
        <w:rPr>
          <w:sz w:val="24"/>
          <w:szCs w:val="24"/>
        </w:rPr>
        <w:t xml:space="preserve"> My thoughts go forward some five hundred years to the Knights Templars who had a semi round church </w:t>
      </w:r>
      <w:r w:rsidR="001E1993">
        <w:rPr>
          <w:sz w:val="24"/>
          <w:szCs w:val="24"/>
        </w:rPr>
        <w:t>in</w:t>
      </w:r>
      <w:r w:rsidR="000E5A4D">
        <w:rPr>
          <w:sz w:val="24"/>
          <w:szCs w:val="24"/>
        </w:rPr>
        <w:t xml:space="preserve"> the River Fleet, in </w:t>
      </w:r>
      <w:r w:rsidR="00B55D1F">
        <w:rPr>
          <w:sz w:val="24"/>
          <w:szCs w:val="24"/>
        </w:rPr>
        <w:t>London which was their headquarte</w:t>
      </w:r>
      <w:r w:rsidR="00190C05">
        <w:rPr>
          <w:sz w:val="24"/>
          <w:szCs w:val="24"/>
        </w:rPr>
        <w:t>r</w:t>
      </w:r>
      <w:r w:rsidR="00B55D1F">
        <w:rPr>
          <w:sz w:val="24"/>
          <w:szCs w:val="24"/>
        </w:rPr>
        <w:t>s</w:t>
      </w:r>
      <w:r w:rsidR="00190C05">
        <w:rPr>
          <w:sz w:val="24"/>
          <w:szCs w:val="24"/>
        </w:rPr>
        <w:t>.</w:t>
      </w:r>
      <w:r w:rsidR="00910355">
        <w:rPr>
          <w:sz w:val="24"/>
          <w:szCs w:val="24"/>
        </w:rPr>
        <w:t xml:space="preserve"> So perhaps ove</w:t>
      </w:r>
      <w:r w:rsidR="00645B2D">
        <w:rPr>
          <w:sz w:val="24"/>
          <w:szCs w:val="24"/>
        </w:rPr>
        <w:t>r the centuries</w:t>
      </w:r>
      <w:r w:rsidR="000E5A4D">
        <w:rPr>
          <w:sz w:val="24"/>
          <w:szCs w:val="24"/>
        </w:rPr>
        <w:t>, an argument could be put forward to show that</w:t>
      </w:r>
      <w:r w:rsidR="00645B2D">
        <w:rPr>
          <w:sz w:val="24"/>
          <w:szCs w:val="24"/>
        </w:rPr>
        <w:t xml:space="preserve"> there was</w:t>
      </w:r>
      <w:r w:rsidR="000E5A4D">
        <w:rPr>
          <w:sz w:val="24"/>
          <w:szCs w:val="24"/>
        </w:rPr>
        <w:t xml:space="preserve"> an element of</w:t>
      </w:r>
      <w:r w:rsidR="00645B2D">
        <w:rPr>
          <w:sz w:val="24"/>
          <w:szCs w:val="24"/>
        </w:rPr>
        <w:t xml:space="preserve"> borrowing of</w:t>
      </w:r>
      <w:r w:rsidR="000E5A4D">
        <w:rPr>
          <w:sz w:val="24"/>
          <w:szCs w:val="24"/>
        </w:rPr>
        <w:t xml:space="preserve"> some</w:t>
      </w:r>
      <w:r w:rsidR="00645B2D">
        <w:rPr>
          <w:sz w:val="24"/>
          <w:szCs w:val="24"/>
        </w:rPr>
        <w:t xml:space="preserve"> ideas</w:t>
      </w:r>
      <w:r w:rsidR="000E5A4D">
        <w:rPr>
          <w:sz w:val="24"/>
          <w:szCs w:val="24"/>
        </w:rPr>
        <w:t>,</w:t>
      </w:r>
      <w:r w:rsidR="00645B2D">
        <w:rPr>
          <w:sz w:val="24"/>
          <w:szCs w:val="24"/>
        </w:rPr>
        <w:t xml:space="preserve"> </w:t>
      </w:r>
      <w:r w:rsidR="002D7359">
        <w:rPr>
          <w:sz w:val="24"/>
          <w:szCs w:val="24"/>
        </w:rPr>
        <w:t>relating to</w:t>
      </w:r>
      <w:r w:rsidR="00645B2D">
        <w:rPr>
          <w:sz w:val="24"/>
          <w:szCs w:val="24"/>
        </w:rPr>
        <w:t xml:space="preserve"> the construction of such buildings.</w:t>
      </w:r>
    </w:p>
    <w:p w:rsidR="00E40747" w:rsidRDefault="00E40747" w:rsidP="005C6C30">
      <w:pPr>
        <w:rPr>
          <w:sz w:val="24"/>
          <w:szCs w:val="24"/>
        </w:rPr>
      </w:pPr>
      <w:r>
        <w:rPr>
          <w:sz w:val="24"/>
          <w:szCs w:val="24"/>
        </w:rPr>
        <w:t xml:space="preserve">As the religion grew so mosques had to be altered, rebuilt and even erased and started again. </w:t>
      </w:r>
      <w:r w:rsidR="000A05DF">
        <w:rPr>
          <w:sz w:val="24"/>
          <w:szCs w:val="24"/>
        </w:rPr>
        <w:t xml:space="preserve">When the </w:t>
      </w:r>
      <w:r w:rsidR="00D45490">
        <w:rPr>
          <w:sz w:val="24"/>
          <w:szCs w:val="24"/>
        </w:rPr>
        <w:t>growing</w:t>
      </w:r>
      <w:r w:rsidR="000A05DF">
        <w:rPr>
          <w:sz w:val="24"/>
          <w:szCs w:val="24"/>
        </w:rPr>
        <w:t xml:space="preserve"> number of people wishing to use a mosque for prayer</w:t>
      </w:r>
      <w:r w:rsidR="00D45490">
        <w:rPr>
          <w:sz w:val="24"/>
          <w:szCs w:val="24"/>
        </w:rPr>
        <w:t xml:space="preserve">, out grew the space that could be used </w:t>
      </w:r>
      <w:r w:rsidR="001E1993">
        <w:rPr>
          <w:sz w:val="24"/>
          <w:szCs w:val="24"/>
        </w:rPr>
        <w:t>legitimately</w:t>
      </w:r>
      <w:r w:rsidR="00D45490">
        <w:rPr>
          <w:sz w:val="24"/>
          <w:szCs w:val="24"/>
        </w:rPr>
        <w:t xml:space="preserve">, because of religious rules buildings had to be rebuilt. </w:t>
      </w:r>
      <w:r w:rsidR="000A05DF">
        <w:rPr>
          <w:sz w:val="24"/>
          <w:szCs w:val="24"/>
        </w:rPr>
        <w:t xml:space="preserve"> </w:t>
      </w:r>
      <w:r w:rsidR="00D45490">
        <w:rPr>
          <w:sz w:val="24"/>
          <w:szCs w:val="24"/>
        </w:rPr>
        <w:t>To</w:t>
      </w:r>
      <w:r>
        <w:rPr>
          <w:sz w:val="24"/>
          <w:szCs w:val="24"/>
        </w:rPr>
        <w:t xml:space="preserve">day were there are growing populations of </w:t>
      </w:r>
      <w:r w:rsidR="001E1993">
        <w:rPr>
          <w:sz w:val="24"/>
          <w:szCs w:val="24"/>
        </w:rPr>
        <w:t>Muslims</w:t>
      </w:r>
      <w:r>
        <w:rPr>
          <w:sz w:val="24"/>
          <w:szCs w:val="24"/>
        </w:rPr>
        <w:t xml:space="preserve"> in</w:t>
      </w:r>
      <w:r w:rsidR="00D45490">
        <w:rPr>
          <w:sz w:val="24"/>
          <w:szCs w:val="24"/>
        </w:rPr>
        <w:t xml:space="preserve"> cities like London, then quite often,</w:t>
      </w:r>
      <w:r>
        <w:rPr>
          <w:sz w:val="24"/>
          <w:szCs w:val="24"/>
        </w:rPr>
        <w:t xml:space="preserve"> redundant synagogues are used and converted to mosques. Much of southern Europe has a fair sized Islamic community </w:t>
      </w:r>
      <w:r w:rsidR="00F939C3">
        <w:rPr>
          <w:sz w:val="24"/>
          <w:szCs w:val="24"/>
        </w:rPr>
        <w:t xml:space="preserve">this being a result of </w:t>
      </w:r>
      <w:r w:rsidR="00B66E7F">
        <w:rPr>
          <w:sz w:val="24"/>
          <w:szCs w:val="24"/>
        </w:rPr>
        <w:t>history</w:t>
      </w:r>
      <w:r w:rsidR="00F939C3">
        <w:rPr>
          <w:sz w:val="24"/>
          <w:szCs w:val="24"/>
        </w:rPr>
        <w:t xml:space="preserve">. The decoration of mosques can change from country to country, in Spain and Turkey are particularly colourful. </w:t>
      </w:r>
      <w:r w:rsidR="001E1993">
        <w:rPr>
          <w:sz w:val="24"/>
          <w:szCs w:val="24"/>
        </w:rPr>
        <w:t>Again,</w:t>
      </w:r>
      <w:r w:rsidR="00F939C3">
        <w:rPr>
          <w:sz w:val="24"/>
          <w:szCs w:val="24"/>
        </w:rPr>
        <w:t xml:space="preserve"> external parts of the mosques can be unusual, the Great Mosque of al-Mutawakkil, the Malwiya, with its spiral minaret being a case in point.  </w:t>
      </w:r>
      <w:r>
        <w:rPr>
          <w:sz w:val="24"/>
          <w:szCs w:val="24"/>
        </w:rPr>
        <w:t xml:space="preserve">  </w:t>
      </w:r>
    </w:p>
    <w:p w:rsidR="00645B2D" w:rsidRDefault="00645B2D" w:rsidP="005C6C30">
      <w:pPr>
        <w:rPr>
          <w:sz w:val="24"/>
          <w:szCs w:val="24"/>
        </w:rPr>
      </w:pPr>
    </w:p>
    <w:p w:rsidR="000D681C" w:rsidRDefault="00D9762D" w:rsidP="005C6C30">
      <w:pPr>
        <w:rPr>
          <w:sz w:val="24"/>
          <w:szCs w:val="24"/>
        </w:rPr>
      </w:pPr>
      <w:r>
        <w:rPr>
          <w:sz w:val="24"/>
          <w:szCs w:val="24"/>
        </w:rPr>
        <w:t xml:space="preserve"> </w:t>
      </w:r>
      <w:r w:rsidR="00192EBC">
        <w:rPr>
          <w:sz w:val="24"/>
          <w:szCs w:val="24"/>
        </w:rPr>
        <w:t xml:space="preserve">  </w:t>
      </w:r>
      <w:r w:rsidR="00B4360A">
        <w:rPr>
          <w:sz w:val="24"/>
          <w:szCs w:val="24"/>
        </w:rPr>
        <w:t xml:space="preserve"> </w:t>
      </w:r>
      <w:r w:rsidR="00253113">
        <w:rPr>
          <w:sz w:val="24"/>
          <w:szCs w:val="24"/>
        </w:rPr>
        <w:t xml:space="preserve"> </w:t>
      </w:r>
      <w:r w:rsidR="00852C99">
        <w:rPr>
          <w:sz w:val="24"/>
          <w:szCs w:val="24"/>
        </w:rPr>
        <w:t xml:space="preserve">  </w:t>
      </w:r>
      <w:r w:rsidR="00385135">
        <w:rPr>
          <w:sz w:val="24"/>
          <w:szCs w:val="24"/>
        </w:rPr>
        <w:t xml:space="preserve"> </w:t>
      </w:r>
      <w:r w:rsidR="009340E6">
        <w:rPr>
          <w:sz w:val="24"/>
          <w:szCs w:val="24"/>
        </w:rPr>
        <w:t xml:space="preserve">  </w:t>
      </w:r>
    </w:p>
    <w:p w:rsidR="00B83DCF" w:rsidRPr="00B83DCF" w:rsidRDefault="00712AAD" w:rsidP="005C6C30">
      <w:pPr>
        <w:rPr>
          <w:sz w:val="24"/>
          <w:szCs w:val="24"/>
        </w:rPr>
      </w:pPr>
      <w:r>
        <w:rPr>
          <w:sz w:val="24"/>
          <w:szCs w:val="24"/>
        </w:rPr>
        <w:lastRenderedPageBreak/>
        <w:t xml:space="preserve">   </w:t>
      </w:r>
      <w:r w:rsidR="009816BF">
        <w:rPr>
          <w:sz w:val="24"/>
          <w:szCs w:val="24"/>
        </w:rPr>
        <w:t xml:space="preserve"> </w:t>
      </w:r>
      <w:r w:rsidR="00030C70">
        <w:rPr>
          <w:sz w:val="24"/>
          <w:szCs w:val="24"/>
        </w:rPr>
        <w:t xml:space="preserve">   </w:t>
      </w:r>
      <w:r w:rsidR="005C6C30" w:rsidRPr="00B83DCF">
        <w:rPr>
          <w:sz w:val="24"/>
          <w:szCs w:val="24"/>
        </w:rPr>
        <w:t xml:space="preserve"> </w:t>
      </w:r>
      <w:r w:rsidR="00B83DCF" w:rsidRPr="00B83DCF">
        <w:rPr>
          <w:sz w:val="24"/>
          <w:szCs w:val="24"/>
        </w:rPr>
        <w:t xml:space="preserve"> </w:t>
      </w:r>
    </w:p>
    <w:sectPr w:rsidR="00B83DCF" w:rsidRPr="00B83D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BF0" w:rsidRDefault="008C0BF0" w:rsidP="00513C1B">
      <w:pPr>
        <w:spacing w:after="0" w:line="240" w:lineRule="auto"/>
      </w:pPr>
      <w:r>
        <w:separator/>
      </w:r>
    </w:p>
  </w:endnote>
  <w:endnote w:type="continuationSeparator" w:id="0">
    <w:p w:rsidR="008C0BF0" w:rsidRDefault="008C0BF0" w:rsidP="00513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BF0" w:rsidRDefault="008C0BF0" w:rsidP="00513C1B">
      <w:pPr>
        <w:spacing w:after="0" w:line="240" w:lineRule="auto"/>
      </w:pPr>
      <w:r>
        <w:separator/>
      </w:r>
    </w:p>
  </w:footnote>
  <w:footnote w:type="continuationSeparator" w:id="0">
    <w:p w:rsidR="008C0BF0" w:rsidRDefault="008C0BF0" w:rsidP="00513C1B">
      <w:pPr>
        <w:spacing w:after="0" w:line="240" w:lineRule="auto"/>
      </w:pPr>
      <w:r>
        <w:continuationSeparator/>
      </w:r>
    </w:p>
  </w:footnote>
  <w:footnote w:id="1">
    <w:p w:rsidR="00000B6B" w:rsidRDefault="00000B6B">
      <w:pPr>
        <w:pStyle w:val="FootnoteText"/>
      </w:pPr>
      <w:r>
        <w:rPr>
          <w:rStyle w:val="FootnoteReference"/>
        </w:rPr>
        <w:footnoteRef/>
      </w:r>
      <w:r>
        <w:t xml:space="preserve"> Hoag </w:t>
      </w:r>
      <w:r w:rsidR="00A713C8">
        <w:t>1987</w:t>
      </w:r>
      <w:r w:rsidR="00601D06">
        <w:t>:</w:t>
      </w:r>
      <w:r w:rsidR="00A713C8">
        <w:t xml:space="preserve"> </w:t>
      </w:r>
      <w:r>
        <w:t>23</w:t>
      </w:r>
    </w:p>
  </w:footnote>
  <w:footnote w:id="2">
    <w:p w:rsidR="002C4E83" w:rsidRDefault="002C4E83">
      <w:pPr>
        <w:pStyle w:val="FootnoteText"/>
      </w:pPr>
      <w:r>
        <w:rPr>
          <w:rStyle w:val="FootnoteReference"/>
        </w:rPr>
        <w:footnoteRef/>
      </w:r>
      <w:r w:rsidR="00A45063">
        <w:t xml:space="preserve"> Cresswell</w:t>
      </w:r>
      <w:r w:rsidR="001D757A">
        <w:t xml:space="preserve"> </w:t>
      </w:r>
      <w:r w:rsidR="00A45063">
        <w:t>1989</w:t>
      </w:r>
      <w:r w:rsidR="001D757A">
        <w:t xml:space="preserve">: </w:t>
      </w:r>
      <w:r>
        <w:t>2</w:t>
      </w:r>
      <w:r w:rsidR="00A45063">
        <w:t>40</w:t>
      </w:r>
    </w:p>
  </w:footnote>
  <w:footnote w:id="3">
    <w:p w:rsidR="00513C1B" w:rsidRDefault="00513C1B">
      <w:pPr>
        <w:pStyle w:val="FootnoteText"/>
      </w:pPr>
      <w:r>
        <w:rPr>
          <w:rStyle w:val="FootnoteReference"/>
        </w:rPr>
        <w:footnoteRef/>
      </w:r>
      <w:r>
        <w:t xml:space="preserve"> </w:t>
      </w:r>
      <w:r w:rsidR="001F7325">
        <w:t xml:space="preserve">Cresswell </w:t>
      </w:r>
      <w:r>
        <w:t>1989</w:t>
      </w:r>
      <w:r w:rsidR="001D757A">
        <w:t xml:space="preserve">: </w:t>
      </w:r>
      <w:r>
        <w:t>240</w:t>
      </w:r>
    </w:p>
  </w:footnote>
  <w:footnote w:id="4">
    <w:p w:rsidR="00CA3C5D" w:rsidRDefault="00CA3C5D">
      <w:pPr>
        <w:pStyle w:val="FootnoteText"/>
      </w:pPr>
      <w:r>
        <w:rPr>
          <w:rStyle w:val="FootnoteReference"/>
        </w:rPr>
        <w:footnoteRef/>
      </w:r>
      <w:r>
        <w:t xml:space="preserve"> </w:t>
      </w:r>
      <w:r w:rsidR="003B6CFF">
        <w:t>Hoag 1987</w:t>
      </w:r>
      <w:r w:rsidR="001D757A">
        <w:t xml:space="preserve"> :</w:t>
      </w:r>
      <w:r>
        <w:t xml:space="preserve">23   </w:t>
      </w:r>
    </w:p>
  </w:footnote>
  <w:footnote w:id="5">
    <w:p w:rsidR="00CA3C5D" w:rsidRDefault="00CA3C5D">
      <w:pPr>
        <w:pStyle w:val="FootnoteText"/>
      </w:pPr>
      <w:r>
        <w:rPr>
          <w:rStyle w:val="FootnoteReference"/>
        </w:rPr>
        <w:footnoteRef/>
      </w:r>
      <w:r>
        <w:t xml:space="preserve"> </w:t>
      </w:r>
      <w:r w:rsidR="003B6CFF">
        <w:t>Hoag 1987</w:t>
      </w:r>
      <w:r w:rsidR="001D757A">
        <w:t xml:space="preserve"> :</w:t>
      </w:r>
      <w:r>
        <w:t>23</w:t>
      </w:r>
    </w:p>
  </w:footnote>
  <w:footnote w:id="6">
    <w:p w:rsidR="00C40CC6" w:rsidRDefault="00C40CC6">
      <w:pPr>
        <w:pStyle w:val="FootnoteText"/>
      </w:pPr>
      <w:r>
        <w:rPr>
          <w:rStyle w:val="FootnoteReference"/>
        </w:rPr>
        <w:footnoteRef/>
      </w:r>
      <w:r>
        <w:t xml:space="preserve"> Cresswell 1989</w:t>
      </w:r>
      <w:r w:rsidR="001D757A">
        <w:t xml:space="preserve"> :</w:t>
      </w:r>
      <w:r>
        <w:t xml:space="preserve">240 </w:t>
      </w:r>
    </w:p>
  </w:footnote>
  <w:footnote w:id="7">
    <w:p w:rsidR="00851434" w:rsidRDefault="00851434">
      <w:pPr>
        <w:pStyle w:val="FootnoteText"/>
      </w:pPr>
      <w:r>
        <w:rPr>
          <w:rStyle w:val="FootnoteReference"/>
        </w:rPr>
        <w:footnoteRef/>
      </w:r>
      <w:r>
        <w:t xml:space="preserve"> Cresswell 1989</w:t>
      </w:r>
      <w:r w:rsidR="001D757A">
        <w:t xml:space="preserve"> :</w:t>
      </w:r>
      <w:r>
        <w:t>240</w:t>
      </w:r>
    </w:p>
  </w:footnote>
  <w:footnote w:id="8">
    <w:p w:rsidR="0060561B" w:rsidRDefault="0060561B">
      <w:pPr>
        <w:pStyle w:val="FootnoteText"/>
      </w:pPr>
      <w:r>
        <w:rPr>
          <w:rStyle w:val="FootnoteReference"/>
        </w:rPr>
        <w:footnoteRef/>
      </w:r>
      <w:r>
        <w:t xml:space="preserve"> </w:t>
      </w:r>
      <w:r w:rsidR="003B6CFF">
        <w:t>Hoag 1987</w:t>
      </w:r>
      <w:r w:rsidR="001D757A">
        <w:t xml:space="preserve"> :</w:t>
      </w:r>
      <w:r>
        <w:t xml:space="preserve">26 </w:t>
      </w:r>
    </w:p>
  </w:footnote>
  <w:footnote w:id="9">
    <w:p w:rsidR="00E926B7" w:rsidRDefault="00E926B7">
      <w:pPr>
        <w:pStyle w:val="FootnoteText"/>
      </w:pPr>
      <w:r>
        <w:rPr>
          <w:rStyle w:val="FootnoteReference"/>
        </w:rPr>
        <w:footnoteRef/>
      </w:r>
      <w:r>
        <w:t xml:space="preserve"> Hoag 1987</w:t>
      </w:r>
      <w:r w:rsidR="001D757A">
        <w:t xml:space="preserve"> :</w:t>
      </w:r>
      <w:r>
        <w:t>2</w:t>
      </w:r>
      <w:r w:rsidR="00FE7602">
        <w:t>6</w:t>
      </w:r>
      <w:r>
        <w:t xml:space="preserve"> </w:t>
      </w:r>
    </w:p>
  </w:footnote>
  <w:footnote w:id="10">
    <w:p w:rsidR="003C1BD0" w:rsidRDefault="003C1BD0">
      <w:pPr>
        <w:pStyle w:val="FootnoteText"/>
      </w:pPr>
      <w:r>
        <w:rPr>
          <w:rStyle w:val="FootnoteReference"/>
        </w:rPr>
        <w:footnoteRef/>
      </w:r>
      <w:r>
        <w:t xml:space="preserve"> </w:t>
      </w:r>
      <w:r w:rsidR="003B6CFF">
        <w:t>Hoag 1987</w:t>
      </w:r>
      <w:r w:rsidR="001D757A">
        <w:t xml:space="preserve"> :</w:t>
      </w:r>
      <w:r>
        <w:t xml:space="preserve">26 </w:t>
      </w:r>
    </w:p>
  </w:footnote>
  <w:footnote w:id="11">
    <w:p w:rsidR="00DF6A70" w:rsidRDefault="00DF6A70">
      <w:pPr>
        <w:pStyle w:val="FootnoteText"/>
      </w:pPr>
      <w:r>
        <w:rPr>
          <w:rStyle w:val="FootnoteReference"/>
        </w:rPr>
        <w:footnoteRef/>
      </w:r>
      <w:r>
        <w:t xml:space="preserve"> Hoag </w:t>
      </w:r>
      <w:r w:rsidR="001F7325">
        <w:t>1987</w:t>
      </w:r>
      <w:r w:rsidR="001D757A">
        <w:t xml:space="preserve"> :</w:t>
      </w:r>
      <w:r>
        <w:t>26</w:t>
      </w:r>
    </w:p>
  </w:footnote>
  <w:footnote w:id="12">
    <w:p w:rsidR="00D940B8" w:rsidRDefault="00D940B8">
      <w:pPr>
        <w:pStyle w:val="FootnoteText"/>
      </w:pPr>
      <w:r>
        <w:rPr>
          <w:rStyle w:val="FootnoteReference"/>
        </w:rPr>
        <w:footnoteRef/>
      </w:r>
      <w:r>
        <w:t xml:space="preserve"> Hoag </w:t>
      </w:r>
      <w:r w:rsidR="001F7325">
        <w:t>1987</w:t>
      </w:r>
      <w:r w:rsidR="001D757A">
        <w:t xml:space="preserve"> :</w:t>
      </w:r>
      <w:r>
        <w:t>26</w:t>
      </w:r>
    </w:p>
  </w:footnote>
  <w:footnote w:id="13">
    <w:p w:rsidR="0006210A" w:rsidRDefault="0006210A">
      <w:pPr>
        <w:pStyle w:val="FootnoteText"/>
      </w:pPr>
      <w:r>
        <w:rPr>
          <w:rStyle w:val="FootnoteReference"/>
        </w:rPr>
        <w:footnoteRef/>
      </w:r>
      <w:r>
        <w:t xml:space="preserve"> Hoag </w:t>
      </w:r>
      <w:r w:rsidR="001F7325">
        <w:t>1987</w:t>
      </w:r>
      <w:r w:rsidR="001D757A">
        <w:t xml:space="preserve"> :</w:t>
      </w:r>
      <w:r>
        <w:t>26</w:t>
      </w:r>
    </w:p>
  </w:footnote>
  <w:footnote w:id="14">
    <w:p w:rsidR="00A45043" w:rsidRDefault="00A45043" w:rsidP="00A45043">
      <w:pPr>
        <w:pStyle w:val="FootnoteText"/>
      </w:pPr>
      <w:r>
        <w:rPr>
          <w:rStyle w:val="FootnoteReference"/>
        </w:rPr>
        <w:footnoteRef/>
      </w:r>
      <w:r>
        <w:t xml:space="preserve"> </w:t>
      </w:r>
      <w:r w:rsidR="003B6CFF">
        <w:t>Hoag 1987</w:t>
      </w:r>
      <w:r w:rsidR="001D757A">
        <w:t xml:space="preserve"> :</w:t>
      </w:r>
      <w:r>
        <w:t>26</w:t>
      </w:r>
    </w:p>
  </w:footnote>
  <w:footnote w:id="15">
    <w:p w:rsidR="00DF3D36" w:rsidRDefault="00DF3D36">
      <w:pPr>
        <w:pStyle w:val="FootnoteText"/>
      </w:pPr>
      <w:r>
        <w:rPr>
          <w:rStyle w:val="FootnoteReference"/>
        </w:rPr>
        <w:footnoteRef/>
      </w:r>
      <w:r>
        <w:t xml:space="preserve"> Cresswell 198</w:t>
      </w:r>
      <w:r w:rsidR="001D757A">
        <w:t>9 :</w:t>
      </w:r>
      <w:r>
        <w:t>240</w:t>
      </w:r>
    </w:p>
  </w:footnote>
  <w:footnote w:id="16">
    <w:p w:rsidR="00693BCE" w:rsidRDefault="00693BCE">
      <w:pPr>
        <w:pStyle w:val="FootnoteText"/>
      </w:pPr>
      <w:r>
        <w:rPr>
          <w:rStyle w:val="FootnoteReference"/>
        </w:rPr>
        <w:footnoteRef/>
      </w:r>
      <w:r>
        <w:t xml:space="preserve"> Cresswell 198</w:t>
      </w:r>
      <w:r w:rsidR="001D757A">
        <w:t>9 :</w:t>
      </w:r>
      <w:r>
        <w:t xml:space="preserve">240 </w:t>
      </w:r>
    </w:p>
  </w:footnote>
  <w:footnote w:id="17">
    <w:p w:rsidR="0075053C" w:rsidRDefault="0075053C">
      <w:pPr>
        <w:pStyle w:val="FootnoteText"/>
      </w:pPr>
      <w:r>
        <w:rPr>
          <w:rStyle w:val="FootnoteReference"/>
        </w:rPr>
        <w:footnoteRef/>
      </w:r>
      <w:r>
        <w:t xml:space="preserve"> Cresswell 1989</w:t>
      </w:r>
      <w:r w:rsidR="001D757A">
        <w:t xml:space="preserve"> :</w:t>
      </w:r>
      <w:r>
        <w:t>240</w:t>
      </w:r>
    </w:p>
  </w:footnote>
  <w:footnote w:id="18">
    <w:p w:rsidR="00C94F45" w:rsidRDefault="00C94F45">
      <w:pPr>
        <w:pStyle w:val="FootnoteText"/>
      </w:pPr>
      <w:r>
        <w:rPr>
          <w:rStyle w:val="FootnoteReference"/>
        </w:rPr>
        <w:footnoteRef/>
      </w:r>
      <w:r>
        <w:t xml:space="preserve"> Cresswell 1989</w:t>
      </w:r>
      <w:r w:rsidR="001D757A">
        <w:t xml:space="preserve"> :</w:t>
      </w:r>
      <w:r>
        <w:t>240</w:t>
      </w:r>
    </w:p>
  </w:footnote>
  <w:footnote w:id="19">
    <w:p w:rsidR="00906132" w:rsidRDefault="00906132">
      <w:pPr>
        <w:pStyle w:val="FootnoteText"/>
      </w:pPr>
      <w:r>
        <w:rPr>
          <w:rStyle w:val="FootnoteReference"/>
        </w:rPr>
        <w:footnoteRef/>
      </w:r>
      <w:r>
        <w:t xml:space="preserve"> Cresswell 1989</w:t>
      </w:r>
      <w:r w:rsidR="00171E55">
        <w:t xml:space="preserve"> :</w:t>
      </w:r>
      <w:r>
        <w:t xml:space="preserve">240 </w:t>
      </w:r>
    </w:p>
  </w:footnote>
  <w:footnote w:id="20">
    <w:p w:rsidR="007E095E" w:rsidRDefault="007E095E">
      <w:pPr>
        <w:pStyle w:val="FootnoteText"/>
      </w:pPr>
      <w:r>
        <w:rPr>
          <w:rStyle w:val="FootnoteReference"/>
        </w:rPr>
        <w:footnoteRef/>
      </w:r>
      <w:r>
        <w:t xml:space="preserve"> Cresswell 1989</w:t>
      </w:r>
      <w:r w:rsidR="00171E55">
        <w:t xml:space="preserve"> </w:t>
      </w:r>
      <w:r w:rsidR="009E2CCD">
        <w:t>:</w:t>
      </w:r>
      <w:r>
        <w:t xml:space="preserve">240 </w:t>
      </w:r>
    </w:p>
  </w:footnote>
  <w:footnote w:id="21">
    <w:p w:rsidR="007B119B" w:rsidRDefault="007B119B">
      <w:pPr>
        <w:pStyle w:val="FootnoteText"/>
      </w:pPr>
      <w:r>
        <w:rPr>
          <w:rStyle w:val="FootnoteReference"/>
        </w:rPr>
        <w:footnoteRef/>
      </w:r>
      <w:r>
        <w:t xml:space="preserve"> Cresswell 1989</w:t>
      </w:r>
      <w:r w:rsidR="009E2CCD">
        <w:t xml:space="preserve"> :</w:t>
      </w:r>
      <w:r>
        <w:t xml:space="preserve">240 </w:t>
      </w:r>
    </w:p>
  </w:footnote>
  <w:footnote w:id="22">
    <w:p w:rsidR="00127B82" w:rsidRDefault="00127B82">
      <w:pPr>
        <w:pStyle w:val="FootnoteText"/>
      </w:pPr>
      <w:r>
        <w:rPr>
          <w:rStyle w:val="FootnoteReference"/>
        </w:rPr>
        <w:footnoteRef/>
      </w:r>
      <w:r>
        <w:t xml:space="preserve"> Cresswell 1989</w:t>
      </w:r>
      <w:r w:rsidR="009E2CCD">
        <w:t xml:space="preserve"> :</w:t>
      </w:r>
      <w:r>
        <w:t xml:space="preserve">241 </w:t>
      </w:r>
    </w:p>
  </w:footnote>
  <w:footnote w:id="23">
    <w:p w:rsidR="0030476E" w:rsidRDefault="0030476E">
      <w:pPr>
        <w:pStyle w:val="FootnoteText"/>
      </w:pPr>
      <w:r>
        <w:rPr>
          <w:rStyle w:val="FootnoteReference"/>
        </w:rPr>
        <w:footnoteRef/>
      </w:r>
      <w:r>
        <w:t xml:space="preserve"> </w:t>
      </w:r>
      <w:bookmarkStart w:id="1" w:name="_Hlk504381547"/>
      <w:r>
        <w:t>Cresswell 1989</w:t>
      </w:r>
      <w:r w:rsidR="009E2CCD">
        <w:t xml:space="preserve"> :</w:t>
      </w:r>
      <w:r>
        <w:t>241</w:t>
      </w:r>
      <w:bookmarkEnd w:id="1"/>
    </w:p>
  </w:footnote>
  <w:footnote w:id="24">
    <w:p w:rsidR="002D7359" w:rsidRDefault="002D7359">
      <w:pPr>
        <w:pStyle w:val="FootnoteText"/>
      </w:pPr>
      <w:r>
        <w:rPr>
          <w:rStyle w:val="FootnoteReference"/>
        </w:rPr>
        <w:footnoteRef/>
      </w:r>
      <w:r>
        <w:t xml:space="preserve"> Cresswell 1989</w:t>
      </w:r>
      <w:r w:rsidR="009E2CCD">
        <w:t xml:space="preserve"> :</w:t>
      </w:r>
      <w:r>
        <w:t>241</w:t>
      </w:r>
    </w:p>
  </w:footnote>
  <w:footnote w:id="25">
    <w:p w:rsidR="0075518C" w:rsidRDefault="0075518C">
      <w:pPr>
        <w:pStyle w:val="FootnoteText"/>
      </w:pPr>
      <w:r>
        <w:rPr>
          <w:rStyle w:val="FootnoteReference"/>
        </w:rPr>
        <w:footnoteRef/>
      </w:r>
      <w:r>
        <w:t xml:space="preserve"> Cresswell 1989</w:t>
      </w:r>
      <w:r w:rsidR="009E2CCD">
        <w:t xml:space="preserve"> :</w:t>
      </w:r>
      <w:r>
        <w:t>241</w:t>
      </w:r>
    </w:p>
  </w:footnote>
  <w:footnote w:id="26">
    <w:p w:rsidR="00D81170" w:rsidRDefault="00D81170">
      <w:pPr>
        <w:pStyle w:val="FootnoteText"/>
      </w:pPr>
      <w:r>
        <w:rPr>
          <w:rStyle w:val="FootnoteReference"/>
        </w:rPr>
        <w:footnoteRef/>
      </w:r>
      <w:r>
        <w:t xml:space="preserve"> Hoag 198</w:t>
      </w:r>
      <w:r w:rsidR="009E2CCD">
        <w:t>7 :37</w:t>
      </w:r>
      <w:r>
        <w:t>-40</w:t>
      </w:r>
    </w:p>
  </w:footnote>
  <w:footnote w:id="27">
    <w:p w:rsidR="002E42BC" w:rsidRDefault="002E42BC">
      <w:pPr>
        <w:pStyle w:val="FootnoteText"/>
      </w:pPr>
      <w:r>
        <w:rPr>
          <w:rStyle w:val="FootnoteReference"/>
        </w:rPr>
        <w:footnoteRef/>
      </w:r>
      <w:r>
        <w:t xml:space="preserve"> Hoag 1987</w:t>
      </w:r>
      <w:r w:rsidR="00C70934">
        <w:t xml:space="preserve"> :</w:t>
      </w:r>
      <w:r>
        <w:t>184</w:t>
      </w:r>
    </w:p>
  </w:footnote>
  <w:footnote w:id="28">
    <w:p w:rsidR="000E4C15" w:rsidRDefault="000E4C15">
      <w:pPr>
        <w:pStyle w:val="FootnoteText"/>
      </w:pPr>
      <w:r>
        <w:rPr>
          <w:rStyle w:val="FootnoteReference"/>
        </w:rPr>
        <w:footnoteRef/>
      </w:r>
      <w:r>
        <w:t xml:space="preserve"> </w:t>
      </w:r>
      <w:r w:rsidR="003B6CFF">
        <w:t>Hoag 1987</w:t>
      </w:r>
      <w:r w:rsidR="00C70934">
        <w:t xml:space="preserve"> :</w:t>
      </w:r>
      <w:r>
        <w:t>164</w:t>
      </w:r>
    </w:p>
  </w:footnote>
  <w:footnote w:id="29">
    <w:p w:rsidR="00FC5647" w:rsidRDefault="00FC5647">
      <w:pPr>
        <w:pStyle w:val="FootnoteText"/>
      </w:pPr>
      <w:r>
        <w:rPr>
          <w:rStyle w:val="FootnoteReference"/>
        </w:rPr>
        <w:footnoteRef/>
      </w:r>
      <w:r>
        <w:t xml:space="preserve"> </w:t>
      </w:r>
      <w:r w:rsidR="003B6CFF">
        <w:t>Hoag 1987</w:t>
      </w:r>
      <w:r w:rsidR="00C70934">
        <w:t xml:space="preserve"> :9</w:t>
      </w:r>
      <w:r>
        <w:t xml:space="preserve">6 </w:t>
      </w:r>
    </w:p>
  </w:footnote>
  <w:footnote w:id="30">
    <w:p w:rsidR="002F470E" w:rsidRDefault="002F470E">
      <w:pPr>
        <w:pStyle w:val="FootnoteText"/>
      </w:pPr>
      <w:r>
        <w:rPr>
          <w:rStyle w:val="FootnoteReference"/>
        </w:rPr>
        <w:footnoteRef/>
      </w:r>
      <w:r>
        <w:t xml:space="preserve"> Hoag </w:t>
      </w:r>
      <w:r w:rsidR="000D5EEC">
        <w:t>1987</w:t>
      </w:r>
      <w:r w:rsidR="00C70934">
        <w:t xml:space="preserve"> :</w:t>
      </w:r>
      <w:r w:rsidR="000D5EEC">
        <w:t>156</w:t>
      </w:r>
    </w:p>
    <w:p w:rsidR="004D37BE" w:rsidRDefault="004D37BE">
      <w:pPr>
        <w:pStyle w:val="FootnoteText"/>
      </w:pPr>
    </w:p>
    <w:p w:rsidR="004D37BE" w:rsidRDefault="004D37BE">
      <w:pPr>
        <w:pStyle w:val="FootnoteText"/>
      </w:pPr>
    </w:p>
    <w:p w:rsidR="004D37BE" w:rsidRDefault="004D37BE">
      <w:pPr>
        <w:pStyle w:val="FootnoteText"/>
      </w:pPr>
    </w:p>
    <w:p w:rsidR="004D37BE" w:rsidRDefault="004D37BE">
      <w:pPr>
        <w:pStyle w:val="FootnoteText"/>
      </w:pPr>
    </w:p>
    <w:p w:rsidR="004D37BE" w:rsidRDefault="004D37BE">
      <w:pPr>
        <w:pStyle w:val="FootnoteText"/>
      </w:pPr>
      <w:r>
        <w:t>Bibliography;</w:t>
      </w:r>
    </w:p>
    <w:p w:rsidR="004D37BE" w:rsidRDefault="004D37BE">
      <w:pPr>
        <w:pStyle w:val="FootnoteText"/>
      </w:pPr>
    </w:p>
    <w:p w:rsidR="004D37BE" w:rsidRDefault="004D37BE">
      <w:pPr>
        <w:pStyle w:val="FootnoteText"/>
      </w:pPr>
      <w:r>
        <w:t>Cresswell K.A.C</w:t>
      </w:r>
      <w:r w:rsidR="00B50B51">
        <w:t>,</w:t>
      </w:r>
      <w:r>
        <w:t xml:space="preserve"> </w:t>
      </w:r>
      <w:r w:rsidR="00B50B51">
        <w:t>1</w:t>
      </w:r>
      <w:r>
        <w:t>989</w:t>
      </w:r>
      <w:r w:rsidR="00330D79">
        <w:t>;</w:t>
      </w:r>
      <w:r>
        <w:t xml:space="preserve"> Aldershot; Gower Publishing </w:t>
      </w:r>
      <w:r w:rsidR="00330D79">
        <w:t>Company LTD.</w:t>
      </w:r>
    </w:p>
    <w:p w:rsidR="00330D79" w:rsidRDefault="00330D79">
      <w:pPr>
        <w:pStyle w:val="FootnoteText"/>
      </w:pPr>
    </w:p>
    <w:p w:rsidR="00330D79" w:rsidRDefault="00330D79">
      <w:pPr>
        <w:pStyle w:val="FootnoteText"/>
      </w:pPr>
      <w:r>
        <w:t>Hoag J.D, 1987; London; Faber and Faber Limited.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2D9"/>
    <w:rsid w:val="00000B6B"/>
    <w:rsid w:val="00016D02"/>
    <w:rsid w:val="00030850"/>
    <w:rsid w:val="00030C70"/>
    <w:rsid w:val="0006210A"/>
    <w:rsid w:val="000A05DF"/>
    <w:rsid w:val="000C6428"/>
    <w:rsid w:val="000D5EEC"/>
    <w:rsid w:val="000D681C"/>
    <w:rsid w:val="000E289D"/>
    <w:rsid w:val="000E4C15"/>
    <w:rsid w:val="000E5A4D"/>
    <w:rsid w:val="00127B82"/>
    <w:rsid w:val="0014044D"/>
    <w:rsid w:val="00140BBC"/>
    <w:rsid w:val="00143BA0"/>
    <w:rsid w:val="001528DC"/>
    <w:rsid w:val="00162BAE"/>
    <w:rsid w:val="00171E55"/>
    <w:rsid w:val="00190C05"/>
    <w:rsid w:val="00192EBC"/>
    <w:rsid w:val="00193853"/>
    <w:rsid w:val="001D757A"/>
    <w:rsid w:val="001E1993"/>
    <w:rsid w:val="001F7325"/>
    <w:rsid w:val="00206CC1"/>
    <w:rsid w:val="0021277D"/>
    <w:rsid w:val="0024398D"/>
    <w:rsid w:val="00253113"/>
    <w:rsid w:val="00260F1E"/>
    <w:rsid w:val="002C4E83"/>
    <w:rsid w:val="002D7359"/>
    <w:rsid w:val="002E42BC"/>
    <w:rsid w:val="002F470E"/>
    <w:rsid w:val="002F6118"/>
    <w:rsid w:val="0030476E"/>
    <w:rsid w:val="00330D79"/>
    <w:rsid w:val="00362D14"/>
    <w:rsid w:val="00364F51"/>
    <w:rsid w:val="00372C6A"/>
    <w:rsid w:val="00381DEF"/>
    <w:rsid w:val="00385135"/>
    <w:rsid w:val="003B6CFF"/>
    <w:rsid w:val="003C1BD0"/>
    <w:rsid w:val="004500DD"/>
    <w:rsid w:val="004B1099"/>
    <w:rsid w:val="004D37BE"/>
    <w:rsid w:val="00513C1B"/>
    <w:rsid w:val="00534FE3"/>
    <w:rsid w:val="005C6C30"/>
    <w:rsid w:val="005E44FC"/>
    <w:rsid w:val="00601D06"/>
    <w:rsid w:val="0060561B"/>
    <w:rsid w:val="00625188"/>
    <w:rsid w:val="00645B2D"/>
    <w:rsid w:val="0067735D"/>
    <w:rsid w:val="00693BCE"/>
    <w:rsid w:val="006A0744"/>
    <w:rsid w:val="006A2682"/>
    <w:rsid w:val="006A2FC4"/>
    <w:rsid w:val="006A721C"/>
    <w:rsid w:val="006D2D53"/>
    <w:rsid w:val="00701668"/>
    <w:rsid w:val="007052F4"/>
    <w:rsid w:val="00706090"/>
    <w:rsid w:val="00712AAD"/>
    <w:rsid w:val="007135B0"/>
    <w:rsid w:val="00722397"/>
    <w:rsid w:val="00730A9B"/>
    <w:rsid w:val="0075053C"/>
    <w:rsid w:val="0075518C"/>
    <w:rsid w:val="007762F4"/>
    <w:rsid w:val="007803B7"/>
    <w:rsid w:val="007A39FC"/>
    <w:rsid w:val="007B119B"/>
    <w:rsid w:val="007E095E"/>
    <w:rsid w:val="008124BF"/>
    <w:rsid w:val="00816A3F"/>
    <w:rsid w:val="00851434"/>
    <w:rsid w:val="008522C9"/>
    <w:rsid w:val="00852C99"/>
    <w:rsid w:val="00864509"/>
    <w:rsid w:val="00883D84"/>
    <w:rsid w:val="008C0BF0"/>
    <w:rsid w:val="008D2180"/>
    <w:rsid w:val="008D65E9"/>
    <w:rsid w:val="00906132"/>
    <w:rsid w:val="00910355"/>
    <w:rsid w:val="009340E6"/>
    <w:rsid w:val="00961608"/>
    <w:rsid w:val="009816BF"/>
    <w:rsid w:val="00983ADD"/>
    <w:rsid w:val="009859A5"/>
    <w:rsid w:val="009E2CCD"/>
    <w:rsid w:val="00A00E51"/>
    <w:rsid w:val="00A45043"/>
    <w:rsid w:val="00A45063"/>
    <w:rsid w:val="00A713C8"/>
    <w:rsid w:val="00AE6720"/>
    <w:rsid w:val="00B322A6"/>
    <w:rsid w:val="00B4360A"/>
    <w:rsid w:val="00B50B51"/>
    <w:rsid w:val="00B55D1F"/>
    <w:rsid w:val="00B66E7F"/>
    <w:rsid w:val="00B677B0"/>
    <w:rsid w:val="00B751A5"/>
    <w:rsid w:val="00B83DCF"/>
    <w:rsid w:val="00BC2F02"/>
    <w:rsid w:val="00C40CC6"/>
    <w:rsid w:val="00C601C1"/>
    <w:rsid w:val="00C66A26"/>
    <w:rsid w:val="00C70934"/>
    <w:rsid w:val="00C94F45"/>
    <w:rsid w:val="00CA1013"/>
    <w:rsid w:val="00CA3C5D"/>
    <w:rsid w:val="00CA5682"/>
    <w:rsid w:val="00CE3D96"/>
    <w:rsid w:val="00CF6035"/>
    <w:rsid w:val="00D06A2D"/>
    <w:rsid w:val="00D21EC9"/>
    <w:rsid w:val="00D45490"/>
    <w:rsid w:val="00D455E9"/>
    <w:rsid w:val="00D81170"/>
    <w:rsid w:val="00D940B8"/>
    <w:rsid w:val="00D9762D"/>
    <w:rsid w:val="00DF3D36"/>
    <w:rsid w:val="00DF6A70"/>
    <w:rsid w:val="00E004CC"/>
    <w:rsid w:val="00E26689"/>
    <w:rsid w:val="00E30E7F"/>
    <w:rsid w:val="00E40747"/>
    <w:rsid w:val="00E54AD0"/>
    <w:rsid w:val="00E926B7"/>
    <w:rsid w:val="00E9373C"/>
    <w:rsid w:val="00EA766C"/>
    <w:rsid w:val="00EB7B78"/>
    <w:rsid w:val="00EE0E9B"/>
    <w:rsid w:val="00F141EF"/>
    <w:rsid w:val="00F24196"/>
    <w:rsid w:val="00F36C2F"/>
    <w:rsid w:val="00F53640"/>
    <w:rsid w:val="00F5683E"/>
    <w:rsid w:val="00F939C3"/>
    <w:rsid w:val="00FA12D9"/>
    <w:rsid w:val="00FA20E3"/>
    <w:rsid w:val="00FC5647"/>
    <w:rsid w:val="00FE7602"/>
    <w:rsid w:val="00FF7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29D8C2-A3EF-4526-ACF3-6991BA7F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13C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3C1B"/>
    <w:rPr>
      <w:sz w:val="20"/>
      <w:szCs w:val="20"/>
    </w:rPr>
  </w:style>
  <w:style w:type="character" w:styleId="FootnoteReference">
    <w:name w:val="footnote reference"/>
    <w:basedOn w:val="DefaultParagraphFont"/>
    <w:uiPriority w:val="99"/>
    <w:semiHidden/>
    <w:unhideWhenUsed/>
    <w:rsid w:val="00513C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ED945-DBF2-4CA2-833A-AA6A91AFF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5</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Aubrey Wallbridge-cool (2200874)</dc:creator>
  <cp:keywords/>
  <dc:description/>
  <cp:lastModifiedBy>Aubrey</cp:lastModifiedBy>
  <cp:revision>96</cp:revision>
  <dcterms:created xsi:type="dcterms:W3CDTF">2018-01-18T10:53:00Z</dcterms:created>
  <dcterms:modified xsi:type="dcterms:W3CDTF">2018-01-22T18:29:00Z</dcterms:modified>
</cp:coreProperties>
</file>