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DB2CEC" w14:textId="5851F55F" w:rsidR="001656BB" w:rsidRDefault="006B08D4">
      <w:r w:rsidRPr="006B08D4">
        <w:rPr>
          <w:rFonts w:ascii="Arial" w:eastAsia="Century Schoolbook" w:hAnsi="Arial" w:cs="Arial"/>
          <w:noProof/>
          <w:kern w:val="0"/>
          <w:sz w:val="22"/>
          <w:lang w:val="en-US"/>
          <w14:ligatures w14:val="none"/>
        </w:rPr>
        <w:drawing>
          <wp:anchor distT="0" distB="0" distL="114300" distR="114300" simplePos="0" relativeHeight="251659264" behindDoc="0" locked="0" layoutInCell="1" allowOverlap="1" wp14:anchorId="5B3F103C" wp14:editId="609B3334">
            <wp:simplePos x="0" y="0"/>
            <wp:positionH relativeFrom="margin">
              <wp:posOffset>2895600</wp:posOffset>
            </wp:positionH>
            <wp:positionV relativeFrom="paragraph">
              <wp:posOffset>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7CE7FE" w14:textId="77777777" w:rsidR="006B08D4" w:rsidRDefault="006B08D4"/>
    <w:p w14:paraId="6EEDC86A" w14:textId="77777777" w:rsidR="006B08D4" w:rsidRDefault="006B08D4"/>
    <w:p w14:paraId="1C1353DD" w14:textId="77777777" w:rsidR="006B08D4" w:rsidRDefault="006B08D4"/>
    <w:p w14:paraId="0605AE78" w14:textId="77777777" w:rsidR="006B08D4" w:rsidRDefault="006B08D4"/>
    <w:p w14:paraId="430BFED6" w14:textId="77777777" w:rsidR="006B08D4" w:rsidRDefault="006B08D4"/>
    <w:p w14:paraId="2899F808" w14:textId="77777777" w:rsidR="006B08D4" w:rsidRDefault="006B08D4"/>
    <w:p w14:paraId="67D1D0D2" w14:textId="5971D95C" w:rsidR="006B08D4" w:rsidRPr="006B08D4" w:rsidRDefault="006B08D4" w:rsidP="006B08D4">
      <w:pPr>
        <w:tabs>
          <w:tab w:val="left" w:pos="6540"/>
        </w:tabs>
        <w:spacing w:after="220" w:line="360" w:lineRule="auto"/>
        <w:rPr>
          <w:rFonts w:ascii="Arial" w:eastAsia="Century Schoolbook" w:hAnsi="Arial" w:cs="Arial"/>
          <w:kern w:val="0"/>
          <w:sz w:val="28"/>
          <w:szCs w:val="28"/>
          <w:lang w:val="nl-NL"/>
          <w14:ligatures w14:val="none"/>
        </w:rPr>
      </w:pPr>
      <w:r w:rsidRPr="006B08D4">
        <w:rPr>
          <w:rFonts w:ascii="Arial" w:eastAsia="Century Schoolbook" w:hAnsi="Arial" w:cs="Arial"/>
          <w:b/>
          <w:bCs/>
          <w:kern w:val="0"/>
          <w:sz w:val="28"/>
          <w:szCs w:val="28"/>
          <w:lang w:val="nl-NL"/>
          <w14:ligatures w14:val="none"/>
        </w:rPr>
        <w:t>Student name</w:t>
      </w:r>
      <w:r w:rsidRPr="006B08D4">
        <w:rPr>
          <w:rFonts w:ascii="Arial" w:eastAsia="Century Schoolbook" w:hAnsi="Arial" w:cs="Arial"/>
          <w:kern w:val="0"/>
          <w:sz w:val="28"/>
          <w:szCs w:val="28"/>
          <w:lang w:val="nl-NL"/>
          <w14:ligatures w14:val="none"/>
        </w:rPr>
        <w:t>:</w:t>
      </w:r>
      <w:r>
        <w:rPr>
          <w:rFonts w:ascii="Arial" w:eastAsia="Century Schoolbook" w:hAnsi="Arial" w:cs="Arial"/>
          <w:kern w:val="0"/>
          <w:sz w:val="28"/>
          <w:szCs w:val="28"/>
          <w:lang w:val="nl-NL"/>
          <w14:ligatures w14:val="none"/>
        </w:rPr>
        <w:t xml:space="preserve"> Elena Vlasitchi</w:t>
      </w:r>
    </w:p>
    <w:p w14:paraId="774507F7" w14:textId="6DA723FE" w:rsidR="006B08D4" w:rsidRPr="006B08D4" w:rsidRDefault="006B08D4" w:rsidP="006B08D4">
      <w:pPr>
        <w:tabs>
          <w:tab w:val="left" w:pos="6540"/>
        </w:tabs>
        <w:spacing w:after="220" w:line="360" w:lineRule="auto"/>
        <w:rPr>
          <w:rFonts w:ascii="Arial" w:eastAsia="Century Schoolbook" w:hAnsi="Arial" w:cs="Arial"/>
          <w:kern w:val="0"/>
          <w:sz w:val="28"/>
          <w:szCs w:val="28"/>
          <w:lang w:val="nl-NL"/>
          <w14:ligatures w14:val="none"/>
        </w:rPr>
      </w:pPr>
      <w:r w:rsidRPr="006B08D4">
        <w:rPr>
          <w:rFonts w:ascii="Arial" w:eastAsia="Century Schoolbook" w:hAnsi="Arial" w:cs="Arial"/>
          <w:b/>
          <w:bCs/>
          <w:kern w:val="0"/>
          <w:sz w:val="28"/>
          <w:szCs w:val="28"/>
          <w:lang w:val="nl-NL"/>
          <w14:ligatures w14:val="none"/>
        </w:rPr>
        <w:t>Student ID</w:t>
      </w:r>
      <w:r w:rsidRPr="006B08D4">
        <w:rPr>
          <w:rFonts w:ascii="Arial" w:eastAsia="Century Schoolbook" w:hAnsi="Arial" w:cs="Arial"/>
          <w:kern w:val="0"/>
          <w:sz w:val="28"/>
          <w:szCs w:val="28"/>
          <w:lang w:val="nl-NL"/>
          <w14:ligatures w14:val="none"/>
        </w:rPr>
        <w:t>:</w:t>
      </w:r>
      <w:r>
        <w:rPr>
          <w:rFonts w:ascii="Arial" w:eastAsia="Century Schoolbook" w:hAnsi="Arial" w:cs="Arial"/>
          <w:kern w:val="0"/>
          <w:sz w:val="28"/>
          <w:szCs w:val="28"/>
          <w:lang w:val="nl-NL"/>
          <w14:ligatures w14:val="none"/>
        </w:rPr>
        <w:t xml:space="preserve"> 3214633</w:t>
      </w:r>
    </w:p>
    <w:p w14:paraId="3A6258A5" w14:textId="0A6F5F56" w:rsidR="006B08D4" w:rsidRPr="006B08D4" w:rsidRDefault="006B08D4" w:rsidP="006B08D4">
      <w:pPr>
        <w:tabs>
          <w:tab w:val="left" w:pos="6540"/>
        </w:tabs>
        <w:spacing w:after="220" w:line="360" w:lineRule="auto"/>
        <w:rPr>
          <w:rFonts w:ascii="Arial" w:eastAsia="Century Schoolbook" w:hAnsi="Arial" w:cs="Arial"/>
          <w:kern w:val="0"/>
          <w:sz w:val="28"/>
          <w:szCs w:val="28"/>
          <w:lang w:val="nl-NL"/>
          <w14:ligatures w14:val="none"/>
        </w:rPr>
      </w:pPr>
      <w:r w:rsidRPr="006B08D4">
        <w:rPr>
          <w:rFonts w:ascii="Arial" w:eastAsia="Century Schoolbook" w:hAnsi="Arial" w:cs="Arial"/>
          <w:b/>
          <w:bCs/>
          <w:kern w:val="0"/>
          <w:sz w:val="28"/>
          <w:szCs w:val="28"/>
          <w:lang w:val="nl-NL"/>
          <w14:ligatures w14:val="none"/>
        </w:rPr>
        <w:t>Module name</w:t>
      </w:r>
      <w:r w:rsidRPr="006B08D4">
        <w:rPr>
          <w:rFonts w:ascii="Arial" w:eastAsia="Century Schoolbook" w:hAnsi="Arial" w:cs="Arial"/>
          <w:kern w:val="0"/>
          <w:sz w:val="28"/>
          <w:szCs w:val="28"/>
          <w:lang w:val="nl-NL"/>
          <w14:ligatures w14:val="none"/>
        </w:rPr>
        <w:t>:</w:t>
      </w:r>
      <w:r>
        <w:rPr>
          <w:rFonts w:ascii="Arial" w:eastAsia="Century Schoolbook" w:hAnsi="Arial" w:cs="Arial"/>
          <w:kern w:val="0"/>
          <w:sz w:val="28"/>
          <w:szCs w:val="28"/>
          <w:lang w:val="nl-NL"/>
          <w14:ligatures w14:val="none"/>
        </w:rPr>
        <w:t xml:space="preserve"> </w:t>
      </w:r>
      <w:r w:rsidRPr="006B08D4">
        <w:rPr>
          <w:rFonts w:ascii="Arial" w:eastAsia="Century Schoolbook" w:hAnsi="Arial" w:cs="Arial"/>
          <w:kern w:val="0"/>
          <w:sz w:val="28"/>
          <w:szCs w:val="28"/>
          <w:lang w:val="nl-NL"/>
          <w14:ligatures w14:val="none"/>
        </w:rPr>
        <w:t>Health, Wellbeing and Sustainable Development</w:t>
      </w:r>
    </w:p>
    <w:p w14:paraId="69EF8483" w14:textId="0566A9A3" w:rsidR="006B08D4" w:rsidRPr="006B08D4" w:rsidRDefault="006B08D4" w:rsidP="006B08D4">
      <w:pPr>
        <w:tabs>
          <w:tab w:val="left" w:pos="6540"/>
        </w:tabs>
        <w:spacing w:after="220" w:line="360" w:lineRule="auto"/>
        <w:rPr>
          <w:rFonts w:ascii="Arial" w:eastAsia="Century Schoolbook" w:hAnsi="Arial" w:cs="Arial"/>
          <w:kern w:val="0"/>
          <w:sz w:val="28"/>
          <w:szCs w:val="28"/>
          <w:lang w:val="en-US"/>
          <w14:ligatures w14:val="none"/>
        </w:rPr>
      </w:pPr>
      <w:r w:rsidRPr="006B08D4">
        <w:rPr>
          <w:rFonts w:ascii="Arial" w:eastAsia="Century Schoolbook" w:hAnsi="Arial" w:cs="Arial"/>
          <w:b/>
          <w:bCs/>
          <w:kern w:val="0"/>
          <w:sz w:val="28"/>
          <w:szCs w:val="28"/>
          <w:lang w:val="en-US"/>
          <w14:ligatures w14:val="none"/>
        </w:rPr>
        <w:t>Module code</w:t>
      </w:r>
      <w:r w:rsidRPr="006B08D4">
        <w:rPr>
          <w:rFonts w:ascii="Arial" w:eastAsia="Century Schoolbook" w:hAnsi="Arial" w:cs="Arial"/>
          <w:kern w:val="0"/>
          <w:sz w:val="28"/>
          <w:szCs w:val="28"/>
          <w:lang w:val="en-US"/>
          <w14:ligatures w14:val="none"/>
        </w:rPr>
        <w:t>:</w:t>
      </w:r>
      <w:r>
        <w:rPr>
          <w:rFonts w:ascii="Arial" w:eastAsia="Century Schoolbook" w:hAnsi="Arial" w:cs="Arial"/>
          <w:kern w:val="0"/>
          <w:sz w:val="28"/>
          <w:szCs w:val="28"/>
          <w:lang w:val="en-US"/>
          <w14:ligatures w14:val="none"/>
        </w:rPr>
        <w:t xml:space="preserve"> </w:t>
      </w:r>
      <w:r w:rsidRPr="006B08D4">
        <w:rPr>
          <w:rFonts w:ascii="Arial" w:eastAsia="Century Schoolbook" w:hAnsi="Arial" w:cs="Arial"/>
          <w:kern w:val="0"/>
          <w:sz w:val="28"/>
          <w:szCs w:val="28"/>
          <w:lang w:val="en-US"/>
          <w14:ligatures w14:val="none"/>
        </w:rPr>
        <w:t>BMHP6030</w:t>
      </w:r>
    </w:p>
    <w:p w14:paraId="24BB75E0" w14:textId="29BD8FE4" w:rsidR="006B08D4" w:rsidRPr="006B08D4" w:rsidRDefault="006B08D4" w:rsidP="006B08D4">
      <w:pPr>
        <w:tabs>
          <w:tab w:val="left" w:pos="6540"/>
        </w:tabs>
        <w:spacing w:after="220" w:line="360" w:lineRule="auto"/>
        <w:rPr>
          <w:rFonts w:ascii="Arial" w:eastAsia="Century Schoolbook" w:hAnsi="Arial" w:cs="Arial"/>
          <w:kern w:val="0"/>
          <w:sz w:val="28"/>
          <w:szCs w:val="28"/>
          <w:lang w:val="en-US"/>
          <w14:ligatures w14:val="none"/>
        </w:rPr>
      </w:pPr>
      <w:r w:rsidRPr="006B08D4">
        <w:rPr>
          <w:rFonts w:ascii="Arial" w:eastAsia="Century Schoolbook" w:hAnsi="Arial" w:cs="Arial"/>
          <w:b/>
          <w:bCs/>
          <w:kern w:val="0"/>
          <w:sz w:val="28"/>
          <w:szCs w:val="28"/>
          <w:lang w:val="en-US"/>
          <w14:ligatures w14:val="none"/>
        </w:rPr>
        <w:t>Supervisor’s name</w:t>
      </w:r>
      <w:r w:rsidRPr="006B08D4">
        <w:rPr>
          <w:rFonts w:ascii="Arial" w:eastAsia="Century Schoolbook" w:hAnsi="Arial" w:cs="Arial"/>
          <w:kern w:val="0"/>
          <w:sz w:val="28"/>
          <w:szCs w:val="28"/>
          <w:lang w:val="en-US"/>
          <w14:ligatures w14:val="none"/>
        </w:rPr>
        <w:t>:</w:t>
      </w:r>
      <w:r>
        <w:rPr>
          <w:rFonts w:ascii="Arial" w:eastAsia="Century Schoolbook" w:hAnsi="Arial" w:cs="Arial"/>
          <w:kern w:val="0"/>
          <w:sz w:val="28"/>
          <w:szCs w:val="28"/>
          <w:lang w:val="en-US"/>
          <w14:ligatures w14:val="none"/>
        </w:rPr>
        <w:t xml:space="preserve"> </w:t>
      </w:r>
      <w:r w:rsidRPr="006B08D4">
        <w:rPr>
          <w:rFonts w:ascii="Arial" w:eastAsia="Century Schoolbook" w:hAnsi="Arial" w:cs="Arial"/>
          <w:kern w:val="0"/>
          <w:sz w:val="28"/>
          <w:szCs w:val="28"/>
          <w:lang w:val="en-US"/>
          <w14:ligatures w14:val="none"/>
        </w:rPr>
        <w:t xml:space="preserve">Dr </w:t>
      </w:r>
      <w:proofErr w:type="spellStart"/>
      <w:r w:rsidRPr="006B08D4">
        <w:rPr>
          <w:rFonts w:ascii="Arial" w:eastAsia="Century Schoolbook" w:hAnsi="Arial" w:cs="Arial"/>
          <w:kern w:val="0"/>
          <w:sz w:val="28"/>
          <w:szCs w:val="28"/>
          <w:lang w:val="en-US"/>
          <w14:ligatures w14:val="none"/>
        </w:rPr>
        <w:t>Itse</w:t>
      </w:r>
      <w:proofErr w:type="spellEnd"/>
      <w:r w:rsidRPr="006B08D4">
        <w:rPr>
          <w:rFonts w:ascii="Arial" w:eastAsia="Century Schoolbook" w:hAnsi="Arial" w:cs="Arial"/>
          <w:kern w:val="0"/>
          <w:sz w:val="28"/>
          <w:szCs w:val="28"/>
          <w:lang w:val="en-US"/>
          <w14:ligatures w14:val="none"/>
        </w:rPr>
        <w:t xml:space="preserve"> Olaoye</w:t>
      </w:r>
    </w:p>
    <w:p w14:paraId="42756194" w14:textId="77777777" w:rsidR="006B08D4" w:rsidRDefault="006B08D4"/>
    <w:p w14:paraId="615CEC94" w14:textId="77777777" w:rsidR="006B08D4" w:rsidRDefault="006B08D4"/>
    <w:sdt>
      <w:sdtPr>
        <w:id w:val="14802744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8ACC642" w14:textId="77777777" w:rsidR="004666C2" w:rsidRDefault="004666C2">
          <w:pPr>
            <w:pStyle w:val="TOCHeading"/>
          </w:pPr>
        </w:p>
        <w:p w14:paraId="051C7E9C" w14:textId="77777777" w:rsidR="004666C2" w:rsidRDefault="004666C2">
          <w:pPr>
            <w:rPr>
              <w:rFonts w:asciiTheme="majorHAnsi" w:eastAsiaTheme="majorEastAsia" w:hAnsiTheme="majorHAnsi" w:cstheme="majorBidi"/>
              <w:color w:val="0F4761" w:themeColor="accent1" w:themeShade="BF"/>
              <w:kern w:val="0"/>
              <w:sz w:val="32"/>
              <w:szCs w:val="32"/>
              <w:lang w:val="en-US"/>
              <w14:ligatures w14:val="none"/>
            </w:rPr>
          </w:pPr>
          <w:r>
            <w:br w:type="page"/>
          </w:r>
        </w:p>
        <w:p w14:paraId="5F938099" w14:textId="77777777" w:rsidR="004666C2" w:rsidRDefault="004666C2">
          <w:pPr>
            <w:rPr>
              <w:rFonts w:asciiTheme="majorHAnsi" w:eastAsiaTheme="majorEastAsia" w:hAnsiTheme="majorHAnsi" w:cstheme="majorBidi"/>
              <w:color w:val="0F4761" w:themeColor="accent1" w:themeShade="BF"/>
              <w:kern w:val="0"/>
              <w:sz w:val="32"/>
              <w:szCs w:val="32"/>
              <w:lang w:val="en-US"/>
              <w14:ligatures w14:val="none"/>
            </w:rPr>
          </w:pPr>
          <w:r>
            <w:lastRenderedPageBreak/>
            <w:br w:type="page"/>
          </w:r>
        </w:p>
        <w:p w14:paraId="4707C06C" w14:textId="3131D3B4" w:rsidR="004666C2" w:rsidRDefault="004666C2">
          <w:pPr>
            <w:pStyle w:val="TOCHeading"/>
          </w:pPr>
          <w:r>
            <w:lastRenderedPageBreak/>
            <w:t>Contents</w:t>
          </w:r>
        </w:p>
        <w:p w14:paraId="5D37300A" w14:textId="342AF139" w:rsidR="004666C2" w:rsidRDefault="004666C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003177" w:history="1">
            <w:r w:rsidRPr="00AC6036">
              <w:rPr>
                <w:rStyle w:val="Hyperlink"/>
                <w:noProof/>
              </w:rPr>
              <w:t>Introduction</w:t>
            </w:r>
            <w:r>
              <w:rPr>
                <w:noProof/>
                <w:webHidden/>
              </w:rPr>
              <w:tab/>
            </w:r>
            <w:r>
              <w:rPr>
                <w:noProof/>
                <w:webHidden/>
              </w:rPr>
              <w:fldChar w:fldCharType="begin"/>
            </w:r>
            <w:r>
              <w:rPr>
                <w:noProof/>
                <w:webHidden/>
              </w:rPr>
              <w:instrText xml:space="preserve"> PAGEREF _Toc237003177 \h </w:instrText>
            </w:r>
            <w:r>
              <w:rPr>
                <w:noProof/>
                <w:webHidden/>
              </w:rPr>
            </w:r>
            <w:r>
              <w:rPr>
                <w:noProof/>
                <w:webHidden/>
              </w:rPr>
              <w:fldChar w:fldCharType="separate"/>
            </w:r>
            <w:r w:rsidR="00711812">
              <w:rPr>
                <w:noProof/>
                <w:webHidden/>
              </w:rPr>
              <w:t>3</w:t>
            </w:r>
            <w:r>
              <w:rPr>
                <w:noProof/>
                <w:webHidden/>
              </w:rPr>
              <w:fldChar w:fldCharType="end"/>
            </w:r>
          </w:hyperlink>
        </w:p>
        <w:p w14:paraId="293AD9E2" w14:textId="17DC141A" w:rsidR="004666C2" w:rsidRDefault="004666C2">
          <w:pPr>
            <w:pStyle w:val="TOC1"/>
            <w:tabs>
              <w:tab w:val="right" w:leader="dot" w:pos="9016"/>
            </w:tabs>
            <w:rPr>
              <w:rFonts w:eastAsiaTheme="minorEastAsia"/>
              <w:noProof/>
              <w:lang w:eastAsia="en-GB"/>
            </w:rPr>
          </w:pPr>
          <w:hyperlink w:anchor="_Toc237003178" w:history="1">
            <w:r w:rsidRPr="00AC6036">
              <w:rPr>
                <w:rStyle w:val="Hyperlink"/>
                <w:noProof/>
              </w:rPr>
              <w:t>Sustainable Development Goal 3: Good Health and Wellbeing</w:t>
            </w:r>
            <w:r>
              <w:rPr>
                <w:noProof/>
                <w:webHidden/>
              </w:rPr>
              <w:tab/>
            </w:r>
            <w:r>
              <w:rPr>
                <w:noProof/>
                <w:webHidden/>
              </w:rPr>
              <w:fldChar w:fldCharType="begin"/>
            </w:r>
            <w:r>
              <w:rPr>
                <w:noProof/>
                <w:webHidden/>
              </w:rPr>
              <w:instrText xml:space="preserve"> PAGEREF _Toc237003178 \h </w:instrText>
            </w:r>
            <w:r>
              <w:rPr>
                <w:noProof/>
                <w:webHidden/>
              </w:rPr>
            </w:r>
            <w:r>
              <w:rPr>
                <w:noProof/>
                <w:webHidden/>
              </w:rPr>
              <w:fldChar w:fldCharType="separate"/>
            </w:r>
            <w:r w:rsidR="00711812">
              <w:rPr>
                <w:noProof/>
                <w:webHidden/>
              </w:rPr>
              <w:t>4</w:t>
            </w:r>
            <w:r>
              <w:rPr>
                <w:noProof/>
                <w:webHidden/>
              </w:rPr>
              <w:fldChar w:fldCharType="end"/>
            </w:r>
          </w:hyperlink>
        </w:p>
        <w:p w14:paraId="51C57C4E" w14:textId="0C147BDB" w:rsidR="004666C2" w:rsidRDefault="004666C2">
          <w:pPr>
            <w:pStyle w:val="TOC2"/>
            <w:tabs>
              <w:tab w:val="right" w:leader="dot" w:pos="9016"/>
            </w:tabs>
            <w:rPr>
              <w:rFonts w:eastAsiaTheme="minorEastAsia"/>
              <w:noProof/>
              <w:lang w:eastAsia="en-GB"/>
            </w:rPr>
          </w:pPr>
          <w:hyperlink w:anchor="_Toc237003179" w:history="1">
            <w:r w:rsidRPr="00AC6036">
              <w:rPr>
                <w:rStyle w:val="Hyperlink"/>
                <w:noProof/>
              </w:rPr>
              <w:t>Global Impact</w:t>
            </w:r>
            <w:r>
              <w:rPr>
                <w:noProof/>
                <w:webHidden/>
              </w:rPr>
              <w:tab/>
            </w:r>
            <w:r>
              <w:rPr>
                <w:noProof/>
                <w:webHidden/>
              </w:rPr>
              <w:fldChar w:fldCharType="begin"/>
            </w:r>
            <w:r>
              <w:rPr>
                <w:noProof/>
                <w:webHidden/>
              </w:rPr>
              <w:instrText xml:space="preserve"> PAGEREF _Toc237003179 \h </w:instrText>
            </w:r>
            <w:r>
              <w:rPr>
                <w:noProof/>
                <w:webHidden/>
              </w:rPr>
            </w:r>
            <w:r>
              <w:rPr>
                <w:noProof/>
                <w:webHidden/>
              </w:rPr>
              <w:fldChar w:fldCharType="separate"/>
            </w:r>
            <w:r w:rsidR="00711812">
              <w:rPr>
                <w:noProof/>
                <w:webHidden/>
              </w:rPr>
              <w:t>4</w:t>
            </w:r>
            <w:r>
              <w:rPr>
                <w:noProof/>
                <w:webHidden/>
              </w:rPr>
              <w:fldChar w:fldCharType="end"/>
            </w:r>
          </w:hyperlink>
        </w:p>
        <w:p w14:paraId="203EA7EF" w14:textId="1AF71D6E" w:rsidR="004666C2" w:rsidRDefault="004666C2">
          <w:pPr>
            <w:pStyle w:val="TOC2"/>
            <w:tabs>
              <w:tab w:val="right" w:leader="dot" w:pos="9016"/>
            </w:tabs>
            <w:rPr>
              <w:rFonts w:eastAsiaTheme="minorEastAsia"/>
              <w:noProof/>
              <w:lang w:eastAsia="en-GB"/>
            </w:rPr>
          </w:pPr>
          <w:hyperlink w:anchor="_Toc237003180" w:history="1">
            <w:r w:rsidRPr="00AC6036">
              <w:rPr>
                <w:rStyle w:val="Hyperlink"/>
                <w:noProof/>
              </w:rPr>
              <w:t>National Impact (United Kingdom)</w:t>
            </w:r>
            <w:r>
              <w:rPr>
                <w:noProof/>
                <w:webHidden/>
              </w:rPr>
              <w:tab/>
            </w:r>
            <w:r>
              <w:rPr>
                <w:noProof/>
                <w:webHidden/>
              </w:rPr>
              <w:fldChar w:fldCharType="begin"/>
            </w:r>
            <w:r>
              <w:rPr>
                <w:noProof/>
                <w:webHidden/>
              </w:rPr>
              <w:instrText xml:space="preserve"> PAGEREF _Toc237003180 \h </w:instrText>
            </w:r>
            <w:r>
              <w:rPr>
                <w:noProof/>
                <w:webHidden/>
              </w:rPr>
            </w:r>
            <w:r>
              <w:rPr>
                <w:noProof/>
                <w:webHidden/>
              </w:rPr>
              <w:fldChar w:fldCharType="separate"/>
            </w:r>
            <w:r w:rsidR="00711812">
              <w:rPr>
                <w:noProof/>
                <w:webHidden/>
              </w:rPr>
              <w:t>4</w:t>
            </w:r>
            <w:r>
              <w:rPr>
                <w:noProof/>
                <w:webHidden/>
              </w:rPr>
              <w:fldChar w:fldCharType="end"/>
            </w:r>
          </w:hyperlink>
        </w:p>
        <w:p w14:paraId="1EBD4F5F" w14:textId="093D3112" w:rsidR="004666C2" w:rsidRDefault="004666C2">
          <w:pPr>
            <w:pStyle w:val="TOC2"/>
            <w:tabs>
              <w:tab w:val="right" w:leader="dot" w:pos="9016"/>
            </w:tabs>
            <w:rPr>
              <w:rFonts w:eastAsiaTheme="minorEastAsia"/>
              <w:noProof/>
              <w:lang w:eastAsia="en-GB"/>
            </w:rPr>
          </w:pPr>
          <w:hyperlink w:anchor="_Toc237003181" w:history="1">
            <w:r w:rsidRPr="00AC6036">
              <w:rPr>
                <w:rStyle w:val="Hyperlink"/>
                <w:noProof/>
              </w:rPr>
              <w:t>Local Impact (UK-wide)</w:t>
            </w:r>
            <w:r>
              <w:rPr>
                <w:noProof/>
                <w:webHidden/>
              </w:rPr>
              <w:tab/>
            </w:r>
            <w:r>
              <w:rPr>
                <w:noProof/>
                <w:webHidden/>
              </w:rPr>
              <w:fldChar w:fldCharType="begin"/>
            </w:r>
            <w:r>
              <w:rPr>
                <w:noProof/>
                <w:webHidden/>
              </w:rPr>
              <w:instrText xml:space="preserve"> PAGEREF _Toc237003181 \h </w:instrText>
            </w:r>
            <w:r>
              <w:rPr>
                <w:noProof/>
                <w:webHidden/>
              </w:rPr>
            </w:r>
            <w:r>
              <w:rPr>
                <w:noProof/>
                <w:webHidden/>
              </w:rPr>
              <w:fldChar w:fldCharType="separate"/>
            </w:r>
            <w:r w:rsidR="00711812">
              <w:rPr>
                <w:noProof/>
                <w:webHidden/>
              </w:rPr>
              <w:t>5</w:t>
            </w:r>
            <w:r>
              <w:rPr>
                <w:noProof/>
                <w:webHidden/>
              </w:rPr>
              <w:fldChar w:fldCharType="end"/>
            </w:r>
          </w:hyperlink>
        </w:p>
        <w:p w14:paraId="5F9AB74B" w14:textId="358377D1" w:rsidR="004666C2" w:rsidRDefault="004666C2">
          <w:pPr>
            <w:pStyle w:val="TOC2"/>
            <w:tabs>
              <w:tab w:val="right" w:leader="dot" w:pos="9016"/>
            </w:tabs>
            <w:rPr>
              <w:rFonts w:eastAsiaTheme="minorEastAsia"/>
              <w:noProof/>
              <w:lang w:eastAsia="en-GB"/>
            </w:rPr>
          </w:pPr>
          <w:hyperlink w:anchor="_Toc237003182" w:history="1">
            <w:r w:rsidRPr="00AC6036">
              <w:rPr>
                <w:rStyle w:val="Hyperlink"/>
                <w:noProof/>
              </w:rPr>
              <w:t>Critical Perspective</w:t>
            </w:r>
            <w:r>
              <w:rPr>
                <w:noProof/>
                <w:webHidden/>
              </w:rPr>
              <w:tab/>
            </w:r>
            <w:r>
              <w:rPr>
                <w:noProof/>
                <w:webHidden/>
              </w:rPr>
              <w:fldChar w:fldCharType="begin"/>
            </w:r>
            <w:r>
              <w:rPr>
                <w:noProof/>
                <w:webHidden/>
              </w:rPr>
              <w:instrText xml:space="preserve"> PAGEREF _Toc237003182 \h </w:instrText>
            </w:r>
            <w:r>
              <w:rPr>
                <w:noProof/>
                <w:webHidden/>
              </w:rPr>
            </w:r>
            <w:r>
              <w:rPr>
                <w:noProof/>
                <w:webHidden/>
              </w:rPr>
              <w:fldChar w:fldCharType="separate"/>
            </w:r>
            <w:r w:rsidR="00711812">
              <w:rPr>
                <w:noProof/>
                <w:webHidden/>
              </w:rPr>
              <w:t>5</w:t>
            </w:r>
            <w:r>
              <w:rPr>
                <w:noProof/>
                <w:webHidden/>
              </w:rPr>
              <w:fldChar w:fldCharType="end"/>
            </w:r>
          </w:hyperlink>
        </w:p>
        <w:p w14:paraId="4D769289" w14:textId="630791C1" w:rsidR="004666C2" w:rsidRDefault="004666C2">
          <w:pPr>
            <w:pStyle w:val="TOC1"/>
            <w:tabs>
              <w:tab w:val="right" w:leader="dot" w:pos="9016"/>
            </w:tabs>
            <w:rPr>
              <w:rFonts w:eastAsiaTheme="minorEastAsia"/>
              <w:noProof/>
              <w:lang w:eastAsia="en-GB"/>
            </w:rPr>
          </w:pPr>
          <w:hyperlink w:anchor="_Toc237003183" w:history="1">
            <w:r w:rsidRPr="00AC6036">
              <w:rPr>
                <w:rStyle w:val="Hyperlink"/>
                <w:noProof/>
              </w:rPr>
              <w:t>Sustainable Development Goal 11: Sustainable Cities and Communities</w:t>
            </w:r>
            <w:r>
              <w:rPr>
                <w:noProof/>
                <w:webHidden/>
              </w:rPr>
              <w:tab/>
            </w:r>
            <w:r>
              <w:rPr>
                <w:noProof/>
                <w:webHidden/>
              </w:rPr>
              <w:fldChar w:fldCharType="begin"/>
            </w:r>
            <w:r>
              <w:rPr>
                <w:noProof/>
                <w:webHidden/>
              </w:rPr>
              <w:instrText xml:space="preserve"> PAGEREF _Toc237003183 \h </w:instrText>
            </w:r>
            <w:r>
              <w:rPr>
                <w:noProof/>
                <w:webHidden/>
              </w:rPr>
            </w:r>
            <w:r>
              <w:rPr>
                <w:noProof/>
                <w:webHidden/>
              </w:rPr>
              <w:fldChar w:fldCharType="separate"/>
            </w:r>
            <w:r w:rsidR="00711812">
              <w:rPr>
                <w:noProof/>
                <w:webHidden/>
              </w:rPr>
              <w:t>6</w:t>
            </w:r>
            <w:r>
              <w:rPr>
                <w:noProof/>
                <w:webHidden/>
              </w:rPr>
              <w:fldChar w:fldCharType="end"/>
            </w:r>
          </w:hyperlink>
        </w:p>
        <w:p w14:paraId="58E066E3" w14:textId="36769FD3" w:rsidR="004666C2" w:rsidRDefault="004666C2">
          <w:pPr>
            <w:pStyle w:val="TOC2"/>
            <w:tabs>
              <w:tab w:val="right" w:leader="dot" w:pos="9016"/>
            </w:tabs>
            <w:rPr>
              <w:rFonts w:eastAsiaTheme="minorEastAsia"/>
              <w:noProof/>
              <w:lang w:eastAsia="en-GB"/>
            </w:rPr>
          </w:pPr>
          <w:hyperlink w:anchor="_Toc237003184" w:history="1">
            <w:r w:rsidRPr="00AC6036">
              <w:rPr>
                <w:rStyle w:val="Hyperlink"/>
                <w:noProof/>
              </w:rPr>
              <w:t>Global Impact</w:t>
            </w:r>
            <w:r>
              <w:rPr>
                <w:noProof/>
                <w:webHidden/>
              </w:rPr>
              <w:tab/>
            </w:r>
            <w:r>
              <w:rPr>
                <w:noProof/>
                <w:webHidden/>
              </w:rPr>
              <w:fldChar w:fldCharType="begin"/>
            </w:r>
            <w:r>
              <w:rPr>
                <w:noProof/>
                <w:webHidden/>
              </w:rPr>
              <w:instrText xml:space="preserve"> PAGEREF _Toc237003184 \h </w:instrText>
            </w:r>
            <w:r>
              <w:rPr>
                <w:noProof/>
                <w:webHidden/>
              </w:rPr>
            </w:r>
            <w:r>
              <w:rPr>
                <w:noProof/>
                <w:webHidden/>
              </w:rPr>
              <w:fldChar w:fldCharType="separate"/>
            </w:r>
            <w:r w:rsidR="00711812">
              <w:rPr>
                <w:noProof/>
                <w:webHidden/>
              </w:rPr>
              <w:t>6</w:t>
            </w:r>
            <w:r>
              <w:rPr>
                <w:noProof/>
                <w:webHidden/>
              </w:rPr>
              <w:fldChar w:fldCharType="end"/>
            </w:r>
          </w:hyperlink>
        </w:p>
        <w:p w14:paraId="33D7F97E" w14:textId="0BD0E01F" w:rsidR="004666C2" w:rsidRDefault="004666C2">
          <w:pPr>
            <w:pStyle w:val="TOC2"/>
            <w:tabs>
              <w:tab w:val="right" w:leader="dot" w:pos="9016"/>
            </w:tabs>
            <w:rPr>
              <w:rFonts w:eastAsiaTheme="minorEastAsia"/>
              <w:noProof/>
              <w:lang w:eastAsia="en-GB"/>
            </w:rPr>
          </w:pPr>
          <w:hyperlink w:anchor="_Toc237003185" w:history="1">
            <w:r w:rsidRPr="00AC6036">
              <w:rPr>
                <w:rStyle w:val="Hyperlink"/>
                <w:noProof/>
              </w:rPr>
              <w:t>National Impact (United Kingdom)</w:t>
            </w:r>
            <w:r>
              <w:rPr>
                <w:noProof/>
                <w:webHidden/>
              </w:rPr>
              <w:tab/>
            </w:r>
            <w:r>
              <w:rPr>
                <w:noProof/>
                <w:webHidden/>
              </w:rPr>
              <w:fldChar w:fldCharType="begin"/>
            </w:r>
            <w:r>
              <w:rPr>
                <w:noProof/>
                <w:webHidden/>
              </w:rPr>
              <w:instrText xml:space="preserve"> PAGEREF _Toc237003185 \h </w:instrText>
            </w:r>
            <w:r>
              <w:rPr>
                <w:noProof/>
                <w:webHidden/>
              </w:rPr>
            </w:r>
            <w:r>
              <w:rPr>
                <w:noProof/>
                <w:webHidden/>
              </w:rPr>
              <w:fldChar w:fldCharType="separate"/>
            </w:r>
            <w:r w:rsidR="00711812">
              <w:rPr>
                <w:noProof/>
                <w:webHidden/>
              </w:rPr>
              <w:t>6</w:t>
            </w:r>
            <w:r>
              <w:rPr>
                <w:noProof/>
                <w:webHidden/>
              </w:rPr>
              <w:fldChar w:fldCharType="end"/>
            </w:r>
          </w:hyperlink>
        </w:p>
        <w:p w14:paraId="7F8B273E" w14:textId="203678B7" w:rsidR="004666C2" w:rsidRDefault="004666C2">
          <w:pPr>
            <w:pStyle w:val="TOC2"/>
            <w:tabs>
              <w:tab w:val="right" w:leader="dot" w:pos="9016"/>
            </w:tabs>
            <w:rPr>
              <w:rFonts w:eastAsiaTheme="minorEastAsia"/>
              <w:noProof/>
              <w:lang w:eastAsia="en-GB"/>
            </w:rPr>
          </w:pPr>
          <w:hyperlink w:anchor="_Toc237003186" w:history="1">
            <w:r w:rsidRPr="00AC6036">
              <w:rPr>
                <w:rStyle w:val="Hyperlink"/>
                <w:noProof/>
              </w:rPr>
              <w:t>Local Impact (UK-wide)</w:t>
            </w:r>
            <w:r>
              <w:rPr>
                <w:noProof/>
                <w:webHidden/>
              </w:rPr>
              <w:tab/>
            </w:r>
            <w:r>
              <w:rPr>
                <w:noProof/>
                <w:webHidden/>
              </w:rPr>
              <w:fldChar w:fldCharType="begin"/>
            </w:r>
            <w:r>
              <w:rPr>
                <w:noProof/>
                <w:webHidden/>
              </w:rPr>
              <w:instrText xml:space="preserve"> PAGEREF _Toc237003186 \h </w:instrText>
            </w:r>
            <w:r>
              <w:rPr>
                <w:noProof/>
                <w:webHidden/>
              </w:rPr>
            </w:r>
            <w:r>
              <w:rPr>
                <w:noProof/>
                <w:webHidden/>
              </w:rPr>
              <w:fldChar w:fldCharType="separate"/>
            </w:r>
            <w:r w:rsidR="00711812">
              <w:rPr>
                <w:noProof/>
                <w:webHidden/>
              </w:rPr>
              <w:t>7</w:t>
            </w:r>
            <w:r>
              <w:rPr>
                <w:noProof/>
                <w:webHidden/>
              </w:rPr>
              <w:fldChar w:fldCharType="end"/>
            </w:r>
          </w:hyperlink>
        </w:p>
        <w:p w14:paraId="186D78E0" w14:textId="769E44F7" w:rsidR="004666C2" w:rsidRDefault="004666C2">
          <w:pPr>
            <w:pStyle w:val="TOC2"/>
            <w:tabs>
              <w:tab w:val="right" w:leader="dot" w:pos="9016"/>
            </w:tabs>
            <w:rPr>
              <w:rFonts w:eastAsiaTheme="minorEastAsia"/>
              <w:noProof/>
              <w:lang w:eastAsia="en-GB"/>
            </w:rPr>
          </w:pPr>
          <w:hyperlink w:anchor="_Toc237003187" w:history="1">
            <w:r w:rsidRPr="00AC6036">
              <w:rPr>
                <w:rStyle w:val="Hyperlink"/>
                <w:noProof/>
              </w:rPr>
              <w:t>Critical Perspective</w:t>
            </w:r>
            <w:r>
              <w:rPr>
                <w:noProof/>
                <w:webHidden/>
              </w:rPr>
              <w:tab/>
            </w:r>
            <w:r>
              <w:rPr>
                <w:noProof/>
                <w:webHidden/>
              </w:rPr>
              <w:fldChar w:fldCharType="begin"/>
            </w:r>
            <w:r>
              <w:rPr>
                <w:noProof/>
                <w:webHidden/>
              </w:rPr>
              <w:instrText xml:space="preserve"> PAGEREF _Toc237003187 \h </w:instrText>
            </w:r>
            <w:r>
              <w:rPr>
                <w:noProof/>
                <w:webHidden/>
              </w:rPr>
            </w:r>
            <w:r>
              <w:rPr>
                <w:noProof/>
                <w:webHidden/>
              </w:rPr>
              <w:fldChar w:fldCharType="separate"/>
            </w:r>
            <w:r w:rsidR="00711812">
              <w:rPr>
                <w:noProof/>
                <w:webHidden/>
              </w:rPr>
              <w:t>7</w:t>
            </w:r>
            <w:r>
              <w:rPr>
                <w:noProof/>
                <w:webHidden/>
              </w:rPr>
              <w:fldChar w:fldCharType="end"/>
            </w:r>
          </w:hyperlink>
        </w:p>
        <w:p w14:paraId="3AC2ECE3" w14:textId="1FA1196F" w:rsidR="004666C2" w:rsidRDefault="004666C2">
          <w:pPr>
            <w:pStyle w:val="TOC1"/>
            <w:tabs>
              <w:tab w:val="right" w:leader="dot" w:pos="9016"/>
            </w:tabs>
            <w:rPr>
              <w:rFonts w:eastAsiaTheme="minorEastAsia"/>
              <w:noProof/>
              <w:lang w:eastAsia="en-GB"/>
            </w:rPr>
          </w:pPr>
          <w:hyperlink w:anchor="_Toc237003188" w:history="1">
            <w:r w:rsidRPr="00AC6036">
              <w:rPr>
                <w:rStyle w:val="Hyperlink"/>
                <w:noProof/>
              </w:rPr>
              <w:t>National Wellbeing Initiatives</w:t>
            </w:r>
            <w:r>
              <w:rPr>
                <w:noProof/>
                <w:webHidden/>
              </w:rPr>
              <w:tab/>
            </w:r>
            <w:r>
              <w:rPr>
                <w:noProof/>
                <w:webHidden/>
              </w:rPr>
              <w:fldChar w:fldCharType="begin"/>
            </w:r>
            <w:r>
              <w:rPr>
                <w:noProof/>
                <w:webHidden/>
              </w:rPr>
              <w:instrText xml:space="preserve"> PAGEREF _Toc237003188 \h </w:instrText>
            </w:r>
            <w:r>
              <w:rPr>
                <w:noProof/>
                <w:webHidden/>
              </w:rPr>
            </w:r>
            <w:r>
              <w:rPr>
                <w:noProof/>
                <w:webHidden/>
              </w:rPr>
              <w:fldChar w:fldCharType="separate"/>
            </w:r>
            <w:r w:rsidR="00711812">
              <w:rPr>
                <w:noProof/>
                <w:webHidden/>
              </w:rPr>
              <w:t>8</w:t>
            </w:r>
            <w:r>
              <w:rPr>
                <w:noProof/>
                <w:webHidden/>
              </w:rPr>
              <w:fldChar w:fldCharType="end"/>
            </w:r>
          </w:hyperlink>
        </w:p>
        <w:p w14:paraId="63068D31" w14:textId="3F98FBA6" w:rsidR="004666C2" w:rsidRDefault="004666C2">
          <w:pPr>
            <w:pStyle w:val="TOC2"/>
            <w:tabs>
              <w:tab w:val="right" w:leader="dot" w:pos="9016"/>
            </w:tabs>
            <w:rPr>
              <w:rFonts w:eastAsiaTheme="minorEastAsia"/>
              <w:noProof/>
              <w:lang w:eastAsia="en-GB"/>
            </w:rPr>
          </w:pPr>
          <w:hyperlink w:anchor="_Toc237003189" w:history="1">
            <w:r w:rsidRPr="00AC6036">
              <w:rPr>
                <w:rStyle w:val="Hyperlink"/>
                <w:noProof/>
              </w:rPr>
              <w:t>Recommendations:</w:t>
            </w:r>
            <w:r>
              <w:rPr>
                <w:noProof/>
                <w:webHidden/>
              </w:rPr>
              <w:tab/>
            </w:r>
            <w:r>
              <w:rPr>
                <w:noProof/>
                <w:webHidden/>
              </w:rPr>
              <w:fldChar w:fldCharType="begin"/>
            </w:r>
            <w:r>
              <w:rPr>
                <w:noProof/>
                <w:webHidden/>
              </w:rPr>
              <w:instrText xml:space="preserve"> PAGEREF _Toc237003189 \h </w:instrText>
            </w:r>
            <w:r>
              <w:rPr>
                <w:noProof/>
                <w:webHidden/>
              </w:rPr>
            </w:r>
            <w:r>
              <w:rPr>
                <w:noProof/>
                <w:webHidden/>
              </w:rPr>
              <w:fldChar w:fldCharType="separate"/>
            </w:r>
            <w:r w:rsidR="00711812">
              <w:rPr>
                <w:noProof/>
                <w:webHidden/>
              </w:rPr>
              <w:t>9</w:t>
            </w:r>
            <w:r>
              <w:rPr>
                <w:noProof/>
                <w:webHidden/>
              </w:rPr>
              <w:fldChar w:fldCharType="end"/>
            </w:r>
          </w:hyperlink>
        </w:p>
        <w:p w14:paraId="0D636AA5" w14:textId="351D0CA5" w:rsidR="004666C2" w:rsidRDefault="004666C2">
          <w:pPr>
            <w:pStyle w:val="TOC2"/>
            <w:tabs>
              <w:tab w:val="right" w:leader="dot" w:pos="9016"/>
            </w:tabs>
            <w:rPr>
              <w:rFonts w:eastAsiaTheme="minorEastAsia"/>
              <w:noProof/>
              <w:lang w:eastAsia="en-GB"/>
            </w:rPr>
          </w:pPr>
          <w:hyperlink w:anchor="_Toc237003190" w:history="1">
            <w:r w:rsidRPr="00AC6036">
              <w:rPr>
                <w:rStyle w:val="Hyperlink"/>
                <w:noProof/>
              </w:rPr>
              <w:t>Local Wellbeing Initiatives</w:t>
            </w:r>
            <w:r>
              <w:rPr>
                <w:noProof/>
                <w:webHidden/>
              </w:rPr>
              <w:tab/>
            </w:r>
            <w:r>
              <w:rPr>
                <w:noProof/>
                <w:webHidden/>
              </w:rPr>
              <w:fldChar w:fldCharType="begin"/>
            </w:r>
            <w:r>
              <w:rPr>
                <w:noProof/>
                <w:webHidden/>
              </w:rPr>
              <w:instrText xml:space="preserve"> PAGEREF _Toc237003190 \h </w:instrText>
            </w:r>
            <w:r>
              <w:rPr>
                <w:noProof/>
                <w:webHidden/>
              </w:rPr>
            </w:r>
            <w:r>
              <w:rPr>
                <w:noProof/>
                <w:webHidden/>
              </w:rPr>
              <w:fldChar w:fldCharType="separate"/>
            </w:r>
            <w:r w:rsidR="00711812">
              <w:rPr>
                <w:noProof/>
                <w:webHidden/>
              </w:rPr>
              <w:t>9</w:t>
            </w:r>
            <w:r>
              <w:rPr>
                <w:noProof/>
                <w:webHidden/>
              </w:rPr>
              <w:fldChar w:fldCharType="end"/>
            </w:r>
          </w:hyperlink>
        </w:p>
        <w:p w14:paraId="39FEE740" w14:textId="252B1EE2" w:rsidR="004666C2" w:rsidRDefault="004666C2">
          <w:pPr>
            <w:pStyle w:val="TOC2"/>
            <w:tabs>
              <w:tab w:val="right" w:leader="dot" w:pos="9016"/>
            </w:tabs>
            <w:rPr>
              <w:rFonts w:eastAsiaTheme="minorEastAsia"/>
              <w:noProof/>
              <w:lang w:eastAsia="en-GB"/>
            </w:rPr>
          </w:pPr>
          <w:hyperlink w:anchor="_Toc237003191" w:history="1">
            <w:r w:rsidRPr="00AC6036">
              <w:rPr>
                <w:rStyle w:val="Hyperlink"/>
                <w:noProof/>
              </w:rPr>
              <w:t>Recommendations</w:t>
            </w:r>
            <w:r>
              <w:rPr>
                <w:noProof/>
                <w:webHidden/>
              </w:rPr>
              <w:tab/>
            </w:r>
            <w:r>
              <w:rPr>
                <w:noProof/>
                <w:webHidden/>
              </w:rPr>
              <w:fldChar w:fldCharType="begin"/>
            </w:r>
            <w:r>
              <w:rPr>
                <w:noProof/>
                <w:webHidden/>
              </w:rPr>
              <w:instrText xml:space="preserve"> PAGEREF _Toc237003191 \h </w:instrText>
            </w:r>
            <w:r>
              <w:rPr>
                <w:noProof/>
                <w:webHidden/>
              </w:rPr>
            </w:r>
            <w:r>
              <w:rPr>
                <w:noProof/>
                <w:webHidden/>
              </w:rPr>
              <w:fldChar w:fldCharType="separate"/>
            </w:r>
            <w:r w:rsidR="00711812">
              <w:rPr>
                <w:noProof/>
                <w:webHidden/>
              </w:rPr>
              <w:t>10</w:t>
            </w:r>
            <w:r>
              <w:rPr>
                <w:noProof/>
                <w:webHidden/>
              </w:rPr>
              <w:fldChar w:fldCharType="end"/>
            </w:r>
          </w:hyperlink>
        </w:p>
        <w:p w14:paraId="02FA5BA5" w14:textId="4C2C6813" w:rsidR="004666C2" w:rsidRDefault="004666C2">
          <w:pPr>
            <w:pStyle w:val="TOC1"/>
            <w:tabs>
              <w:tab w:val="right" w:leader="dot" w:pos="9016"/>
            </w:tabs>
            <w:rPr>
              <w:rFonts w:eastAsiaTheme="minorEastAsia"/>
              <w:noProof/>
              <w:lang w:eastAsia="en-GB"/>
            </w:rPr>
          </w:pPr>
          <w:hyperlink w:anchor="_Toc237003192" w:history="1">
            <w:r w:rsidRPr="00AC6036">
              <w:rPr>
                <w:rStyle w:val="Hyperlink"/>
                <w:noProof/>
              </w:rPr>
              <w:t>Conclusion</w:t>
            </w:r>
            <w:r>
              <w:rPr>
                <w:noProof/>
                <w:webHidden/>
              </w:rPr>
              <w:tab/>
            </w:r>
            <w:r>
              <w:rPr>
                <w:noProof/>
                <w:webHidden/>
              </w:rPr>
              <w:fldChar w:fldCharType="begin"/>
            </w:r>
            <w:r>
              <w:rPr>
                <w:noProof/>
                <w:webHidden/>
              </w:rPr>
              <w:instrText xml:space="preserve"> PAGEREF _Toc237003192 \h </w:instrText>
            </w:r>
            <w:r>
              <w:rPr>
                <w:noProof/>
                <w:webHidden/>
              </w:rPr>
            </w:r>
            <w:r>
              <w:rPr>
                <w:noProof/>
                <w:webHidden/>
              </w:rPr>
              <w:fldChar w:fldCharType="separate"/>
            </w:r>
            <w:r w:rsidR="00711812">
              <w:rPr>
                <w:noProof/>
                <w:webHidden/>
              </w:rPr>
              <w:t>10</w:t>
            </w:r>
            <w:r>
              <w:rPr>
                <w:noProof/>
                <w:webHidden/>
              </w:rPr>
              <w:fldChar w:fldCharType="end"/>
            </w:r>
          </w:hyperlink>
        </w:p>
        <w:p w14:paraId="599A70CD" w14:textId="7267C549" w:rsidR="004666C2" w:rsidRDefault="004666C2">
          <w:pPr>
            <w:pStyle w:val="TOC1"/>
            <w:tabs>
              <w:tab w:val="right" w:leader="dot" w:pos="9016"/>
            </w:tabs>
            <w:rPr>
              <w:rFonts w:eastAsiaTheme="minorEastAsia"/>
              <w:noProof/>
              <w:lang w:eastAsia="en-GB"/>
            </w:rPr>
          </w:pPr>
          <w:hyperlink w:anchor="_Toc237003193" w:history="1">
            <w:r w:rsidRPr="00AC6036">
              <w:rPr>
                <w:rStyle w:val="Hyperlink"/>
                <w:noProof/>
              </w:rPr>
              <w:t>Reference List</w:t>
            </w:r>
            <w:r>
              <w:rPr>
                <w:noProof/>
                <w:webHidden/>
              </w:rPr>
              <w:tab/>
            </w:r>
            <w:r>
              <w:rPr>
                <w:noProof/>
                <w:webHidden/>
              </w:rPr>
              <w:fldChar w:fldCharType="begin"/>
            </w:r>
            <w:r>
              <w:rPr>
                <w:noProof/>
                <w:webHidden/>
              </w:rPr>
              <w:instrText xml:space="preserve"> PAGEREF _Toc237003193 \h </w:instrText>
            </w:r>
            <w:r>
              <w:rPr>
                <w:noProof/>
                <w:webHidden/>
              </w:rPr>
            </w:r>
            <w:r>
              <w:rPr>
                <w:noProof/>
                <w:webHidden/>
              </w:rPr>
              <w:fldChar w:fldCharType="separate"/>
            </w:r>
            <w:r w:rsidR="00711812">
              <w:rPr>
                <w:noProof/>
                <w:webHidden/>
              </w:rPr>
              <w:t>11</w:t>
            </w:r>
            <w:r>
              <w:rPr>
                <w:noProof/>
                <w:webHidden/>
              </w:rPr>
              <w:fldChar w:fldCharType="end"/>
            </w:r>
          </w:hyperlink>
        </w:p>
        <w:p w14:paraId="0F6DC927" w14:textId="15D0C96D" w:rsidR="004666C2" w:rsidRDefault="004666C2">
          <w:r>
            <w:rPr>
              <w:b/>
              <w:bCs/>
              <w:noProof/>
            </w:rPr>
            <w:fldChar w:fldCharType="end"/>
          </w:r>
        </w:p>
      </w:sdtContent>
    </w:sdt>
    <w:p w14:paraId="4F20A90B" w14:textId="77777777" w:rsidR="006B08D4" w:rsidRDefault="006B08D4" w:rsidP="004666C2">
      <w:pPr>
        <w:pStyle w:val="Heading1"/>
      </w:pPr>
    </w:p>
    <w:p w14:paraId="69EB8077" w14:textId="77777777" w:rsidR="006B08D4" w:rsidRDefault="006B08D4"/>
    <w:p w14:paraId="0D81F597" w14:textId="77777777" w:rsidR="006B08D4" w:rsidRDefault="006B08D4"/>
    <w:p w14:paraId="76BA1988" w14:textId="77777777" w:rsidR="00711812" w:rsidRPr="00711812" w:rsidRDefault="00711812" w:rsidP="00711812">
      <w:pPr>
        <w:pStyle w:val="Title"/>
        <w:rPr>
          <w:sz w:val="40"/>
          <w:szCs w:val="40"/>
        </w:rPr>
      </w:pPr>
      <w:r w:rsidRPr="00711812">
        <w:rPr>
          <w:sz w:val="40"/>
          <w:szCs w:val="40"/>
        </w:rPr>
        <w:t>Health, Wellbeing and Sustainable Development: A Critical Analysis of SDG 3 and SDG 11 in the UK Context</w:t>
      </w:r>
    </w:p>
    <w:p w14:paraId="10B008FE" w14:textId="77777777" w:rsidR="001656BB" w:rsidRDefault="001656BB"/>
    <w:p w14:paraId="0CFB5E50" w14:textId="77777777" w:rsidR="001656BB" w:rsidRDefault="001656BB"/>
    <w:p w14:paraId="2A43CCAA" w14:textId="77777777" w:rsidR="001656BB" w:rsidRPr="006B08D4" w:rsidRDefault="001656BB" w:rsidP="004666C2">
      <w:pPr>
        <w:pStyle w:val="Heading1"/>
      </w:pPr>
      <w:bookmarkStart w:id="0" w:name="_Toc237003177"/>
      <w:r w:rsidRPr="006B08D4">
        <w:t>Introduction</w:t>
      </w:r>
      <w:bookmarkEnd w:id="0"/>
    </w:p>
    <w:p w14:paraId="060F724C" w14:textId="77777777" w:rsidR="001656BB" w:rsidRPr="006B08D4" w:rsidRDefault="001656BB" w:rsidP="004666C2">
      <w:pPr>
        <w:spacing w:line="360" w:lineRule="auto"/>
        <w:rPr>
          <w:rFonts w:ascii="Arial" w:hAnsi="Arial" w:cs="Arial"/>
          <w:sz w:val="22"/>
          <w:szCs w:val="22"/>
        </w:rPr>
      </w:pPr>
      <w:r w:rsidRPr="006B08D4">
        <w:rPr>
          <w:rFonts w:ascii="Arial" w:hAnsi="Arial" w:cs="Arial"/>
          <w:sz w:val="22"/>
          <w:szCs w:val="22"/>
        </w:rPr>
        <w:t xml:space="preserve">Health, wellbeing, and sustainability are increasingly central to global, national, and local policy agendas. The Sustainable Development Goals (SDGs) provide a universal framework </w:t>
      </w:r>
      <w:r w:rsidRPr="006B08D4">
        <w:rPr>
          <w:rFonts w:ascii="Arial" w:hAnsi="Arial" w:cs="Arial"/>
          <w:sz w:val="22"/>
          <w:szCs w:val="22"/>
        </w:rPr>
        <w:lastRenderedPageBreak/>
        <w:t>for addressing the complex determinants of health and environmental stability. This report critically examines SDG 3 (Good Health and Wellbeing) and SDG 11 (Sustainable Cities and Communities), analysing their impact on citizens across multiple levels. It evaluates UK national and local initiatives, including digital health innovations, cancer screening programmes, air</w:t>
      </w:r>
      <w:r w:rsidRPr="006B08D4">
        <w:rPr>
          <w:rFonts w:ascii="Arial" w:hAnsi="Arial" w:cs="Arial"/>
          <w:sz w:val="22"/>
          <w:szCs w:val="22"/>
        </w:rPr>
        <w:noBreakHyphen/>
        <w:t>quality legislation, and sustainable urban planning. Drawing on recent research and secondary data, the report presents evidence</w:t>
      </w:r>
      <w:r w:rsidRPr="006B08D4">
        <w:rPr>
          <w:rFonts w:ascii="Arial" w:hAnsi="Arial" w:cs="Arial"/>
          <w:sz w:val="22"/>
          <w:szCs w:val="22"/>
        </w:rPr>
        <w:noBreakHyphen/>
        <w:t>based recommendations to strengthen policy and improve population wellbeing.</w:t>
      </w:r>
    </w:p>
    <w:p w14:paraId="19A08D9A" w14:textId="37667046" w:rsidR="001656BB" w:rsidRPr="006B08D4" w:rsidRDefault="001656BB" w:rsidP="004666C2">
      <w:pPr>
        <w:pStyle w:val="Heading1"/>
        <w:spacing w:line="360" w:lineRule="auto"/>
      </w:pPr>
      <w:bookmarkStart w:id="1" w:name="_Toc237003178"/>
      <w:r w:rsidRPr="006B08D4">
        <w:t>Sustainable Development Goal 3: Good Health and Wellbeing</w:t>
      </w:r>
      <w:bookmarkEnd w:id="1"/>
    </w:p>
    <w:p w14:paraId="3F650511" w14:textId="77777777" w:rsidR="001656BB" w:rsidRPr="006B08D4" w:rsidRDefault="001656BB" w:rsidP="004666C2">
      <w:pPr>
        <w:spacing w:line="360" w:lineRule="auto"/>
        <w:rPr>
          <w:rFonts w:ascii="Arial" w:hAnsi="Arial" w:cs="Arial"/>
          <w:sz w:val="22"/>
          <w:szCs w:val="22"/>
        </w:rPr>
      </w:pPr>
      <w:r w:rsidRPr="006B08D4">
        <w:rPr>
          <w:rFonts w:ascii="Arial" w:hAnsi="Arial" w:cs="Arial"/>
          <w:sz w:val="22"/>
          <w:szCs w:val="22"/>
        </w:rPr>
        <w:t>SDG 3 aims to “ensure healthy lives and promote wellbeing for all at all ages” (United Nations, 2015). Its core constructs include reducing maternal and child mortality, combating communicable and non</w:t>
      </w:r>
      <w:r w:rsidRPr="006B08D4">
        <w:rPr>
          <w:rFonts w:ascii="Arial" w:hAnsi="Arial" w:cs="Arial"/>
          <w:sz w:val="22"/>
          <w:szCs w:val="22"/>
        </w:rPr>
        <w:noBreakHyphen/>
        <w:t>communicable diseases, strengthening mental health provision, expanding universal health coverage (UHC), and improving resilience against global health threats. SDG 3 aligns with the WHO definition of health as a holistic state of physical, mental, and social wellbeing (WHO, 1946), emphasising prevention, equity, and access.</w:t>
      </w:r>
    </w:p>
    <w:p w14:paraId="218038E4" w14:textId="4FB20550" w:rsidR="001656BB" w:rsidRPr="006B08D4" w:rsidRDefault="001656BB" w:rsidP="004666C2">
      <w:pPr>
        <w:pStyle w:val="Heading2"/>
        <w:spacing w:line="360" w:lineRule="auto"/>
      </w:pPr>
      <w:bookmarkStart w:id="2" w:name="_Toc237003179"/>
      <w:r w:rsidRPr="006B08D4">
        <w:t>Global Impact</w:t>
      </w:r>
      <w:bookmarkEnd w:id="2"/>
    </w:p>
    <w:p w14:paraId="4F1342E4" w14:textId="77777777" w:rsidR="001656BB" w:rsidRPr="006B08D4" w:rsidRDefault="001656BB" w:rsidP="004666C2">
      <w:pPr>
        <w:spacing w:line="360" w:lineRule="auto"/>
        <w:rPr>
          <w:rFonts w:ascii="Arial" w:hAnsi="Arial" w:cs="Arial"/>
          <w:sz w:val="22"/>
          <w:szCs w:val="22"/>
        </w:rPr>
      </w:pPr>
      <w:r w:rsidRPr="006B08D4">
        <w:rPr>
          <w:rFonts w:ascii="Arial" w:hAnsi="Arial" w:cs="Arial"/>
          <w:sz w:val="22"/>
          <w:szCs w:val="22"/>
        </w:rPr>
        <w:t>Globally, SDG 3 has contributed to significant improvements in vaccination coverage, maternal health, and infectious disease control. Under</w:t>
      </w:r>
      <w:r w:rsidRPr="006B08D4">
        <w:rPr>
          <w:rFonts w:ascii="Arial" w:hAnsi="Arial" w:cs="Arial"/>
          <w:sz w:val="22"/>
          <w:szCs w:val="22"/>
        </w:rPr>
        <w:noBreakHyphen/>
        <w:t>five mortality has decreased substantially since 2000 due to SDG</w:t>
      </w:r>
      <w:r w:rsidRPr="006B08D4">
        <w:rPr>
          <w:rFonts w:ascii="Arial" w:hAnsi="Arial" w:cs="Arial"/>
          <w:sz w:val="22"/>
          <w:szCs w:val="22"/>
        </w:rPr>
        <w:noBreakHyphen/>
        <w:t>aligned interventions (UNICEF, 2023). However, the COVID</w:t>
      </w:r>
      <w:r w:rsidRPr="006B08D4">
        <w:rPr>
          <w:rFonts w:ascii="Arial" w:hAnsi="Arial" w:cs="Arial"/>
          <w:sz w:val="22"/>
          <w:szCs w:val="22"/>
        </w:rPr>
        <w:noBreakHyphen/>
        <w:t>19 pandemic exposed structural weaknesses in global health systems, including unequal vaccine distribution and limited healthcare capacity in low</w:t>
      </w:r>
      <w:r w:rsidRPr="006B08D4">
        <w:rPr>
          <w:rFonts w:ascii="Arial" w:hAnsi="Arial" w:cs="Arial"/>
          <w:sz w:val="22"/>
          <w:szCs w:val="22"/>
        </w:rPr>
        <w:noBreakHyphen/>
        <w:t>income countries (WHO, 2022). Non</w:t>
      </w:r>
      <w:r w:rsidRPr="006B08D4">
        <w:rPr>
          <w:rFonts w:ascii="Arial" w:hAnsi="Arial" w:cs="Arial"/>
          <w:sz w:val="22"/>
          <w:szCs w:val="22"/>
        </w:rPr>
        <w:noBreakHyphen/>
        <w:t>communicable diseases remain a major global burden, responsible for 74% of global deaths (WHO, 2023). Although SDG 3 has encouraged countries to adopt preventive strategies such as tobacco control, sugar</w:t>
      </w:r>
      <w:r w:rsidRPr="006B08D4">
        <w:rPr>
          <w:rFonts w:ascii="Arial" w:hAnsi="Arial" w:cs="Arial"/>
          <w:sz w:val="22"/>
          <w:szCs w:val="22"/>
        </w:rPr>
        <w:noBreakHyphen/>
        <w:t>reduction policies, and physical activity promotion, progress remains uneven due to economic inequalities and limited access to healthcare.</w:t>
      </w:r>
    </w:p>
    <w:p w14:paraId="30FA0A48" w14:textId="68EDEDE3" w:rsidR="001656BB" w:rsidRPr="006B08D4" w:rsidRDefault="001656BB" w:rsidP="004666C2">
      <w:pPr>
        <w:pStyle w:val="Heading2"/>
        <w:spacing w:line="360" w:lineRule="auto"/>
      </w:pPr>
      <w:bookmarkStart w:id="3" w:name="_Toc237003180"/>
      <w:r w:rsidRPr="006B08D4">
        <w:t>National Impact (United Kingdom)</w:t>
      </w:r>
      <w:bookmarkEnd w:id="3"/>
    </w:p>
    <w:p w14:paraId="036943C0" w14:textId="77777777" w:rsidR="001656BB" w:rsidRPr="006B08D4" w:rsidRDefault="001656BB" w:rsidP="004666C2">
      <w:pPr>
        <w:spacing w:line="360" w:lineRule="auto"/>
        <w:rPr>
          <w:rFonts w:ascii="Arial" w:hAnsi="Arial" w:cs="Arial"/>
          <w:sz w:val="22"/>
          <w:szCs w:val="22"/>
        </w:rPr>
      </w:pPr>
      <w:r w:rsidRPr="006B08D4">
        <w:rPr>
          <w:rFonts w:ascii="Arial" w:hAnsi="Arial" w:cs="Arial"/>
          <w:sz w:val="22"/>
          <w:szCs w:val="22"/>
        </w:rPr>
        <w:t xml:space="preserve">In the UK, SDG 3 is reflected in NHS policies focused on prevention, early diagnosis, and integrated care. National initiatives such as the NHS Cancer Screening Programmes for breast, cervical, and bowel cancer have significantly reduced mortality through early detection (NHS England, 2023). The NHS App has transformed digital access to healthcare by enabling patients to view medical records, order prescriptions, and manage appointments </w:t>
      </w:r>
      <w:r w:rsidRPr="006B08D4">
        <w:rPr>
          <w:rFonts w:ascii="Arial" w:hAnsi="Arial" w:cs="Arial"/>
          <w:sz w:val="22"/>
          <w:szCs w:val="22"/>
        </w:rPr>
        <w:lastRenderedPageBreak/>
        <w:t>(NHS Digital, 2022). Telehealth and remote consultations, widely adopted during the COVID</w:t>
      </w:r>
      <w:r w:rsidRPr="006B08D4">
        <w:rPr>
          <w:rFonts w:ascii="Arial" w:hAnsi="Arial" w:cs="Arial"/>
          <w:sz w:val="22"/>
          <w:szCs w:val="22"/>
        </w:rPr>
        <w:noBreakHyphen/>
        <w:t>19 pandemic, have improved access for individuals with mobility issues or chronic conditions (Greenhalgh et al., 2020). Digital triage systems such as eConsult have enhanced efficiency and reduced waiting times (Mroz et al., 2021). Mental health investment has expanded access to psychological therapies and crisis support (DHSC, 2023), while the NHS Digital Transformation Plan has improved interoperability, data sharing, and digital inclusion (NHSX, 2021).</w:t>
      </w:r>
    </w:p>
    <w:p w14:paraId="7858DD2F" w14:textId="77777777" w:rsidR="001656BB" w:rsidRPr="006B08D4" w:rsidRDefault="001656BB" w:rsidP="004666C2">
      <w:pPr>
        <w:spacing w:line="360" w:lineRule="auto"/>
        <w:rPr>
          <w:rFonts w:ascii="Arial" w:hAnsi="Arial" w:cs="Arial"/>
          <w:sz w:val="22"/>
          <w:szCs w:val="22"/>
        </w:rPr>
      </w:pPr>
      <w:r w:rsidRPr="006B08D4">
        <w:rPr>
          <w:rFonts w:ascii="Arial" w:hAnsi="Arial" w:cs="Arial"/>
          <w:sz w:val="22"/>
          <w:szCs w:val="22"/>
        </w:rPr>
        <w:t>Despite these advances, inequalities persist. Public Health England reports widening health inequalities, particularly in deprived areas where life expectancy has plateaued or fallen (PHE, 2023). Contributing factors include socioeconomic deprivation, workforce shortages, and regional disparities in service provision.</w:t>
      </w:r>
    </w:p>
    <w:p w14:paraId="042A5C5F" w14:textId="7A34D7C9" w:rsidR="001656BB" w:rsidRPr="006B08D4" w:rsidRDefault="001656BB" w:rsidP="004666C2">
      <w:pPr>
        <w:pStyle w:val="Heading2"/>
        <w:spacing w:line="360" w:lineRule="auto"/>
      </w:pPr>
      <w:bookmarkStart w:id="4" w:name="_Toc237003181"/>
      <w:r w:rsidRPr="006B08D4">
        <w:t>Local Impact (UK-wide)</w:t>
      </w:r>
      <w:bookmarkEnd w:id="4"/>
    </w:p>
    <w:p w14:paraId="68266B92" w14:textId="77777777" w:rsidR="001656BB" w:rsidRPr="006B08D4" w:rsidRDefault="001656BB" w:rsidP="004666C2">
      <w:pPr>
        <w:spacing w:line="360" w:lineRule="auto"/>
        <w:rPr>
          <w:rFonts w:ascii="Arial" w:hAnsi="Arial" w:cs="Arial"/>
          <w:sz w:val="22"/>
          <w:szCs w:val="22"/>
        </w:rPr>
      </w:pPr>
      <w:r w:rsidRPr="006B08D4">
        <w:rPr>
          <w:rFonts w:ascii="Arial" w:hAnsi="Arial" w:cs="Arial"/>
          <w:sz w:val="22"/>
          <w:szCs w:val="22"/>
        </w:rPr>
        <w:t>Local authorities implement SDG 3 through public health strategies such as smoking cessation services, weight</w:t>
      </w:r>
      <w:r w:rsidRPr="006B08D4">
        <w:rPr>
          <w:rFonts w:ascii="Arial" w:hAnsi="Arial" w:cs="Arial"/>
          <w:sz w:val="22"/>
          <w:szCs w:val="22"/>
        </w:rPr>
        <w:noBreakHyphen/>
        <w:t>management programmes, mental health hubs, and local vaccination campaigns (LGA, 2022). Many councils have adopted digital wellbeing apps and remote monitoring systems for chronic conditions, improving engagement with preventive services and enhancing access to mental health support. However, challenges include funding constraints, variation in service quality between regions, and limited cross</w:t>
      </w:r>
      <w:r w:rsidRPr="006B08D4">
        <w:rPr>
          <w:rFonts w:ascii="Arial" w:hAnsi="Arial" w:cs="Arial"/>
          <w:sz w:val="22"/>
          <w:szCs w:val="22"/>
        </w:rPr>
        <w:noBreakHyphen/>
        <w:t>sector collaboration. Socioeconomic deprivation continues to influence access to preventive care and digital health tools, demonstrating the need for more equitable resource allocation.</w:t>
      </w:r>
    </w:p>
    <w:p w14:paraId="24F9AFAF" w14:textId="26DA6C5A" w:rsidR="001656BB" w:rsidRPr="006B08D4" w:rsidRDefault="001656BB" w:rsidP="004666C2">
      <w:pPr>
        <w:pStyle w:val="Heading2"/>
        <w:spacing w:line="360" w:lineRule="auto"/>
      </w:pPr>
      <w:bookmarkStart w:id="5" w:name="_Toc237003182"/>
      <w:r w:rsidRPr="006B08D4">
        <w:t>Critical Perspective</w:t>
      </w:r>
      <w:bookmarkEnd w:id="5"/>
    </w:p>
    <w:p w14:paraId="1C70ECE4" w14:textId="77777777" w:rsidR="00C768D0" w:rsidRPr="006B08D4" w:rsidRDefault="00C768D0" w:rsidP="004666C2">
      <w:pPr>
        <w:spacing w:line="360" w:lineRule="auto"/>
        <w:rPr>
          <w:rFonts w:ascii="Arial" w:hAnsi="Arial" w:cs="Arial"/>
          <w:sz w:val="22"/>
          <w:szCs w:val="22"/>
        </w:rPr>
      </w:pPr>
      <w:r w:rsidRPr="006B08D4">
        <w:rPr>
          <w:rFonts w:ascii="Arial" w:hAnsi="Arial" w:cs="Arial"/>
          <w:sz w:val="22"/>
          <w:szCs w:val="22"/>
        </w:rPr>
        <w:t>SDG 3’s effectiveness is shaped by wider structural determinants such as housing quality, educational attainment, income security, and environmental conditions. The Dahlgren and Whitehead model illustrates how health outcomes are influenced by layers of determinants beyond healthcare. For example, poor housing conditions like damp and mould increase respiratory illnesses and place additional pressure on local health services. Educational disadvantage can reduce health literacy, making individuals less likely to engage with preventive programmes such as routine cancer screening. Income insecurity also affects access to nutritious food and safe environments, increasing the risk of chronic diseases. Environmental factors such as high levels of air pollution contribute to higher rates of asthma and cardiovascular problems. Although progress has been made, these systemic barriers continue to limit the full impact of SDG 3 and highlight the need for coordinated action across multiple SDGs.</w:t>
      </w:r>
    </w:p>
    <w:p w14:paraId="3252D9B8" w14:textId="0328DF9F" w:rsidR="001656BB" w:rsidRPr="006B08D4" w:rsidRDefault="001656BB" w:rsidP="004666C2">
      <w:pPr>
        <w:pStyle w:val="Heading1"/>
        <w:spacing w:line="360" w:lineRule="auto"/>
      </w:pPr>
      <w:bookmarkStart w:id="6" w:name="_Toc237003183"/>
      <w:r w:rsidRPr="006B08D4">
        <w:lastRenderedPageBreak/>
        <w:t>Sustainable Development Goal 11: Sustainable Cities and Communities</w:t>
      </w:r>
      <w:bookmarkEnd w:id="6"/>
    </w:p>
    <w:p w14:paraId="66B4CF48" w14:textId="77777777" w:rsidR="00EC616A" w:rsidRPr="006B08D4" w:rsidRDefault="00EC616A" w:rsidP="004666C2">
      <w:pPr>
        <w:spacing w:line="360" w:lineRule="auto"/>
        <w:rPr>
          <w:rFonts w:ascii="Arial" w:hAnsi="Arial" w:cs="Arial"/>
          <w:sz w:val="22"/>
          <w:szCs w:val="22"/>
        </w:rPr>
      </w:pPr>
      <w:r w:rsidRPr="006B08D4">
        <w:rPr>
          <w:rFonts w:ascii="Arial" w:hAnsi="Arial" w:cs="Arial"/>
          <w:sz w:val="22"/>
          <w:szCs w:val="22"/>
        </w:rPr>
        <w:t>SDG 11 focuses on creating cities and communities that are safe, inclusive and environmentally sustainable. It recognises that the quality of urban environments strongly influences people’s health and wellbeing, particularly through housing conditions, transport systems, pollution levels and access to green spaces. For example, improving public transport and walking routes can reduce traffic congestion and air pollution, while expanding parks and natural areas supports physical activity and mental wellbeing. Measures such as low</w:t>
      </w:r>
      <w:r w:rsidRPr="006B08D4">
        <w:rPr>
          <w:rFonts w:ascii="Arial" w:hAnsi="Arial" w:cs="Arial"/>
          <w:sz w:val="22"/>
          <w:szCs w:val="22"/>
        </w:rPr>
        <w:noBreakHyphen/>
        <w:t>emission zones also help reduce harmful pollutants in busy urban areas. Overall, SDG 11 encourages cities to become more resilient and supportive of healthy living by ensuring that urban development protects both people and the environment (United Nations, 2015).</w:t>
      </w:r>
    </w:p>
    <w:p w14:paraId="0A7946C5" w14:textId="62C0D562" w:rsidR="001656BB" w:rsidRPr="006B08D4" w:rsidRDefault="001656BB" w:rsidP="004666C2">
      <w:pPr>
        <w:pStyle w:val="Heading2"/>
        <w:spacing w:line="360" w:lineRule="auto"/>
      </w:pPr>
      <w:bookmarkStart w:id="7" w:name="_Toc237003184"/>
      <w:r w:rsidRPr="006B08D4">
        <w:t>Global Impact</w:t>
      </w:r>
      <w:bookmarkEnd w:id="7"/>
    </w:p>
    <w:p w14:paraId="699CB414" w14:textId="407025FA" w:rsidR="001656BB" w:rsidRPr="006B08D4" w:rsidRDefault="001656BB" w:rsidP="004666C2">
      <w:pPr>
        <w:spacing w:line="360" w:lineRule="auto"/>
        <w:rPr>
          <w:rFonts w:ascii="Arial" w:hAnsi="Arial" w:cs="Arial"/>
          <w:sz w:val="22"/>
          <w:szCs w:val="22"/>
        </w:rPr>
      </w:pPr>
      <w:r w:rsidRPr="006B08D4">
        <w:rPr>
          <w:rFonts w:ascii="Arial" w:hAnsi="Arial" w:cs="Arial"/>
          <w:sz w:val="22"/>
          <w:szCs w:val="22"/>
        </w:rPr>
        <w:t xml:space="preserve">Urbanisation is increasing worldwide, making SDG 11 essential for global health. Poor air quality contributes to millions of premature deaths annually (WHO, 2023). SDG 11 has encouraged cities to adopt sustainable transport systems, expand green infrastructure, and improve waste management. </w:t>
      </w:r>
      <w:r w:rsidR="00EE2430" w:rsidRPr="006B08D4">
        <w:rPr>
          <w:rFonts w:ascii="Arial" w:hAnsi="Arial" w:cs="Arial"/>
          <w:sz w:val="22"/>
          <w:szCs w:val="22"/>
        </w:rPr>
        <w:t>Cities such as Copenhagen and Singapore show how coordinated urban planning can improve environmental quality and support healthier lifestyles. Copenhagen has built an extensive network of safe, connected cycling routes that make cycling quicker and more convenient than driving for many daily journeys. This reduces traffic congestion and lowers emissions. Singapore uses measures such as congestion charging and limits on private car ownership, alongside a highly efficient public transport system, to reduce vehicle use. Both cities also invest in green infrastructure, such as tree</w:t>
      </w:r>
      <w:r w:rsidR="00EE2430" w:rsidRPr="006B08D4">
        <w:rPr>
          <w:rFonts w:ascii="Arial" w:hAnsi="Arial" w:cs="Arial"/>
          <w:sz w:val="22"/>
          <w:szCs w:val="22"/>
        </w:rPr>
        <w:noBreakHyphen/>
        <w:t>lined streets and urban parks, which help absorb pollutants and make walking more pleasant. These examples illustrate how integrated planning can create cleaner, healthier and more active urban environments.</w:t>
      </w:r>
      <w:r w:rsidR="00EE2430" w:rsidRPr="006B08D4">
        <w:rPr>
          <w:rFonts w:ascii="Arial" w:hAnsi="Arial" w:cs="Arial"/>
          <w:sz w:val="22"/>
          <w:szCs w:val="22"/>
        </w:rPr>
        <w:t xml:space="preserve"> </w:t>
      </w:r>
      <w:r w:rsidRPr="006B08D4">
        <w:rPr>
          <w:rFonts w:ascii="Arial" w:hAnsi="Arial" w:cs="Arial"/>
          <w:sz w:val="22"/>
          <w:szCs w:val="22"/>
        </w:rPr>
        <w:t>(UN Habitat, 2022). However, rapid urbanisation in low</w:t>
      </w:r>
      <w:r w:rsidRPr="006B08D4">
        <w:rPr>
          <w:rFonts w:ascii="Arial" w:hAnsi="Arial" w:cs="Arial"/>
          <w:sz w:val="22"/>
          <w:szCs w:val="22"/>
        </w:rPr>
        <w:noBreakHyphen/>
        <w:t>income countries continues to strain infrastructure, leading to overcrowding, inadequate sanitation, and increased vulnerability to climate</w:t>
      </w:r>
      <w:r w:rsidRPr="006B08D4">
        <w:rPr>
          <w:rFonts w:ascii="Arial" w:hAnsi="Arial" w:cs="Arial"/>
          <w:sz w:val="22"/>
          <w:szCs w:val="22"/>
        </w:rPr>
        <w:noBreakHyphen/>
        <w:t>related disasters (World Bank, 2021).</w:t>
      </w:r>
    </w:p>
    <w:p w14:paraId="3BB54C2A" w14:textId="3AE88DC6" w:rsidR="001656BB" w:rsidRPr="006B08D4" w:rsidRDefault="001656BB" w:rsidP="004666C2">
      <w:pPr>
        <w:pStyle w:val="Heading2"/>
        <w:spacing w:line="360" w:lineRule="auto"/>
      </w:pPr>
      <w:bookmarkStart w:id="8" w:name="_Toc237003185"/>
      <w:r w:rsidRPr="006B08D4">
        <w:t>National Impact (United Kingdom)</w:t>
      </w:r>
      <w:bookmarkEnd w:id="8"/>
    </w:p>
    <w:p w14:paraId="3537CC7D" w14:textId="77777777" w:rsidR="001656BB" w:rsidRPr="006B08D4" w:rsidRDefault="001656BB" w:rsidP="004666C2">
      <w:pPr>
        <w:spacing w:line="360" w:lineRule="auto"/>
        <w:rPr>
          <w:rFonts w:ascii="Arial" w:hAnsi="Arial" w:cs="Arial"/>
          <w:sz w:val="22"/>
          <w:szCs w:val="22"/>
        </w:rPr>
      </w:pPr>
      <w:r w:rsidRPr="006B08D4">
        <w:rPr>
          <w:rFonts w:ascii="Arial" w:hAnsi="Arial" w:cs="Arial"/>
          <w:sz w:val="22"/>
          <w:szCs w:val="22"/>
        </w:rPr>
        <w:t xml:space="preserve">In the UK, SDG 11 aligns with national policies such as the Clean Air Strategy (2019), the Net Zero Strategy (2021), the Zero Emission Vehicle Mandate (2024), and the planned ban on new petrol and diesel cars by 2035. The Levelling Up agenda (2022) aims to reduce regional inequalities by improving housing, transport, and local infrastructure. The National </w:t>
      </w:r>
      <w:r w:rsidRPr="006B08D4">
        <w:rPr>
          <w:rFonts w:ascii="Arial" w:hAnsi="Arial" w:cs="Arial"/>
          <w:sz w:val="22"/>
          <w:szCs w:val="22"/>
        </w:rPr>
        <w:lastRenderedPageBreak/>
        <w:t>Planning Policy Framework promotes sustainable transport and green spaces, while the Healthy Streets Approach (TfL, 2021) and Active Travel England (ATE, 2023) encourage walking and cycling.</w:t>
      </w:r>
    </w:p>
    <w:p w14:paraId="38AC9A19" w14:textId="77777777" w:rsidR="001656BB" w:rsidRPr="006B08D4" w:rsidRDefault="001656BB" w:rsidP="004666C2">
      <w:pPr>
        <w:spacing w:line="360" w:lineRule="auto"/>
        <w:rPr>
          <w:rFonts w:ascii="Arial" w:hAnsi="Arial" w:cs="Arial"/>
          <w:sz w:val="22"/>
          <w:szCs w:val="22"/>
        </w:rPr>
      </w:pPr>
      <w:r w:rsidRPr="006B08D4">
        <w:rPr>
          <w:rFonts w:ascii="Arial" w:hAnsi="Arial" w:cs="Arial"/>
          <w:sz w:val="22"/>
          <w:szCs w:val="22"/>
        </w:rPr>
        <w:t>Air pollution remains a major public health challenge, contributing to respiratory and cardiovascular diseases (Royal College of Physicians, 2020). DEFRA reports improvements in nitrogen dioxide levels but persistent hotspots in major cities (DEFRA, 2023). Housing quality also remains a concern, with damp, overcrowding, and fuel poverty disproportionately affecting low</w:t>
      </w:r>
      <w:r w:rsidRPr="006B08D4">
        <w:rPr>
          <w:rFonts w:ascii="Arial" w:hAnsi="Arial" w:cs="Arial"/>
          <w:sz w:val="22"/>
          <w:szCs w:val="22"/>
        </w:rPr>
        <w:noBreakHyphen/>
        <w:t>income households (Shelter, 2022).</w:t>
      </w:r>
    </w:p>
    <w:p w14:paraId="50A07DE2" w14:textId="77777777" w:rsidR="001656BB" w:rsidRPr="006B08D4" w:rsidRDefault="001656BB" w:rsidP="004666C2">
      <w:pPr>
        <w:pStyle w:val="Heading2"/>
        <w:spacing w:line="360" w:lineRule="auto"/>
      </w:pPr>
      <w:bookmarkStart w:id="9" w:name="_Toc237003186"/>
      <w:r w:rsidRPr="006B08D4">
        <w:t>Local Impact (UK-wide)</w:t>
      </w:r>
      <w:bookmarkEnd w:id="9"/>
    </w:p>
    <w:p w14:paraId="380A27E9" w14:textId="77777777" w:rsidR="001656BB" w:rsidRPr="006B08D4" w:rsidRDefault="001656BB" w:rsidP="004666C2">
      <w:pPr>
        <w:spacing w:line="360" w:lineRule="auto"/>
        <w:rPr>
          <w:rFonts w:ascii="Arial" w:hAnsi="Arial" w:cs="Arial"/>
          <w:sz w:val="22"/>
          <w:szCs w:val="22"/>
        </w:rPr>
      </w:pPr>
      <w:r w:rsidRPr="006B08D4">
        <w:rPr>
          <w:rFonts w:ascii="Arial" w:hAnsi="Arial" w:cs="Arial"/>
          <w:sz w:val="22"/>
          <w:szCs w:val="22"/>
        </w:rPr>
        <w:t>Local authorities implement SDG 11 through planning decisions, transport strategies, and environmental health initiatives. The Ultra Low Emission Zone (ULEZ) in London has reduced nitrogen dioxide levels and improved respiratory health (Mayor of London, 2023). Clean Air Zones in Birmingham, Bristol, Bath, and Portsmouth have further reduced pollution (DEFRA, 2023). The adoption of 15</w:t>
      </w:r>
      <w:r w:rsidRPr="006B08D4">
        <w:rPr>
          <w:rFonts w:ascii="Arial" w:hAnsi="Arial" w:cs="Arial"/>
          <w:sz w:val="22"/>
          <w:szCs w:val="22"/>
        </w:rPr>
        <w:noBreakHyphen/>
        <w:t>minute city and 20</w:t>
      </w:r>
      <w:r w:rsidRPr="006B08D4">
        <w:rPr>
          <w:rFonts w:ascii="Arial" w:hAnsi="Arial" w:cs="Arial"/>
          <w:sz w:val="22"/>
          <w:szCs w:val="22"/>
        </w:rPr>
        <w:noBreakHyphen/>
        <w:t xml:space="preserve">minute neighbourhood models in Oxford, Bristol, and Edinburgh </w:t>
      </w:r>
      <w:proofErr w:type="gramStart"/>
      <w:r w:rsidRPr="006B08D4">
        <w:rPr>
          <w:rFonts w:ascii="Arial" w:hAnsi="Arial" w:cs="Arial"/>
          <w:sz w:val="22"/>
          <w:szCs w:val="22"/>
        </w:rPr>
        <w:t>has</w:t>
      </w:r>
      <w:proofErr w:type="gramEnd"/>
      <w:r w:rsidRPr="006B08D4">
        <w:rPr>
          <w:rFonts w:ascii="Arial" w:hAnsi="Arial" w:cs="Arial"/>
          <w:sz w:val="22"/>
          <w:szCs w:val="22"/>
        </w:rPr>
        <w:t xml:space="preserve"> improved access to essential services and encouraged active travel (RTPI, 2021). Local authorities have also invested in cycling infrastructure, pedestrianisation, school streets, and green infrastructure projects such as urban tree</w:t>
      </w:r>
      <w:r w:rsidRPr="006B08D4">
        <w:rPr>
          <w:rFonts w:ascii="Arial" w:hAnsi="Arial" w:cs="Arial"/>
          <w:sz w:val="22"/>
          <w:szCs w:val="22"/>
        </w:rPr>
        <w:noBreakHyphen/>
        <w:t>planting and pocket parks (Natural England, 2022). Housing quality enforcement under the Social Housing Regulation Act (2023) has strengthened accountability for landlords and improved living conditions.</w:t>
      </w:r>
    </w:p>
    <w:p w14:paraId="78A9E331" w14:textId="77777777" w:rsidR="001656BB" w:rsidRPr="006B08D4" w:rsidRDefault="001656BB" w:rsidP="004666C2">
      <w:pPr>
        <w:spacing w:line="360" w:lineRule="auto"/>
        <w:rPr>
          <w:rFonts w:ascii="Arial" w:hAnsi="Arial" w:cs="Arial"/>
          <w:sz w:val="22"/>
          <w:szCs w:val="22"/>
        </w:rPr>
      </w:pPr>
      <w:r w:rsidRPr="006B08D4">
        <w:rPr>
          <w:rFonts w:ascii="Arial" w:hAnsi="Arial" w:cs="Arial"/>
          <w:sz w:val="22"/>
          <w:szCs w:val="22"/>
        </w:rPr>
        <w:t>Despite these achievements, implementation varies significantly between regions due to funding differences, political priorities, and population needs.</w:t>
      </w:r>
    </w:p>
    <w:p w14:paraId="287DCEEE" w14:textId="77777777" w:rsidR="001656BB" w:rsidRPr="006B08D4" w:rsidRDefault="001656BB" w:rsidP="004666C2">
      <w:pPr>
        <w:pStyle w:val="Heading2"/>
        <w:spacing w:line="360" w:lineRule="auto"/>
      </w:pPr>
      <w:bookmarkStart w:id="10" w:name="_Toc237003187"/>
      <w:r w:rsidRPr="006B08D4">
        <w:t>Critical Perspective</w:t>
      </w:r>
      <w:bookmarkEnd w:id="10"/>
    </w:p>
    <w:p w14:paraId="626D686C" w14:textId="17504FE5" w:rsidR="004725CD" w:rsidRPr="006B08D4" w:rsidRDefault="004725CD" w:rsidP="004666C2">
      <w:pPr>
        <w:spacing w:line="360" w:lineRule="auto"/>
        <w:rPr>
          <w:rFonts w:ascii="Arial" w:hAnsi="Arial" w:cs="Arial"/>
          <w:sz w:val="22"/>
          <w:szCs w:val="22"/>
        </w:rPr>
      </w:pPr>
      <w:r w:rsidRPr="006B08D4">
        <w:rPr>
          <w:rFonts w:ascii="Arial" w:hAnsi="Arial" w:cs="Arial"/>
          <w:sz w:val="22"/>
          <w:szCs w:val="22"/>
        </w:rPr>
        <w:t>SDG 11 highlights the interconnectedness of environmental sustainability and health, emphasising that the design and functioning of urban environments directly influence wellbeing. The Ecological Public Health model argues that health systems must integrate environmental, social and economic dimensions, recognising that health is shaped by the wider conditions in which people live (Rayner &amp; Lang, 2012). SDG 11 supports this approach by addressing structural determinants such as pollution, housing and transport.</w:t>
      </w:r>
      <w:r w:rsidRPr="006B08D4">
        <w:rPr>
          <w:rFonts w:ascii="Arial" w:hAnsi="Arial" w:cs="Arial"/>
          <w:sz w:val="22"/>
          <w:szCs w:val="22"/>
        </w:rPr>
        <w:t xml:space="preserve"> </w:t>
      </w:r>
      <w:r w:rsidRPr="006B08D4">
        <w:rPr>
          <w:rFonts w:ascii="Arial" w:hAnsi="Arial" w:cs="Arial"/>
          <w:sz w:val="22"/>
          <w:szCs w:val="22"/>
        </w:rPr>
        <w:t>For example, poorly planned urban areas with limited green spaces can intensify the urban heat</w:t>
      </w:r>
      <w:r w:rsidRPr="006B08D4">
        <w:rPr>
          <w:rFonts w:ascii="Arial" w:hAnsi="Arial" w:cs="Arial"/>
          <w:sz w:val="22"/>
          <w:szCs w:val="22"/>
        </w:rPr>
        <w:noBreakHyphen/>
        <w:t>island effect, causing temperatures to rise significantly during heatwaves. This increases the risk of heat</w:t>
      </w:r>
      <w:r w:rsidRPr="006B08D4">
        <w:rPr>
          <w:rFonts w:ascii="Arial" w:hAnsi="Arial" w:cs="Arial"/>
          <w:sz w:val="22"/>
          <w:szCs w:val="22"/>
        </w:rPr>
        <w:noBreakHyphen/>
        <w:t xml:space="preserve">related illness, particularly for older adults, young children and people with chronic conditions. In neighbourhoods where streets are poorly lit or lack safe pedestrian </w:t>
      </w:r>
      <w:r w:rsidRPr="006B08D4">
        <w:rPr>
          <w:rFonts w:ascii="Arial" w:hAnsi="Arial" w:cs="Arial"/>
          <w:sz w:val="22"/>
          <w:szCs w:val="22"/>
        </w:rPr>
        <w:lastRenderedPageBreak/>
        <w:t>infrastructure, residents may feel unsafe walking after dark, which reduces physical activity levels and limits social interaction. Over time, this can contribute to social isolation and poorer mental wellbeing. In addition, unreliable waste management systems can lead to the accumulation of rubbish, attracting vermin and insects. These conditions can create feelings of neglect, reduce community pride, and heighten anxiety about hygiene and safety. Such environmental stressors demonstrate how weaknesses in urban planning can undermine both physical and mental health, reinforcing the importance of SDG 11 in creating safe, resilient and healthy urban environments.</w:t>
      </w:r>
    </w:p>
    <w:p w14:paraId="0AEE2783" w14:textId="232BD66E" w:rsidR="001656BB" w:rsidRPr="006B08D4" w:rsidRDefault="001656BB" w:rsidP="004666C2">
      <w:pPr>
        <w:pStyle w:val="Heading1"/>
        <w:spacing w:line="360" w:lineRule="auto"/>
      </w:pPr>
      <w:bookmarkStart w:id="11" w:name="_Toc237003188"/>
      <w:r w:rsidRPr="006B08D4">
        <w:t>National Wellbeing Initiatives</w:t>
      </w:r>
      <w:bookmarkEnd w:id="11"/>
    </w:p>
    <w:p w14:paraId="290D653B" w14:textId="77777777" w:rsidR="0073372B" w:rsidRPr="006B08D4" w:rsidRDefault="0073372B" w:rsidP="004666C2">
      <w:pPr>
        <w:spacing w:line="360" w:lineRule="auto"/>
        <w:rPr>
          <w:rFonts w:ascii="Arial" w:hAnsi="Arial" w:cs="Arial"/>
          <w:sz w:val="22"/>
          <w:szCs w:val="22"/>
        </w:rPr>
      </w:pPr>
      <w:r w:rsidRPr="006B08D4">
        <w:rPr>
          <w:rFonts w:ascii="Arial" w:hAnsi="Arial" w:cs="Arial"/>
          <w:sz w:val="22"/>
          <w:szCs w:val="22"/>
        </w:rPr>
        <w:t>National wellbeing initiatives aim to improve population health by addressing structural, social and environmental determinants. The NHS Long Term Plan prioritises prevention, early intervention and reducing inequalities, with progress evident in expanded mental health provision and strengthened community</w:t>
      </w:r>
      <w:r w:rsidRPr="006B08D4">
        <w:rPr>
          <w:rFonts w:ascii="Arial" w:hAnsi="Arial" w:cs="Arial"/>
          <w:sz w:val="22"/>
          <w:szCs w:val="22"/>
        </w:rPr>
        <w:noBreakHyphen/>
        <w:t>based care. However, its overall impact is constrained by workforce shortages, rising service demand and regional variation in delivery. Public disengagement further limits effectiveness, as some individuals decline screening, vaccination or health education due to mistrust, misinformation or practical barriers such as transport or digital exclusion. Improving participation therefore requires stronger community engagement, enhanced accessibility and sustained investment in local health infrastructure (NHS England, 2019).</w:t>
      </w:r>
    </w:p>
    <w:p w14:paraId="01F14222" w14:textId="77777777" w:rsidR="0073372B" w:rsidRPr="006B08D4" w:rsidRDefault="0073372B" w:rsidP="004666C2">
      <w:pPr>
        <w:spacing w:line="360" w:lineRule="auto"/>
        <w:rPr>
          <w:rFonts w:ascii="Arial" w:hAnsi="Arial" w:cs="Arial"/>
          <w:sz w:val="22"/>
          <w:szCs w:val="22"/>
        </w:rPr>
      </w:pPr>
      <w:r w:rsidRPr="006B08D4">
        <w:rPr>
          <w:rFonts w:ascii="Arial" w:hAnsi="Arial" w:cs="Arial"/>
          <w:sz w:val="22"/>
          <w:szCs w:val="22"/>
        </w:rPr>
        <w:t>Active Travel England promotes walking and cycling to reduce emissions and improve population health. Initiatives such as safer cycling routes, school travel programmes and low</w:t>
      </w:r>
      <w:r w:rsidRPr="006B08D4">
        <w:rPr>
          <w:rFonts w:ascii="Arial" w:hAnsi="Arial" w:cs="Arial"/>
          <w:sz w:val="22"/>
          <w:szCs w:val="22"/>
        </w:rPr>
        <w:noBreakHyphen/>
        <w:t>traffic neighbourhoods have increased active travel in some regions. Yet national progress remains uneven, restricted by inconsistent funding, political fragmentation and public resistance to changes in road layouts or reduced car use. To strengthen impact, long</w:t>
      </w:r>
      <w:r w:rsidRPr="006B08D4">
        <w:rPr>
          <w:rFonts w:ascii="Arial" w:hAnsi="Arial" w:cs="Arial"/>
          <w:sz w:val="22"/>
          <w:szCs w:val="22"/>
        </w:rPr>
        <w:noBreakHyphen/>
        <w:t>term investment, consistent national standards and deeper community involvement are needed to support behaviour change and ensure equitable delivery across communities (Department for Transport, 2022).</w:t>
      </w:r>
    </w:p>
    <w:p w14:paraId="1F82C096" w14:textId="77777777" w:rsidR="0073372B" w:rsidRPr="006B08D4" w:rsidRDefault="0073372B" w:rsidP="004666C2">
      <w:pPr>
        <w:spacing w:line="360" w:lineRule="auto"/>
        <w:rPr>
          <w:rFonts w:ascii="Arial" w:hAnsi="Arial" w:cs="Arial"/>
          <w:sz w:val="22"/>
          <w:szCs w:val="22"/>
        </w:rPr>
      </w:pPr>
      <w:r w:rsidRPr="006B08D4">
        <w:rPr>
          <w:rFonts w:ascii="Arial" w:hAnsi="Arial" w:cs="Arial"/>
          <w:sz w:val="22"/>
          <w:szCs w:val="22"/>
        </w:rPr>
        <w:t xml:space="preserve">Overall, both national initiatives demonstrate meaningful progress but continue to face structural, behavioural and political barriers. </w:t>
      </w:r>
      <w:proofErr w:type="gramStart"/>
      <w:r w:rsidRPr="006B08D4">
        <w:rPr>
          <w:rFonts w:ascii="Arial" w:hAnsi="Arial" w:cs="Arial"/>
          <w:sz w:val="22"/>
          <w:szCs w:val="22"/>
        </w:rPr>
        <w:t>Greater cross</w:t>
      </w:r>
      <w:r w:rsidRPr="006B08D4">
        <w:rPr>
          <w:rFonts w:ascii="Arial" w:hAnsi="Arial" w:cs="Arial"/>
          <w:sz w:val="22"/>
          <w:szCs w:val="22"/>
        </w:rPr>
        <w:noBreakHyphen/>
        <w:t>sector collaboration,</w:t>
      </w:r>
      <w:proofErr w:type="gramEnd"/>
      <w:r w:rsidRPr="006B08D4">
        <w:rPr>
          <w:rFonts w:ascii="Arial" w:hAnsi="Arial" w:cs="Arial"/>
          <w:sz w:val="22"/>
          <w:szCs w:val="22"/>
        </w:rPr>
        <w:t xml:space="preserve"> improved public trust and sustained investment are essential to maximise their long</w:t>
      </w:r>
      <w:r w:rsidRPr="006B08D4">
        <w:rPr>
          <w:rFonts w:ascii="Arial" w:hAnsi="Arial" w:cs="Arial"/>
          <w:sz w:val="22"/>
          <w:szCs w:val="22"/>
        </w:rPr>
        <w:noBreakHyphen/>
        <w:t>term contribution to national wellbeing and sustainable development (Marmot et al., 2020).</w:t>
      </w:r>
    </w:p>
    <w:p w14:paraId="1463F3C1" w14:textId="53958192" w:rsidR="0073372B" w:rsidRPr="006B08D4" w:rsidRDefault="0073372B" w:rsidP="004666C2">
      <w:pPr>
        <w:pStyle w:val="Heading2"/>
        <w:spacing w:line="360" w:lineRule="auto"/>
      </w:pPr>
      <w:bookmarkStart w:id="12" w:name="_Toc237003189"/>
      <w:r w:rsidRPr="006B08D4">
        <w:lastRenderedPageBreak/>
        <w:t>Recommendations</w:t>
      </w:r>
      <w:r w:rsidRPr="006B08D4">
        <w:t>:</w:t>
      </w:r>
      <w:bookmarkEnd w:id="12"/>
    </w:p>
    <w:p w14:paraId="4147B24A" w14:textId="77777777" w:rsidR="0073372B" w:rsidRPr="006B08D4" w:rsidRDefault="0073372B" w:rsidP="004666C2">
      <w:pPr>
        <w:numPr>
          <w:ilvl w:val="0"/>
          <w:numId w:val="1"/>
        </w:numPr>
        <w:spacing w:line="360" w:lineRule="auto"/>
        <w:rPr>
          <w:rFonts w:ascii="Arial" w:hAnsi="Arial" w:cs="Arial"/>
          <w:sz w:val="22"/>
          <w:szCs w:val="22"/>
        </w:rPr>
      </w:pPr>
      <w:r w:rsidRPr="006B08D4">
        <w:rPr>
          <w:rFonts w:ascii="Arial" w:hAnsi="Arial" w:cs="Arial"/>
          <w:sz w:val="22"/>
          <w:szCs w:val="22"/>
        </w:rPr>
        <w:t>Introduce a Digital Inclusion Support Scheme providing free basic smartphones, subsidised data, and face</w:t>
      </w:r>
      <w:r w:rsidRPr="006B08D4">
        <w:rPr>
          <w:rFonts w:ascii="Arial" w:hAnsi="Arial" w:cs="Arial"/>
          <w:sz w:val="22"/>
          <w:szCs w:val="22"/>
        </w:rPr>
        <w:noBreakHyphen/>
        <w:t>to</w:t>
      </w:r>
      <w:r w:rsidRPr="006B08D4">
        <w:rPr>
          <w:rFonts w:ascii="Arial" w:hAnsi="Arial" w:cs="Arial"/>
          <w:sz w:val="22"/>
          <w:szCs w:val="22"/>
        </w:rPr>
        <w:noBreakHyphen/>
        <w:t>face digital training for people who cannot access the NHS App or online health services.</w:t>
      </w:r>
    </w:p>
    <w:p w14:paraId="768F89A3" w14:textId="77777777" w:rsidR="0073372B" w:rsidRPr="006B08D4" w:rsidRDefault="0073372B" w:rsidP="004666C2">
      <w:pPr>
        <w:numPr>
          <w:ilvl w:val="0"/>
          <w:numId w:val="1"/>
        </w:numPr>
        <w:spacing w:line="360" w:lineRule="auto"/>
        <w:rPr>
          <w:rFonts w:ascii="Arial" w:hAnsi="Arial" w:cs="Arial"/>
          <w:sz w:val="22"/>
          <w:szCs w:val="22"/>
        </w:rPr>
      </w:pPr>
      <w:r w:rsidRPr="006B08D4">
        <w:rPr>
          <w:rFonts w:ascii="Arial" w:hAnsi="Arial" w:cs="Arial"/>
          <w:sz w:val="22"/>
          <w:szCs w:val="22"/>
        </w:rPr>
        <w:t>Create Community</w:t>
      </w:r>
      <w:r w:rsidRPr="006B08D4">
        <w:rPr>
          <w:rFonts w:ascii="Arial" w:hAnsi="Arial" w:cs="Arial"/>
          <w:sz w:val="22"/>
          <w:szCs w:val="22"/>
        </w:rPr>
        <w:noBreakHyphen/>
        <w:t>Based Consent Support, where trained wellbeing workers visit homes to explain screening and vaccination in simple, reassuring ways to individuals who routinely refuse or feel anxious.</w:t>
      </w:r>
    </w:p>
    <w:p w14:paraId="7BA01A5D" w14:textId="77777777" w:rsidR="0073372B" w:rsidRPr="006B08D4" w:rsidRDefault="0073372B" w:rsidP="004666C2">
      <w:pPr>
        <w:numPr>
          <w:ilvl w:val="0"/>
          <w:numId w:val="1"/>
        </w:numPr>
        <w:spacing w:line="360" w:lineRule="auto"/>
        <w:rPr>
          <w:rFonts w:ascii="Arial" w:hAnsi="Arial" w:cs="Arial"/>
          <w:sz w:val="22"/>
          <w:szCs w:val="22"/>
        </w:rPr>
      </w:pPr>
      <w:r w:rsidRPr="006B08D4">
        <w:rPr>
          <w:rFonts w:ascii="Arial" w:hAnsi="Arial" w:cs="Arial"/>
          <w:sz w:val="22"/>
          <w:szCs w:val="22"/>
        </w:rPr>
        <w:t>Provide Free Transport Vouchers for preventive appointments so people with low income, mobility issues or poor transport links can attend screening and vaccination easily.</w:t>
      </w:r>
    </w:p>
    <w:p w14:paraId="48204E35" w14:textId="77777777" w:rsidR="0073372B" w:rsidRPr="006B08D4" w:rsidRDefault="0073372B" w:rsidP="004666C2">
      <w:pPr>
        <w:numPr>
          <w:ilvl w:val="0"/>
          <w:numId w:val="1"/>
        </w:numPr>
        <w:spacing w:line="360" w:lineRule="auto"/>
        <w:rPr>
          <w:rFonts w:ascii="Arial" w:hAnsi="Arial" w:cs="Arial"/>
          <w:sz w:val="22"/>
          <w:szCs w:val="22"/>
        </w:rPr>
      </w:pPr>
      <w:r w:rsidRPr="006B08D4">
        <w:rPr>
          <w:rFonts w:ascii="Arial" w:hAnsi="Arial" w:cs="Arial"/>
          <w:sz w:val="22"/>
          <w:szCs w:val="22"/>
        </w:rPr>
        <w:t>Develop a No</w:t>
      </w:r>
      <w:r w:rsidRPr="006B08D4">
        <w:rPr>
          <w:rFonts w:ascii="Arial" w:hAnsi="Arial" w:cs="Arial"/>
          <w:sz w:val="22"/>
          <w:szCs w:val="22"/>
        </w:rPr>
        <w:noBreakHyphen/>
        <w:t>Pressure Screening Pathway offering home</w:t>
      </w:r>
      <w:r w:rsidRPr="006B08D4">
        <w:rPr>
          <w:rFonts w:ascii="Arial" w:hAnsi="Arial" w:cs="Arial"/>
          <w:sz w:val="22"/>
          <w:szCs w:val="22"/>
        </w:rPr>
        <w:noBreakHyphen/>
        <w:t>based kits, longer appointments, trauma</w:t>
      </w:r>
      <w:r w:rsidRPr="006B08D4">
        <w:rPr>
          <w:rFonts w:ascii="Arial" w:hAnsi="Arial" w:cs="Arial"/>
          <w:sz w:val="22"/>
          <w:szCs w:val="22"/>
        </w:rPr>
        <w:noBreakHyphen/>
        <w:t>informed staff and non</w:t>
      </w:r>
      <w:r w:rsidRPr="006B08D4">
        <w:rPr>
          <w:rFonts w:ascii="Arial" w:hAnsi="Arial" w:cs="Arial"/>
          <w:sz w:val="22"/>
          <w:szCs w:val="22"/>
        </w:rPr>
        <w:noBreakHyphen/>
        <w:t>clinical settings for people who repeatedly decline screening.</w:t>
      </w:r>
    </w:p>
    <w:p w14:paraId="33C1F241" w14:textId="6DE18BC6" w:rsidR="0073372B" w:rsidRPr="006B08D4" w:rsidRDefault="0073372B" w:rsidP="004666C2">
      <w:pPr>
        <w:pStyle w:val="ListParagraph"/>
        <w:numPr>
          <w:ilvl w:val="0"/>
          <w:numId w:val="3"/>
        </w:numPr>
        <w:tabs>
          <w:tab w:val="num" w:pos="720"/>
        </w:tabs>
        <w:spacing w:line="360" w:lineRule="auto"/>
        <w:rPr>
          <w:rFonts w:ascii="Arial" w:hAnsi="Arial" w:cs="Arial"/>
          <w:sz w:val="22"/>
          <w:szCs w:val="22"/>
        </w:rPr>
      </w:pPr>
      <w:r w:rsidRPr="006B08D4">
        <w:rPr>
          <w:rFonts w:ascii="Arial" w:hAnsi="Arial" w:cs="Arial"/>
          <w:sz w:val="22"/>
          <w:szCs w:val="22"/>
        </w:rPr>
        <w:t>Offer Free Basic Bicycles to low</w:t>
      </w:r>
      <w:r w:rsidRPr="006B08D4">
        <w:rPr>
          <w:rFonts w:ascii="Arial" w:hAnsi="Arial" w:cs="Arial"/>
          <w:sz w:val="22"/>
          <w:szCs w:val="22"/>
        </w:rPr>
        <w:noBreakHyphen/>
        <w:t>income households to remove financial barriers to active travel.</w:t>
      </w:r>
    </w:p>
    <w:p w14:paraId="1F6E504C" w14:textId="77777777" w:rsidR="0073372B" w:rsidRPr="006B08D4" w:rsidRDefault="0073372B" w:rsidP="004666C2">
      <w:pPr>
        <w:numPr>
          <w:ilvl w:val="0"/>
          <w:numId w:val="2"/>
        </w:numPr>
        <w:spacing w:line="360" w:lineRule="auto"/>
        <w:rPr>
          <w:rFonts w:ascii="Arial" w:hAnsi="Arial" w:cs="Arial"/>
          <w:sz w:val="22"/>
          <w:szCs w:val="22"/>
        </w:rPr>
      </w:pPr>
      <w:r w:rsidRPr="006B08D4">
        <w:rPr>
          <w:rFonts w:ascii="Arial" w:hAnsi="Arial" w:cs="Arial"/>
          <w:sz w:val="22"/>
          <w:szCs w:val="22"/>
        </w:rPr>
        <w:t>Provide Non</w:t>
      </w:r>
      <w:r w:rsidRPr="006B08D4">
        <w:rPr>
          <w:rFonts w:ascii="Arial" w:hAnsi="Arial" w:cs="Arial"/>
          <w:sz w:val="22"/>
          <w:szCs w:val="22"/>
        </w:rPr>
        <w:noBreakHyphen/>
        <w:t>Digital Route Planning Tools such as printed maps, audio guides and community</w:t>
      </w:r>
      <w:r w:rsidRPr="006B08D4">
        <w:rPr>
          <w:rFonts w:ascii="Arial" w:hAnsi="Arial" w:cs="Arial"/>
          <w:sz w:val="22"/>
          <w:szCs w:val="22"/>
        </w:rPr>
        <w:noBreakHyphen/>
        <w:t>led route demonstrations for people without internet access or digital devices.</w:t>
      </w:r>
    </w:p>
    <w:p w14:paraId="1B5A52F4" w14:textId="77777777" w:rsidR="0073372B" w:rsidRPr="006B08D4" w:rsidRDefault="0073372B" w:rsidP="004666C2">
      <w:pPr>
        <w:spacing w:line="360" w:lineRule="auto"/>
        <w:rPr>
          <w:rFonts w:ascii="Arial" w:hAnsi="Arial" w:cs="Arial"/>
          <w:sz w:val="22"/>
          <w:szCs w:val="22"/>
        </w:rPr>
      </w:pPr>
    </w:p>
    <w:p w14:paraId="52EF94B1" w14:textId="12DD844D" w:rsidR="001656BB" w:rsidRPr="006B08D4" w:rsidRDefault="001656BB" w:rsidP="004666C2">
      <w:pPr>
        <w:pStyle w:val="Heading2"/>
        <w:spacing w:line="360" w:lineRule="auto"/>
      </w:pPr>
      <w:bookmarkStart w:id="13" w:name="_Toc237003190"/>
      <w:r w:rsidRPr="006B08D4">
        <w:t>Local Wellbeing Initiatives</w:t>
      </w:r>
      <w:bookmarkEnd w:id="13"/>
    </w:p>
    <w:p w14:paraId="25D964CB" w14:textId="77777777" w:rsidR="00306344" w:rsidRPr="006B08D4" w:rsidRDefault="00306344" w:rsidP="004666C2">
      <w:pPr>
        <w:spacing w:line="360" w:lineRule="auto"/>
        <w:rPr>
          <w:rFonts w:ascii="Arial" w:hAnsi="Arial" w:cs="Arial"/>
          <w:sz w:val="22"/>
          <w:szCs w:val="22"/>
        </w:rPr>
      </w:pPr>
      <w:r w:rsidRPr="006B08D4">
        <w:rPr>
          <w:rFonts w:ascii="Arial" w:hAnsi="Arial" w:cs="Arial"/>
          <w:sz w:val="22"/>
          <w:szCs w:val="22"/>
        </w:rPr>
        <w:t>Local wellbeing initiatives play a crucial role in addressing community</w:t>
      </w:r>
      <w:r w:rsidRPr="006B08D4">
        <w:rPr>
          <w:rFonts w:ascii="Arial" w:hAnsi="Arial" w:cs="Arial"/>
          <w:sz w:val="22"/>
          <w:szCs w:val="22"/>
        </w:rPr>
        <w:noBreakHyphen/>
        <w:t>level health, social and sustainability needs. The community cooking and nutrition programme improves food security, confidence and social connection by teaching residents how to prepare affordable, healthy meals. Evidence shows these programmes strengthen wellbeing, but their impact is limited by transport barriers, mobility issues and stigma associated with attending group classes (Sustain, 2024; Local Government Association, 2023).</w:t>
      </w:r>
    </w:p>
    <w:p w14:paraId="1FFC8AE7" w14:textId="332E1E20" w:rsidR="00306344" w:rsidRPr="006B08D4" w:rsidRDefault="00306344" w:rsidP="004666C2">
      <w:pPr>
        <w:spacing w:line="360" w:lineRule="auto"/>
        <w:rPr>
          <w:rFonts w:ascii="Arial" w:hAnsi="Arial" w:cs="Arial"/>
          <w:sz w:val="22"/>
          <w:szCs w:val="22"/>
        </w:rPr>
      </w:pPr>
      <w:r w:rsidRPr="006B08D4">
        <w:rPr>
          <w:rFonts w:ascii="Arial" w:hAnsi="Arial" w:cs="Arial"/>
          <w:sz w:val="22"/>
          <w:szCs w:val="22"/>
        </w:rPr>
        <w:t xml:space="preserve">The Men’s </w:t>
      </w:r>
      <w:r w:rsidRPr="006B08D4">
        <w:rPr>
          <w:rFonts w:ascii="Arial" w:hAnsi="Arial" w:cs="Arial"/>
          <w:sz w:val="22"/>
          <w:szCs w:val="22"/>
        </w:rPr>
        <w:t>Shed/community</w:t>
      </w:r>
      <w:r w:rsidRPr="006B08D4">
        <w:rPr>
          <w:rFonts w:ascii="Arial" w:hAnsi="Arial" w:cs="Arial"/>
          <w:sz w:val="22"/>
          <w:szCs w:val="22"/>
        </w:rPr>
        <w:t xml:space="preserve"> repair workshop initiative supports mental wellbeing, reduces loneliness and promotes sustainable living through practical activities such as woodworking and repairing household items. These spaces are particularly effective for older men, yet participation can be restricted by low awareness, transport difficulties and perceptions that the initiative is not inclusive. Reliance on volunteers and donations also threatens long</w:t>
      </w:r>
      <w:r w:rsidRPr="006B08D4">
        <w:rPr>
          <w:rFonts w:ascii="Arial" w:hAnsi="Arial" w:cs="Arial"/>
          <w:sz w:val="22"/>
          <w:szCs w:val="22"/>
        </w:rPr>
        <w:noBreakHyphen/>
        <w:t>term sustainability (Circular Communities Scotland, 2023; Public Health England, 2021).</w:t>
      </w:r>
    </w:p>
    <w:p w14:paraId="36697A83" w14:textId="3D3DBE64" w:rsidR="00306344" w:rsidRPr="006B08D4" w:rsidRDefault="00306344" w:rsidP="004666C2">
      <w:pPr>
        <w:pStyle w:val="Heading2"/>
        <w:spacing w:line="360" w:lineRule="auto"/>
      </w:pPr>
      <w:bookmarkStart w:id="14" w:name="_Toc237003191"/>
      <w:r w:rsidRPr="006B08D4">
        <w:lastRenderedPageBreak/>
        <w:t>Recommendations</w:t>
      </w:r>
      <w:bookmarkEnd w:id="14"/>
      <w:r w:rsidRPr="006B08D4">
        <w:t xml:space="preserve"> </w:t>
      </w:r>
    </w:p>
    <w:p w14:paraId="770883C2" w14:textId="77777777" w:rsidR="004666C2" w:rsidRPr="004666C2" w:rsidRDefault="00306344" w:rsidP="004666C2">
      <w:pPr>
        <w:pStyle w:val="ListParagraph"/>
        <w:numPr>
          <w:ilvl w:val="0"/>
          <w:numId w:val="3"/>
        </w:numPr>
        <w:spacing w:line="360" w:lineRule="auto"/>
        <w:rPr>
          <w:rFonts w:ascii="Arial" w:hAnsi="Arial" w:cs="Arial"/>
          <w:sz w:val="22"/>
          <w:szCs w:val="22"/>
        </w:rPr>
      </w:pPr>
      <w:r w:rsidRPr="004666C2">
        <w:rPr>
          <w:rFonts w:ascii="Arial" w:hAnsi="Arial" w:cs="Arial"/>
          <w:sz w:val="22"/>
          <w:szCs w:val="22"/>
        </w:rPr>
        <w:t>To improve local wellbeing outcomes, councils should provide home</w:t>
      </w:r>
      <w:r w:rsidRPr="004666C2">
        <w:rPr>
          <w:rFonts w:ascii="Arial" w:hAnsi="Arial" w:cs="Arial"/>
          <w:sz w:val="22"/>
          <w:szCs w:val="22"/>
        </w:rPr>
        <w:noBreakHyphen/>
        <w:t>delivered starter kits for cooking and repair activities, enabling participation for residents who cannot attend in</w:t>
      </w:r>
      <w:r w:rsidRPr="004666C2">
        <w:rPr>
          <w:rFonts w:ascii="Arial" w:hAnsi="Arial" w:cs="Arial"/>
          <w:sz w:val="22"/>
          <w:szCs w:val="22"/>
        </w:rPr>
        <w:noBreakHyphen/>
        <w:t xml:space="preserve">person sessions (Local Government Association, 2023). </w:t>
      </w:r>
    </w:p>
    <w:p w14:paraId="078DCF15" w14:textId="38217815" w:rsidR="00306344" w:rsidRPr="004666C2" w:rsidRDefault="00306344" w:rsidP="004666C2">
      <w:pPr>
        <w:pStyle w:val="ListParagraph"/>
        <w:numPr>
          <w:ilvl w:val="0"/>
          <w:numId w:val="3"/>
        </w:numPr>
        <w:spacing w:line="360" w:lineRule="auto"/>
        <w:rPr>
          <w:rFonts w:ascii="Arial" w:hAnsi="Arial" w:cs="Arial"/>
          <w:sz w:val="22"/>
          <w:szCs w:val="22"/>
        </w:rPr>
      </w:pPr>
      <w:r w:rsidRPr="004666C2">
        <w:rPr>
          <w:rFonts w:ascii="Arial" w:hAnsi="Arial" w:cs="Arial"/>
          <w:sz w:val="22"/>
          <w:szCs w:val="22"/>
        </w:rPr>
        <w:t>Confidence</w:t>
      </w:r>
      <w:r w:rsidRPr="004666C2">
        <w:rPr>
          <w:rFonts w:ascii="Arial" w:hAnsi="Arial" w:cs="Arial"/>
          <w:sz w:val="22"/>
          <w:szCs w:val="22"/>
        </w:rPr>
        <w:noBreakHyphen/>
        <w:t>building taster sessions should be introduced to support anxious or socially isolated individuals who need gradual engagement (Public Health England, 2021).</w:t>
      </w:r>
    </w:p>
    <w:p w14:paraId="1625D821" w14:textId="77777777" w:rsidR="004666C2" w:rsidRDefault="00306344" w:rsidP="004666C2">
      <w:pPr>
        <w:pStyle w:val="ListParagraph"/>
        <w:numPr>
          <w:ilvl w:val="0"/>
          <w:numId w:val="3"/>
        </w:numPr>
        <w:spacing w:line="360" w:lineRule="auto"/>
        <w:rPr>
          <w:rFonts w:ascii="Arial" w:hAnsi="Arial" w:cs="Arial"/>
          <w:sz w:val="22"/>
          <w:szCs w:val="22"/>
        </w:rPr>
      </w:pPr>
      <w:r w:rsidRPr="004666C2">
        <w:rPr>
          <w:rFonts w:ascii="Arial" w:hAnsi="Arial" w:cs="Arial"/>
          <w:sz w:val="22"/>
          <w:szCs w:val="22"/>
        </w:rPr>
        <w:t xml:space="preserve">Local outreach teams should promote initiatives directly within underserved neighbourhoods to reach residents who do not respond to digital communication (Sustain, 2024). </w:t>
      </w:r>
    </w:p>
    <w:p w14:paraId="664E03C9" w14:textId="59E08A48" w:rsidR="00306344" w:rsidRPr="004666C2" w:rsidRDefault="00306344" w:rsidP="004666C2">
      <w:pPr>
        <w:pStyle w:val="ListParagraph"/>
        <w:numPr>
          <w:ilvl w:val="0"/>
          <w:numId w:val="3"/>
        </w:numPr>
        <w:spacing w:line="360" w:lineRule="auto"/>
        <w:rPr>
          <w:rFonts w:ascii="Arial" w:hAnsi="Arial" w:cs="Arial"/>
          <w:sz w:val="22"/>
          <w:szCs w:val="22"/>
        </w:rPr>
      </w:pPr>
      <w:r w:rsidRPr="004666C2">
        <w:rPr>
          <w:rFonts w:ascii="Arial" w:hAnsi="Arial" w:cs="Arial"/>
          <w:sz w:val="22"/>
          <w:szCs w:val="22"/>
        </w:rPr>
        <w:t>Transport barriers can be reduced through free bus passes, community transport or mobile pop</w:t>
      </w:r>
      <w:r w:rsidRPr="004666C2">
        <w:rPr>
          <w:rFonts w:ascii="Arial" w:hAnsi="Arial" w:cs="Arial"/>
          <w:sz w:val="22"/>
          <w:szCs w:val="22"/>
        </w:rPr>
        <w:noBreakHyphen/>
        <w:t>up workshops that bring activities into local estates (Local Government Association, 2023).</w:t>
      </w:r>
    </w:p>
    <w:p w14:paraId="39A22D22" w14:textId="77777777" w:rsidR="004666C2" w:rsidRDefault="00306344" w:rsidP="004666C2">
      <w:pPr>
        <w:pStyle w:val="ListParagraph"/>
        <w:numPr>
          <w:ilvl w:val="0"/>
          <w:numId w:val="3"/>
        </w:numPr>
        <w:spacing w:line="360" w:lineRule="auto"/>
        <w:rPr>
          <w:rFonts w:ascii="Arial" w:hAnsi="Arial" w:cs="Arial"/>
          <w:sz w:val="22"/>
          <w:szCs w:val="22"/>
        </w:rPr>
      </w:pPr>
      <w:r w:rsidRPr="004666C2">
        <w:rPr>
          <w:rFonts w:ascii="Arial" w:hAnsi="Arial" w:cs="Arial"/>
          <w:sz w:val="22"/>
          <w:szCs w:val="22"/>
        </w:rPr>
        <w:t>Men’s Sheds should be expanded into inclusive community skill spaces</w:t>
      </w:r>
      <w:r w:rsidR="004666C2" w:rsidRPr="004666C2">
        <w:rPr>
          <w:rFonts w:ascii="Arial" w:hAnsi="Arial" w:cs="Arial"/>
          <w:sz w:val="22"/>
          <w:szCs w:val="22"/>
        </w:rPr>
        <w:t xml:space="preserve"> that offer mixed-gender sessions and family repair days to broaden</w:t>
      </w:r>
      <w:r w:rsidRPr="004666C2">
        <w:rPr>
          <w:rFonts w:ascii="Arial" w:hAnsi="Arial" w:cs="Arial"/>
          <w:sz w:val="22"/>
          <w:szCs w:val="22"/>
        </w:rPr>
        <w:t xml:space="preserve"> participation (Circular Communities Scotland, 2023). </w:t>
      </w:r>
    </w:p>
    <w:p w14:paraId="59F427D6" w14:textId="27D736B3" w:rsidR="00306344" w:rsidRPr="004666C2" w:rsidRDefault="004666C2" w:rsidP="004666C2">
      <w:pPr>
        <w:pStyle w:val="ListParagraph"/>
        <w:numPr>
          <w:ilvl w:val="0"/>
          <w:numId w:val="3"/>
        </w:numPr>
        <w:spacing w:line="360" w:lineRule="auto"/>
        <w:rPr>
          <w:rFonts w:ascii="Arial" w:hAnsi="Arial" w:cs="Arial"/>
          <w:sz w:val="22"/>
          <w:szCs w:val="22"/>
        </w:rPr>
      </w:pPr>
      <w:r>
        <w:rPr>
          <w:rFonts w:ascii="Arial" w:hAnsi="Arial" w:cs="Arial"/>
          <w:sz w:val="22"/>
          <w:szCs w:val="22"/>
        </w:rPr>
        <w:t>C</w:t>
      </w:r>
      <w:r w:rsidR="00306344" w:rsidRPr="004666C2">
        <w:rPr>
          <w:rFonts w:ascii="Arial" w:hAnsi="Arial" w:cs="Arial"/>
          <w:sz w:val="22"/>
          <w:szCs w:val="22"/>
        </w:rPr>
        <w:t>ouncils should secure multi</w:t>
      </w:r>
      <w:r w:rsidR="00306344" w:rsidRPr="004666C2">
        <w:rPr>
          <w:rFonts w:ascii="Arial" w:hAnsi="Arial" w:cs="Arial"/>
          <w:sz w:val="22"/>
          <w:szCs w:val="22"/>
        </w:rPr>
        <w:noBreakHyphen/>
        <w:t>year funding through cross</w:t>
      </w:r>
      <w:r w:rsidR="00306344" w:rsidRPr="004666C2">
        <w:rPr>
          <w:rFonts w:ascii="Arial" w:hAnsi="Arial" w:cs="Arial"/>
          <w:sz w:val="22"/>
          <w:szCs w:val="22"/>
        </w:rPr>
        <w:noBreakHyphen/>
        <w:t>sector partnerships to ensure stability and long</w:t>
      </w:r>
      <w:r w:rsidR="00306344" w:rsidRPr="004666C2">
        <w:rPr>
          <w:rFonts w:ascii="Arial" w:hAnsi="Arial" w:cs="Arial"/>
          <w:sz w:val="22"/>
          <w:szCs w:val="22"/>
        </w:rPr>
        <w:noBreakHyphen/>
        <w:t>term impact across all local wellbeing initiatives (Sustain, 2024).</w:t>
      </w:r>
    </w:p>
    <w:p w14:paraId="37536652" w14:textId="77777777" w:rsidR="001656BB" w:rsidRPr="006B08D4" w:rsidRDefault="001656BB" w:rsidP="004666C2">
      <w:pPr>
        <w:pStyle w:val="Heading1"/>
        <w:spacing w:line="360" w:lineRule="auto"/>
      </w:pPr>
      <w:bookmarkStart w:id="15" w:name="_Toc237003192"/>
      <w:r w:rsidRPr="006B08D4">
        <w:t>Conclusion</w:t>
      </w:r>
      <w:bookmarkEnd w:id="15"/>
    </w:p>
    <w:p w14:paraId="15892E56" w14:textId="10169265" w:rsidR="001656BB" w:rsidRPr="006B08D4" w:rsidRDefault="001656BB" w:rsidP="004666C2">
      <w:pPr>
        <w:spacing w:line="360" w:lineRule="auto"/>
        <w:rPr>
          <w:rFonts w:ascii="Arial" w:hAnsi="Arial" w:cs="Arial"/>
          <w:sz w:val="22"/>
          <w:szCs w:val="22"/>
        </w:rPr>
      </w:pPr>
      <w:r w:rsidRPr="006B08D4">
        <w:rPr>
          <w:rFonts w:ascii="Arial" w:hAnsi="Arial" w:cs="Arial"/>
          <w:sz w:val="22"/>
          <w:szCs w:val="22"/>
        </w:rPr>
        <w:t xml:space="preserve">Health, wellbeing, and sustainability are deeply interconnected, requiring coordinated action across global, national, and local levels. SDG 3 and SDG 11 demonstrate how </w:t>
      </w:r>
      <w:r w:rsidR="004666C2">
        <w:rPr>
          <w:rFonts w:ascii="Arial" w:hAnsi="Arial" w:cs="Arial"/>
          <w:sz w:val="22"/>
          <w:szCs w:val="22"/>
        </w:rPr>
        <w:t>social, environmental, and structural determinants shape health outcomes</w:t>
      </w:r>
      <w:r w:rsidRPr="006B08D4">
        <w:rPr>
          <w:rFonts w:ascii="Arial" w:hAnsi="Arial" w:cs="Arial"/>
          <w:sz w:val="22"/>
          <w:szCs w:val="22"/>
        </w:rPr>
        <w:t>. While UK national and local initiatives have made progress, persistent inequalities, funding constraints, and implementation gaps limit their effectiveness. Strengthening cross</w:t>
      </w:r>
      <w:r w:rsidRPr="006B08D4">
        <w:rPr>
          <w:rFonts w:ascii="Arial" w:hAnsi="Arial" w:cs="Arial"/>
          <w:sz w:val="22"/>
          <w:szCs w:val="22"/>
        </w:rPr>
        <w:noBreakHyphen/>
        <w:t>sector collaboration, investing in prevention, and addressing environmental determinants are essential for improving population wellbeing. Evidence</w:t>
      </w:r>
      <w:r w:rsidRPr="006B08D4">
        <w:rPr>
          <w:rFonts w:ascii="Arial" w:hAnsi="Arial" w:cs="Arial"/>
          <w:sz w:val="22"/>
          <w:szCs w:val="22"/>
        </w:rPr>
        <w:noBreakHyphen/>
        <w:t>based recommendations can support more equitable, sustainable, and resilient health systems.</w:t>
      </w:r>
    </w:p>
    <w:p w14:paraId="081879FC" w14:textId="77777777" w:rsidR="001656BB" w:rsidRPr="006B08D4" w:rsidRDefault="001656BB">
      <w:pPr>
        <w:rPr>
          <w:rFonts w:ascii="Arial" w:hAnsi="Arial" w:cs="Arial"/>
          <w:sz w:val="22"/>
          <w:szCs w:val="22"/>
        </w:rPr>
      </w:pPr>
    </w:p>
    <w:p w14:paraId="0B7E9E92" w14:textId="77777777" w:rsidR="001656BB" w:rsidRPr="006B08D4" w:rsidRDefault="001656BB">
      <w:pPr>
        <w:rPr>
          <w:rFonts w:ascii="Arial" w:hAnsi="Arial" w:cs="Arial"/>
          <w:sz w:val="22"/>
          <w:szCs w:val="22"/>
        </w:rPr>
      </w:pPr>
    </w:p>
    <w:p w14:paraId="13EFD1F6" w14:textId="77777777" w:rsidR="001656BB" w:rsidRPr="006B08D4" w:rsidRDefault="001656BB" w:rsidP="004666C2">
      <w:pPr>
        <w:pStyle w:val="Heading1"/>
      </w:pPr>
      <w:bookmarkStart w:id="16" w:name="_Toc237003193"/>
      <w:r w:rsidRPr="006B08D4">
        <w:lastRenderedPageBreak/>
        <w:t>Reference List</w:t>
      </w:r>
      <w:bookmarkEnd w:id="16"/>
    </w:p>
    <w:p w14:paraId="6F67BFD3" w14:textId="07684A20" w:rsidR="0010211C" w:rsidRPr="006B08D4" w:rsidRDefault="0010211C" w:rsidP="0010211C">
      <w:pPr>
        <w:rPr>
          <w:rFonts w:ascii="Arial" w:hAnsi="Arial" w:cs="Arial"/>
          <w:sz w:val="22"/>
          <w:szCs w:val="22"/>
        </w:rPr>
      </w:pPr>
      <w:r w:rsidRPr="006B08D4">
        <w:rPr>
          <w:rFonts w:ascii="Arial" w:hAnsi="Arial" w:cs="Arial"/>
          <w:sz w:val="22"/>
          <w:szCs w:val="22"/>
        </w:rPr>
        <w:t xml:space="preserve">Active Travel England (2023) </w:t>
      </w:r>
      <w:r w:rsidRPr="006B08D4">
        <w:rPr>
          <w:rFonts w:ascii="Arial" w:hAnsi="Arial" w:cs="Arial"/>
          <w:i/>
          <w:iCs/>
          <w:sz w:val="22"/>
          <w:szCs w:val="22"/>
        </w:rPr>
        <w:t>National active travel guidance</w:t>
      </w:r>
      <w:r w:rsidRPr="006B08D4">
        <w:rPr>
          <w:rFonts w:ascii="Arial" w:hAnsi="Arial" w:cs="Arial"/>
          <w:sz w:val="22"/>
          <w:szCs w:val="22"/>
        </w:rPr>
        <w:t xml:space="preserve">. Available at: </w:t>
      </w:r>
      <w:hyperlink r:id="rId9" w:history="1">
        <w:r w:rsidRPr="006B08D4">
          <w:rPr>
            <w:rStyle w:val="Hyperlink"/>
            <w:rFonts w:ascii="Arial" w:hAnsi="Arial" w:cs="Arial"/>
            <w:sz w:val="22"/>
            <w:szCs w:val="22"/>
          </w:rPr>
          <w:t>https://www.activetravelengland.gov.uk</w:t>
        </w:r>
      </w:hyperlink>
      <w:r w:rsidRPr="006B08D4">
        <w:rPr>
          <w:rFonts w:ascii="Arial" w:hAnsi="Arial" w:cs="Arial"/>
          <w:sz w:val="22"/>
          <w:szCs w:val="22"/>
        </w:rPr>
        <w:t xml:space="preserve"> </w:t>
      </w:r>
      <w:r w:rsidRPr="006B08D4">
        <w:rPr>
          <w:rFonts w:ascii="Arial" w:hAnsi="Arial" w:cs="Arial"/>
          <w:sz w:val="22"/>
          <w:szCs w:val="22"/>
        </w:rPr>
        <w:t>(Accessed: 29 July 2026).</w:t>
      </w:r>
    </w:p>
    <w:p w14:paraId="7A36E41B" w14:textId="77777777" w:rsidR="0010211C" w:rsidRPr="006B08D4" w:rsidRDefault="0010211C" w:rsidP="0010211C">
      <w:pPr>
        <w:rPr>
          <w:rFonts w:ascii="Arial" w:hAnsi="Arial" w:cs="Arial"/>
          <w:sz w:val="22"/>
          <w:szCs w:val="22"/>
        </w:rPr>
      </w:pPr>
      <w:r w:rsidRPr="006B08D4">
        <w:rPr>
          <w:rFonts w:ascii="Arial" w:hAnsi="Arial" w:cs="Arial"/>
          <w:sz w:val="22"/>
          <w:szCs w:val="22"/>
        </w:rPr>
        <w:t xml:space="preserve">Circular Communities Scotland (2023) </w:t>
      </w:r>
      <w:r w:rsidRPr="006B08D4">
        <w:rPr>
          <w:rFonts w:ascii="Arial" w:hAnsi="Arial" w:cs="Arial"/>
          <w:i/>
          <w:iCs/>
          <w:sz w:val="22"/>
          <w:szCs w:val="22"/>
        </w:rPr>
        <w:t>Men’s Sheds and repair initiatives</w:t>
      </w:r>
      <w:r w:rsidRPr="006B08D4">
        <w:rPr>
          <w:rFonts w:ascii="Arial" w:hAnsi="Arial" w:cs="Arial"/>
          <w:sz w:val="22"/>
          <w:szCs w:val="22"/>
        </w:rPr>
        <w:t xml:space="preserve">. Available at: </w:t>
      </w:r>
      <w:hyperlink r:id="rId10" w:history="1">
        <w:r w:rsidRPr="006B08D4">
          <w:rPr>
            <w:rStyle w:val="Hyperlink"/>
            <w:rFonts w:ascii="Arial" w:hAnsi="Arial" w:cs="Arial"/>
            <w:sz w:val="22"/>
            <w:szCs w:val="22"/>
          </w:rPr>
          <w:t>https://www.circularcommunities.scot</w:t>
        </w:r>
      </w:hyperlink>
      <w:r w:rsidRPr="006B08D4">
        <w:rPr>
          <w:rFonts w:ascii="Arial" w:hAnsi="Arial" w:cs="Arial"/>
          <w:sz w:val="22"/>
          <w:szCs w:val="22"/>
        </w:rPr>
        <w:t xml:space="preserve"> (Accessed: 29 July 2026).</w:t>
      </w:r>
    </w:p>
    <w:p w14:paraId="26D9D3B9" w14:textId="5EF5A2DB" w:rsidR="0010211C" w:rsidRPr="006B08D4" w:rsidRDefault="0010211C" w:rsidP="0010211C">
      <w:pPr>
        <w:rPr>
          <w:rFonts w:ascii="Arial" w:hAnsi="Arial" w:cs="Arial"/>
          <w:sz w:val="22"/>
          <w:szCs w:val="22"/>
        </w:rPr>
      </w:pPr>
      <w:r w:rsidRPr="006B08D4">
        <w:rPr>
          <w:rFonts w:ascii="Arial" w:hAnsi="Arial" w:cs="Arial"/>
          <w:sz w:val="22"/>
          <w:szCs w:val="22"/>
        </w:rPr>
        <w:t xml:space="preserve">Clean Air Strategy (2019) </w:t>
      </w:r>
      <w:r w:rsidRPr="006B08D4">
        <w:rPr>
          <w:rFonts w:ascii="Arial" w:hAnsi="Arial" w:cs="Arial"/>
          <w:i/>
          <w:iCs/>
          <w:sz w:val="22"/>
          <w:szCs w:val="22"/>
        </w:rPr>
        <w:t>Clean Air Strategy 2019</w:t>
      </w:r>
      <w:r w:rsidRPr="006B08D4">
        <w:rPr>
          <w:rFonts w:ascii="Arial" w:hAnsi="Arial" w:cs="Arial"/>
          <w:sz w:val="22"/>
          <w:szCs w:val="22"/>
        </w:rPr>
        <w:t xml:space="preserve">. Department for Environment, Food &amp; Rural Affairs. Available at: </w:t>
      </w:r>
      <w:hyperlink r:id="rId11" w:history="1">
        <w:r w:rsidRPr="006B08D4">
          <w:rPr>
            <w:rStyle w:val="Hyperlink"/>
            <w:rFonts w:ascii="Arial" w:hAnsi="Arial" w:cs="Arial"/>
            <w:sz w:val="22"/>
            <w:szCs w:val="22"/>
          </w:rPr>
          <w:t>https://www.gov.uk/government/publications/clean-air-strategy-2019</w:t>
        </w:r>
      </w:hyperlink>
      <w:r w:rsidRPr="006B08D4">
        <w:rPr>
          <w:rFonts w:ascii="Arial" w:hAnsi="Arial" w:cs="Arial"/>
          <w:sz w:val="22"/>
          <w:szCs w:val="22"/>
        </w:rPr>
        <w:t xml:space="preserve"> </w:t>
      </w:r>
      <w:r w:rsidRPr="006B08D4">
        <w:rPr>
          <w:rFonts w:ascii="Arial" w:hAnsi="Arial" w:cs="Arial"/>
          <w:sz w:val="22"/>
          <w:szCs w:val="22"/>
        </w:rPr>
        <w:t>(Accessed: 29 July 2026).</w:t>
      </w:r>
    </w:p>
    <w:p w14:paraId="148BD6E3" w14:textId="2E8B89DD" w:rsidR="0010211C" w:rsidRPr="006B08D4" w:rsidRDefault="0010211C" w:rsidP="0010211C">
      <w:pPr>
        <w:rPr>
          <w:rFonts w:ascii="Arial" w:hAnsi="Arial" w:cs="Arial"/>
          <w:sz w:val="22"/>
          <w:szCs w:val="22"/>
        </w:rPr>
      </w:pPr>
      <w:r w:rsidRPr="006B08D4">
        <w:rPr>
          <w:rFonts w:ascii="Arial" w:hAnsi="Arial" w:cs="Arial"/>
          <w:sz w:val="22"/>
          <w:szCs w:val="22"/>
        </w:rPr>
        <w:t xml:space="preserve">DEFRA (2023) </w:t>
      </w:r>
      <w:r w:rsidRPr="006B08D4">
        <w:rPr>
          <w:rFonts w:ascii="Arial" w:hAnsi="Arial" w:cs="Arial"/>
          <w:i/>
          <w:iCs/>
          <w:sz w:val="22"/>
          <w:szCs w:val="22"/>
        </w:rPr>
        <w:t>Air quality and emissions statistics</w:t>
      </w:r>
      <w:r w:rsidRPr="006B08D4">
        <w:rPr>
          <w:rFonts w:ascii="Arial" w:hAnsi="Arial" w:cs="Arial"/>
          <w:sz w:val="22"/>
          <w:szCs w:val="22"/>
        </w:rPr>
        <w:t xml:space="preserve">. Available at: </w:t>
      </w:r>
      <w:hyperlink r:id="rId12" w:history="1">
        <w:r w:rsidRPr="006B08D4">
          <w:rPr>
            <w:rStyle w:val="Hyperlink"/>
            <w:rFonts w:ascii="Arial" w:hAnsi="Arial" w:cs="Arial"/>
            <w:sz w:val="22"/>
            <w:szCs w:val="22"/>
          </w:rPr>
          <w:t>https://www.gov.uk/government/collections/air-quality-and-emissions-statistics</w:t>
        </w:r>
      </w:hyperlink>
    </w:p>
    <w:p w14:paraId="0D9C3A0D" w14:textId="387FA93A" w:rsidR="0010211C" w:rsidRPr="006B08D4" w:rsidRDefault="0010211C" w:rsidP="0010211C">
      <w:pPr>
        <w:rPr>
          <w:rFonts w:ascii="Arial" w:hAnsi="Arial" w:cs="Arial"/>
          <w:sz w:val="22"/>
          <w:szCs w:val="22"/>
        </w:rPr>
      </w:pPr>
      <w:r w:rsidRPr="006B08D4">
        <w:rPr>
          <w:rFonts w:ascii="Arial" w:hAnsi="Arial" w:cs="Arial"/>
          <w:sz w:val="22"/>
          <w:szCs w:val="22"/>
        </w:rPr>
        <w:t>(Accessed: 29 July 2026).</w:t>
      </w:r>
    </w:p>
    <w:p w14:paraId="3D6BB008" w14:textId="13BD82B4" w:rsidR="0010211C" w:rsidRPr="006B08D4" w:rsidRDefault="0010211C" w:rsidP="0010211C">
      <w:pPr>
        <w:rPr>
          <w:rFonts w:ascii="Arial" w:hAnsi="Arial" w:cs="Arial"/>
          <w:sz w:val="22"/>
          <w:szCs w:val="22"/>
        </w:rPr>
      </w:pPr>
      <w:r w:rsidRPr="006B08D4">
        <w:rPr>
          <w:rFonts w:ascii="Arial" w:hAnsi="Arial" w:cs="Arial"/>
          <w:sz w:val="22"/>
          <w:szCs w:val="22"/>
        </w:rPr>
        <w:t xml:space="preserve">Department for Transport (2022) </w:t>
      </w:r>
      <w:r w:rsidRPr="006B08D4">
        <w:rPr>
          <w:rFonts w:ascii="Arial" w:hAnsi="Arial" w:cs="Arial"/>
          <w:i/>
          <w:iCs/>
          <w:sz w:val="22"/>
          <w:szCs w:val="22"/>
        </w:rPr>
        <w:t>Active Travel Policy</w:t>
      </w:r>
      <w:r w:rsidRPr="006B08D4">
        <w:rPr>
          <w:rFonts w:ascii="Arial" w:hAnsi="Arial" w:cs="Arial"/>
          <w:sz w:val="22"/>
          <w:szCs w:val="22"/>
        </w:rPr>
        <w:t xml:space="preserve">. Available at: </w:t>
      </w:r>
      <w:hyperlink r:id="rId13" w:history="1">
        <w:r w:rsidRPr="006B08D4">
          <w:rPr>
            <w:rStyle w:val="Hyperlink"/>
            <w:rFonts w:ascii="Arial" w:hAnsi="Arial" w:cs="Arial"/>
            <w:sz w:val="22"/>
            <w:szCs w:val="22"/>
          </w:rPr>
          <w:t>https://www.gov.uk/government/organisations/department-for-transport</w:t>
        </w:r>
      </w:hyperlink>
      <w:r w:rsidRPr="006B08D4">
        <w:rPr>
          <w:rFonts w:ascii="Arial" w:hAnsi="Arial" w:cs="Arial"/>
          <w:sz w:val="22"/>
          <w:szCs w:val="22"/>
        </w:rPr>
        <w:t xml:space="preserve"> </w:t>
      </w:r>
      <w:r w:rsidRPr="006B08D4">
        <w:rPr>
          <w:rFonts w:ascii="Arial" w:hAnsi="Arial" w:cs="Arial"/>
          <w:sz w:val="22"/>
          <w:szCs w:val="22"/>
        </w:rPr>
        <w:t>(Accessed: 29 July 2026).</w:t>
      </w:r>
    </w:p>
    <w:p w14:paraId="555D2613" w14:textId="59EE0A46" w:rsidR="0010211C" w:rsidRPr="006B08D4" w:rsidRDefault="0010211C" w:rsidP="0010211C">
      <w:pPr>
        <w:rPr>
          <w:rFonts w:ascii="Arial" w:hAnsi="Arial" w:cs="Arial"/>
          <w:sz w:val="22"/>
          <w:szCs w:val="22"/>
        </w:rPr>
      </w:pPr>
      <w:r w:rsidRPr="006B08D4">
        <w:rPr>
          <w:rFonts w:ascii="Arial" w:hAnsi="Arial" w:cs="Arial"/>
          <w:sz w:val="22"/>
          <w:szCs w:val="22"/>
        </w:rPr>
        <w:t xml:space="preserve">DHSC (2023) </w:t>
      </w:r>
      <w:r w:rsidRPr="006B08D4">
        <w:rPr>
          <w:rFonts w:ascii="Arial" w:hAnsi="Arial" w:cs="Arial"/>
          <w:i/>
          <w:iCs/>
          <w:sz w:val="22"/>
          <w:szCs w:val="22"/>
        </w:rPr>
        <w:t>Mental health investment and policy updates</w:t>
      </w:r>
      <w:r w:rsidRPr="006B08D4">
        <w:rPr>
          <w:rFonts w:ascii="Arial" w:hAnsi="Arial" w:cs="Arial"/>
          <w:sz w:val="22"/>
          <w:szCs w:val="22"/>
        </w:rPr>
        <w:t xml:space="preserve">. Available at: </w:t>
      </w:r>
      <w:hyperlink r:id="rId14" w:history="1">
        <w:r w:rsidRPr="006B08D4">
          <w:rPr>
            <w:rStyle w:val="Hyperlink"/>
            <w:rFonts w:ascii="Arial" w:hAnsi="Arial" w:cs="Arial"/>
            <w:sz w:val="22"/>
            <w:szCs w:val="22"/>
          </w:rPr>
          <w:t>https://www.gov.uk/government/organisations/department-of-health-and-social-care</w:t>
        </w:r>
      </w:hyperlink>
    </w:p>
    <w:p w14:paraId="674CFC4B" w14:textId="4366AF3A" w:rsidR="0010211C" w:rsidRPr="006B08D4" w:rsidRDefault="0010211C" w:rsidP="0010211C">
      <w:pPr>
        <w:rPr>
          <w:rFonts w:ascii="Arial" w:hAnsi="Arial" w:cs="Arial"/>
          <w:sz w:val="22"/>
          <w:szCs w:val="22"/>
        </w:rPr>
      </w:pPr>
      <w:r w:rsidRPr="006B08D4">
        <w:rPr>
          <w:rFonts w:ascii="Arial" w:hAnsi="Arial" w:cs="Arial"/>
          <w:sz w:val="22"/>
          <w:szCs w:val="22"/>
        </w:rPr>
        <w:t>(Accessed: 29 July 2026).</w:t>
      </w:r>
    </w:p>
    <w:p w14:paraId="0F77BDD6" w14:textId="2700596E" w:rsidR="0010211C" w:rsidRPr="006B08D4" w:rsidRDefault="0010211C" w:rsidP="0010211C">
      <w:pPr>
        <w:rPr>
          <w:rFonts w:ascii="Arial" w:hAnsi="Arial" w:cs="Arial"/>
          <w:sz w:val="22"/>
          <w:szCs w:val="22"/>
        </w:rPr>
      </w:pPr>
      <w:r w:rsidRPr="006B08D4">
        <w:rPr>
          <w:rFonts w:ascii="Arial" w:hAnsi="Arial" w:cs="Arial"/>
          <w:sz w:val="22"/>
          <w:szCs w:val="22"/>
        </w:rPr>
        <w:t>Greenhalgh, T. et al. (2020) ‘Virtual consultations and telehealth during COVID</w:t>
      </w:r>
      <w:r w:rsidRPr="006B08D4">
        <w:rPr>
          <w:rFonts w:ascii="Arial" w:hAnsi="Arial" w:cs="Arial"/>
          <w:sz w:val="22"/>
          <w:szCs w:val="22"/>
        </w:rPr>
        <w:noBreakHyphen/>
        <w:t xml:space="preserve">19’, </w:t>
      </w:r>
      <w:r w:rsidRPr="006B08D4">
        <w:rPr>
          <w:rFonts w:ascii="Arial" w:hAnsi="Arial" w:cs="Arial"/>
          <w:i/>
          <w:iCs/>
          <w:sz w:val="22"/>
          <w:szCs w:val="22"/>
        </w:rPr>
        <w:t>BMJ</w:t>
      </w:r>
      <w:r w:rsidRPr="006B08D4">
        <w:rPr>
          <w:rFonts w:ascii="Arial" w:hAnsi="Arial" w:cs="Arial"/>
          <w:sz w:val="22"/>
          <w:szCs w:val="22"/>
        </w:rPr>
        <w:t xml:space="preserve">, 371:m3945. Available at: </w:t>
      </w:r>
      <w:hyperlink r:id="rId15" w:history="1">
        <w:r w:rsidRPr="006B08D4">
          <w:rPr>
            <w:rStyle w:val="Hyperlink"/>
            <w:rFonts w:ascii="Arial" w:hAnsi="Arial" w:cs="Arial"/>
            <w:sz w:val="22"/>
            <w:szCs w:val="22"/>
          </w:rPr>
          <w:t>https://www.bmj.com/content/371/bmj.m3945</w:t>
        </w:r>
      </w:hyperlink>
      <w:r w:rsidRPr="006B08D4">
        <w:rPr>
          <w:rFonts w:ascii="Arial" w:hAnsi="Arial" w:cs="Arial"/>
          <w:sz w:val="22"/>
          <w:szCs w:val="22"/>
        </w:rPr>
        <w:t xml:space="preserve"> </w:t>
      </w:r>
      <w:r w:rsidRPr="006B08D4">
        <w:rPr>
          <w:rFonts w:ascii="Arial" w:hAnsi="Arial" w:cs="Arial"/>
          <w:sz w:val="22"/>
          <w:szCs w:val="22"/>
        </w:rPr>
        <w:t>(Accessed: 29 July 2026).</w:t>
      </w:r>
    </w:p>
    <w:p w14:paraId="16C20BF2" w14:textId="527C0D51" w:rsidR="0010211C" w:rsidRPr="006B08D4" w:rsidRDefault="0010211C" w:rsidP="0010211C">
      <w:pPr>
        <w:rPr>
          <w:rFonts w:ascii="Arial" w:hAnsi="Arial" w:cs="Arial"/>
          <w:sz w:val="22"/>
          <w:szCs w:val="22"/>
        </w:rPr>
      </w:pPr>
      <w:r w:rsidRPr="006B08D4">
        <w:rPr>
          <w:rFonts w:ascii="Arial" w:hAnsi="Arial" w:cs="Arial"/>
          <w:sz w:val="22"/>
          <w:szCs w:val="22"/>
        </w:rPr>
        <w:t xml:space="preserve">Institute of Health Equity (2020) </w:t>
      </w:r>
      <w:r w:rsidRPr="006B08D4">
        <w:rPr>
          <w:rFonts w:ascii="Arial" w:hAnsi="Arial" w:cs="Arial"/>
          <w:i/>
          <w:iCs/>
          <w:sz w:val="22"/>
          <w:szCs w:val="22"/>
        </w:rPr>
        <w:t>The Marmot Review 10 Years On</w:t>
      </w:r>
      <w:r w:rsidRPr="006B08D4">
        <w:rPr>
          <w:rFonts w:ascii="Arial" w:hAnsi="Arial" w:cs="Arial"/>
          <w:sz w:val="22"/>
          <w:szCs w:val="22"/>
        </w:rPr>
        <w:t xml:space="preserve">. Available at: </w:t>
      </w:r>
      <w:hyperlink r:id="rId16" w:history="1">
        <w:r w:rsidRPr="006B08D4">
          <w:rPr>
            <w:rStyle w:val="Hyperlink"/>
            <w:rFonts w:ascii="Arial" w:hAnsi="Arial" w:cs="Arial"/>
            <w:sz w:val="22"/>
            <w:szCs w:val="22"/>
          </w:rPr>
          <w:t>https://www.instituteofhealthequity.org/resources-reports/marmot-review-10-years-on</w:t>
        </w:r>
      </w:hyperlink>
    </w:p>
    <w:p w14:paraId="7FBA867E" w14:textId="7E4ACDB1" w:rsidR="0010211C" w:rsidRPr="006B08D4" w:rsidRDefault="0010211C" w:rsidP="0010211C">
      <w:pPr>
        <w:rPr>
          <w:rFonts w:ascii="Arial" w:hAnsi="Arial" w:cs="Arial"/>
          <w:sz w:val="22"/>
          <w:szCs w:val="22"/>
        </w:rPr>
      </w:pPr>
      <w:r w:rsidRPr="006B08D4">
        <w:rPr>
          <w:rFonts w:ascii="Arial" w:hAnsi="Arial" w:cs="Arial"/>
          <w:sz w:val="22"/>
          <w:szCs w:val="22"/>
        </w:rPr>
        <w:t xml:space="preserve"> (Accessed: 29 July 2026).</w:t>
      </w:r>
    </w:p>
    <w:p w14:paraId="31C6821D" w14:textId="77777777" w:rsidR="0010211C" w:rsidRPr="006B08D4" w:rsidRDefault="0010211C" w:rsidP="0010211C">
      <w:pPr>
        <w:rPr>
          <w:rFonts w:ascii="Arial" w:hAnsi="Arial" w:cs="Arial"/>
          <w:sz w:val="22"/>
          <w:szCs w:val="22"/>
        </w:rPr>
      </w:pPr>
      <w:r w:rsidRPr="006B08D4">
        <w:rPr>
          <w:rFonts w:ascii="Arial" w:hAnsi="Arial" w:cs="Arial"/>
          <w:sz w:val="22"/>
          <w:szCs w:val="22"/>
        </w:rPr>
        <w:t xml:space="preserve">Local Government Association (2022) </w:t>
      </w:r>
      <w:r w:rsidRPr="006B08D4">
        <w:rPr>
          <w:rFonts w:ascii="Arial" w:hAnsi="Arial" w:cs="Arial"/>
          <w:i/>
          <w:iCs/>
          <w:sz w:val="22"/>
          <w:szCs w:val="22"/>
        </w:rPr>
        <w:t>Public health and prevention services</w:t>
      </w:r>
      <w:r w:rsidRPr="006B08D4">
        <w:rPr>
          <w:rFonts w:ascii="Arial" w:hAnsi="Arial" w:cs="Arial"/>
          <w:sz w:val="22"/>
          <w:szCs w:val="22"/>
        </w:rPr>
        <w:t xml:space="preserve">. Available at: </w:t>
      </w:r>
      <w:hyperlink r:id="rId17" w:history="1">
        <w:r w:rsidRPr="006B08D4">
          <w:rPr>
            <w:rStyle w:val="Hyperlink"/>
            <w:rFonts w:ascii="Arial" w:hAnsi="Arial" w:cs="Arial"/>
            <w:sz w:val="22"/>
            <w:szCs w:val="22"/>
          </w:rPr>
          <w:t>https://www.local.gov.uk</w:t>
        </w:r>
      </w:hyperlink>
      <w:r w:rsidRPr="006B08D4">
        <w:rPr>
          <w:rFonts w:ascii="Arial" w:hAnsi="Arial" w:cs="Arial"/>
          <w:sz w:val="22"/>
          <w:szCs w:val="22"/>
        </w:rPr>
        <w:t xml:space="preserve"> (Accessed: 29 July 2026).</w:t>
      </w:r>
    </w:p>
    <w:p w14:paraId="277A7392" w14:textId="77777777" w:rsidR="0010211C" w:rsidRPr="006B08D4" w:rsidRDefault="0010211C" w:rsidP="0010211C">
      <w:pPr>
        <w:rPr>
          <w:rFonts w:ascii="Arial" w:hAnsi="Arial" w:cs="Arial"/>
          <w:sz w:val="22"/>
          <w:szCs w:val="22"/>
        </w:rPr>
      </w:pPr>
      <w:r w:rsidRPr="006B08D4">
        <w:rPr>
          <w:rFonts w:ascii="Arial" w:hAnsi="Arial" w:cs="Arial"/>
          <w:sz w:val="22"/>
          <w:szCs w:val="22"/>
        </w:rPr>
        <w:t xml:space="preserve">Local Government Association (2023) </w:t>
      </w:r>
      <w:r w:rsidRPr="006B08D4">
        <w:rPr>
          <w:rFonts w:ascii="Arial" w:hAnsi="Arial" w:cs="Arial"/>
          <w:i/>
          <w:iCs/>
          <w:sz w:val="22"/>
          <w:szCs w:val="22"/>
        </w:rPr>
        <w:t>Community wellbeing programmes</w:t>
      </w:r>
      <w:r w:rsidRPr="006B08D4">
        <w:rPr>
          <w:rFonts w:ascii="Arial" w:hAnsi="Arial" w:cs="Arial"/>
          <w:sz w:val="22"/>
          <w:szCs w:val="22"/>
        </w:rPr>
        <w:t xml:space="preserve">. Available at: </w:t>
      </w:r>
      <w:hyperlink r:id="rId18" w:history="1">
        <w:r w:rsidRPr="006B08D4">
          <w:rPr>
            <w:rStyle w:val="Hyperlink"/>
            <w:rFonts w:ascii="Arial" w:hAnsi="Arial" w:cs="Arial"/>
            <w:sz w:val="22"/>
            <w:szCs w:val="22"/>
          </w:rPr>
          <w:t>https://www.local.gov.uk</w:t>
        </w:r>
      </w:hyperlink>
      <w:r w:rsidRPr="006B08D4">
        <w:rPr>
          <w:rFonts w:ascii="Arial" w:hAnsi="Arial" w:cs="Arial"/>
          <w:sz w:val="22"/>
          <w:szCs w:val="22"/>
        </w:rPr>
        <w:t xml:space="preserve"> (Accessed: 29 July 2026).</w:t>
      </w:r>
    </w:p>
    <w:p w14:paraId="1FB06422" w14:textId="77777777" w:rsidR="0010211C" w:rsidRPr="006B08D4" w:rsidRDefault="0010211C" w:rsidP="0010211C">
      <w:pPr>
        <w:rPr>
          <w:rFonts w:ascii="Arial" w:hAnsi="Arial" w:cs="Arial"/>
          <w:sz w:val="22"/>
          <w:szCs w:val="22"/>
        </w:rPr>
      </w:pPr>
      <w:r w:rsidRPr="006B08D4">
        <w:rPr>
          <w:rFonts w:ascii="Arial" w:hAnsi="Arial" w:cs="Arial"/>
          <w:sz w:val="22"/>
          <w:szCs w:val="22"/>
        </w:rPr>
        <w:t xml:space="preserve">Mayor of London (2023) </w:t>
      </w:r>
      <w:r w:rsidRPr="006B08D4">
        <w:rPr>
          <w:rFonts w:ascii="Arial" w:hAnsi="Arial" w:cs="Arial"/>
          <w:i/>
          <w:iCs/>
          <w:sz w:val="22"/>
          <w:szCs w:val="22"/>
        </w:rPr>
        <w:t>ULEZ impact assessment</w:t>
      </w:r>
      <w:r w:rsidRPr="006B08D4">
        <w:rPr>
          <w:rFonts w:ascii="Arial" w:hAnsi="Arial" w:cs="Arial"/>
          <w:sz w:val="22"/>
          <w:szCs w:val="22"/>
        </w:rPr>
        <w:t xml:space="preserve">. Available at: </w:t>
      </w:r>
      <w:hyperlink r:id="rId19" w:history="1">
        <w:r w:rsidRPr="006B08D4">
          <w:rPr>
            <w:rStyle w:val="Hyperlink"/>
            <w:rFonts w:ascii="Arial" w:hAnsi="Arial" w:cs="Arial"/>
            <w:sz w:val="22"/>
            <w:szCs w:val="22"/>
          </w:rPr>
          <w:t>https://www.london.gov.uk</w:t>
        </w:r>
      </w:hyperlink>
      <w:r w:rsidRPr="006B08D4">
        <w:rPr>
          <w:rFonts w:ascii="Arial" w:hAnsi="Arial" w:cs="Arial"/>
          <w:sz w:val="22"/>
          <w:szCs w:val="22"/>
        </w:rPr>
        <w:t xml:space="preserve"> (Accessed: 29 July 2026).</w:t>
      </w:r>
    </w:p>
    <w:p w14:paraId="4CFE39C1" w14:textId="3A3E0158" w:rsidR="0010211C" w:rsidRPr="006B08D4" w:rsidRDefault="0010211C" w:rsidP="0010211C">
      <w:pPr>
        <w:rPr>
          <w:rFonts w:ascii="Arial" w:hAnsi="Arial" w:cs="Arial"/>
          <w:sz w:val="22"/>
          <w:szCs w:val="22"/>
        </w:rPr>
      </w:pPr>
      <w:r w:rsidRPr="006B08D4">
        <w:rPr>
          <w:rFonts w:ascii="Arial" w:hAnsi="Arial" w:cs="Arial"/>
          <w:sz w:val="22"/>
          <w:szCs w:val="22"/>
        </w:rPr>
        <w:t xml:space="preserve">Mroz, G. et al. (2021) ‘Digital triage in primary care’, </w:t>
      </w:r>
      <w:r w:rsidRPr="006B08D4">
        <w:rPr>
          <w:rFonts w:ascii="Arial" w:hAnsi="Arial" w:cs="Arial"/>
          <w:i/>
          <w:iCs/>
          <w:sz w:val="22"/>
          <w:szCs w:val="22"/>
        </w:rPr>
        <w:t>British Journal of General Practice</w:t>
      </w:r>
      <w:r w:rsidRPr="006B08D4">
        <w:rPr>
          <w:rFonts w:ascii="Arial" w:hAnsi="Arial" w:cs="Arial"/>
          <w:sz w:val="22"/>
          <w:szCs w:val="22"/>
        </w:rPr>
        <w:t xml:space="preserve">, 71(703), pp. e320–e326. Available at: </w:t>
      </w:r>
      <w:hyperlink r:id="rId20" w:history="1">
        <w:r w:rsidRPr="006B08D4">
          <w:rPr>
            <w:rStyle w:val="Hyperlink"/>
            <w:rFonts w:ascii="Arial" w:hAnsi="Arial" w:cs="Arial"/>
            <w:sz w:val="22"/>
            <w:szCs w:val="22"/>
          </w:rPr>
          <w:t>https://bjgp.org/content/71/703/e320</w:t>
        </w:r>
      </w:hyperlink>
      <w:r w:rsidRPr="006B08D4">
        <w:rPr>
          <w:rFonts w:ascii="Arial" w:hAnsi="Arial" w:cs="Arial"/>
          <w:sz w:val="22"/>
          <w:szCs w:val="22"/>
        </w:rPr>
        <w:t xml:space="preserve"> </w:t>
      </w:r>
      <w:r w:rsidRPr="006B08D4">
        <w:rPr>
          <w:rFonts w:ascii="Arial" w:hAnsi="Arial" w:cs="Arial"/>
          <w:sz w:val="22"/>
          <w:szCs w:val="22"/>
        </w:rPr>
        <w:t>(Accessed: 29 July 2026).</w:t>
      </w:r>
    </w:p>
    <w:p w14:paraId="4FFA6CF1" w14:textId="2F34DBF6" w:rsidR="0010211C" w:rsidRPr="006B08D4" w:rsidRDefault="0010211C" w:rsidP="0010211C">
      <w:pPr>
        <w:rPr>
          <w:rFonts w:ascii="Arial" w:hAnsi="Arial" w:cs="Arial"/>
          <w:sz w:val="22"/>
          <w:szCs w:val="22"/>
        </w:rPr>
      </w:pPr>
      <w:r w:rsidRPr="006B08D4">
        <w:rPr>
          <w:rFonts w:ascii="Arial" w:hAnsi="Arial" w:cs="Arial"/>
          <w:sz w:val="22"/>
          <w:szCs w:val="22"/>
        </w:rPr>
        <w:t xml:space="preserve">Natural England (2022) </w:t>
      </w:r>
      <w:r w:rsidRPr="006B08D4">
        <w:rPr>
          <w:rFonts w:ascii="Arial" w:hAnsi="Arial" w:cs="Arial"/>
          <w:i/>
          <w:iCs/>
          <w:sz w:val="22"/>
          <w:szCs w:val="22"/>
        </w:rPr>
        <w:t>Green infrastructure and urban nature</w:t>
      </w:r>
      <w:r w:rsidRPr="006B08D4">
        <w:rPr>
          <w:rFonts w:ascii="Arial" w:hAnsi="Arial" w:cs="Arial"/>
          <w:sz w:val="22"/>
          <w:szCs w:val="22"/>
        </w:rPr>
        <w:t xml:space="preserve">. Available at: </w:t>
      </w:r>
      <w:hyperlink r:id="rId21" w:history="1">
        <w:r w:rsidR="006B08D4" w:rsidRPr="006B08D4">
          <w:rPr>
            <w:rStyle w:val="Hyperlink"/>
            <w:rFonts w:ascii="Arial" w:hAnsi="Arial" w:cs="Arial"/>
            <w:sz w:val="22"/>
            <w:szCs w:val="22"/>
          </w:rPr>
          <w:t>https://www.gov.uk/government/organisations/natural-england</w:t>
        </w:r>
      </w:hyperlink>
      <w:r w:rsidR="006B08D4" w:rsidRPr="006B08D4">
        <w:rPr>
          <w:rFonts w:ascii="Arial" w:hAnsi="Arial" w:cs="Arial"/>
          <w:sz w:val="22"/>
          <w:szCs w:val="22"/>
        </w:rPr>
        <w:t xml:space="preserve"> </w:t>
      </w:r>
      <w:r w:rsidRPr="006B08D4">
        <w:rPr>
          <w:rFonts w:ascii="Arial" w:hAnsi="Arial" w:cs="Arial"/>
          <w:sz w:val="22"/>
          <w:szCs w:val="22"/>
        </w:rPr>
        <w:t>(Accessed: 29 July 2026).</w:t>
      </w:r>
    </w:p>
    <w:p w14:paraId="55322C7F" w14:textId="77777777" w:rsidR="0010211C" w:rsidRPr="006B08D4" w:rsidRDefault="0010211C" w:rsidP="0010211C">
      <w:pPr>
        <w:rPr>
          <w:rFonts w:ascii="Arial" w:hAnsi="Arial" w:cs="Arial"/>
          <w:sz w:val="22"/>
          <w:szCs w:val="22"/>
        </w:rPr>
      </w:pPr>
      <w:r w:rsidRPr="006B08D4">
        <w:rPr>
          <w:rFonts w:ascii="Arial" w:hAnsi="Arial" w:cs="Arial"/>
          <w:sz w:val="22"/>
          <w:szCs w:val="22"/>
        </w:rPr>
        <w:t xml:space="preserve">NHS Digital (2022) </w:t>
      </w:r>
      <w:r w:rsidRPr="006B08D4">
        <w:rPr>
          <w:rFonts w:ascii="Arial" w:hAnsi="Arial" w:cs="Arial"/>
          <w:i/>
          <w:iCs/>
          <w:sz w:val="22"/>
          <w:szCs w:val="22"/>
        </w:rPr>
        <w:t>NHS App information</w:t>
      </w:r>
      <w:r w:rsidRPr="006B08D4">
        <w:rPr>
          <w:rFonts w:ascii="Arial" w:hAnsi="Arial" w:cs="Arial"/>
          <w:sz w:val="22"/>
          <w:szCs w:val="22"/>
        </w:rPr>
        <w:t xml:space="preserve">. Available at: </w:t>
      </w:r>
      <w:hyperlink r:id="rId22" w:history="1">
        <w:r w:rsidRPr="006B08D4">
          <w:rPr>
            <w:rStyle w:val="Hyperlink"/>
            <w:rFonts w:ascii="Arial" w:hAnsi="Arial" w:cs="Arial"/>
            <w:sz w:val="22"/>
            <w:szCs w:val="22"/>
          </w:rPr>
          <w:t>https://digital.nhs.uk/services/nhs-app</w:t>
        </w:r>
      </w:hyperlink>
      <w:r w:rsidRPr="006B08D4">
        <w:rPr>
          <w:rFonts w:ascii="Arial" w:hAnsi="Arial" w:cs="Arial"/>
          <w:sz w:val="22"/>
          <w:szCs w:val="22"/>
        </w:rPr>
        <w:t xml:space="preserve"> (Accessed: 29 July 2026).</w:t>
      </w:r>
    </w:p>
    <w:p w14:paraId="00E1E0E7" w14:textId="1DFA9341" w:rsidR="0010211C" w:rsidRPr="006B08D4" w:rsidRDefault="0010211C" w:rsidP="0010211C">
      <w:pPr>
        <w:rPr>
          <w:rFonts w:ascii="Arial" w:hAnsi="Arial" w:cs="Arial"/>
          <w:sz w:val="22"/>
          <w:szCs w:val="22"/>
        </w:rPr>
      </w:pPr>
      <w:r w:rsidRPr="006B08D4">
        <w:rPr>
          <w:rFonts w:ascii="Arial" w:hAnsi="Arial" w:cs="Arial"/>
          <w:sz w:val="22"/>
          <w:szCs w:val="22"/>
        </w:rPr>
        <w:lastRenderedPageBreak/>
        <w:t xml:space="preserve">NHS England (2019) </w:t>
      </w:r>
      <w:r w:rsidRPr="006B08D4">
        <w:rPr>
          <w:rFonts w:ascii="Arial" w:hAnsi="Arial" w:cs="Arial"/>
          <w:i/>
          <w:iCs/>
          <w:sz w:val="22"/>
          <w:szCs w:val="22"/>
        </w:rPr>
        <w:t>The NHS Long Term Plan</w:t>
      </w:r>
      <w:r w:rsidRPr="006B08D4">
        <w:rPr>
          <w:rFonts w:ascii="Arial" w:hAnsi="Arial" w:cs="Arial"/>
          <w:sz w:val="22"/>
          <w:szCs w:val="22"/>
        </w:rPr>
        <w:t xml:space="preserve">. Available at: </w:t>
      </w:r>
      <w:hyperlink r:id="rId23" w:history="1">
        <w:r w:rsidR="006B08D4" w:rsidRPr="006B08D4">
          <w:rPr>
            <w:rStyle w:val="Hyperlink"/>
            <w:rFonts w:ascii="Arial" w:hAnsi="Arial" w:cs="Arial"/>
            <w:sz w:val="22"/>
            <w:szCs w:val="22"/>
          </w:rPr>
          <w:t>https://www.longtermplan.nhs.uk</w:t>
        </w:r>
      </w:hyperlink>
      <w:r w:rsidR="006B08D4" w:rsidRPr="006B08D4">
        <w:rPr>
          <w:rFonts w:ascii="Arial" w:hAnsi="Arial" w:cs="Arial"/>
          <w:sz w:val="22"/>
          <w:szCs w:val="22"/>
        </w:rPr>
        <w:t xml:space="preserve"> </w:t>
      </w:r>
      <w:r w:rsidRPr="006B08D4">
        <w:rPr>
          <w:rFonts w:ascii="Arial" w:hAnsi="Arial" w:cs="Arial"/>
          <w:sz w:val="22"/>
          <w:szCs w:val="22"/>
        </w:rPr>
        <w:t>(Accessed: 29 July 2026).</w:t>
      </w:r>
    </w:p>
    <w:p w14:paraId="747DAC72" w14:textId="77777777" w:rsidR="0010211C" w:rsidRPr="006B08D4" w:rsidRDefault="0010211C" w:rsidP="0010211C">
      <w:pPr>
        <w:rPr>
          <w:rFonts w:ascii="Arial" w:hAnsi="Arial" w:cs="Arial"/>
          <w:sz w:val="22"/>
          <w:szCs w:val="22"/>
        </w:rPr>
      </w:pPr>
      <w:r w:rsidRPr="006B08D4">
        <w:rPr>
          <w:rFonts w:ascii="Arial" w:hAnsi="Arial" w:cs="Arial"/>
          <w:sz w:val="22"/>
          <w:szCs w:val="22"/>
        </w:rPr>
        <w:t xml:space="preserve">NHS England (2023) </w:t>
      </w:r>
      <w:r w:rsidRPr="006B08D4">
        <w:rPr>
          <w:rFonts w:ascii="Arial" w:hAnsi="Arial" w:cs="Arial"/>
          <w:i/>
          <w:iCs/>
          <w:sz w:val="22"/>
          <w:szCs w:val="22"/>
        </w:rPr>
        <w:t>NHS Cancer Screening Programmes</w:t>
      </w:r>
      <w:r w:rsidRPr="006B08D4">
        <w:rPr>
          <w:rFonts w:ascii="Arial" w:hAnsi="Arial" w:cs="Arial"/>
          <w:sz w:val="22"/>
          <w:szCs w:val="22"/>
        </w:rPr>
        <w:t xml:space="preserve">. Available at: </w:t>
      </w:r>
      <w:hyperlink r:id="rId24" w:history="1">
        <w:r w:rsidRPr="006B08D4">
          <w:rPr>
            <w:rStyle w:val="Hyperlink"/>
            <w:rFonts w:ascii="Arial" w:hAnsi="Arial" w:cs="Arial"/>
            <w:sz w:val="22"/>
            <w:szCs w:val="22"/>
          </w:rPr>
          <w:t>https://www.england.nhs.uk/screening</w:t>
        </w:r>
      </w:hyperlink>
      <w:r w:rsidRPr="006B08D4">
        <w:rPr>
          <w:rFonts w:ascii="Arial" w:hAnsi="Arial" w:cs="Arial"/>
          <w:sz w:val="22"/>
          <w:szCs w:val="22"/>
        </w:rPr>
        <w:t xml:space="preserve"> (Accessed: 29 July 2026).</w:t>
      </w:r>
    </w:p>
    <w:p w14:paraId="144D89E7" w14:textId="265F343E" w:rsidR="0010211C" w:rsidRPr="006B08D4" w:rsidRDefault="0010211C" w:rsidP="0010211C">
      <w:pPr>
        <w:rPr>
          <w:rFonts w:ascii="Arial" w:hAnsi="Arial" w:cs="Arial"/>
          <w:sz w:val="22"/>
          <w:szCs w:val="22"/>
        </w:rPr>
      </w:pPr>
      <w:r w:rsidRPr="006B08D4">
        <w:rPr>
          <w:rFonts w:ascii="Arial" w:hAnsi="Arial" w:cs="Arial"/>
          <w:sz w:val="22"/>
          <w:szCs w:val="22"/>
        </w:rPr>
        <w:t xml:space="preserve">NHSX (2021) </w:t>
      </w:r>
      <w:r w:rsidRPr="006B08D4">
        <w:rPr>
          <w:rFonts w:ascii="Arial" w:hAnsi="Arial" w:cs="Arial"/>
          <w:i/>
          <w:iCs/>
          <w:sz w:val="22"/>
          <w:szCs w:val="22"/>
        </w:rPr>
        <w:t>NHS Digital Transformation Plan</w:t>
      </w:r>
      <w:r w:rsidRPr="006B08D4">
        <w:rPr>
          <w:rFonts w:ascii="Arial" w:hAnsi="Arial" w:cs="Arial"/>
          <w:sz w:val="22"/>
          <w:szCs w:val="22"/>
        </w:rPr>
        <w:t xml:space="preserve">. Available at: </w:t>
      </w:r>
      <w:hyperlink r:id="rId25" w:history="1">
        <w:r w:rsidR="006B08D4" w:rsidRPr="006B08D4">
          <w:rPr>
            <w:rStyle w:val="Hyperlink"/>
            <w:rFonts w:ascii="Arial" w:hAnsi="Arial" w:cs="Arial"/>
            <w:sz w:val="22"/>
            <w:szCs w:val="22"/>
          </w:rPr>
          <w:t>https://transform.england.nhs.uk</w:t>
        </w:r>
      </w:hyperlink>
      <w:r w:rsidR="006B08D4" w:rsidRPr="006B08D4">
        <w:rPr>
          <w:rFonts w:ascii="Arial" w:hAnsi="Arial" w:cs="Arial"/>
          <w:sz w:val="22"/>
          <w:szCs w:val="22"/>
        </w:rPr>
        <w:t xml:space="preserve"> </w:t>
      </w:r>
      <w:r w:rsidRPr="006B08D4">
        <w:rPr>
          <w:rFonts w:ascii="Arial" w:hAnsi="Arial" w:cs="Arial"/>
          <w:sz w:val="22"/>
          <w:szCs w:val="22"/>
        </w:rPr>
        <w:t xml:space="preserve"> (Accessed: 29 July 2026).</w:t>
      </w:r>
    </w:p>
    <w:p w14:paraId="7DB024ED" w14:textId="7DA0E4B1" w:rsidR="0010211C" w:rsidRPr="006B08D4" w:rsidRDefault="0010211C" w:rsidP="0010211C">
      <w:pPr>
        <w:rPr>
          <w:rFonts w:ascii="Arial" w:hAnsi="Arial" w:cs="Arial"/>
          <w:sz w:val="22"/>
          <w:szCs w:val="22"/>
        </w:rPr>
      </w:pPr>
      <w:r w:rsidRPr="006B08D4">
        <w:rPr>
          <w:rFonts w:ascii="Arial" w:hAnsi="Arial" w:cs="Arial"/>
          <w:sz w:val="22"/>
          <w:szCs w:val="22"/>
        </w:rPr>
        <w:t xml:space="preserve">Public Health England (2021) </w:t>
      </w:r>
      <w:r w:rsidRPr="006B08D4">
        <w:rPr>
          <w:rFonts w:ascii="Arial" w:hAnsi="Arial" w:cs="Arial"/>
          <w:i/>
          <w:iCs/>
          <w:sz w:val="22"/>
          <w:szCs w:val="22"/>
        </w:rPr>
        <w:t>Social isolation and community wellbeing</w:t>
      </w:r>
      <w:r w:rsidRPr="006B08D4">
        <w:rPr>
          <w:rFonts w:ascii="Arial" w:hAnsi="Arial" w:cs="Arial"/>
          <w:sz w:val="22"/>
          <w:szCs w:val="22"/>
        </w:rPr>
        <w:t xml:space="preserve">. Available at: </w:t>
      </w:r>
      <w:hyperlink r:id="rId26" w:history="1">
        <w:r w:rsidR="006B08D4" w:rsidRPr="006B08D4">
          <w:rPr>
            <w:rStyle w:val="Hyperlink"/>
            <w:rFonts w:ascii="Arial" w:hAnsi="Arial" w:cs="Arial"/>
            <w:sz w:val="22"/>
            <w:szCs w:val="22"/>
          </w:rPr>
          <w:t>https://www.gov.uk/government/publications/social-isolation-and-community-wellbeing</w:t>
        </w:r>
      </w:hyperlink>
      <w:r w:rsidR="006B08D4" w:rsidRPr="006B08D4">
        <w:rPr>
          <w:rFonts w:ascii="Arial" w:hAnsi="Arial" w:cs="Arial"/>
          <w:sz w:val="22"/>
          <w:szCs w:val="22"/>
        </w:rPr>
        <w:t xml:space="preserve"> </w:t>
      </w:r>
      <w:r w:rsidRPr="006B08D4">
        <w:rPr>
          <w:rFonts w:ascii="Arial" w:hAnsi="Arial" w:cs="Arial"/>
          <w:sz w:val="22"/>
          <w:szCs w:val="22"/>
        </w:rPr>
        <w:t>(Accessed: 29 July 2026).</w:t>
      </w:r>
    </w:p>
    <w:p w14:paraId="69859946" w14:textId="673B4CDF" w:rsidR="0010211C" w:rsidRPr="006B08D4" w:rsidRDefault="0010211C" w:rsidP="0010211C">
      <w:pPr>
        <w:rPr>
          <w:rFonts w:ascii="Arial" w:hAnsi="Arial" w:cs="Arial"/>
          <w:sz w:val="22"/>
          <w:szCs w:val="22"/>
        </w:rPr>
      </w:pPr>
      <w:r w:rsidRPr="006B08D4">
        <w:rPr>
          <w:rFonts w:ascii="Arial" w:hAnsi="Arial" w:cs="Arial"/>
          <w:sz w:val="22"/>
          <w:szCs w:val="22"/>
        </w:rPr>
        <w:t xml:space="preserve">Public Health England (2023) </w:t>
      </w:r>
      <w:r w:rsidRPr="006B08D4">
        <w:rPr>
          <w:rFonts w:ascii="Arial" w:hAnsi="Arial" w:cs="Arial"/>
          <w:i/>
          <w:iCs/>
          <w:sz w:val="22"/>
          <w:szCs w:val="22"/>
        </w:rPr>
        <w:t>Health inequalities: latest data</w:t>
      </w:r>
      <w:r w:rsidRPr="006B08D4">
        <w:rPr>
          <w:rFonts w:ascii="Arial" w:hAnsi="Arial" w:cs="Arial"/>
          <w:sz w:val="22"/>
          <w:szCs w:val="22"/>
        </w:rPr>
        <w:t xml:space="preserve">. Available at: </w:t>
      </w:r>
      <w:hyperlink r:id="rId27" w:history="1">
        <w:r w:rsidR="006B08D4" w:rsidRPr="006B08D4">
          <w:rPr>
            <w:rStyle w:val="Hyperlink"/>
            <w:rFonts w:ascii="Arial" w:hAnsi="Arial" w:cs="Arial"/>
            <w:sz w:val="22"/>
            <w:szCs w:val="22"/>
          </w:rPr>
          <w:t>https://www.gov.uk/government/collections/health-inequalities</w:t>
        </w:r>
      </w:hyperlink>
      <w:r w:rsidR="006B08D4" w:rsidRPr="006B08D4">
        <w:rPr>
          <w:rFonts w:ascii="Arial" w:hAnsi="Arial" w:cs="Arial"/>
          <w:sz w:val="22"/>
          <w:szCs w:val="22"/>
        </w:rPr>
        <w:t xml:space="preserve"> </w:t>
      </w:r>
      <w:r w:rsidRPr="006B08D4">
        <w:rPr>
          <w:rFonts w:ascii="Arial" w:hAnsi="Arial" w:cs="Arial"/>
          <w:sz w:val="22"/>
          <w:szCs w:val="22"/>
        </w:rPr>
        <w:t>(Accessed: 29 July 2026).</w:t>
      </w:r>
    </w:p>
    <w:p w14:paraId="4555F1F7" w14:textId="6C546F61" w:rsidR="0010211C" w:rsidRPr="006B08D4" w:rsidRDefault="0010211C" w:rsidP="0010211C">
      <w:pPr>
        <w:rPr>
          <w:rFonts w:ascii="Arial" w:hAnsi="Arial" w:cs="Arial"/>
          <w:sz w:val="22"/>
          <w:szCs w:val="22"/>
        </w:rPr>
      </w:pPr>
      <w:r w:rsidRPr="006B08D4">
        <w:rPr>
          <w:rFonts w:ascii="Arial" w:hAnsi="Arial" w:cs="Arial"/>
          <w:sz w:val="22"/>
          <w:szCs w:val="22"/>
        </w:rPr>
        <w:t xml:space="preserve">Rayner, G. and Lang, T. (2012) </w:t>
      </w:r>
      <w:r w:rsidRPr="006B08D4">
        <w:rPr>
          <w:rFonts w:ascii="Arial" w:hAnsi="Arial" w:cs="Arial"/>
          <w:i/>
          <w:iCs/>
          <w:sz w:val="22"/>
          <w:szCs w:val="22"/>
        </w:rPr>
        <w:t>Ecological Public Health: Reshaping the Conditions for Good Health</w:t>
      </w:r>
      <w:r w:rsidRPr="006B08D4">
        <w:rPr>
          <w:rFonts w:ascii="Arial" w:hAnsi="Arial" w:cs="Arial"/>
          <w:sz w:val="22"/>
          <w:szCs w:val="22"/>
        </w:rPr>
        <w:t xml:space="preserve">. Routledge. </w:t>
      </w:r>
    </w:p>
    <w:p w14:paraId="0D305AEA" w14:textId="238EFD60" w:rsidR="0010211C" w:rsidRPr="006B08D4" w:rsidRDefault="0010211C" w:rsidP="0010211C">
      <w:pPr>
        <w:rPr>
          <w:rFonts w:ascii="Arial" w:hAnsi="Arial" w:cs="Arial"/>
          <w:sz w:val="22"/>
          <w:szCs w:val="22"/>
        </w:rPr>
      </w:pPr>
      <w:r w:rsidRPr="006B08D4">
        <w:rPr>
          <w:rFonts w:ascii="Arial" w:hAnsi="Arial" w:cs="Arial"/>
          <w:sz w:val="22"/>
          <w:szCs w:val="22"/>
        </w:rPr>
        <w:t xml:space="preserve">Royal College of Physicians (2020) </w:t>
      </w:r>
      <w:r w:rsidRPr="006B08D4">
        <w:rPr>
          <w:rFonts w:ascii="Arial" w:hAnsi="Arial" w:cs="Arial"/>
          <w:i/>
          <w:iCs/>
          <w:sz w:val="22"/>
          <w:szCs w:val="22"/>
        </w:rPr>
        <w:t>Every Breath We Take: The Lifelong Impact of Air Pollution</w:t>
      </w:r>
      <w:r w:rsidRPr="006B08D4">
        <w:rPr>
          <w:rFonts w:ascii="Arial" w:hAnsi="Arial" w:cs="Arial"/>
          <w:sz w:val="22"/>
          <w:szCs w:val="22"/>
        </w:rPr>
        <w:t xml:space="preserve">. Available at: </w:t>
      </w:r>
      <w:hyperlink r:id="rId28" w:history="1">
        <w:r w:rsidR="006B08D4" w:rsidRPr="006B08D4">
          <w:rPr>
            <w:rStyle w:val="Hyperlink"/>
            <w:rFonts w:ascii="Arial" w:hAnsi="Arial" w:cs="Arial"/>
            <w:sz w:val="22"/>
            <w:szCs w:val="22"/>
          </w:rPr>
          <w:t>https://www.rcplondon.ac.uk/projects/outputs/every-breath-we-take-lifelong-impact-air-pollution</w:t>
        </w:r>
      </w:hyperlink>
      <w:r w:rsidR="006B08D4" w:rsidRPr="006B08D4">
        <w:rPr>
          <w:rFonts w:ascii="Arial" w:hAnsi="Arial" w:cs="Arial"/>
          <w:sz w:val="22"/>
          <w:szCs w:val="22"/>
        </w:rPr>
        <w:t xml:space="preserve"> </w:t>
      </w:r>
      <w:r w:rsidRPr="006B08D4">
        <w:rPr>
          <w:rFonts w:ascii="Arial" w:hAnsi="Arial" w:cs="Arial"/>
          <w:sz w:val="22"/>
          <w:szCs w:val="22"/>
        </w:rPr>
        <w:t xml:space="preserve"> (Accessed: 29 July 2026).</w:t>
      </w:r>
    </w:p>
    <w:p w14:paraId="131C6FBE" w14:textId="77777777" w:rsidR="0010211C" w:rsidRPr="006B08D4" w:rsidRDefault="0010211C" w:rsidP="0010211C">
      <w:pPr>
        <w:rPr>
          <w:rFonts w:ascii="Arial" w:hAnsi="Arial" w:cs="Arial"/>
          <w:sz w:val="22"/>
          <w:szCs w:val="22"/>
        </w:rPr>
      </w:pPr>
      <w:r w:rsidRPr="006B08D4">
        <w:rPr>
          <w:rFonts w:ascii="Arial" w:hAnsi="Arial" w:cs="Arial"/>
          <w:sz w:val="22"/>
          <w:szCs w:val="22"/>
        </w:rPr>
        <w:t xml:space="preserve">RTPI (2021) </w:t>
      </w:r>
      <w:r w:rsidRPr="006B08D4">
        <w:rPr>
          <w:rFonts w:ascii="Arial" w:hAnsi="Arial" w:cs="Arial"/>
          <w:i/>
          <w:iCs/>
          <w:sz w:val="22"/>
          <w:szCs w:val="22"/>
        </w:rPr>
        <w:t>20</w:t>
      </w:r>
      <w:r w:rsidRPr="006B08D4">
        <w:rPr>
          <w:rFonts w:ascii="Arial" w:hAnsi="Arial" w:cs="Arial"/>
          <w:i/>
          <w:iCs/>
          <w:sz w:val="22"/>
          <w:szCs w:val="22"/>
        </w:rPr>
        <w:noBreakHyphen/>
        <w:t>minute neighbourhoods</w:t>
      </w:r>
      <w:r w:rsidRPr="006B08D4">
        <w:rPr>
          <w:rFonts w:ascii="Arial" w:hAnsi="Arial" w:cs="Arial"/>
          <w:sz w:val="22"/>
          <w:szCs w:val="22"/>
        </w:rPr>
        <w:t xml:space="preserve">. Available at: </w:t>
      </w:r>
      <w:hyperlink r:id="rId29" w:history="1">
        <w:r w:rsidRPr="006B08D4">
          <w:rPr>
            <w:rStyle w:val="Hyperlink"/>
            <w:rFonts w:ascii="Arial" w:hAnsi="Arial" w:cs="Arial"/>
            <w:sz w:val="22"/>
            <w:szCs w:val="22"/>
          </w:rPr>
          <w:t>https://www.rtpi.org.uk</w:t>
        </w:r>
      </w:hyperlink>
      <w:r w:rsidRPr="006B08D4">
        <w:rPr>
          <w:rFonts w:ascii="Arial" w:hAnsi="Arial" w:cs="Arial"/>
          <w:sz w:val="22"/>
          <w:szCs w:val="22"/>
        </w:rPr>
        <w:t xml:space="preserve"> (Accessed: 29 July 2026).</w:t>
      </w:r>
    </w:p>
    <w:p w14:paraId="44F7905C" w14:textId="77777777" w:rsidR="0010211C" w:rsidRPr="006B08D4" w:rsidRDefault="0010211C" w:rsidP="0010211C">
      <w:pPr>
        <w:rPr>
          <w:rFonts w:ascii="Arial" w:hAnsi="Arial" w:cs="Arial"/>
          <w:sz w:val="22"/>
          <w:szCs w:val="22"/>
        </w:rPr>
      </w:pPr>
      <w:r w:rsidRPr="006B08D4">
        <w:rPr>
          <w:rFonts w:ascii="Arial" w:hAnsi="Arial" w:cs="Arial"/>
          <w:sz w:val="22"/>
          <w:szCs w:val="22"/>
        </w:rPr>
        <w:t xml:space="preserve">Shelter (2022) </w:t>
      </w:r>
      <w:r w:rsidRPr="006B08D4">
        <w:rPr>
          <w:rFonts w:ascii="Arial" w:hAnsi="Arial" w:cs="Arial"/>
          <w:i/>
          <w:iCs/>
          <w:sz w:val="22"/>
          <w:szCs w:val="22"/>
        </w:rPr>
        <w:t>Housing conditions and overcrowding</w:t>
      </w:r>
      <w:r w:rsidRPr="006B08D4">
        <w:rPr>
          <w:rFonts w:ascii="Arial" w:hAnsi="Arial" w:cs="Arial"/>
          <w:sz w:val="22"/>
          <w:szCs w:val="22"/>
        </w:rPr>
        <w:t xml:space="preserve">. Available at: </w:t>
      </w:r>
      <w:hyperlink r:id="rId30" w:history="1">
        <w:r w:rsidRPr="006B08D4">
          <w:rPr>
            <w:rStyle w:val="Hyperlink"/>
            <w:rFonts w:ascii="Arial" w:hAnsi="Arial" w:cs="Arial"/>
            <w:sz w:val="22"/>
            <w:szCs w:val="22"/>
          </w:rPr>
          <w:t>https://www.shelter.org.uk</w:t>
        </w:r>
      </w:hyperlink>
      <w:r w:rsidRPr="006B08D4">
        <w:rPr>
          <w:rFonts w:ascii="Arial" w:hAnsi="Arial" w:cs="Arial"/>
          <w:sz w:val="22"/>
          <w:szCs w:val="22"/>
        </w:rPr>
        <w:t xml:space="preserve"> (Accessed: 29 July 2026).</w:t>
      </w:r>
    </w:p>
    <w:p w14:paraId="6869E612" w14:textId="77777777" w:rsidR="0010211C" w:rsidRPr="006B08D4" w:rsidRDefault="0010211C" w:rsidP="0010211C">
      <w:pPr>
        <w:rPr>
          <w:rFonts w:ascii="Arial" w:hAnsi="Arial" w:cs="Arial"/>
          <w:sz w:val="22"/>
          <w:szCs w:val="22"/>
        </w:rPr>
      </w:pPr>
      <w:r w:rsidRPr="006B08D4">
        <w:rPr>
          <w:rFonts w:ascii="Arial" w:hAnsi="Arial" w:cs="Arial"/>
          <w:sz w:val="22"/>
          <w:szCs w:val="22"/>
        </w:rPr>
        <w:t xml:space="preserve">Singapore Land Transport Authority (2023) </w:t>
      </w:r>
      <w:r w:rsidRPr="006B08D4">
        <w:rPr>
          <w:rFonts w:ascii="Arial" w:hAnsi="Arial" w:cs="Arial"/>
          <w:i/>
          <w:iCs/>
          <w:sz w:val="22"/>
          <w:szCs w:val="22"/>
        </w:rPr>
        <w:t>Urban transport sustainability measures</w:t>
      </w:r>
      <w:r w:rsidRPr="006B08D4">
        <w:rPr>
          <w:rFonts w:ascii="Arial" w:hAnsi="Arial" w:cs="Arial"/>
          <w:sz w:val="22"/>
          <w:szCs w:val="22"/>
        </w:rPr>
        <w:t xml:space="preserve">. Available at: </w:t>
      </w:r>
      <w:hyperlink r:id="rId31" w:history="1">
        <w:r w:rsidRPr="006B08D4">
          <w:rPr>
            <w:rStyle w:val="Hyperlink"/>
            <w:rFonts w:ascii="Arial" w:hAnsi="Arial" w:cs="Arial"/>
            <w:sz w:val="22"/>
            <w:szCs w:val="22"/>
          </w:rPr>
          <w:t>https://www.lta.gov.sg</w:t>
        </w:r>
      </w:hyperlink>
      <w:r w:rsidRPr="006B08D4">
        <w:rPr>
          <w:rFonts w:ascii="Arial" w:hAnsi="Arial" w:cs="Arial"/>
          <w:sz w:val="22"/>
          <w:szCs w:val="22"/>
        </w:rPr>
        <w:t xml:space="preserve"> (Accessed: 29 July 2026).</w:t>
      </w:r>
    </w:p>
    <w:p w14:paraId="41AC39C6" w14:textId="0D31090D" w:rsidR="0010211C" w:rsidRPr="006B08D4" w:rsidRDefault="0010211C" w:rsidP="0010211C">
      <w:pPr>
        <w:rPr>
          <w:rFonts w:ascii="Arial" w:hAnsi="Arial" w:cs="Arial"/>
          <w:sz w:val="22"/>
          <w:szCs w:val="22"/>
        </w:rPr>
      </w:pPr>
      <w:r w:rsidRPr="006B08D4">
        <w:rPr>
          <w:rFonts w:ascii="Arial" w:hAnsi="Arial" w:cs="Arial"/>
          <w:sz w:val="22"/>
          <w:szCs w:val="22"/>
        </w:rPr>
        <w:t xml:space="preserve">Social Housing Regulation Act (2023) </w:t>
      </w:r>
      <w:r w:rsidRPr="006B08D4">
        <w:rPr>
          <w:rFonts w:ascii="Arial" w:hAnsi="Arial" w:cs="Arial"/>
          <w:i/>
          <w:iCs/>
          <w:sz w:val="22"/>
          <w:szCs w:val="22"/>
        </w:rPr>
        <w:t>UK Social Housing Regulation Act</w:t>
      </w:r>
      <w:r w:rsidRPr="006B08D4">
        <w:rPr>
          <w:rFonts w:ascii="Arial" w:hAnsi="Arial" w:cs="Arial"/>
          <w:sz w:val="22"/>
          <w:szCs w:val="22"/>
        </w:rPr>
        <w:t xml:space="preserve">. Available at: </w:t>
      </w:r>
      <w:hyperlink r:id="rId32" w:history="1">
        <w:r w:rsidR="006B08D4" w:rsidRPr="006B08D4">
          <w:rPr>
            <w:rStyle w:val="Hyperlink"/>
            <w:rFonts w:ascii="Arial" w:hAnsi="Arial" w:cs="Arial"/>
            <w:sz w:val="22"/>
            <w:szCs w:val="22"/>
          </w:rPr>
          <w:t>https://www.legislation.gov.uk/ukpga/2023/31/contents/enacted</w:t>
        </w:r>
      </w:hyperlink>
      <w:r w:rsidR="006B08D4" w:rsidRPr="006B08D4">
        <w:rPr>
          <w:rFonts w:ascii="Arial" w:hAnsi="Arial" w:cs="Arial"/>
          <w:sz w:val="22"/>
          <w:szCs w:val="22"/>
        </w:rPr>
        <w:t xml:space="preserve"> </w:t>
      </w:r>
      <w:r w:rsidRPr="006B08D4">
        <w:rPr>
          <w:rFonts w:ascii="Arial" w:hAnsi="Arial" w:cs="Arial"/>
          <w:sz w:val="22"/>
          <w:szCs w:val="22"/>
        </w:rPr>
        <w:t xml:space="preserve"> (Accessed: 29 July 2026).</w:t>
      </w:r>
    </w:p>
    <w:p w14:paraId="073136BA" w14:textId="77777777" w:rsidR="0010211C" w:rsidRPr="006B08D4" w:rsidRDefault="0010211C" w:rsidP="0010211C">
      <w:pPr>
        <w:rPr>
          <w:rFonts w:ascii="Arial" w:hAnsi="Arial" w:cs="Arial"/>
          <w:sz w:val="22"/>
          <w:szCs w:val="22"/>
        </w:rPr>
      </w:pPr>
      <w:r w:rsidRPr="006B08D4">
        <w:rPr>
          <w:rFonts w:ascii="Arial" w:hAnsi="Arial" w:cs="Arial"/>
          <w:sz w:val="22"/>
          <w:szCs w:val="22"/>
        </w:rPr>
        <w:t xml:space="preserve">Sustain (2024) </w:t>
      </w:r>
      <w:r w:rsidRPr="006B08D4">
        <w:rPr>
          <w:rFonts w:ascii="Arial" w:hAnsi="Arial" w:cs="Arial"/>
          <w:i/>
          <w:iCs/>
          <w:sz w:val="22"/>
          <w:szCs w:val="22"/>
        </w:rPr>
        <w:t>Community food programmes</w:t>
      </w:r>
      <w:r w:rsidRPr="006B08D4">
        <w:rPr>
          <w:rFonts w:ascii="Arial" w:hAnsi="Arial" w:cs="Arial"/>
          <w:sz w:val="22"/>
          <w:szCs w:val="22"/>
        </w:rPr>
        <w:t xml:space="preserve">. Available at: </w:t>
      </w:r>
      <w:hyperlink r:id="rId33" w:history="1">
        <w:r w:rsidRPr="006B08D4">
          <w:rPr>
            <w:rStyle w:val="Hyperlink"/>
            <w:rFonts w:ascii="Arial" w:hAnsi="Arial" w:cs="Arial"/>
            <w:sz w:val="22"/>
            <w:szCs w:val="22"/>
          </w:rPr>
          <w:t>https://www.sustainweb.org</w:t>
        </w:r>
      </w:hyperlink>
      <w:r w:rsidRPr="006B08D4">
        <w:rPr>
          <w:rFonts w:ascii="Arial" w:hAnsi="Arial" w:cs="Arial"/>
          <w:sz w:val="22"/>
          <w:szCs w:val="22"/>
        </w:rPr>
        <w:t xml:space="preserve"> (Accessed: 29 July 2026).</w:t>
      </w:r>
    </w:p>
    <w:p w14:paraId="060D303A" w14:textId="72094CF1" w:rsidR="0010211C" w:rsidRPr="006B08D4" w:rsidRDefault="0010211C" w:rsidP="0010211C">
      <w:pPr>
        <w:rPr>
          <w:rFonts w:ascii="Arial" w:hAnsi="Arial" w:cs="Arial"/>
          <w:sz w:val="22"/>
          <w:szCs w:val="22"/>
        </w:rPr>
      </w:pPr>
      <w:r w:rsidRPr="006B08D4">
        <w:rPr>
          <w:rFonts w:ascii="Arial" w:hAnsi="Arial" w:cs="Arial"/>
          <w:sz w:val="22"/>
          <w:szCs w:val="22"/>
        </w:rPr>
        <w:t xml:space="preserve">TfL (2021) </w:t>
      </w:r>
      <w:r w:rsidRPr="006B08D4">
        <w:rPr>
          <w:rFonts w:ascii="Arial" w:hAnsi="Arial" w:cs="Arial"/>
          <w:i/>
          <w:iCs/>
          <w:sz w:val="22"/>
          <w:szCs w:val="22"/>
        </w:rPr>
        <w:t>Healthy Streets Approach</w:t>
      </w:r>
      <w:r w:rsidRPr="006B08D4">
        <w:rPr>
          <w:rFonts w:ascii="Arial" w:hAnsi="Arial" w:cs="Arial"/>
          <w:sz w:val="22"/>
          <w:szCs w:val="22"/>
        </w:rPr>
        <w:t xml:space="preserve">. Available at: </w:t>
      </w:r>
      <w:hyperlink r:id="rId34" w:history="1">
        <w:r w:rsidR="006B08D4" w:rsidRPr="006B08D4">
          <w:rPr>
            <w:rStyle w:val="Hyperlink"/>
            <w:rFonts w:ascii="Arial" w:hAnsi="Arial" w:cs="Arial"/>
            <w:sz w:val="22"/>
            <w:szCs w:val="22"/>
          </w:rPr>
          <w:t>https://tfl.gov.uk/corporate/about-tfl/how-we-work/planning-for-the-future/healthy-streets</w:t>
        </w:r>
      </w:hyperlink>
      <w:r w:rsidR="006B08D4" w:rsidRPr="006B08D4">
        <w:rPr>
          <w:rFonts w:ascii="Arial" w:hAnsi="Arial" w:cs="Arial"/>
          <w:sz w:val="22"/>
          <w:szCs w:val="22"/>
        </w:rPr>
        <w:t xml:space="preserve"> </w:t>
      </w:r>
      <w:r w:rsidRPr="006B08D4">
        <w:rPr>
          <w:rFonts w:ascii="Arial" w:hAnsi="Arial" w:cs="Arial"/>
          <w:sz w:val="22"/>
          <w:szCs w:val="22"/>
        </w:rPr>
        <w:t>(Accessed: 29 July 2026).</w:t>
      </w:r>
    </w:p>
    <w:p w14:paraId="42FFCC74" w14:textId="7434BFE3" w:rsidR="0010211C" w:rsidRPr="006B08D4" w:rsidRDefault="0010211C" w:rsidP="0010211C">
      <w:pPr>
        <w:rPr>
          <w:rFonts w:ascii="Arial" w:hAnsi="Arial" w:cs="Arial"/>
          <w:sz w:val="22"/>
          <w:szCs w:val="22"/>
        </w:rPr>
      </w:pPr>
      <w:r w:rsidRPr="006B08D4">
        <w:rPr>
          <w:rFonts w:ascii="Arial" w:hAnsi="Arial" w:cs="Arial"/>
          <w:sz w:val="22"/>
          <w:szCs w:val="22"/>
        </w:rPr>
        <w:t xml:space="preserve">UN Habitat (2022) </w:t>
      </w:r>
      <w:r w:rsidRPr="006B08D4">
        <w:rPr>
          <w:rFonts w:ascii="Arial" w:hAnsi="Arial" w:cs="Arial"/>
          <w:i/>
          <w:iCs/>
          <w:sz w:val="22"/>
          <w:szCs w:val="22"/>
        </w:rPr>
        <w:t>World Cities Report</w:t>
      </w:r>
      <w:r w:rsidRPr="006B08D4">
        <w:rPr>
          <w:rFonts w:ascii="Arial" w:hAnsi="Arial" w:cs="Arial"/>
          <w:sz w:val="22"/>
          <w:szCs w:val="22"/>
        </w:rPr>
        <w:t xml:space="preserve">. Available at: </w:t>
      </w:r>
      <w:hyperlink r:id="rId35" w:history="1">
        <w:r w:rsidR="006B08D4" w:rsidRPr="006B08D4">
          <w:rPr>
            <w:rStyle w:val="Hyperlink"/>
            <w:rFonts w:ascii="Arial" w:hAnsi="Arial" w:cs="Arial"/>
            <w:sz w:val="22"/>
            <w:szCs w:val="22"/>
          </w:rPr>
          <w:t>https://unhabitat.org/world-cities-report</w:t>
        </w:r>
      </w:hyperlink>
      <w:r w:rsidR="006B08D4" w:rsidRPr="006B08D4">
        <w:rPr>
          <w:rFonts w:ascii="Arial" w:hAnsi="Arial" w:cs="Arial"/>
          <w:sz w:val="22"/>
          <w:szCs w:val="22"/>
        </w:rPr>
        <w:t xml:space="preserve"> </w:t>
      </w:r>
      <w:r w:rsidRPr="006B08D4">
        <w:rPr>
          <w:rFonts w:ascii="Arial" w:hAnsi="Arial" w:cs="Arial"/>
          <w:sz w:val="22"/>
          <w:szCs w:val="22"/>
        </w:rPr>
        <w:t xml:space="preserve"> (Accessed: 29 July 2026).</w:t>
      </w:r>
    </w:p>
    <w:p w14:paraId="6A535E7F" w14:textId="2B6667D0" w:rsidR="0010211C" w:rsidRPr="006B08D4" w:rsidRDefault="0010211C" w:rsidP="0010211C">
      <w:pPr>
        <w:rPr>
          <w:rFonts w:ascii="Arial" w:hAnsi="Arial" w:cs="Arial"/>
          <w:sz w:val="22"/>
          <w:szCs w:val="22"/>
        </w:rPr>
      </w:pPr>
      <w:r w:rsidRPr="006B08D4">
        <w:rPr>
          <w:rFonts w:ascii="Arial" w:hAnsi="Arial" w:cs="Arial"/>
          <w:sz w:val="22"/>
          <w:szCs w:val="22"/>
        </w:rPr>
        <w:t xml:space="preserve">UNICEF (2023) </w:t>
      </w:r>
      <w:r w:rsidRPr="006B08D4">
        <w:rPr>
          <w:rFonts w:ascii="Arial" w:hAnsi="Arial" w:cs="Arial"/>
          <w:i/>
          <w:iCs/>
          <w:sz w:val="22"/>
          <w:szCs w:val="22"/>
        </w:rPr>
        <w:t>Under</w:t>
      </w:r>
      <w:r w:rsidRPr="006B08D4">
        <w:rPr>
          <w:rFonts w:ascii="Arial" w:hAnsi="Arial" w:cs="Arial"/>
          <w:i/>
          <w:iCs/>
          <w:sz w:val="22"/>
          <w:szCs w:val="22"/>
        </w:rPr>
        <w:noBreakHyphen/>
        <w:t>five mortality statistics</w:t>
      </w:r>
      <w:r w:rsidRPr="006B08D4">
        <w:rPr>
          <w:rFonts w:ascii="Arial" w:hAnsi="Arial" w:cs="Arial"/>
          <w:sz w:val="22"/>
          <w:szCs w:val="22"/>
        </w:rPr>
        <w:t xml:space="preserve">. Available at: </w:t>
      </w:r>
      <w:hyperlink r:id="rId36" w:history="1">
        <w:r w:rsidR="006B08D4" w:rsidRPr="006B08D4">
          <w:rPr>
            <w:rStyle w:val="Hyperlink"/>
            <w:rFonts w:ascii="Arial" w:hAnsi="Arial" w:cs="Arial"/>
            <w:sz w:val="22"/>
            <w:szCs w:val="22"/>
          </w:rPr>
          <w:t>https://data.unicef.org/topic/child-survival/under-five-mortality</w:t>
        </w:r>
      </w:hyperlink>
      <w:r w:rsidR="006B08D4" w:rsidRPr="006B08D4">
        <w:rPr>
          <w:rFonts w:ascii="Arial" w:hAnsi="Arial" w:cs="Arial"/>
          <w:sz w:val="22"/>
          <w:szCs w:val="22"/>
        </w:rPr>
        <w:t xml:space="preserve"> </w:t>
      </w:r>
      <w:r w:rsidRPr="006B08D4">
        <w:rPr>
          <w:rFonts w:ascii="Arial" w:hAnsi="Arial" w:cs="Arial"/>
          <w:sz w:val="22"/>
          <w:szCs w:val="22"/>
        </w:rPr>
        <w:t xml:space="preserve"> (Accessed: 29 July 2026).</w:t>
      </w:r>
    </w:p>
    <w:p w14:paraId="1B5D1E9B" w14:textId="77777777" w:rsidR="0010211C" w:rsidRPr="006B08D4" w:rsidRDefault="0010211C" w:rsidP="0010211C">
      <w:pPr>
        <w:rPr>
          <w:rFonts w:ascii="Arial" w:hAnsi="Arial" w:cs="Arial"/>
          <w:sz w:val="22"/>
          <w:szCs w:val="22"/>
        </w:rPr>
      </w:pPr>
      <w:r w:rsidRPr="006B08D4">
        <w:rPr>
          <w:rFonts w:ascii="Arial" w:hAnsi="Arial" w:cs="Arial"/>
          <w:sz w:val="22"/>
          <w:szCs w:val="22"/>
        </w:rPr>
        <w:t xml:space="preserve">United Nations (2015) </w:t>
      </w:r>
      <w:r w:rsidRPr="006B08D4">
        <w:rPr>
          <w:rFonts w:ascii="Arial" w:hAnsi="Arial" w:cs="Arial"/>
          <w:i/>
          <w:iCs/>
          <w:sz w:val="22"/>
          <w:szCs w:val="22"/>
        </w:rPr>
        <w:t>Transforming our world: the 2030 Agenda for Sustainable Development</w:t>
      </w:r>
      <w:r w:rsidRPr="006B08D4">
        <w:rPr>
          <w:rFonts w:ascii="Arial" w:hAnsi="Arial" w:cs="Arial"/>
          <w:sz w:val="22"/>
          <w:szCs w:val="22"/>
        </w:rPr>
        <w:t xml:space="preserve">. Available at: </w:t>
      </w:r>
      <w:hyperlink r:id="rId37" w:history="1">
        <w:r w:rsidRPr="006B08D4">
          <w:rPr>
            <w:rStyle w:val="Hyperlink"/>
            <w:rFonts w:ascii="Arial" w:hAnsi="Arial" w:cs="Arial"/>
            <w:sz w:val="22"/>
            <w:szCs w:val="22"/>
          </w:rPr>
          <w:t>https://sdgs.un.org/2030agenda</w:t>
        </w:r>
      </w:hyperlink>
      <w:r w:rsidRPr="006B08D4">
        <w:rPr>
          <w:rFonts w:ascii="Arial" w:hAnsi="Arial" w:cs="Arial"/>
          <w:sz w:val="22"/>
          <w:szCs w:val="22"/>
        </w:rPr>
        <w:t xml:space="preserve"> (Accessed: 29 July 2026).</w:t>
      </w:r>
    </w:p>
    <w:p w14:paraId="5E6BEC6F" w14:textId="6DBA04ED" w:rsidR="0010211C" w:rsidRPr="006B08D4" w:rsidRDefault="0010211C" w:rsidP="0010211C">
      <w:pPr>
        <w:rPr>
          <w:rFonts w:ascii="Arial" w:hAnsi="Arial" w:cs="Arial"/>
          <w:sz w:val="22"/>
          <w:szCs w:val="22"/>
        </w:rPr>
      </w:pPr>
      <w:r w:rsidRPr="006B08D4">
        <w:rPr>
          <w:rFonts w:ascii="Arial" w:hAnsi="Arial" w:cs="Arial"/>
          <w:sz w:val="22"/>
          <w:szCs w:val="22"/>
        </w:rPr>
        <w:t xml:space="preserve">WHO (1946) </w:t>
      </w:r>
      <w:r w:rsidRPr="006B08D4">
        <w:rPr>
          <w:rFonts w:ascii="Arial" w:hAnsi="Arial" w:cs="Arial"/>
          <w:i/>
          <w:iCs/>
          <w:sz w:val="22"/>
          <w:szCs w:val="22"/>
        </w:rPr>
        <w:t xml:space="preserve">Constitution of the World Health </w:t>
      </w:r>
      <w:r w:rsidR="006B08D4" w:rsidRPr="006B08D4">
        <w:rPr>
          <w:rFonts w:ascii="Arial" w:hAnsi="Arial" w:cs="Arial"/>
          <w:i/>
          <w:iCs/>
          <w:sz w:val="22"/>
          <w:szCs w:val="22"/>
        </w:rPr>
        <w:t>Organisation</w:t>
      </w:r>
      <w:r w:rsidRPr="006B08D4">
        <w:rPr>
          <w:rFonts w:ascii="Arial" w:hAnsi="Arial" w:cs="Arial"/>
          <w:sz w:val="22"/>
          <w:szCs w:val="22"/>
        </w:rPr>
        <w:t xml:space="preserve">. Available at: </w:t>
      </w:r>
      <w:hyperlink r:id="rId38" w:history="1">
        <w:r w:rsidR="006B08D4" w:rsidRPr="006B08D4">
          <w:rPr>
            <w:rStyle w:val="Hyperlink"/>
            <w:rFonts w:ascii="Arial" w:hAnsi="Arial" w:cs="Arial"/>
            <w:sz w:val="22"/>
            <w:szCs w:val="22"/>
          </w:rPr>
          <w:t>https://www.who.int/about/governance/constitution</w:t>
        </w:r>
      </w:hyperlink>
      <w:r w:rsidR="006B08D4" w:rsidRPr="006B08D4">
        <w:rPr>
          <w:rFonts w:ascii="Arial" w:hAnsi="Arial" w:cs="Arial"/>
          <w:sz w:val="22"/>
          <w:szCs w:val="22"/>
        </w:rPr>
        <w:t xml:space="preserve"> </w:t>
      </w:r>
      <w:r w:rsidRPr="006B08D4">
        <w:rPr>
          <w:rFonts w:ascii="Arial" w:hAnsi="Arial" w:cs="Arial"/>
          <w:sz w:val="22"/>
          <w:szCs w:val="22"/>
        </w:rPr>
        <w:t>(Accessed: 29 July 2026).</w:t>
      </w:r>
    </w:p>
    <w:p w14:paraId="6D5A4D24" w14:textId="0D05F3F7" w:rsidR="0010211C" w:rsidRPr="006B08D4" w:rsidRDefault="0010211C" w:rsidP="0010211C">
      <w:pPr>
        <w:rPr>
          <w:rFonts w:ascii="Arial" w:hAnsi="Arial" w:cs="Arial"/>
          <w:sz w:val="22"/>
          <w:szCs w:val="22"/>
        </w:rPr>
      </w:pPr>
      <w:r w:rsidRPr="006B08D4">
        <w:rPr>
          <w:rFonts w:ascii="Arial" w:hAnsi="Arial" w:cs="Arial"/>
          <w:sz w:val="22"/>
          <w:szCs w:val="22"/>
        </w:rPr>
        <w:t xml:space="preserve">WHO (2022) </w:t>
      </w:r>
      <w:r w:rsidRPr="006B08D4">
        <w:rPr>
          <w:rFonts w:ascii="Arial" w:hAnsi="Arial" w:cs="Arial"/>
          <w:i/>
          <w:iCs/>
          <w:sz w:val="22"/>
          <w:szCs w:val="22"/>
        </w:rPr>
        <w:t>COVID</w:t>
      </w:r>
      <w:r w:rsidRPr="006B08D4">
        <w:rPr>
          <w:rFonts w:ascii="Arial" w:hAnsi="Arial" w:cs="Arial"/>
          <w:i/>
          <w:iCs/>
          <w:sz w:val="22"/>
          <w:szCs w:val="22"/>
        </w:rPr>
        <w:noBreakHyphen/>
        <w:t>19 pandemic: global health systems review</w:t>
      </w:r>
      <w:r w:rsidRPr="006B08D4">
        <w:rPr>
          <w:rFonts w:ascii="Arial" w:hAnsi="Arial" w:cs="Arial"/>
          <w:sz w:val="22"/>
          <w:szCs w:val="22"/>
        </w:rPr>
        <w:t xml:space="preserve">. Available at: </w:t>
      </w:r>
      <w:hyperlink r:id="rId39" w:history="1">
        <w:r w:rsidR="006B08D4" w:rsidRPr="006B08D4">
          <w:rPr>
            <w:rStyle w:val="Hyperlink"/>
            <w:rFonts w:ascii="Arial" w:hAnsi="Arial" w:cs="Arial"/>
            <w:sz w:val="22"/>
            <w:szCs w:val="22"/>
          </w:rPr>
          <w:t>https://www.who.int/publications/i/item/9789240064898</w:t>
        </w:r>
      </w:hyperlink>
      <w:r w:rsidR="006B08D4" w:rsidRPr="006B08D4">
        <w:rPr>
          <w:rFonts w:ascii="Arial" w:hAnsi="Arial" w:cs="Arial"/>
          <w:sz w:val="22"/>
          <w:szCs w:val="22"/>
        </w:rPr>
        <w:t xml:space="preserve"> </w:t>
      </w:r>
      <w:r w:rsidRPr="006B08D4">
        <w:rPr>
          <w:rFonts w:ascii="Arial" w:hAnsi="Arial" w:cs="Arial"/>
          <w:sz w:val="22"/>
          <w:szCs w:val="22"/>
        </w:rPr>
        <w:t>(Accessed: 29 July 2026).</w:t>
      </w:r>
    </w:p>
    <w:p w14:paraId="3C4E50B8" w14:textId="5F20344B" w:rsidR="0010211C" w:rsidRPr="006B08D4" w:rsidRDefault="0010211C" w:rsidP="0010211C">
      <w:pPr>
        <w:rPr>
          <w:rFonts w:ascii="Arial" w:hAnsi="Arial" w:cs="Arial"/>
          <w:sz w:val="22"/>
          <w:szCs w:val="22"/>
        </w:rPr>
      </w:pPr>
      <w:r w:rsidRPr="006B08D4">
        <w:rPr>
          <w:rFonts w:ascii="Arial" w:hAnsi="Arial" w:cs="Arial"/>
          <w:sz w:val="22"/>
          <w:szCs w:val="22"/>
        </w:rPr>
        <w:lastRenderedPageBreak/>
        <w:t xml:space="preserve">WHO (2023) </w:t>
      </w:r>
      <w:r w:rsidRPr="006B08D4">
        <w:rPr>
          <w:rFonts w:ascii="Arial" w:hAnsi="Arial" w:cs="Arial"/>
          <w:i/>
          <w:iCs/>
          <w:sz w:val="22"/>
          <w:szCs w:val="22"/>
        </w:rPr>
        <w:t>Noncommunicable diseases fact sheet</w:t>
      </w:r>
      <w:r w:rsidRPr="006B08D4">
        <w:rPr>
          <w:rFonts w:ascii="Arial" w:hAnsi="Arial" w:cs="Arial"/>
          <w:sz w:val="22"/>
          <w:szCs w:val="22"/>
        </w:rPr>
        <w:t xml:space="preserve">. Available at: </w:t>
      </w:r>
      <w:hyperlink r:id="rId40" w:history="1">
        <w:r w:rsidR="006B08D4" w:rsidRPr="006B08D4">
          <w:rPr>
            <w:rStyle w:val="Hyperlink"/>
            <w:rFonts w:ascii="Arial" w:hAnsi="Arial" w:cs="Arial"/>
            <w:sz w:val="22"/>
            <w:szCs w:val="22"/>
          </w:rPr>
          <w:t>https://www.who.int/news-room/fact-sheets/detail/noncommunicable-diseases</w:t>
        </w:r>
      </w:hyperlink>
      <w:r w:rsidR="006B08D4" w:rsidRPr="006B08D4">
        <w:rPr>
          <w:rFonts w:ascii="Arial" w:hAnsi="Arial" w:cs="Arial"/>
          <w:sz w:val="22"/>
          <w:szCs w:val="22"/>
        </w:rPr>
        <w:t xml:space="preserve"> </w:t>
      </w:r>
      <w:r w:rsidRPr="006B08D4">
        <w:rPr>
          <w:rFonts w:ascii="Arial" w:hAnsi="Arial" w:cs="Arial"/>
          <w:sz w:val="22"/>
          <w:szCs w:val="22"/>
        </w:rPr>
        <w:t>(Accessed: 29 July 2026).</w:t>
      </w:r>
    </w:p>
    <w:p w14:paraId="237B7963" w14:textId="0D9A256B" w:rsidR="0010211C" w:rsidRPr="006B08D4" w:rsidRDefault="0010211C" w:rsidP="0010211C">
      <w:pPr>
        <w:rPr>
          <w:rFonts w:ascii="Arial" w:hAnsi="Arial" w:cs="Arial"/>
          <w:sz w:val="22"/>
          <w:szCs w:val="22"/>
        </w:rPr>
      </w:pPr>
      <w:r w:rsidRPr="006B08D4">
        <w:rPr>
          <w:rFonts w:ascii="Arial" w:hAnsi="Arial" w:cs="Arial"/>
          <w:sz w:val="22"/>
          <w:szCs w:val="22"/>
        </w:rPr>
        <w:t xml:space="preserve">WHO (2023) </w:t>
      </w:r>
      <w:r w:rsidRPr="006B08D4">
        <w:rPr>
          <w:rFonts w:ascii="Arial" w:hAnsi="Arial" w:cs="Arial"/>
          <w:i/>
          <w:iCs/>
          <w:sz w:val="22"/>
          <w:szCs w:val="22"/>
        </w:rPr>
        <w:t>Air pollution</w:t>
      </w:r>
      <w:r w:rsidRPr="006B08D4">
        <w:rPr>
          <w:rFonts w:ascii="Arial" w:hAnsi="Arial" w:cs="Arial"/>
          <w:sz w:val="22"/>
          <w:szCs w:val="22"/>
        </w:rPr>
        <w:t xml:space="preserve">. Available at: </w:t>
      </w:r>
      <w:hyperlink r:id="rId41" w:history="1">
        <w:r w:rsidR="006B08D4" w:rsidRPr="006B08D4">
          <w:rPr>
            <w:rStyle w:val="Hyperlink"/>
            <w:rFonts w:ascii="Arial" w:hAnsi="Arial" w:cs="Arial"/>
            <w:sz w:val="22"/>
            <w:szCs w:val="22"/>
          </w:rPr>
          <w:t>https://www.who.int/health-topics/air-pollution</w:t>
        </w:r>
      </w:hyperlink>
      <w:r w:rsidR="006B08D4" w:rsidRPr="006B08D4">
        <w:rPr>
          <w:rFonts w:ascii="Arial" w:hAnsi="Arial" w:cs="Arial"/>
          <w:sz w:val="22"/>
          <w:szCs w:val="22"/>
        </w:rPr>
        <w:t xml:space="preserve"> </w:t>
      </w:r>
      <w:r w:rsidRPr="006B08D4">
        <w:rPr>
          <w:rFonts w:ascii="Arial" w:hAnsi="Arial" w:cs="Arial"/>
          <w:sz w:val="22"/>
          <w:szCs w:val="22"/>
        </w:rPr>
        <w:t>(Accessed: 29 July 2026).</w:t>
      </w:r>
    </w:p>
    <w:p w14:paraId="52EC9CF0" w14:textId="06866704" w:rsidR="0010211C" w:rsidRPr="006B08D4" w:rsidRDefault="0010211C" w:rsidP="0010211C">
      <w:pPr>
        <w:rPr>
          <w:rFonts w:ascii="Arial" w:hAnsi="Arial" w:cs="Arial"/>
          <w:sz w:val="22"/>
          <w:szCs w:val="22"/>
        </w:rPr>
      </w:pPr>
      <w:r w:rsidRPr="006B08D4">
        <w:rPr>
          <w:rFonts w:ascii="Arial" w:hAnsi="Arial" w:cs="Arial"/>
          <w:sz w:val="22"/>
          <w:szCs w:val="22"/>
        </w:rPr>
        <w:t xml:space="preserve">World Bank (2021) </w:t>
      </w:r>
      <w:r w:rsidRPr="006B08D4">
        <w:rPr>
          <w:rFonts w:ascii="Arial" w:hAnsi="Arial" w:cs="Arial"/>
          <w:i/>
          <w:iCs/>
          <w:sz w:val="22"/>
          <w:szCs w:val="22"/>
        </w:rPr>
        <w:t>Urban development overview</w:t>
      </w:r>
      <w:r w:rsidRPr="006B08D4">
        <w:rPr>
          <w:rFonts w:ascii="Arial" w:hAnsi="Arial" w:cs="Arial"/>
          <w:sz w:val="22"/>
          <w:szCs w:val="22"/>
        </w:rPr>
        <w:t xml:space="preserve">. Available at: </w:t>
      </w:r>
      <w:hyperlink r:id="rId42" w:history="1">
        <w:r w:rsidR="006B08D4" w:rsidRPr="006B08D4">
          <w:rPr>
            <w:rStyle w:val="Hyperlink"/>
            <w:rFonts w:ascii="Arial" w:hAnsi="Arial" w:cs="Arial"/>
            <w:sz w:val="22"/>
            <w:szCs w:val="22"/>
          </w:rPr>
          <w:t>https://www.worldbank.org/en/topic/urbandevelopment</w:t>
        </w:r>
      </w:hyperlink>
      <w:r w:rsidR="006B08D4" w:rsidRPr="006B08D4">
        <w:rPr>
          <w:rFonts w:ascii="Arial" w:hAnsi="Arial" w:cs="Arial"/>
          <w:sz w:val="22"/>
          <w:szCs w:val="22"/>
        </w:rPr>
        <w:t xml:space="preserve"> </w:t>
      </w:r>
      <w:r w:rsidRPr="006B08D4">
        <w:rPr>
          <w:rFonts w:ascii="Arial" w:hAnsi="Arial" w:cs="Arial"/>
          <w:sz w:val="22"/>
          <w:szCs w:val="22"/>
        </w:rPr>
        <w:t>(Accessed: 29 July 2026).</w:t>
      </w:r>
    </w:p>
    <w:p w14:paraId="5A4D7216" w14:textId="4D5A7DC9" w:rsidR="0010211C" w:rsidRPr="006B08D4" w:rsidRDefault="0010211C" w:rsidP="0010211C">
      <w:pPr>
        <w:rPr>
          <w:rFonts w:ascii="Arial" w:hAnsi="Arial" w:cs="Arial"/>
          <w:sz w:val="22"/>
          <w:szCs w:val="22"/>
        </w:rPr>
      </w:pPr>
      <w:r w:rsidRPr="006B08D4">
        <w:rPr>
          <w:rFonts w:ascii="Arial" w:hAnsi="Arial" w:cs="Arial"/>
          <w:sz w:val="22"/>
          <w:szCs w:val="22"/>
        </w:rPr>
        <w:t xml:space="preserve">Zero Emission Vehicle Mandate (2024) </w:t>
      </w:r>
      <w:r w:rsidRPr="006B08D4">
        <w:rPr>
          <w:rFonts w:ascii="Arial" w:hAnsi="Arial" w:cs="Arial"/>
          <w:i/>
          <w:iCs/>
          <w:sz w:val="22"/>
          <w:szCs w:val="22"/>
        </w:rPr>
        <w:t>UK Zero Emission Vehicle Mandate</w:t>
      </w:r>
      <w:r w:rsidRPr="006B08D4">
        <w:rPr>
          <w:rFonts w:ascii="Arial" w:hAnsi="Arial" w:cs="Arial"/>
          <w:sz w:val="22"/>
          <w:szCs w:val="22"/>
        </w:rPr>
        <w:t xml:space="preserve">. Available at: </w:t>
      </w:r>
      <w:hyperlink r:id="rId43" w:history="1">
        <w:r w:rsidR="006B08D4" w:rsidRPr="006B08D4">
          <w:rPr>
            <w:rStyle w:val="Hyperlink"/>
            <w:rFonts w:ascii="Arial" w:hAnsi="Arial" w:cs="Arial"/>
            <w:sz w:val="22"/>
            <w:szCs w:val="22"/>
          </w:rPr>
          <w:t>https://www.gov.uk/government/publications/zero-emission-vehicle-mandate</w:t>
        </w:r>
      </w:hyperlink>
      <w:r w:rsidR="006B08D4" w:rsidRPr="006B08D4">
        <w:rPr>
          <w:rFonts w:ascii="Arial" w:hAnsi="Arial" w:cs="Arial"/>
          <w:sz w:val="22"/>
          <w:szCs w:val="22"/>
        </w:rPr>
        <w:t xml:space="preserve"> </w:t>
      </w:r>
      <w:r w:rsidRPr="006B08D4">
        <w:rPr>
          <w:rFonts w:ascii="Arial" w:hAnsi="Arial" w:cs="Arial"/>
          <w:sz w:val="22"/>
          <w:szCs w:val="22"/>
        </w:rPr>
        <w:t xml:space="preserve"> (Accessed: 29 July 2026).</w:t>
      </w:r>
    </w:p>
    <w:p w14:paraId="7CC97F56" w14:textId="77777777" w:rsidR="001656BB" w:rsidRPr="006B08D4" w:rsidRDefault="001656BB" w:rsidP="0010211C">
      <w:pPr>
        <w:rPr>
          <w:rFonts w:ascii="Arial" w:hAnsi="Arial" w:cs="Arial"/>
          <w:sz w:val="22"/>
          <w:szCs w:val="22"/>
        </w:rPr>
      </w:pPr>
    </w:p>
    <w:sectPr w:rsidR="001656BB" w:rsidRPr="006B08D4">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5A9906" w14:textId="77777777" w:rsidR="00C36F2B" w:rsidRDefault="00C36F2B" w:rsidP="00711812">
      <w:pPr>
        <w:spacing w:after="0" w:line="240" w:lineRule="auto"/>
      </w:pPr>
      <w:r>
        <w:separator/>
      </w:r>
    </w:p>
  </w:endnote>
  <w:endnote w:type="continuationSeparator" w:id="0">
    <w:p w14:paraId="7B92E14D" w14:textId="77777777" w:rsidR="00C36F2B" w:rsidRDefault="00C36F2B" w:rsidP="007118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137949"/>
      <w:docPartObj>
        <w:docPartGallery w:val="Page Numbers (Bottom of Page)"/>
        <w:docPartUnique/>
      </w:docPartObj>
    </w:sdtPr>
    <w:sdtEndPr>
      <w:rPr>
        <w:noProof/>
      </w:rPr>
    </w:sdtEndPr>
    <w:sdtContent>
      <w:p w14:paraId="279D63FA" w14:textId="0E34424E" w:rsidR="00711812" w:rsidRDefault="007118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95BF10" w14:textId="77777777" w:rsidR="00711812" w:rsidRDefault="007118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D7D752" w14:textId="77777777" w:rsidR="00C36F2B" w:rsidRDefault="00C36F2B" w:rsidP="00711812">
      <w:pPr>
        <w:spacing w:after="0" w:line="240" w:lineRule="auto"/>
      </w:pPr>
      <w:r>
        <w:separator/>
      </w:r>
    </w:p>
  </w:footnote>
  <w:footnote w:type="continuationSeparator" w:id="0">
    <w:p w14:paraId="5EEB635A" w14:textId="77777777" w:rsidR="00C36F2B" w:rsidRDefault="00C36F2B" w:rsidP="007118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C075F"/>
    <w:multiLevelType w:val="multilevel"/>
    <w:tmpl w:val="EBEC7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952035"/>
    <w:multiLevelType w:val="multilevel"/>
    <w:tmpl w:val="7A3CE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FD85AA1"/>
    <w:multiLevelType w:val="hybridMultilevel"/>
    <w:tmpl w:val="6C905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3389255">
    <w:abstractNumId w:val="1"/>
  </w:num>
  <w:num w:numId="2" w16cid:durableId="1297644219">
    <w:abstractNumId w:val="0"/>
  </w:num>
  <w:num w:numId="3" w16cid:durableId="1448548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6BB"/>
    <w:rsid w:val="00036C43"/>
    <w:rsid w:val="0010211C"/>
    <w:rsid w:val="001656BB"/>
    <w:rsid w:val="00306344"/>
    <w:rsid w:val="004666C2"/>
    <w:rsid w:val="004725CD"/>
    <w:rsid w:val="0048224B"/>
    <w:rsid w:val="00534DD8"/>
    <w:rsid w:val="006B08D4"/>
    <w:rsid w:val="00711812"/>
    <w:rsid w:val="0073372B"/>
    <w:rsid w:val="00C36F2B"/>
    <w:rsid w:val="00C768D0"/>
    <w:rsid w:val="00D167E8"/>
    <w:rsid w:val="00EC616A"/>
    <w:rsid w:val="00EE2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2E264"/>
  <w15:chartTrackingRefBased/>
  <w15:docId w15:val="{DAD2C491-CECB-4C29-BAFD-7173BF25F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6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656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656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56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56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56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56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56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56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6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656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656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56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56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56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56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56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56BB"/>
    <w:rPr>
      <w:rFonts w:eastAsiaTheme="majorEastAsia" w:cstheme="majorBidi"/>
      <w:color w:val="272727" w:themeColor="text1" w:themeTint="D8"/>
    </w:rPr>
  </w:style>
  <w:style w:type="paragraph" w:styleId="Title">
    <w:name w:val="Title"/>
    <w:basedOn w:val="Normal"/>
    <w:next w:val="Normal"/>
    <w:link w:val="TitleChar"/>
    <w:uiPriority w:val="10"/>
    <w:qFormat/>
    <w:rsid w:val="001656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56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56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56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56BB"/>
    <w:pPr>
      <w:spacing w:before="160"/>
      <w:jc w:val="center"/>
    </w:pPr>
    <w:rPr>
      <w:i/>
      <w:iCs/>
      <w:color w:val="404040" w:themeColor="text1" w:themeTint="BF"/>
    </w:rPr>
  </w:style>
  <w:style w:type="character" w:customStyle="1" w:styleId="QuoteChar">
    <w:name w:val="Quote Char"/>
    <w:basedOn w:val="DefaultParagraphFont"/>
    <w:link w:val="Quote"/>
    <w:uiPriority w:val="29"/>
    <w:rsid w:val="001656BB"/>
    <w:rPr>
      <w:i/>
      <w:iCs/>
      <w:color w:val="404040" w:themeColor="text1" w:themeTint="BF"/>
    </w:rPr>
  </w:style>
  <w:style w:type="paragraph" w:styleId="ListParagraph">
    <w:name w:val="List Paragraph"/>
    <w:basedOn w:val="Normal"/>
    <w:uiPriority w:val="34"/>
    <w:qFormat/>
    <w:rsid w:val="001656BB"/>
    <w:pPr>
      <w:ind w:left="720"/>
      <w:contextualSpacing/>
    </w:pPr>
  </w:style>
  <w:style w:type="character" w:styleId="IntenseEmphasis">
    <w:name w:val="Intense Emphasis"/>
    <w:basedOn w:val="DefaultParagraphFont"/>
    <w:uiPriority w:val="21"/>
    <w:qFormat/>
    <w:rsid w:val="001656BB"/>
    <w:rPr>
      <w:i/>
      <w:iCs/>
      <w:color w:val="0F4761" w:themeColor="accent1" w:themeShade="BF"/>
    </w:rPr>
  </w:style>
  <w:style w:type="paragraph" w:styleId="IntenseQuote">
    <w:name w:val="Intense Quote"/>
    <w:basedOn w:val="Normal"/>
    <w:next w:val="Normal"/>
    <w:link w:val="IntenseQuoteChar"/>
    <w:uiPriority w:val="30"/>
    <w:qFormat/>
    <w:rsid w:val="001656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56BB"/>
    <w:rPr>
      <w:i/>
      <w:iCs/>
      <w:color w:val="0F4761" w:themeColor="accent1" w:themeShade="BF"/>
    </w:rPr>
  </w:style>
  <w:style w:type="character" w:styleId="IntenseReference">
    <w:name w:val="Intense Reference"/>
    <w:basedOn w:val="DefaultParagraphFont"/>
    <w:uiPriority w:val="32"/>
    <w:qFormat/>
    <w:rsid w:val="001656BB"/>
    <w:rPr>
      <w:b/>
      <w:bCs/>
      <w:smallCaps/>
      <w:color w:val="0F4761" w:themeColor="accent1" w:themeShade="BF"/>
      <w:spacing w:val="5"/>
    </w:rPr>
  </w:style>
  <w:style w:type="character" w:styleId="Hyperlink">
    <w:name w:val="Hyperlink"/>
    <w:basedOn w:val="DefaultParagraphFont"/>
    <w:uiPriority w:val="99"/>
    <w:unhideWhenUsed/>
    <w:rsid w:val="00D167E8"/>
    <w:rPr>
      <w:color w:val="467886" w:themeColor="hyperlink"/>
      <w:u w:val="single"/>
    </w:rPr>
  </w:style>
  <w:style w:type="character" w:styleId="UnresolvedMention">
    <w:name w:val="Unresolved Mention"/>
    <w:basedOn w:val="DefaultParagraphFont"/>
    <w:uiPriority w:val="99"/>
    <w:semiHidden/>
    <w:unhideWhenUsed/>
    <w:rsid w:val="00D167E8"/>
    <w:rPr>
      <w:color w:val="605E5C"/>
      <w:shd w:val="clear" w:color="auto" w:fill="E1DFDD"/>
    </w:rPr>
  </w:style>
  <w:style w:type="paragraph" w:styleId="NoSpacing">
    <w:name w:val="No Spacing"/>
    <w:link w:val="NoSpacingChar"/>
    <w:uiPriority w:val="1"/>
    <w:qFormat/>
    <w:rsid w:val="004666C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666C2"/>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666C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666C2"/>
    <w:pPr>
      <w:spacing w:after="100"/>
    </w:pPr>
  </w:style>
  <w:style w:type="paragraph" w:styleId="TOC2">
    <w:name w:val="toc 2"/>
    <w:basedOn w:val="Normal"/>
    <w:next w:val="Normal"/>
    <w:autoRedefine/>
    <w:uiPriority w:val="39"/>
    <w:unhideWhenUsed/>
    <w:rsid w:val="004666C2"/>
    <w:pPr>
      <w:spacing w:after="100"/>
      <w:ind w:left="240"/>
    </w:pPr>
  </w:style>
  <w:style w:type="paragraph" w:styleId="Header">
    <w:name w:val="header"/>
    <w:basedOn w:val="Normal"/>
    <w:link w:val="HeaderChar"/>
    <w:uiPriority w:val="99"/>
    <w:unhideWhenUsed/>
    <w:rsid w:val="007118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1812"/>
  </w:style>
  <w:style w:type="paragraph" w:styleId="Footer">
    <w:name w:val="footer"/>
    <w:basedOn w:val="Normal"/>
    <w:link w:val="FooterChar"/>
    <w:uiPriority w:val="99"/>
    <w:unhideWhenUsed/>
    <w:rsid w:val="007118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18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organisations/department-for-transport" TargetMode="External"/><Relationship Id="rId18" Type="http://schemas.openxmlformats.org/officeDocument/2006/relationships/hyperlink" Target="https://www.local.gov.uk" TargetMode="External"/><Relationship Id="rId26" Type="http://schemas.openxmlformats.org/officeDocument/2006/relationships/hyperlink" Target="https://www.gov.uk/government/publications/social-isolation-and-community-wellbeing" TargetMode="External"/><Relationship Id="rId39" Type="http://schemas.openxmlformats.org/officeDocument/2006/relationships/hyperlink" Target="https://www.who.int/publications/i/item/9789240064898" TargetMode="External"/><Relationship Id="rId21" Type="http://schemas.openxmlformats.org/officeDocument/2006/relationships/hyperlink" Target="https://www.gov.uk/government/organisations/natural-england" TargetMode="External"/><Relationship Id="rId34" Type="http://schemas.openxmlformats.org/officeDocument/2006/relationships/hyperlink" Target="https://tfl.gov.uk/corporate/about-tfl/how-we-work/planning-for-the-future/healthy-streets" TargetMode="External"/><Relationship Id="rId42" Type="http://schemas.openxmlformats.org/officeDocument/2006/relationships/hyperlink" Target="https://www.worldbank.org/en/topic/urbandevelopment"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instituteofhealthequity.org/resources-reports/marmot-review-10-years-on" TargetMode="External"/><Relationship Id="rId29" Type="http://schemas.openxmlformats.org/officeDocument/2006/relationships/hyperlink" Target="https://www.rtpi.org.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clean-air-strategy-2019" TargetMode="External"/><Relationship Id="rId24" Type="http://schemas.openxmlformats.org/officeDocument/2006/relationships/hyperlink" Target="https://www.england.nhs.uk/screening" TargetMode="External"/><Relationship Id="rId32" Type="http://schemas.openxmlformats.org/officeDocument/2006/relationships/hyperlink" Target="https://www.legislation.gov.uk/ukpga/2023/31/contents/enacted" TargetMode="External"/><Relationship Id="rId37" Type="http://schemas.openxmlformats.org/officeDocument/2006/relationships/hyperlink" Target="https://sdgs.un.org/2030agenda" TargetMode="External"/><Relationship Id="rId40" Type="http://schemas.openxmlformats.org/officeDocument/2006/relationships/hyperlink" Target="https://www.who.int/news-room/fact-sheets/detail/noncommunicable-diseases"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mj.com/content/371/bmj.m3945" TargetMode="External"/><Relationship Id="rId23" Type="http://schemas.openxmlformats.org/officeDocument/2006/relationships/hyperlink" Target="https://www.longtermplan.nhs.uk" TargetMode="External"/><Relationship Id="rId28" Type="http://schemas.openxmlformats.org/officeDocument/2006/relationships/hyperlink" Target="https://www.rcplondon.ac.uk/projects/outputs/every-breath-we-take-lifelong-impact-air-pollution" TargetMode="External"/><Relationship Id="rId36" Type="http://schemas.openxmlformats.org/officeDocument/2006/relationships/hyperlink" Target="https://data.unicef.org/topic/child-survival/under-five-mortality" TargetMode="External"/><Relationship Id="rId10" Type="http://schemas.openxmlformats.org/officeDocument/2006/relationships/hyperlink" Target="https://www.circularcommunities.scot" TargetMode="External"/><Relationship Id="rId19" Type="http://schemas.openxmlformats.org/officeDocument/2006/relationships/hyperlink" Target="https://www.london.gov.uk" TargetMode="External"/><Relationship Id="rId31" Type="http://schemas.openxmlformats.org/officeDocument/2006/relationships/hyperlink" Target="https://www.lta.gov.sg"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ctivetravelengland.gov.uk" TargetMode="External"/><Relationship Id="rId14" Type="http://schemas.openxmlformats.org/officeDocument/2006/relationships/hyperlink" Target="https://www.gov.uk/government/organisations/department-of-health-and-social-care" TargetMode="External"/><Relationship Id="rId22" Type="http://schemas.openxmlformats.org/officeDocument/2006/relationships/hyperlink" Target="https://digital.nhs.uk/services/nhs-app" TargetMode="External"/><Relationship Id="rId27" Type="http://schemas.openxmlformats.org/officeDocument/2006/relationships/hyperlink" Target="https://www.gov.uk/government/collections/health-inequalities" TargetMode="External"/><Relationship Id="rId30" Type="http://schemas.openxmlformats.org/officeDocument/2006/relationships/hyperlink" Target="https://www.shelter.org.uk" TargetMode="External"/><Relationship Id="rId35" Type="http://schemas.openxmlformats.org/officeDocument/2006/relationships/hyperlink" Target="https://unhabitat.org/world-cities-report" TargetMode="External"/><Relationship Id="rId43" Type="http://schemas.openxmlformats.org/officeDocument/2006/relationships/hyperlink" Target="https://www.gov.uk/government/publications/zero-emission-vehicle-mandate" TargetMode="External"/><Relationship Id="rId8" Type="http://schemas.openxmlformats.org/officeDocument/2006/relationships/image" Target="cid:image001.png@01D0EA4A.2BD679A0" TargetMode="External"/><Relationship Id="rId3" Type="http://schemas.openxmlformats.org/officeDocument/2006/relationships/settings" Target="settings.xml"/><Relationship Id="rId12" Type="http://schemas.openxmlformats.org/officeDocument/2006/relationships/hyperlink" Target="https://www.gov.uk/government/collections/air-quality-and-emissions-statistics" TargetMode="External"/><Relationship Id="rId17" Type="http://schemas.openxmlformats.org/officeDocument/2006/relationships/hyperlink" Target="https://www.local.gov.uk" TargetMode="External"/><Relationship Id="rId25" Type="http://schemas.openxmlformats.org/officeDocument/2006/relationships/hyperlink" Target="https://transform.england.nhs.uk" TargetMode="External"/><Relationship Id="rId33" Type="http://schemas.openxmlformats.org/officeDocument/2006/relationships/hyperlink" Target="https://www.sustainweb.org" TargetMode="External"/><Relationship Id="rId38" Type="http://schemas.openxmlformats.org/officeDocument/2006/relationships/hyperlink" Target="https://www.who.int/about/governance/constitution" TargetMode="External"/><Relationship Id="rId46" Type="http://schemas.openxmlformats.org/officeDocument/2006/relationships/theme" Target="theme/theme1.xml"/><Relationship Id="rId20" Type="http://schemas.openxmlformats.org/officeDocument/2006/relationships/hyperlink" Target="https://bjgp.org/content/71/703/e320" TargetMode="External"/><Relationship Id="rId41" Type="http://schemas.openxmlformats.org/officeDocument/2006/relationships/hyperlink" Target="https://www.who.int/health-topics/air-pollu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3964</Words>
  <Characters>22595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Vlasitchi (2314633)</dc:creator>
  <cp:keywords/>
  <dc:description/>
  <cp:lastModifiedBy>Elena Vlasitchi (2314633)</cp:lastModifiedBy>
  <cp:revision>2</cp:revision>
  <dcterms:created xsi:type="dcterms:W3CDTF">2026-08-07T12:55:00Z</dcterms:created>
  <dcterms:modified xsi:type="dcterms:W3CDTF">2026-08-07T12:55:00Z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01d707b1-637a-426d-9b0c-b9ba0e78aa86</vt:lpwstr>
  </property>
</Properties>
</file>