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94DDE" w14:textId="4F2F9E81" w:rsidR="00F040A6" w:rsidRDefault="00000000">
      <w:pPr>
        <w:jc w:val="center"/>
      </w:pPr>
      <w:r>
        <w:rPr>
          <w:b/>
          <w:sz w:val="32"/>
        </w:rPr>
        <w:t>Finance for Business Managers (</w:t>
      </w:r>
      <w:r w:rsidR="0017361F" w:rsidRPr="0017361F">
        <w:rPr>
          <w:b/>
          <w:sz w:val="32"/>
        </w:rPr>
        <w:t>BMMB7005 / BMMB7005D</w:t>
      </w:r>
      <w:r>
        <w:rPr>
          <w:b/>
          <w:sz w:val="32"/>
        </w:rPr>
        <w:t>) – Business Report to the Directors</w:t>
      </w:r>
    </w:p>
    <w:p w14:paraId="55FD1EAE" w14:textId="77777777" w:rsidR="00F040A6" w:rsidRDefault="00000000">
      <w:pPr>
        <w:jc w:val="center"/>
      </w:pPr>
      <w:r>
        <w:rPr>
          <w:i/>
        </w:rPr>
        <w:t>Part 1: Tesco plc (Ratio Analysis FY2023–FY2024) | Part 2: Westward plc (Investment Appraisal)</w:t>
      </w:r>
    </w:p>
    <w:p w14:paraId="525D73D6" w14:textId="060F99F4" w:rsidR="00F0298C" w:rsidRDefault="00E824B8" w:rsidP="00E824B8">
      <w:pPr>
        <w:spacing w:line="480" w:lineRule="auto"/>
        <w:rPr>
          <w:rFonts w:ascii="Arial" w:hAnsi="Arial" w:cs="Arial"/>
          <w:b/>
          <w:bCs/>
          <w:sz w:val="24"/>
          <w:szCs w:val="24"/>
        </w:rPr>
      </w:pPr>
      <w:r w:rsidRPr="00B14779">
        <w:rPr>
          <w:rFonts w:ascii="Arial" w:hAnsi="Arial" w:cs="Arial"/>
          <w:b/>
          <w:bCs/>
          <w:sz w:val="24"/>
          <w:szCs w:val="24"/>
        </w:rPr>
        <w:t>Name: Sime Khanom</w:t>
      </w:r>
      <w:r w:rsidRPr="00B14779">
        <w:rPr>
          <w:rFonts w:ascii="Arial" w:hAnsi="Arial" w:cs="Arial"/>
          <w:b/>
          <w:bCs/>
          <w:sz w:val="24"/>
          <w:szCs w:val="24"/>
        </w:rPr>
        <w:br/>
        <w:t>Student ID: 2512608</w:t>
      </w:r>
      <w:r w:rsidRPr="00B14779">
        <w:rPr>
          <w:rFonts w:ascii="Arial" w:hAnsi="Arial" w:cs="Arial"/>
          <w:b/>
          <w:bCs/>
          <w:sz w:val="24"/>
          <w:szCs w:val="24"/>
        </w:rPr>
        <w:br/>
        <w:t xml:space="preserve">Module Code: </w:t>
      </w:r>
      <w:r w:rsidR="0017361F" w:rsidRPr="0017361F">
        <w:rPr>
          <w:rFonts w:ascii="Arial" w:hAnsi="Arial" w:cs="Arial"/>
          <w:b/>
          <w:bCs/>
          <w:sz w:val="24"/>
          <w:szCs w:val="24"/>
        </w:rPr>
        <w:t>BMMB7005 / BMMB7005D</w:t>
      </w:r>
      <w:r w:rsidR="00F0298C">
        <w:rPr>
          <w:rFonts w:ascii="Arial" w:hAnsi="Arial" w:cs="Arial"/>
          <w:b/>
          <w:bCs/>
          <w:sz w:val="24"/>
          <w:szCs w:val="24"/>
        </w:rPr>
        <w:br/>
        <w:t xml:space="preserve">Title: </w:t>
      </w:r>
      <w:r w:rsidR="00F0298C" w:rsidRPr="00F0298C">
        <w:rPr>
          <w:rFonts w:ascii="Arial" w:hAnsi="Arial" w:cs="Arial"/>
          <w:b/>
          <w:bCs/>
          <w:sz w:val="24"/>
          <w:szCs w:val="24"/>
        </w:rPr>
        <w:t>Finance for Business Managers</w:t>
      </w:r>
    </w:p>
    <w:p w14:paraId="61340EF1" w14:textId="77777777" w:rsidR="00C84313" w:rsidRDefault="00C84313" w:rsidP="00E824B8">
      <w:pPr>
        <w:spacing w:line="480" w:lineRule="auto"/>
        <w:rPr>
          <w:rFonts w:ascii="Arial" w:hAnsi="Arial" w:cs="Arial"/>
          <w:b/>
          <w:bCs/>
          <w:sz w:val="24"/>
          <w:szCs w:val="24"/>
        </w:rPr>
      </w:pPr>
    </w:p>
    <w:sdt>
      <w:sdtPr>
        <w:rPr>
          <w:rFonts w:asciiTheme="minorHAnsi" w:eastAsiaTheme="minorEastAsia" w:hAnsiTheme="minorHAnsi" w:cstheme="minorBidi"/>
          <w:b w:val="0"/>
          <w:bCs w:val="0"/>
          <w:color w:val="auto"/>
          <w:sz w:val="22"/>
          <w:szCs w:val="22"/>
        </w:rPr>
        <w:id w:val="805049861"/>
        <w:docPartObj>
          <w:docPartGallery w:val="Table of Contents"/>
          <w:docPartUnique/>
        </w:docPartObj>
      </w:sdtPr>
      <w:sdtEndPr>
        <w:rPr>
          <w:noProof/>
        </w:rPr>
      </w:sdtEndPr>
      <w:sdtContent>
        <w:p w14:paraId="0711EB02" w14:textId="1B543171" w:rsidR="00C84313" w:rsidRDefault="00C84313">
          <w:pPr>
            <w:pStyle w:val="TOCHeading"/>
          </w:pPr>
          <w:r>
            <w:t>Contents</w:t>
          </w:r>
        </w:p>
        <w:p w14:paraId="4D8AABAE" w14:textId="5CE798A9" w:rsidR="00423781" w:rsidRDefault="00C84313">
          <w:pPr>
            <w:pStyle w:val="TOC1"/>
            <w:tabs>
              <w:tab w:val="right" w:leader="dot" w:pos="8630"/>
            </w:tabs>
            <w:rPr>
              <w:noProof/>
              <w:kern w:val="2"/>
              <w:sz w:val="24"/>
              <w:szCs w:val="24"/>
              <w:lang w:val="en-IN" w:eastAsia="en-IN"/>
              <w14:ligatures w14:val="standardContextual"/>
            </w:rPr>
          </w:pPr>
          <w:r>
            <w:fldChar w:fldCharType="begin"/>
          </w:r>
          <w:r>
            <w:instrText xml:space="preserve"> TOC \o "1-3" \h \z \u </w:instrText>
          </w:r>
          <w:r>
            <w:fldChar w:fldCharType="separate"/>
          </w:r>
          <w:hyperlink w:anchor="_Toc219036385" w:history="1">
            <w:r w:rsidR="00423781" w:rsidRPr="00425BCD">
              <w:rPr>
                <w:rStyle w:val="Hyperlink"/>
                <w:noProof/>
              </w:rPr>
              <w:t>Part 1 – Business Report to the Directors of Tesco plc</w:t>
            </w:r>
            <w:r w:rsidR="00423781">
              <w:rPr>
                <w:noProof/>
                <w:webHidden/>
              </w:rPr>
              <w:tab/>
            </w:r>
            <w:r w:rsidR="00423781">
              <w:rPr>
                <w:noProof/>
                <w:webHidden/>
              </w:rPr>
              <w:fldChar w:fldCharType="begin"/>
            </w:r>
            <w:r w:rsidR="00423781">
              <w:rPr>
                <w:noProof/>
                <w:webHidden/>
              </w:rPr>
              <w:instrText xml:space="preserve"> PAGEREF _Toc219036385 \h </w:instrText>
            </w:r>
            <w:r w:rsidR="00423781">
              <w:rPr>
                <w:noProof/>
                <w:webHidden/>
              </w:rPr>
            </w:r>
            <w:r w:rsidR="00423781">
              <w:rPr>
                <w:noProof/>
                <w:webHidden/>
              </w:rPr>
              <w:fldChar w:fldCharType="separate"/>
            </w:r>
            <w:r w:rsidR="00423781">
              <w:rPr>
                <w:noProof/>
                <w:webHidden/>
              </w:rPr>
              <w:t>3</w:t>
            </w:r>
            <w:r w:rsidR="00423781">
              <w:rPr>
                <w:noProof/>
                <w:webHidden/>
              </w:rPr>
              <w:fldChar w:fldCharType="end"/>
            </w:r>
          </w:hyperlink>
        </w:p>
        <w:p w14:paraId="5BE920A7" w14:textId="7BC6D164" w:rsidR="00423781" w:rsidRDefault="00423781">
          <w:pPr>
            <w:pStyle w:val="TOC1"/>
            <w:tabs>
              <w:tab w:val="right" w:leader="dot" w:pos="8630"/>
            </w:tabs>
            <w:rPr>
              <w:noProof/>
              <w:kern w:val="2"/>
              <w:sz w:val="24"/>
              <w:szCs w:val="24"/>
              <w:lang w:val="en-IN" w:eastAsia="en-IN"/>
              <w14:ligatures w14:val="standardContextual"/>
            </w:rPr>
          </w:pPr>
          <w:hyperlink w:anchor="_Toc219036386" w:history="1">
            <w:r w:rsidRPr="00425BCD">
              <w:rPr>
                <w:rStyle w:val="Hyperlink"/>
                <w:noProof/>
              </w:rPr>
              <w:t>Introduction</w:t>
            </w:r>
            <w:r>
              <w:rPr>
                <w:noProof/>
                <w:webHidden/>
              </w:rPr>
              <w:tab/>
            </w:r>
            <w:r>
              <w:rPr>
                <w:noProof/>
                <w:webHidden/>
              </w:rPr>
              <w:fldChar w:fldCharType="begin"/>
            </w:r>
            <w:r>
              <w:rPr>
                <w:noProof/>
                <w:webHidden/>
              </w:rPr>
              <w:instrText xml:space="preserve"> PAGEREF _Toc219036386 \h </w:instrText>
            </w:r>
            <w:r>
              <w:rPr>
                <w:noProof/>
                <w:webHidden/>
              </w:rPr>
            </w:r>
            <w:r>
              <w:rPr>
                <w:noProof/>
                <w:webHidden/>
              </w:rPr>
              <w:fldChar w:fldCharType="separate"/>
            </w:r>
            <w:r>
              <w:rPr>
                <w:noProof/>
                <w:webHidden/>
              </w:rPr>
              <w:t>3</w:t>
            </w:r>
            <w:r>
              <w:rPr>
                <w:noProof/>
                <w:webHidden/>
              </w:rPr>
              <w:fldChar w:fldCharType="end"/>
            </w:r>
          </w:hyperlink>
        </w:p>
        <w:p w14:paraId="19969CD5" w14:textId="01741FA8"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387" w:history="1">
            <w:r w:rsidRPr="00425BCD">
              <w:rPr>
                <w:rStyle w:val="Hyperlink"/>
                <w:noProof/>
              </w:rPr>
              <w:t>1.</w:t>
            </w:r>
            <w:r>
              <w:rPr>
                <w:noProof/>
                <w:kern w:val="2"/>
                <w:sz w:val="24"/>
                <w:szCs w:val="24"/>
                <w:lang w:val="en-IN" w:eastAsia="en-IN"/>
                <w14:ligatures w14:val="standardContextual"/>
              </w:rPr>
              <w:tab/>
            </w:r>
            <w:r w:rsidRPr="00425BCD">
              <w:rPr>
                <w:rStyle w:val="Hyperlink"/>
                <w:noProof/>
              </w:rPr>
              <w:t>Financial Statements Used and Data Extraction</w:t>
            </w:r>
            <w:r>
              <w:rPr>
                <w:noProof/>
                <w:webHidden/>
              </w:rPr>
              <w:tab/>
            </w:r>
            <w:r>
              <w:rPr>
                <w:noProof/>
                <w:webHidden/>
              </w:rPr>
              <w:fldChar w:fldCharType="begin"/>
            </w:r>
            <w:r>
              <w:rPr>
                <w:noProof/>
                <w:webHidden/>
              </w:rPr>
              <w:instrText xml:space="preserve"> PAGEREF _Toc219036387 \h </w:instrText>
            </w:r>
            <w:r>
              <w:rPr>
                <w:noProof/>
                <w:webHidden/>
              </w:rPr>
            </w:r>
            <w:r>
              <w:rPr>
                <w:noProof/>
                <w:webHidden/>
              </w:rPr>
              <w:fldChar w:fldCharType="separate"/>
            </w:r>
            <w:r>
              <w:rPr>
                <w:noProof/>
                <w:webHidden/>
              </w:rPr>
              <w:t>4</w:t>
            </w:r>
            <w:r>
              <w:rPr>
                <w:noProof/>
                <w:webHidden/>
              </w:rPr>
              <w:fldChar w:fldCharType="end"/>
            </w:r>
          </w:hyperlink>
        </w:p>
        <w:p w14:paraId="420B5C03" w14:textId="197F4964"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388" w:history="1">
            <w:r w:rsidRPr="00425BCD">
              <w:rPr>
                <w:rStyle w:val="Hyperlink"/>
                <w:noProof/>
              </w:rPr>
              <w:t>3.</w:t>
            </w:r>
            <w:r>
              <w:rPr>
                <w:noProof/>
                <w:kern w:val="2"/>
                <w:sz w:val="24"/>
                <w:szCs w:val="24"/>
                <w:lang w:val="en-IN" w:eastAsia="en-IN"/>
                <w14:ligatures w14:val="standardContextual"/>
              </w:rPr>
              <w:tab/>
            </w:r>
            <w:r w:rsidRPr="00425BCD">
              <w:rPr>
                <w:rStyle w:val="Hyperlink"/>
                <w:noProof/>
              </w:rPr>
              <w:t>Methodology and Ratio Selection</w:t>
            </w:r>
            <w:r>
              <w:rPr>
                <w:noProof/>
                <w:webHidden/>
              </w:rPr>
              <w:tab/>
            </w:r>
            <w:r>
              <w:rPr>
                <w:noProof/>
                <w:webHidden/>
              </w:rPr>
              <w:fldChar w:fldCharType="begin"/>
            </w:r>
            <w:r>
              <w:rPr>
                <w:noProof/>
                <w:webHidden/>
              </w:rPr>
              <w:instrText xml:space="preserve"> PAGEREF _Toc219036388 \h </w:instrText>
            </w:r>
            <w:r>
              <w:rPr>
                <w:noProof/>
                <w:webHidden/>
              </w:rPr>
            </w:r>
            <w:r>
              <w:rPr>
                <w:noProof/>
                <w:webHidden/>
              </w:rPr>
              <w:fldChar w:fldCharType="separate"/>
            </w:r>
            <w:r>
              <w:rPr>
                <w:noProof/>
                <w:webHidden/>
              </w:rPr>
              <w:t>4</w:t>
            </w:r>
            <w:r>
              <w:rPr>
                <w:noProof/>
                <w:webHidden/>
              </w:rPr>
              <w:fldChar w:fldCharType="end"/>
            </w:r>
          </w:hyperlink>
        </w:p>
        <w:p w14:paraId="48D5C79D" w14:textId="069082EC"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389" w:history="1">
            <w:r w:rsidRPr="00425BCD">
              <w:rPr>
                <w:rStyle w:val="Hyperlink"/>
                <w:noProof/>
              </w:rPr>
              <w:t>4.</w:t>
            </w:r>
            <w:r>
              <w:rPr>
                <w:noProof/>
                <w:kern w:val="2"/>
                <w:sz w:val="24"/>
                <w:szCs w:val="24"/>
                <w:lang w:val="en-IN" w:eastAsia="en-IN"/>
                <w14:ligatures w14:val="standardContextual"/>
              </w:rPr>
              <w:tab/>
            </w:r>
            <w:r w:rsidRPr="00425BCD">
              <w:rPr>
                <w:rStyle w:val="Hyperlink"/>
                <w:noProof/>
              </w:rPr>
              <w:t>Profitability Analysis</w:t>
            </w:r>
            <w:r>
              <w:rPr>
                <w:noProof/>
                <w:webHidden/>
              </w:rPr>
              <w:tab/>
            </w:r>
            <w:r>
              <w:rPr>
                <w:noProof/>
                <w:webHidden/>
              </w:rPr>
              <w:fldChar w:fldCharType="begin"/>
            </w:r>
            <w:r>
              <w:rPr>
                <w:noProof/>
                <w:webHidden/>
              </w:rPr>
              <w:instrText xml:space="preserve"> PAGEREF _Toc219036389 \h </w:instrText>
            </w:r>
            <w:r>
              <w:rPr>
                <w:noProof/>
                <w:webHidden/>
              </w:rPr>
            </w:r>
            <w:r>
              <w:rPr>
                <w:noProof/>
                <w:webHidden/>
              </w:rPr>
              <w:fldChar w:fldCharType="separate"/>
            </w:r>
            <w:r>
              <w:rPr>
                <w:noProof/>
                <w:webHidden/>
              </w:rPr>
              <w:t>5</w:t>
            </w:r>
            <w:r>
              <w:rPr>
                <w:noProof/>
                <w:webHidden/>
              </w:rPr>
              <w:fldChar w:fldCharType="end"/>
            </w:r>
          </w:hyperlink>
        </w:p>
        <w:p w14:paraId="4C57BAC9" w14:textId="75AECF32"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0" w:history="1">
            <w:r w:rsidRPr="00425BCD">
              <w:rPr>
                <w:rStyle w:val="Hyperlink"/>
                <w:noProof/>
              </w:rPr>
              <w:t>4.1.</w:t>
            </w:r>
            <w:r>
              <w:rPr>
                <w:noProof/>
                <w:kern w:val="2"/>
                <w:sz w:val="24"/>
                <w:szCs w:val="24"/>
                <w:lang w:val="en-IN" w:eastAsia="en-IN"/>
                <w14:ligatures w14:val="standardContextual"/>
              </w:rPr>
              <w:tab/>
            </w:r>
            <w:r w:rsidRPr="00425BCD">
              <w:rPr>
                <w:rStyle w:val="Hyperlink"/>
                <w:noProof/>
              </w:rPr>
              <w:t>Profitability Ratio Results (FY2023–FY2024)</w:t>
            </w:r>
            <w:r>
              <w:rPr>
                <w:noProof/>
                <w:webHidden/>
              </w:rPr>
              <w:tab/>
            </w:r>
            <w:r>
              <w:rPr>
                <w:noProof/>
                <w:webHidden/>
              </w:rPr>
              <w:fldChar w:fldCharType="begin"/>
            </w:r>
            <w:r>
              <w:rPr>
                <w:noProof/>
                <w:webHidden/>
              </w:rPr>
              <w:instrText xml:space="preserve"> PAGEREF _Toc219036390 \h </w:instrText>
            </w:r>
            <w:r>
              <w:rPr>
                <w:noProof/>
                <w:webHidden/>
              </w:rPr>
            </w:r>
            <w:r>
              <w:rPr>
                <w:noProof/>
                <w:webHidden/>
              </w:rPr>
              <w:fldChar w:fldCharType="separate"/>
            </w:r>
            <w:r>
              <w:rPr>
                <w:noProof/>
                <w:webHidden/>
              </w:rPr>
              <w:t>5</w:t>
            </w:r>
            <w:r>
              <w:rPr>
                <w:noProof/>
                <w:webHidden/>
              </w:rPr>
              <w:fldChar w:fldCharType="end"/>
            </w:r>
          </w:hyperlink>
        </w:p>
        <w:p w14:paraId="5CA5884F" w14:textId="632EAB11"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1" w:history="1">
            <w:r w:rsidRPr="00425BCD">
              <w:rPr>
                <w:rStyle w:val="Hyperlink"/>
                <w:noProof/>
              </w:rPr>
              <w:t>4.2.</w:t>
            </w:r>
            <w:r>
              <w:rPr>
                <w:noProof/>
                <w:kern w:val="2"/>
                <w:sz w:val="24"/>
                <w:szCs w:val="24"/>
                <w:lang w:val="en-IN" w:eastAsia="en-IN"/>
                <w14:ligatures w14:val="standardContextual"/>
              </w:rPr>
              <w:tab/>
            </w:r>
            <w:r w:rsidRPr="00425BCD">
              <w:rPr>
                <w:rStyle w:val="Hyperlink"/>
                <w:noProof/>
              </w:rPr>
              <w:t>Interpretation and Critical Evaluation</w:t>
            </w:r>
            <w:r>
              <w:rPr>
                <w:noProof/>
                <w:webHidden/>
              </w:rPr>
              <w:tab/>
            </w:r>
            <w:r>
              <w:rPr>
                <w:noProof/>
                <w:webHidden/>
              </w:rPr>
              <w:fldChar w:fldCharType="begin"/>
            </w:r>
            <w:r>
              <w:rPr>
                <w:noProof/>
                <w:webHidden/>
              </w:rPr>
              <w:instrText xml:space="preserve"> PAGEREF _Toc219036391 \h </w:instrText>
            </w:r>
            <w:r>
              <w:rPr>
                <w:noProof/>
                <w:webHidden/>
              </w:rPr>
            </w:r>
            <w:r>
              <w:rPr>
                <w:noProof/>
                <w:webHidden/>
              </w:rPr>
              <w:fldChar w:fldCharType="separate"/>
            </w:r>
            <w:r>
              <w:rPr>
                <w:noProof/>
                <w:webHidden/>
              </w:rPr>
              <w:t>6</w:t>
            </w:r>
            <w:r>
              <w:rPr>
                <w:noProof/>
                <w:webHidden/>
              </w:rPr>
              <w:fldChar w:fldCharType="end"/>
            </w:r>
          </w:hyperlink>
        </w:p>
        <w:p w14:paraId="556B2FFD" w14:textId="21B55BBD"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392" w:history="1">
            <w:r w:rsidRPr="00425BCD">
              <w:rPr>
                <w:rStyle w:val="Hyperlink"/>
                <w:noProof/>
              </w:rPr>
              <w:t>5.</w:t>
            </w:r>
            <w:r>
              <w:rPr>
                <w:noProof/>
                <w:kern w:val="2"/>
                <w:sz w:val="24"/>
                <w:szCs w:val="24"/>
                <w:lang w:val="en-IN" w:eastAsia="en-IN"/>
                <w14:ligatures w14:val="standardContextual"/>
              </w:rPr>
              <w:tab/>
            </w:r>
            <w:r w:rsidRPr="00425BCD">
              <w:rPr>
                <w:rStyle w:val="Hyperlink"/>
                <w:noProof/>
              </w:rPr>
              <w:t>Liquidity Analysis</w:t>
            </w:r>
            <w:r>
              <w:rPr>
                <w:noProof/>
                <w:webHidden/>
              </w:rPr>
              <w:tab/>
            </w:r>
            <w:r>
              <w:rPr>
                <w:noProof/>
                <w:webHidden/>
              </w:rPr>
              <w:fldChar w:fldCharType="begin"/>
            </w:r>
            <w:r>
              <w:rPr>
                <w:noProof/>
                <w:webHidden/>
              </w:rPr>
              <w:instrText xml:space="preserve"> PAGEREF _Toc219036392 \h </w:instrText>
            </w:r>
            <w:r>
              <w:rPr>
                <w:noProof/>
                <w:webHidden/>
              </w:rPr>
            </w:r>
            <w:r>
              <w:rPr>
                <w:noProof/>
                <w:webHidden/>
              </w:rPr>
              <w:fldChar w:fldCharType="separate"/>
            </w:r>
            <w:r>
              <w:rPr>
                <w:noProof/>
                <w:webHidden/>
              </w:rPr>
              <w:t>6</w:t>
            </w:r>
            <w:r>
              <w:rPr>
                <w:noProof/>
                <w:webHidden/>
              </w:rPr>
              <w:fldChar w:fldCharType="end"/>
            </w:r>
          </w:hyperlink>
        </w:p>
        <w:p w14:paraId="0C1CEF54" w14:textId="5444E549"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3" w:history="1">
            <w:r w:rsidRPr="00425BCD">
              <w:rPr>
                <w:rStyle w:val="Hyperlink"/>
                <w:noProof/>
              </w:rPr>
              <w:t>5.1.</w:t>
            </w:r>
            <w:r>
              <w:rPr>
                <w:noProof/>
                <w:kern w:val="2"/>
                <w:sz w:val="24"/>
                <w:szCs w:val="24"/>
                <w:lang w:val="en-IN" w:eastAsia="en-IN"/>
                <w14:ligatures w14:val="standardContextual"/>
              </w:rPr>
              <w:tab/>
            </w:r>
            <w:r w:rsidRPr="00425BCD">
              <w:rPr>
                <w:rStyle w:val="Hyperlink"/>
                <w:noProof/>
              </w:rPr>
              <w:t>Liquidity Ratio Results (FY2023–FY2024)</w:t>
            </w:r>
            <w:r>
              <w:rPr>
                <w:noProof/>
                <w:webHidden/>
              </w:rPr>
              <w:tab/>
            </w:r>
            <w:r>
              <w:rPr>
                <w:noProof/>
                <w:webHidden/>
              </w:rPr>
              <w:fldChar w:fldCharType="begin"/>
            </w:r>
            <w:r>
              <w:rPr>
                <w:noProof/>
                <w:webHidden/>
              </w:rPr>
              <w:instrText xml:space="preserve"> PAGEREF _Toc219036393 \h </w:instrText>
            </w:r>
            <w:r>
              <w:rPr>
                <w:noProof/>
                <w:webHidden/>
              </w:rPr>
            </w:r>
            <w:r>
              <w:rPr>
                <w:noProof/>
                <w:webHidden/>
              </w:rPr>
              <w:fldChar w:fldCharType="separate"/>
            </w:r>
            <w:r>
              <w:rPr>
                <w:noProof/>
                <w:webHidden/>
              </w:rPr>
              <w:t>6</w:t>
            </w:r>
            <w:r>
              <w:rPr>
                <w:noProof/>
                <w:webHidden/>
              </w:rPr>
              <w:fldChar w:fldCharType="end"/>
            </w:r>
          </w:hyperlink>
        </w:p>
        <w:p w14:paraId="4D162B01" w14:textId="5EF1D26D"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4" w:history="1">
            <w:r w:rsidRPr="00425BCD">
              <w:rPr>
                <w:rStyle w:val="Hyperlink"/>
                <w:noProof/>
              </w:rPr>
              <w:t>5.2.</w:t>
            </w:r>
            <w:r>
              <w:rPr>
                <w:noProof/>
                <w:kern w:val="2"/>
                <w:sz w:val="24"/>
                <w:szCs w:val="24"/>
                <w:lang w:val="en-IN" w:eastAsia="en-IN"/>
                <w14:ligatures w14:val="standardContextual"/>
              </w:rPr>
              <w:tab/>
            </w:r>
            <w:r w:rsidRPr="00425BCD">
              <w:rPr>
                <w:rStyle w:val="Hyperlink"/>
                <w:noProof/>
              </w:rPr>
              <w:t>Interpretation and Critical Evaluation</w:t>
            </w:r>
            <w:r>
              <w:rPr>
                <w:noProof/>
                <w:webHidden/>
              </w:rPr>
              <w:tab/>
            </w:r>
            <w:r>
              <w:rPr>
                <w:noProof/>
                <w:webHidden/>
              </w:rPr>
              <w:fldChar w:fldCharType="begin"/>
            </w:r>
            <w:r>
              <w:rPr>
                <w:noProof/>
                <w:webHidden/>
              </w:rPr>
              <w:instrText xml:space="preserve"> PAGEREF _Toc219036394 \h </w:instrText>
            </w:r>
            <w:r>
              <w:rPr>
                <w:noProof/>
                <w:webHidden/>
              </w:rPr>
            </w:r>
            <w:r>
              <w:rPr>
                <w:noProof/>
                <w:webHidden/>
              </w:rPr>
              <w:fldChar w:fldCharType="separate"/>
            </w:r>
            <w:r>
              <w:rPr>
                <w:noProof/>
                <w:webHidden/>
              </w:rPr>
              <w:t>7</w:t>
            </w:r>
            <w:r>
              <w:rPr>
                <w:noProof/>
                <w:webHidden/>
              </w:rPr>
              <w:fldChar w:fldCharType="end"/>
            </w:r>
          </w:hyperlink>
        </w:p>
        <w:p w14:paraId="667C95C2" w14:textId="0D823961" w:rsidR="00423781" w:rsidRDefault="00423781">
          <w:pPr>
            <w:pStyle w:val="TOC3"/>
            <w:tabs>
              <w:tab w:val="left" w:pos="960"/>
              <w:tab w:val="right" w:leader="dot" w:pos="8630"/>
            </w:tabs>
            <w:rPr>
              <w:noProof/>
              <w:kern w:val="2"/>
              <w:sz w:val="24"/>
              <w:szCs w:val="24"/>
              <w:lang w:val="en-IN" w:eastAsia="en-IN"/>
              <w14:ligatures w14:val="standardContextual"/>
            </w:rPr>
          </w:pPr>
          <w:hyperlink w:anchor="_Toc219036395" w:history="1">
            <w:r w:rsidRPr="00425BCD">
              <w:rPr>
                <w:rStyle w:val="Hyperlink"/>
                <w:noProof/>
              </w:rPr>
              <w:t>6.</w:t>
            </w:r>
            <w:r>
              <w:rPr>
                <w:noProof/>
                <w:kern w:val="2"/>
                <w:sz w:val="24"/>
                <w:szCs w:val="24"/>
                <w:lang w:val="en-IN" w:eastAsia="en-IN"/>
                <w14:ligatures w14:val="standardContextual"/>
              </w:rPr>
              <w:tab/>
            </w:r>
            <w:r w:rsidRPr="00425BCD">
              <w:rPr>
                <w:rStyle w:val="Hyperlink"/>
                <w:noProof/>
              </w:rPr>
              <w:t>Efficiency and Working Capital Analysis</w:t>
            </w:r>
            <w:r>
              <w:rPr>
                <w:noProof/>
                <w:webHidden/>
              </w:rPr>
              <w:tab/>
            </w:r>
            <w:r>
              <w:rPr>
                <w:noProof/>
                <w:webHidden/>
              </w:rPr>
              <w:fldChar w:fldCharType="begin"/>
            </w:r>
            <w:r>
              <w:rPr>
                <w:noProof/>
                <w:webHidden/>
              </w:rPr>
              <w:instrText xml:space="preserve"> PAGEREF _Toc219036395 \h </w:instrText>
            </w:r>
            <w:r>
              <w:rPr>
                <w:noProof/>
                <w:webHidden/>
              </w:rPr>
            </w:r>
            <w:r>
              <w:rPr>
                <w:noProof/>
                <w:webHidden/>
              </w:rPr>
              <w:fldChar w:fldCharType="separate"/>
            </w:r>
            <w:r>
              <w:rPr>
                <w:noProof/>
                <w:webHidden/>
              </w:rPr>
              <w:t>7</w:t>
            </w:r>
            <w:r>
              <w:rPr>
                <w:noProof/>
                <w:webHidden/>
              </w:rPr>
              <w:fldChar w:fldCharType="end"/>
            </w:r>
          </w:hyperlink>
        </w:p>
        <w:p w14:paraId="548A2FDB" w14:textId="43B65D42"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6" w:history="1">
            <w:r w:rsidRPr="00425BCD">
              <w:rPr>
                <w:rStyle w:val="Hyperlink"/>
                <w:noProof/>
              </w:rPr>
              <w:t>6.1.</w:t>
            </w:r>
            <w:r>
              <w:rPr>
                <w:noProof/>
                <w:kern w:val="2"/>
                <w:sz w:val="24"/>
                <w:szCs w:val="24"/>
                <w:lang w:val="en-IN" w:eastAsia="en-IN"/>
                <w14:ligatures w14:val="standardContextual"/>
              </w:rPr>
              <w:tab/>
            </w:r>
            <w:r w:rsidRPr="00425BCD">
              <w:rPr>
                <w:rStyle w:val="Hyperlink"/>
                <w:noProof/>
              </w:rPr>
              <w:t>Efficiency Ratio Results (FY2023–FY2024)</w:t>
            </w:r>
            <w:r>
              <w:rPr>
                <w:noProof/>
                <w:webHidden/>
              </w:rPr>
              <w:tab/>
            </w:r>
            <w:r>
              <w:rPr>
                <w:noProof/>
                <w:webHidden/>
              </w:rPr>
              <w:fldChar w:fldCharType="begin"/>
            </w:r>
            <w:r>
              <w:rPr>
                <w:noProof/>
                <w:webHidden/>
              </w:rPr>
              <w:instrText xml:space="preserve"> PAGEREF _Toc219036396 \h </w:instrText>
            </w:r>
            <w:r>
              <w:rPr>
                <w:noProof/>
                <w:webHidden/>
              </w:rPr>
            </w:r>
            <w:r>
              <w:rPr>
                <w:noProof/>
                <w:webHidden/>
              </w:rPr>
              <w:fldChar w:fldCharType="separate"/>
            </w:r>
            <w:r>
              <w:rPr>
                <w:noProof/>
                <w:webHidden/>
              </w:rPr>
              <w:t>7</w:t>
            </w:r>
            <w:r>
              <w:rPr>
                <w:noProof/>
                <w:webHidden/>
              </w:rPr>
              <w:fldChar w:fldCharType="end"/>
            </w:r>
          </w:hyperlink>
        </w:p>
        <w:p w14:paraId="545AD27A" w14:textId="027D0FCB"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7" w:history="1">
            <w:r w:rsidRPr="00425BCD">
              <w:rPr>
                <w:rStyle w:val="Hyperlink"/>
                <w:noProof/>
                <w:lang w:val="en-IN"/>
              </w:rPr>
              <w:t>6.2.</w:t>
            </w:r>
            <w:r>
              <w:rPr>
                <w:noProof/>
                <w:kern w:val="2"/>
                <w:sz w:val="24"/>
                <w:szCs w:val="24"/>
                <w:lang w:val="en-IN" w:eastAsia="en-IN"/>
                <w14:ligatures w14:val="standardContextual"/>
              </w:rPr>
              <w:tab/>
            </w:r>
            <w:r w:rsidRPr="00425BCD">
              <w:rPr>
                <w:rStyle w:val="Hyperlink"/>
                <w:noProof/>
                <w:lang w:val="en-IN"/>
              </w:rPr>
              <w:t>Interpretation and Critical Evaluation</w:t>
            </w:r>
            <w:r>
              <w:rPr>
                <w:noProof/>
                <w:webHidden/>
              </w:rPr>
              <w:tab/>
            </w:r>
            <w:r>
              <w:rPr>
                <w:noProof/>
                <w:webHidden/>
              </w:rPr>
              <w:fldChar w:fldCharType="begin"/>
            </w:r>
            <w:r>
              <w:rPr>
                <w:noProof/>
                <w:webHidden/>
              </w:rPr>
              <w:instrText xml:space="preserve"> PAGEREF _Toc219036397 \h </w:instrText>
            </w:r>
            <w:r>
              <w:rPr>
                <w:noProof/>
                <w:webHidden/>
              </w:rPr>
            </w:r>
            <w:r>
              <w:rPr>
                <w:noProof/>
                <w:webHidden/>
              </w:rPr>
              <w:fldChar w:fldCharType="separate"/>
            </w:r>
            <w:r>
              <w:rPr>
                <w:noProof/>
                <w:webHidden/>
              </w:rPr>
              <w:t>8</w:t>
            </w:r>
            <w:r>
              <w:rPr>
                <w:noProof/>
                <w:webHidden/>
              </w:rPr>
              <w:fldChar w:fldCharType="end"/>
            </w:r>
          </w:hyperlink>
        </w:p>
        <w:p w14:paraId="3B497E11" w14:textId="56A68886"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398" w:history="1">
            <w:r w:rsidRPr="00425BCD">
              <w:rPr>
                <w:rStyle w:val="Hyperlink"/>
                <w:noProof/>
              </w:rPr>
              <w:t>7.</w:t>
            </w:r>
            <w:r>
              <w:rPr>
                <w:noProof/>
                <w:kern w:val="2"/>
                <w:sz w:val="24"/>
                <w:szCs w:val="24"/>
                <w:lang w:val="en-IN" w:eastAsia="en-IN"/>
                <w14:ligatures w14:val="standardContextual"/>
              </w:rPr>
              <w:tab/>
            </w:r>
            <w:r w:rsidRPr="00425BCD">
              <w:rPr>
                <w:rStyle w:val="Hyperlink"/>
                <w:noProof/>
              </w:rPr>
              <w:t>Gearing and Solvency Analysis</w:t>
            </w:r>
            <w:r>
              <w:rPr>
                <w:noProof/>
                <w:webHidden/>
              </w:rPr>
              <w:tab/>
            </w:r>
            <w:r>
              <w:rPr>
                <w:noProof/>
                <w:webHidden/>
              </w:rPr>
              <w:fldChar w:fldCharType="begin"/>
            </w:r>
            <w:r>
              <w:rPr>
                <w:noProof/>
                <w:webHidden/>
              </w:rPr>
              <w:instrText xml:space="preserve"> PAGEREF _Toc219036398 \h </w:instrText>
            </w:r>
            <w:r>
              <w:rPr>
                <w:noProof/>
                <w:webHidden/>
              </w:rPr>
            </w:r>
            <w:r>
              <w:rPr>
                <w:noProof/>
                <w:webHidden/>
              </w:rPr>
              <w:fldChar w:fldCharType="separate"/>
            </w:r>
            <w:r>
              <w:rPr>
                <w:noProof/>
                <w:webHidden/>
              </w:rPr>
              <w:t>9</w:t>
            </w:r>
            <w:r>
              <w:rPr>
                <w:noProof/>
                <w:webHidden/>
              </w:rPr>
              <w:fldChar w:fldCharType="end"/>
            </w:r>
          </w:hyperlink>
        </w:p>
        <w:p w14:paraId="0D7633A9" w14:textId="4C46617B"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399" w:history="1">
            <w:r w:rsidRPr="00425BCD">
              <w:rPr>
                <w:rStyle w:val="Hyperlink"/>
                <w:noProof/>
                <w:lang w:val="en-IN"/>
              </w:rPr>
              <w:t>7.1.</w:t>
            </w:r>
            <w:r>
              <w:rPr>
                <w:noProof/>
                <w:kern w:val="2"/>
                <w:sz w:val="24"/>
                <w:szCs w:val="24"/>
                <w:lang w:val="en-IN" w:eastAsia="en-IN"/>
                <w14:ligatures w14:val="standardContextual"/>
              </w:rPr>
              <w:tab/>
            </w:r>
            <w:r w:rsidRPr="00425BCD">
              <w:rPr>
                <w:rStyle w:val="Hyperlink"/>
                <w:noProof/>
                <w:lang w:val="en-IN"/>
              </w:rPr>
              <w:t>Gearing Ratio Results (FY2023–FY2024)</w:t>
            </w:r>
            <w:r>
              <w:rPr>
                <w:noProof/>
                <w:webHidden/>
              </w:rPr>
              <w:tab/>
            </w:r>
            <w:r>
              <w:rPr>
                <w:noProof/>
                <w:webHidden/>
              </w:rPr>
              <w:fldChar w:fldCharType="begin"/>
            </w:r>
            <w:r>
              <w:rPr>
                <w:noProof/>
                <w:webHidden/>
              </w:rPr>
              <w:instrText xml:space="preserve"> PAGEREF _Toc219036399 \h </w:instrText>
            </w:r>
            <w:r>
              <w:rPr>
                <w:noProof/>
                <w:webHidden/>
              </w:rPr>
            </w:r>
            <w:r>
              <w:rPr>
                <w:noProof/>
                <w:webHidden/>
              </w:rPr>
              <w:fldChar w:fldCharType="separate"/>
            </w:r>
            <w:r>
              <w:rPr>
                <w:noProof/>
                <w:webHidden/>
              </w:rPr>
              <w:t>9</w:t>
            </w:r>
            <w:r>
              <w:rPr>
                <w:noProof/>
                <w:webHidden/>
              </w:rPr>
              <w:fldChar w:fldCharType="end"/>
            </w:r>
          </w:hyperlink>
        </w:p>
        <w:p w14:paraId="0AA899F0" w14:textId="51695EB9"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00" w:history="1">
            <w:r w:rsidRPr="00425BCD">
              <w:rPr>
                <w:rStyle w:val="Hyperlink"/>
                <w:noProof/>
                <w:lang w:val="en-IN"/>
              </w:rPr>
              <w:t>7.2.</w:t>
            </w:r>
            <w:r>
              <w:rPr>
                <w:noProof/>
                <w:kern w:val="2"/>
                <w:sz w:val="24"/>
                <w:szCs w:val="24"/>
                <w:lang w:val="en-IN" w:eastAsia="en-IN"/>
                <w14:ligatures w14:val="standardContextual"/>
              </w:rPr>
              <w:tab/>
            </w:r>
            <w:r w:rsidRPr="00425BCD">
              <w:rPr>
                <w:rStyle w:val="Hyperlink"/>
                <w:noProof/>
                <w:lang w:val="en-IN"/>
              </w:rPr>
              <w:t>Interpretation and Critical Evaluation</w:t>
            </w:r>
            <w:r>
              <w:rPr>
                <w:noProof/>
                <w:webHidden/>
              </w:rPr>
              <w:tab/>
            </w:r>
            <w:r>
              <w:rPr>
                <w:noProof/>
                <w:webHidden/>
              </w:rPr>
              <w:fldChar w:fldCharType="begin"/>
            </w:r>
            <w:r>
              <w:rPr>
                <w:noProof/>
                <w:webHidden/>
              </w:rPr>
              <w:instrText xml:space="preserve"> PAGEREF _Toc219036400 \h </w:instrText>
            </w:r>
            <w:r>
              <w:rPr>
                <w:noProof/>
                <w:webHidden/>
              </w:rPr>
            </w:r>
            <w:r>
              <w:rPr>
                <w:noProof/>
                <w:webHidden/>
              </w:rPr>
              <w:fldChar w:fldCharType="separate"/>
            </w:r>
            <w:r>
              <w:rPr>
                <w:noProof/>
                <w:webHidden/>
              </w:rPr>
              <w:t>9</w:t>
            </w:r>
            <w:r>
              <w:rPr>
                <w:noProof/>
                <w:webHidden/>
              </w:rPr>
              <w:fldChar w:fldCharType="end"/>
            </w:r>
          </w:hyperlink>
        </w:p>
        <w:p w14:paraId="012640DE" w14:textId="5762ABA9"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401" w:history="1">
            <w:r w:rsidRPr="00425BCD">
              <w:rPr>
                <w:rStyle w:val="Hyperlink"/>
                <w:noProof/>
              </w:rPr>
              <w:t>8.</w:t>
            </w:r>
            <w:r>
              <w:rPr>
                <w:noProof/>
                <w:kern w:val="2"/>
                <w:sz w:val="24"/>
                <w:szCs w:val="24"/>
                <w:lang w:val="en-IN" w:eastAsia="en-IN"/>
                <w14:ligatures w14:val="standardContextual"/>
              </w:rPr>
              <w:tab/>
            </w:r>
            <w:r w:rsidRPr="00425BCD">
              <w:rPr>
                <w:rStyle w:val="Hyperlink"/>
                <w:noProof/>
              </w:rPr>
              <w:t>Investor Ratios and Shareholder Returns</w:t>
            </w:r>
            <w:r>
              <w:rPr>
                <w:noProof/>
                <w:webHidden/>
              </w:rPr>
              <w:tab/>
            </w:r>
            <w:r>
              <w:rPr>
                <w:noProof/>
                <w:webHidden/>
              </w:rPr>
              <w:fldChar w:fldCharType="begin"/>
            </w:r>
            <w:r>
              <w:rPr>
                <w:noProof/>
                <w:webHidden/>
              </w:rPr>
              <w:instrText xml:space="preserve"> PAGEREF _Toc219036401 \h </w:instrText>
            </w:r>
            <w:r>
              <w:rPr>
                <w:noProof/>
                <w:webHidden/>
              </w:rPr>
            </w:r>
            <w:r>
              <w:rPr>
                <w:noProof/>
                <w:webHidden/>
              </w:rPr>
              <w:fldChar w:fldCharType="separate"/>
            </w:r>
            <w:r>
              <w:rPr>
                <w:noProof/>
                <w:webHidden/>
              </w:rPr>
              <w:t>10</w:t>
            </w:r>
            <w:r>
              <w:rPr>
                <w:noProof/>
                <w:webHidden/>
              </w:rPr>
              <w:fldChar w:fldCharType="end"/>
            </w:r>
          </w:hyperlink>
        </w:p>
        <w:p w14:paraId="33932C5D" w14:textId="2B931465"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02" w:history="1">
            <w:r w:rsidRPr="00425BCD">
              <w:rPr>
                <w:rStyle w:val="Hyperlink"/>
                <w:noProof/>
                <w:lang w:val="en-IN"/>
              </w:rPr>
              <w:t>8.1.</w:t>
            </w:r>
            <w:r>
              <w:rPr>
                <w:noProof/>
                <w:kern w:val="2"/>
                <w:sz w:val="24"/>
                <w:szCs w:val="24"/>
                <w:lang w:val="en-IN" w:eastAsia="en-IN"/>
                <w14:ligatures w14:val="standardContextual"/>
              </w:rPr>
              <w:tab/>
            </w:r>
            <w:r w:rsidRPr="00425BCD">
              <w:rPr>
                <w:rStyle w:val="Hyperlink"/>
                <w:noProof/>
                <w:lang w:val="en-IN"/>
              </w:rPr>
              <w:t>Key Investor Indicators (FY2023–FY20240</w:t>
            </w:r>
            <w:r>
              <w:rPr>
                <w:noProof/>
                <w:webHidden/>
              </w:rPr>
              <w:tab/>
            </w:r>
            <w:r>
              <w:rPr>
                <w:noProof/>
                <w:webHidden/>
              </w:rPr>
              <w:fldChar w:fldCharType="begin"/>
            </w:r>
            <w:r>
              <w:rPr>
                <w:noProof/>
                <w:webHidden/>
              </w:rPr>
              <w:instrText xml:space="preserve"> PAGEREF _Toc219036402 \h </w:instrText>
            </w:r>
            <w:r>
              <w:rPr>
                <w:noProof/>
                <w:webHidden/>
              </w:rPr>
            </w:r>
            <w:r>
              <w:rPr>
                <w:noProof/>
                <w:webHidden/>
              </w:rPr>
              <w:fldChar w:fldCharType="separate"/>
            </w:r>
            <w:r>
              <w:rPr>
                <w:noProof/>
                <w:webHidden/>
              </w:rPr>
              <w:t>10</w:t>
            </w:r>
            <w:r>
              <w:rPr>
                <w:noProof/>
                <w:webHidden/>
              </w:rPr>
              <w:fldChar w:fldCharType="end"/>
            </w:r>
          </w:hyperlink>
        </w:p>
        <w:p w14:paraId="3019A99A" w14:textId="5082DAA7" w:rsidR="00423781" w:rsidRDefault="00423781">
          <w:pPr>
            <w:pStyle w:val="TOC2"/>
            <w:tabs>
              <w:tab w:val="left" w:pos="720"/>
              <w:tab w:val="right" w:leader="dot" w:pos="8630"/>
            </w:tabs>
            <w:rPr>
              <w:noProof/>
              <w:kern w:val="2"/>
              <w:sz w:val="24"/>
              <w:szCs w:val="24"/>
              <w:lang w:val="en-IN" w:eastAsia="en-IN"/>
              <w14:ligatures w14:val="standardContextual"/>
            </w:rPr>
          </w:pPr>
          <w:hyperlink w:anchor="_Toc219036403" w:history="1">
            <w:r w:rsidRPr="00425BCD">
              <w:rPr>
                <w:rStyle w:val="Hyperlink"/>
                <w:noProof/>
              </w:rPr>
              <w:t>9.</w:t>
            </w:r>
            <w:r>
              <w:rPr>
                <w:noProof/>
                <w:kern w:val="2"/>
                <w:sz w:val="24"/>
                <w:szCs w:val="24"/>
                <w:lang w:val="en-IN" w:eastAsia="en-IN"/>
                <w14:ligatures w14:val="standardContextual"/>
              </w:rPr>
              <w:tab/>
            </w:r>
            <w:r w:rsidRPr="00425BCD">
              <w:rPr>
                <w:rStyle w:val="Hyperlink"/>
                <w:noProof/>
              </w:rPr>
              <w:t>Benchmarking and Industry Context</w:t>
            </w:r>
            <w:r>
              <w:rPr>
                <w:noProof/>
                <w:webHidden/>
              </w:rPr>
              <w:tab/>
            </w:r>
            <w:r>
              <w:rPr>
                <w:noProof/>
                <w:webHidden/>
              </w:rPr>
              <w:fldChar w:fldCharType="begin"/>
            </w:r>
            <w:r>
              <w:rPr>
                <w:noProof/>
                <w:webHidden/>
              </w:rPr>
              <w:instrText xml:space="preserve"> PAGEREF _Toc219036403 \h </w:instrText>
            </w:r>
            <w:r>
              <w:rPr>
                <w:noProof/>
                <w:webHidden/>
              </w:rPr>
            </w:r>
            <w:r>
              <w:rPr>
                <w:noProof/>
                <w:webHidden/>
              </w:rPr>
              <w:fldChar w:fldCharType="separate"/>
            </w:r>
            <w:r>
              <w:rPr>
                <w:noProof/>
                <w:webHidden/>
              </w:rPr>
              <w:t>11</w:t>
            </w:r>
            <w:r>
              <w:rPr>
                <w:noProof/>
                <w:webHidden/>
              </w:rPr>
              <w:fldChar w:fldCharType="end"/>
            </w:r>
          </w:hyperlink>
        </w:p>
        <w:p w14:paraId="638C58AA" w14:textId="0E02E037" w:rsidR="00423781" w:rsidRDefault="00423781">
          <w:pPr>
            <w:pStyle w:val="TOC2"/>
            <w:tabs>
              <w:tab w:val="left" w:pos="960"/>
              <w:tab w:val="right" w:leader="dot" w:pos="8630"/>
            </w:tabs>
            <w:rPr>
              <w:noProof/>
              <w:kern w:val="2"/>
              <w:sz w:val="24"/>
              <w:szCs w:val="24"/>
              <w:lang w:val="en-IN" w:eastAsia="en-IN"/>
              <w14:ligatures w14:val="standardContextual"/>
            </w:rPr>
          </w:pPr>
          <w:hyperlink w:anchor="_Toc219036404" w:history="1">
            <w:r w:rsidRPr="00425BCD">
              <w:rPr>
                <w:rStyle w:val="Hyperlink"/>
                <w:noProof/>
              </w:rPr>
              <w:t>10.</w:t>
            </w:r>
            <w:r>
              <w:rPr>
                <w:noProof/>
                <w:kern w:val="2"/>
                <w:sz w:val="24"/>
                <w:szCs w:val="24"/>
                <w:lang w:val="en-IN" w:eastAsia="en-IN"/>
                <w14:ligatures w14:val="standardContextual"/>
              </w:rPr>
              <w:tab/>
            </w:r>
            <w:r w:rsidRPr="00425BCD">
              <w:rPr>
                <w:rStyle w:val="Hyperlink"/>
                <w:noProof/>
              </w:rPr>
              <w:t>Critical Evaluation and Limitations of Ratio Analysis</w:t>
            </w:r>
            <w:r>
              <w:rPr>
                <w:noProof/>
                <w:webHidden/>
              </w:rPr>
              <w:tab/>
            </w:r>
            <w:r>
              <w:rPr>
                <w:noProof/>
                <w:webHidden/>
              </w:rPr>
              <w:fldChar w:fldCharType="begin"/>
            </w:r>
            <w:r>
              <w:rPr>
                <w:noProof/>
                <w:webHidden/>
              </w:rPr>
              <w:instrText xml:space="preserve"> PAGEREF _Toc219036404 \h </w:instrText>
            </w:r>
            <w:r>
              <w:rPr>
                <w:noProof/>
                <w:webHidden/>
              </w:rPr>
            </w:r>
            <w:r>
              <w:rPr>
                <w:noProof/>
                <w:webHidden/>
              </w:rPr>
              <w:fldChar w:fldCharType="separate"/>
            </w:r>
            <w:r>
              <w:rPr>
                <w:noProof/>
                <w:webHidden/>
              </w:rPr>
              <w:t>11</w:t>
            </w:r>
            <w:r>
              <w:rPr>
                <w:noProof/>
                <w:webHidden/>
              </w:rPr>
              <w:fldChar w:fldCharType="end"/>
            </w:r>
          </w:hyperlink>
        </w:p>
        <w:p w14:paraId="1A32608B" w14:textId="4B89998A" w:rsidR="00423781" w:rsidRDefault="00423781">
          <w:pPr>
            <w:pStyle w:val="TOC2"/>
            <w:tabs>
              <w:tab w:val="left" w:pos="960"/>
              <w:tab w:val="right" w:leader="dot" w:pos="8630"/>
            </w:tabs>
            <w:rPr>
              <w:noProof/>
              <w:kern w:val="2"/>
              <w:sz w:val="24"/>
              <w:szCs w:val="24"/>
              <w:lang w:val="en-IN" w:eastAsia="en-IN"/>
              <w14:ligatures w14:val="standardContextual"/>
            </w:rPr>
          </w:pPr>
          <w:hyperlink w:anchor="_Toc219036405" w:history="1">
            <w:r w:rsidRPr="00425BCD">
              <w:rPr>
                <w:rStyle w:val="Hyperlink"/>
                <w:noProof/>
              </w:rPr>
              <w:t>11.</w:t>
            </w:r>
            <w:r>
              <w:rPr>
                <w:noProof/>
                <w:kern w:val="2"/>
                <w:sz w:val="24"/>
                <w:szCs w:val="24"/>
                <w:lang w:val="en-IN" w:eastAsia="en-IN"/>
                <w14:ligatures w14:val="standardContextual"/>
              </w:rPr>
              <w:tab/>
            </w:r>
            <w:r w:rsidRPr="00425BCD">
              <w:rPr>
                <w:rStyle w:val="Hyperlink"/>
                <w:noProof/>
              </w:rPr>
              <w:t>Recommendations for Improving Financial Management</w:t>
            </w:r>
            <w:r>
              <w:rPr>
                <w:noProof/>
                <w:webHidden/>
              </w:rPr>
              <w:tab/>
            </w:r>
            <w:r>
              <w:rPr>
                <w:noProof/>
                <w:webHidden/>
              </w:rPr>
              <w:fldChar w:fldCharType="begin"/>
            </w:r>
            <w:r>
              <w:rPr>
                <w:noProof/>
                <w:webHidden/>
              </w:rPr>
              <w:instrText xml:space="preserve"> PAGEREF _Toc219036405 \h </w:instrText>
            </w:r>
            <w:r>
              <w:rPr>
                <w:noProof/>
                <w:webHidden/>
              </w:rPr>
            </w:r>
            <w:r>
              <w:rPr>
                <w:noProof/>
                <w:webHidden/>
              </w:rPr>
              <w:fldChar w:fldCharType="separate"/>
            </w:r>
            <w:r>
              <w:rPr>
                <w:noProof/>
                <w:webHidden/>
              </w:rPr>
              <w:t>12</w:t>
            </w:r>
            <w:r>
              <w:rPr>
                <w:noProof/>
                <w:webHidden/>
              </w:rPr>
              <w:fldChar w:fldCharType="end"/>
            </w:r>
          </w:hyperlink>
        </w:p>
        <w:p w14:paraId="19AE6A26" w14:textId="7DCCBE17" w:rsidR="00423781" w:rsidRDefault="00423781">
          <w:pPr>
            <w:pStyle w:val="TOC3"/>
            <w:tabs>
              <w:tab w:val="right" w:leader="dot" w:pos="8630"/>
            </w:tabs>
            <w:rPr>
              <w:noProof/>
              <w:kern w:val="2"/>
              <w:sz w:val="24"/>
              <w:szCs w:val="24"/>
              <w:lang w:val="en-IN" w:eastAsia="en-IN"/>
              <w14:ligatures w14:val="standardContextual"/>
            </w:rPr>
          </w:pPr>
          <w:hyperlink w:anchor="_Toc219036406" w:history="1">
            <w:r w:rsidRPr="00425BCD">
              <w:rPr>
                <w:rStyle w:val="Hyperlink"/>
                <w:noProof/>
              </w:rPr>
              <w:t>11.1 Protect and Improve Operating Margins Through Targeted Cost Efficiency</w:t>
            </w:r>
            <w:r>
              <w:rPr>
                <w:noProof/>
                <w:webHidden/>
              </w:rPr>
              <w:tab/>
            </w:r>
            <w:r>
              <w:rPr>
                <w:noProof/>
                <w:webHidden/>
              </w:rPr>
              <w:fldChar w:fldCharType="begin"/>
            </w:r>
            <w:r>
              <w:rPr>
                <w:noProof/>
                <w:webHidden/>
              </w:rPr>
              <w:instrText xml:space="preserve"> PAGEREF _Toc219036406 \h </w:instrText>
            </w:r>
            <w:r>
              <w:rPr>
                <w:noProof/>
                <w:webHidden/>
              </w:rPr>
            </w:r>
            <w:r>
              <w:rPr>
                <w:noProof/>
                <w:webHidden/>
              </w:rPr>
              <w:fldChar w:fldCharType="separate"/>
            </w:r>
            <w:r>
              <w:rPr>
                <w:noProof/>
                <w:webHidden/>
              </w:rPr>
              <w:t>12</w:t>
            </w:r>
            <w:r>
              <w:rPr>
                <w:noProof/>
                <w:webHidden/>
              </w:rPr>
              <w:fldChar w:fldCharType="end"/>
            </w:r>
          </w:hyperlink>
        </w:p>
        <w:p w14:paraId="532AE961" w14:textId="0F2BED6D" w:rsidR="00423781" w:rsidRDefault="00423781">
          <w:pPr>
            <w:pStyle w:val="TOC3"/>
            <w:tabs>
              <w:tab w:val="right" w:leader="dot" w:pos="8630"/>
            </w:tabs>
            <w:rPr>
              <w:noProof/>
              <w:kern w:val="2"/>
              <w:sz w:val="24"/>
              <w:szCs w:val="24"/>
              <w:lang w:val="en-IN" w:eastAsia="en-IN"/>
              <w14:ligatures w14:val="standardContextual"/>
            </w:rPr>
          </w:pPr>
          <w:hyperlink w:anchor="_Toc219036407" w:history="1">
            <w:r w:rsidRPr="00425BCD">
              <w:rPr>
                <w:rStyle w:val="Hyperlink"/>
                <w:noProof/>
                <w:lang w:val="en-IN" w:eastAsia="en-IN"/>
              </w:rPr>
              <w:t xml:space="preserve">11.2. </w:t>
            </w:r>
            <w:r w:rsidRPr="00425BCD">
              <w:rPr>
                <w:rStyle w:val="Hyperlink"/>
                <w:noProof/>
                <w:lang w:eastAsia="en-IN"/>
              </w:rPr>
              <w:t>Strengthening Liquidity Through Working Capital Optimisation</w:t>
            </w:r>
            <w:r>
              <w:rPr>
                <w:noProof/>
                <w:webHidden/>
              </w:rPr>
              <w:tab/>
            </w:r>
            <w:r>
              <w:rPr>
                <w:noProof/>
                <w:webHidden/>
              </w:rPr>
              <w:fldChar w:fldCharType="begin"/>
            </w:r>
            <w:r>
              <w:rPr>
                <w:noProof/>
                <w:webHidden/>
              </w:rPr>
              <w:instrText xml:space="preserve"> PAGEREF _Toc219036407 \h </w:instrText>
            </w:r>
            <w:r>
              <w:rPr>
                <w:noProof/>
                <w:webHidden/>
              </w:rPr>
            </w:r>
            <w:r>
              <w:rPr>
                <w:noProof/>
                <w:webHidden/>
              </w:rPr>
              <w:fldChar w:fldCharType="separate"/>
            </w:r>
            <w:r>
              <w:rPr>
                <w:noProof/>
                <w:webHidden/>
              </w:rPr>
              <w:t>12</w:t>
            </w:r>
            <w:r>
              <w:rPr>
                <w:noProof/>
                <w:webHidden/>
              </w:rPr>
              <w:fldChar w:fldCharType="end"/>
            </w:r>
          </w:hyperlink>
        </w:p>
        <w:p w14:paraId="30480335" w14:textId="6FA71637" w:rsidR="00423781" w:rsidRDefault="00423781">
          <w:pPr>
            <w:pStyle w:val="TOC3"/>
            <w:tabs>
              <w:tab w:val="right" w:leader="dot" w:pos="8630"/>
            </w:tabs>
            <w:rPr>
              <w:noProof/>
              <w:kern w:val="2"/>
              <w:sz w:val="24"/>
              <w:szCs w:val="24"/>
              <w:lang w:val="en-IN" w:eastAsia="en-IN"/>
              <w14:ligatures w14:val="standardContextual"/>
            </w:rPr>
          </w:pPr>
          <w:hyperlink w:anchor="_Toc219036408" w:history="1">
            <w:r w:rsidRPr="00425BCD">
              <w:rPr>
                <w:rStyle w:val="Hyperlink"/>
                <w:noProof/>
                <w:lang w:val="en-IN" w:eastAsia="en-IN"/>
              </w:rPr>
              <w:t>11.3. Manage Gearing and Reduce Long-Term Financial Risk</w:t>
            </w:r>
            <w:r>
              <w:rPr>
                <w:noProof/>
                <w:webHidden/>
              </w:rPr>
              <w:tab/>
            </w:r>
            <w:r>
              <w:rPr>
                <w:noProof/>
                <w:webHidden/>
              </w:rPr>
              <w:fldChar w:fldCharType="begin"/>
            </w:r>
            <w:r>
              <w:rPr>
                <w:noProof/>
                <w:webHidden/>
              </w:rPr>
              <w:instrText xml:space="preserve"> PAGEREF _Toc219036408 \h </w:instrText>
            </w:r>
            <w:r>
              <w:rPr>
                <w:noProof/>
                <w:webHidden/>
              </w:rPr>
            </w:r>
            <w:r>
              <w:rPr>
                <w:noProof/>
                <w:webHidden/>
              </w:rPr>
              <w:fldChar w:fldCharType="separate"/>
            </w:r>
            <w:r>
              <w:rPr>
                <w:noProof/>
                <w:webHidden/>
              </w:rPr>
              <w:t>12</w:t>
            </w:r>
            <w:r>
              <w:rPr>
                <w:noProof/>
                <w:webHidden/>
              </w:rPr>
              <w:fldChar w:fldCharType="end"/>
            </w:r>
          </w:hyperlink>
        </w:p>
        <w:p w14:paraId="55AFE158" w14:textId="08CC847B" w:rsidR="00423781" w:rsidRDefault="00423781">
          <w:pPr>
            <w:pStyle w:val="TOC3"/>
            <w:tabs>
              <w:tab w:val="right" w:leader="dot" w:pos="8630"/>
            </w:tabs>
            <w:rPr>
              <w:noProof/>
              <w:kern w:val="2"/>
              <w:sz w:val="24"/>
              <w:szCs w:val="24"/>
              <w:lang w:val="en-IN" w:eastAsia="en-IN"/>
              <w14:ligatures w14:val="standardContextual"/>
            </w:rPr>
          </w:pPr>
          <w:hyperlink w:anchor="_Toc219036409" w:history="1">
            <w:r w:rsidRPr="00425BCD">
              <w:rPr>
                <w:rStyle w:val="Hyperlink"/>
                <w:noProof/>
                <w:lang w:val="en-IN" w:eastAsia="en-IN"/>
              </w:rPr>
              <w:t>11.4. Increase Profit Quality by Prioritising Operational Profit Improvements</w:t>
            </w:r>
            <w:r>
              <w:rPr>
                <w:noProof/>
                <w:webHidden/>
              </w:rPr>
              <w:tab/>
            </w:r>
            <w:r>
              <w:rPr>
                <w:noProof/>
                <w:webHidden/>
              </w:rPr>
              <w:fldChar w:fldCharType="begin"/>
            </w:r>
            <w:r>
              <w:rPr>
                <w:noProof/>
                <w:webHidden/>
              </w:rPr>
              <w:instrText xml:space="preserve"> PAGEREF _Toc219036409 \h </w:instrText>
            </w:r>
            <w:r>
              <w:rPr>
                <w:noProof/>
                <w:webHidden/>
              </w:rPr>
            </w:r>
            <w:r>
              <w:rPr>
                <w:noProof/>
                <w:webHidden/>
              </w:rPr>
              <w:fldChar w:fldCharType="separate"/>
            </w:r>
            <w:r>
              <w:rPr>
                <w:noProof/>
                <w:webHidden/>
              </w:rPr>
              <w:t>13</w:t>
            </w:r>
            <w:r>
              <w:rPr>
                <w:noProof/>
                <w:webHidden/>
              </w:rPr>
              <w:fldChar w:fldCharType="end"/>
            </w:r>
          </w:hyperlink>
        </w:p>
        <w:p w14:paraId="5764C5AF" w14:textId="79055714" w:rsidR="00423781" w:rsidRDefault="00423781">
          <w:pPr>
            <w:pStyle w:val="TOC3"/>
            <w:tabs>
              <w:tab w:val="right" w:leader="dot" w:pos="8630"/>
            </w:tabs>
            <w:rPr>
              <w:noProof/>
              <w:kern w:val="2"/>
              <w:sz w:val="24"/>
              <w:szCs w:val="24"/>
              <w:lang w:val="en-IN" w:eastAsia="en-IN"/>
              <w14:ligatures w14:val="standardContextual"/>
            </w:rPr>
          </w:pPr>
          <w:hyperlink w:anchor="_Toc219036410" w:history="1">
            <w:r w:rsidRPr="00425BCD">
              <w:rPr>
                <w:rStyle w:val="Hyperlink"/>
                <w:noProof/>
                <w:lang w:val="en-IN" w:eastAsia="en-IN"/>
              </w:rPr>
              <w:t>11.5. Maintain Investor Confidence Through Predictable Shareholder Returns</w:t>
            </w:r>
            <w:r>
              <w:rPr>
                <w:noProof/>
                <w:webHidden/>
              </w:rPr>
              <w:tab/>
            </w:r>
            <w:r>
              <w:rPr>
                <w:noProof/>
                <w:webHidden/>
              </w:rPr>
              <w:fldChar w:fldCharType="begin"/>
            </w:r>
            <w:r>
              <w:rPr>
                <w:noProof/>
                <w:webHidden/>
              </w:rPr>
              <w:instrText xml:space="preserve"> PAGEREF _Toc219036410 \h </w:instrText>
            </w:r>
            <w:r>
              <w:rPr>
                <w:noProof/>
                <w:webHidden/>
              </w:rPr>
            </w:r>
            <w:r>
              <w:rPr>
                <w:noProof/>
                <w:webHidden/>
              </w:rPr>
              <w:fldChar w:fldCharType="separate"/>
            </w:r>
            <w:r>
              <w:rPr>
                <w:noProof/>
                <w:webHidden/>
              </w:rPr>
              <w:t>13</w:t>
            </w:r>
            <w:r>
              <w:rPr>
                <w:noProof/>
                <w:webHidden/>
              </w:rPr>
              <w:fldChar w:fldCharType="end"/>
            </w:r>
          </w:hyperlink>
        </w:p>
        <w:p w14:paraId="5000A6CF" w14:textId="2C4F20B5" w:rsidR="00423781" w:rsidRDefault="00423781">
          <w:pPr>
            <w:pStyle w:val="TOC2"/>
            <w:tabs>
              <w:tab w:val="left" w:pos="960"/>
              <w:tab w:val="right" w:leader="dot" w:pos="8630"/>
            </w:tabs>
            <w:rPr>
              <w:noProof/>
              <w:kern w:val="2"/>
              <w:sz w:val="24"/>
              <w:szCs w:val="24"/>
              <w:lang w:val="en-IN" w:eastAsia="en-IN"/>
              <w14:ligatures w14:val="standardContextual"/>
            </w:rPr>
          </w:pPr>
          <w:hyperlink w:anchor="_Toc219036411" w:history="1">
            <w:r w:rsidRPr="00425BCD">
              <w:rPr>
                <w:rStyle w:val="Hyperlink"/>
                <w:noProof/>
              </w:rPr>
              <w:t>12.</w:t>
            </w:r>
            <w:r>
              <w:rPr>
                <w:noProof/>
                <w:kern w:val="2"/>
                <w:sz w:val="24"/>
                <w:szCs w:val="24"/>
                <w:lang w:val="en-IN" w:eastAsia="en-IN"/>
                <w14:ligatures w14:val="standardContextual"/>
              </w:rPr>
              <w:tab/>
            </w:r>
            <w:r w:rsidRPr="00425BCD">
              <w:rPr>
                <w:rStyle w:val="Hyperlink"/>
                <w:noProof/>
              </w:rPr>
              <w:t>Conclusion</w:t>
            </w:r>
            <w:r>
              <w:rPr>
                <w:noProof/>
                <w:webHidden/>
              </w:rPr>
              <w:tab/>
            </w:r>
            <w:r>
              <w:rPr>
                <w:noProof/>
                <w:webHidden/>
              </w:rPr>
              <w:fldChar w:fldCharType="begin"/>
            </w:r>
            <w:r>
              <w:rPr>
                <w:noProof/>
                <w:webHidden/>
              </w:rPr>
              <w:instrText xml:space="preserve"> PAGEREF _Toc219036411 \h </w:instrText>
            </w:r>
            <w:r>
              <w:rPr>
                <w:noProof/>
                <w:webHidden/>
              </w:rPr>
            </w:r>
            <w:r>
              <w:rPr>
                <w:noProof/>
                <w:webHidden/>
              </w:rPr>
              <w:fldChar w:fldCharType="separate"/>
            </w:r>
            <w:r>
              <w:rPr>
                <w:noProof/>
                <w:webHidden/>
              </w:rPr>
              <w:t>13</w:t>
            </w:r>
            <w:r>
              <w:rPr>
                <w:noProof/>
                <w:webHidden/>
              </w:rPr>
              <w:fldChar w:fldCharType="end"/>
            </w:r>
          </w:hyperlink>
        </w:p>
        <w:p w14:paraId="440C440B" w14:textId="7BB59584" w:rsidR="00423781" w:rsidRDefault="00423781">
          <w:pPr>
            <w:pStyle w:val="TOC1"/>
            <w:tabs>
              <w:tab w:val="right" w:leader="dot" w:pos="8630"/>
            </w:tabs>
            <w:rPr>
              <w:noProof/>
              <w:kern w:val="2"/>
              <w:sz w:val="24"/>
              <w:szCs w:val="24"/>
              <w:lang w:val="en-IN" w:eastAsia="en-IN"/>
              <w14:ligatures w14:val="standardContextual"/>
            </w:rPr>
          </w:pPr>
          <w:hyperlink w:anchor="_Toc219036412" w:history="1">
            <w:r w:rsidRPr="00425BCD">
              <w:rPr>
                <w:rStyle w:val="Hyperlink"/>
                <w:noProof/>
              </w:rPr>
              <w:t>Part 2 – Business Report to the Directors of Westward plc</w:t>
            </w:r>
            <w:r>
              <w:rPr>
                <w:noProof/>
                <w:webHidden/>
              </w:rPr>
              <w:tab/>
            </w:r>
            <w:r>
              <w:rPr>
                <w:noProof/>
                <w:webHidden/>
              </w:rPr>
              <w:fldChar w:fldCharType="begin"/>
            </w:r>
            <w:r>
              <w:rPr>
                <w:noProof/>
                <w:webHidden/>
              </w:rPr>
              <w:instrText xml:space="preserve"> PAGEREF _Toc219036412 \h </w:instrText>
            </w:r>
            <w:r>
              <w:rPr>
                <w:noProof/>
                <w:webHidden/>
              </w:rPr>
            </w:r>
            <w:r>
              <w:rPr>
                <w:noProof/>
                <w:webHidden/>
              </w:rPr>
              <w:fldChar w:fldCharType="separate"/>
            </w:r>
            <w:r>
              <w:rPr>
                <w:noProof/>
                <w:webHidden/>
              </w:rPr>
              <w:t>13</w:t>
            </w:r>
            <w:r>
              <w:rPr>
                <w:noProof/>
                <w:webHidden/>
              </w:rPr>
              <w:fldChar w:fldCharType="end"/>
            </w:r>
          </w:hyperlink>
        </w:p>
        <w:p w14:paraId="259B229B" w14:textId="31215F8D"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13" w:history="1">
            <w:r w:rsidRPr="00425BCD">
              <w:rPr>
                <w:rStyle w:val="Hyperlink"/>
                <w:noProof/>
              </w:rPr>
              <w:t>1.</w:t>
            </w:r>
            <w:r>
              <w:rPr>
                <w:noProof/>
                <w:kern w:val="2"/>
                <w:sz w:val="24"/>
                <w:szCs w:val="24"/>
                <w:lang w:val="en-IN" w:eastAsia="en-IN"/>
                <w14:ligatures w14:val="standardContextual"/>
              </w:rPr>
              <w:tab/>
            </w:r>
            <w:r w:rsidRPr="00425BCD">
              <w:rPr>
                <w:rStyle w:val="Hyperlink"/>
                <w:noProof/>
              </w:rPr>
              <w:t>Introduction</w:t>
            </w:r>
            <w:r>
              <w:rPr>
                <w:noProof/>
                <w:webHidden/>
              </w:rPr>
              <w:tab/>
            </w:r>
            <w:r>
              <w:rPr>
                <w:noProof/>
                <w:webHidden/>
              </w:rPr>
              <w:fldChar w:fldCharType="begin"/>
            </w:r>
            <w:r>
              <w:rPr>
                <w:noProof/>
                <w:webHidden/>
              </w:rPr>
              <w:instrText xml:space="preserve"> PAGEREF _Toc219036413 \h </w:instrText>
            </w:r>
            <w:r>
              <w:rPr>
                <w:noProof/>
                <w:webHidden/>
              </w:rPr>
            </w:r>
            <w:r>
              <w:rPr>
                <w:noProof/>
                <w:webHidden/>
              </w:rPr>
              <w:fldChar w:fldCharType="separate"/>
            </w:r>
            <w:r>
              <w:rPr>
                <w:noProof/>
                <w:webHidden/>
              </w:rPr>
              <w:t>13</w:t>
            </w:r>
            <w:r>
              <w:rPr>
                <w:noProof/>
                <w:webHidden/>
              </w:rPr>
              <w:fldChar w:fldCharType="end"/>
            </w:r>
          </w:hyperlink>
        </w:p>
        <w:p w14:paraId="4B8B4829" w14:textId="19B523BA"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14" w:history="1">
            <w:r w:rsidRPr="00425BCD">
              <w:rPr>
                <w:rStyle w:val="Hyperlink"/>
                <w:noProof/>
              </w:rPr>
              <w:t>2.</w:t>
            </w:r>
            <w:r>
              <w:rPr>
                <w:noProof/>
                <w:kern w:val="2"/>
                <w:sz w:val="24"/>
                <w:szCs w:val="24"/>
                <w:lang w:val="en-IN" w:eastAsia="en-IN"/>
                <w14:ligatures w14:val="standardContextual"/>
              </w:rPr>
              <w:tab/>
            </w:r>
            <w:r w:rsidRPr="00425BCD">
              <w:rPr>
                <w:rStyle w:val="Hyperlink"/>
                <w:noProof/>
              </w:rPr>
              <w:t>Assumptions and Tax/Capital Allowance Treatment</w:t>
            </w:r>
            <w:r>
              <w:rPr>
                <w:noProof/>
                <w:webHidden/>
              </w:rPr>
              <w:tab/>
            </w:r>
            <w:r>
              <w:rPr>
                <w:noProof/>
                <w:webHidden/>
              </w:rPr>
              <w:fldChar w:fldCharType="begin"/>
            </w:r>
            <w:r>
              <w:rPr>
                <w:noProof/>
                <w:webHidden/>
              </w:rPr>
              <w:instrText xml:space="preserve"> PAGEREF _Toc219036414 \h </w:instrText>
            </w:r>
            <w:r>
              <w:rPr>
                <w:noProof/>
                <w:webHidden/>
              </w:rPr>
            </w:r>
            <w:r>
              <w:rPr>
                <w:noProof/>
                <w:webHidden/>
              </w:rPr>
              <w:fldChar w:fldCharType="separate"/>
            </w:r>
            <w:r>
              <w:rPr>
                <w:noProof/>
                <w:webHidden/>
              </w:rPr>
              <w:t>14</w:t>
            </w:r>
            <w:r>
              <w:rPr>
                <w:noProof/>
                <w:webHidden/>
              </w:rPr>
              <w:fldChar w:fldCharType="end"/>
            </w:r>
          </w:hyperlink>
        </w:p>
        <w:p w14:paraId="395C1B0C" w14:textId="063A59B3"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15" w:history="1">
            <w:r w:rsidRPr="00425BCD">
              <w:rPr>
                <w:rStyle w:val="Hyperlink"/>
                <w:noProof/>
              </w:rPr>
              <w:t>3.</w:t>
            </w:r>
            <w:r>
              <w:rPr>
                <w:noProof/>
                <w:kern w:val="2"/>
                <w:sz w:val="24"/>
                <w:szCs w:val="24"/>
                <w:lang w:val="en-IN" w:eastAsia="en-IN"/>
                <w14:ligatures w14:val="standardContextual"/>
              </w:rPr>
              <w:tab/>
            </w:r>
            <w:r w:rsidRPr="00425BCD">
              <w:rPr>
                <w:rStyle w:val="Hyperlink"/>
                <w:noProof/>
              </w:rPr>
              <w:t>Net Present Value (NPV) Appraisal of Options A, B and C</w:t>
            </w:r>
            <w:r>
              <w:rPr>
                <w:noProof/>
                <w:webHidden/>
              </w:rPr>
              <w:tab/>
            </w:r>
            <w:r>
              <w:rPr>
                <w:noProof/>
                <w:webHidden/>
              </w:rPr>
              <w:fldChar w:fldCharType="begin"/>
            </w:r>
            <w:r>
              <w:rPr>
                <w:noProof/>
                <w:webHidden/>
              </w:rPr>
              <w:instrText xml:space="preserve"> PAGEREF _Toc219036415 \h </w:instrText>
            </w:r>
            <w:r>
              <w:rPr>
                <w:noProof/>
                <w:webHidden/>
              </w:rPr>
            </w:r>
            <w:r>
              <w:rPr>
                <w:noProof/>
                <w:webHidden/>
              </w:rPr>
              <w:fldChar w:fldCharType="separate"/>
            </w:r>
            <w:r>
              <w:rPr>
                <w:noProof/>
                <w:webHidden/>
              </w:rPr>
              <w:t>15</w:t>
            </w:r>
            <w:r>
              <w:rPr>
                <w:noProof/>
                <w:webHidden/>
              </w:rPr>
              <w:fldChar w:fldCharType="end"/>
            </w:r>
          </w:hyperlink>
        </w:p>
        <w:p w14:paraId="1D866025" w14:textId="334F67C5" w:rsidR="00423781" w:rsidRDefault="00423781">
          <w:pPr>
            <w:pStyle w:val="TOC3"/>
            <w:tabs>
              <w:tab w:val="right" w:leader="dot" w:pos="8630"/>
            </w:tabs>
            <w:rPr>
              <w:noProof/>
              <w:kern w:val="2"/>
              <w:sz w:val="24"/>
              <w:szCs w:val="24"/>
              <w:lang w:val="en-IN" w:eastAsia="en-IN"/>
              <w14:ligatures w14:val="standardContextual"/>
            </w:rPr>
          </w:pPr>
          <w:hyperlink w:anchor="_Toc219036416" w:history="1">
            <w:r w:rsidRPr="00425BCD">
              <w:rPr>
                <w:rStyle w:val="Hyperlink"/>
                <w:noProof/>
                <w:lang w:val="en-IN"/>
              </w:rPr>
              <w:t>3.1. Option A – Expand Retail Outlet</w:t>
            </w:r>
            <w:r>
              <w:rPr>
                <w:noProof/>
                <w:webHidden/>
              </w:rPr>
              <w:tab/>
            </w:r>
            <w:r>
              <w:rPr>
                <w:noProof/>
                <w:webHidden/>
              </w:rPr>
              <w:fldChar w:fldCharType="begin"/>
            </w:r>
            <w:r>
              <w:rPr>
                <w:noProof/>
                <w:webHidden/>
              </w:rPr>
              <w:instrText xml:space="preserve"> PAGEREF _Toc219036416 \h </w:instrText>
            </w:r>
            <w:r>
              <w:rPr>
                <w:noProof/>
                <w:webHidden/>
              </w:rPr>
            </w:r>
            <w:r>
              <w:rPr>
                <w:noProof/>
                <w:webHidden/>
              </w:rPr>
              <w:fldChar w:fldCharType="separate"/>
            </w:r>
            <w:r>
              <w:rPr>
                <w:noProof/>
                <w:webHidden/>
              </w:rPr>
              <w:t>15</w:t>
            </w:r>
            <w:r>
              <w:rPr>
                <w:noProof/>
                <w:webHidden/>
              </w:rPr>
              <w:fldChar w:fldCharType="end"/>
            </w:r>
          </w:hyperlink>
        </w:p>
        <w:p w14:paraId="47233B8A" w14:textId="05C42089"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17" w:history="1">
            <w:r w:rsidRPr="00425BCD">
              <w:rPr>
                <w:rStyle w:val="Hyperlink"/>
                <w:noProof/>
                <w:lang w:val="en-IN"/>
              </w:rPr>
              <w:t>3.2</w:t>
            </w:r>
            <w:r>
              <w:rPr>
                <w:noProof/>
                <w:kern w:val="2"/>
                <w:sz w:val="24"/>
                <w:szCs w:val="24"/>
                <w:lang w:val="en-IN" w:eastAsia="en-IN"/>
                <w14:ligatures w14:val="standardContextual"/>
              </w:rPr>
              <w:tab/>
            </w:r>
            <w:r w:rsidRPr="00425BCD">
              <w:rPr>
                <w:rStyle w:val="Hyperlink"/>
                <w:noProof/>
                <w:lang w:val="en-IN"/>
              </w:rPr>
              <w:t>Option B – Develop Internet Sales</w:t>
            </w:r>
            <w:r>
              <w:rPr>
                <w:noProof/>
                <w:webHidden/>
              </w:rPr>
              <w:tab/>
            </w:r>
            <w:r>
              <w:rPr>
                <w:noProof/>
                <w:webHidden/>
              </w:rPr>
              <w:fldChar w:fldCharType="begin"/>
            </w:r>
            <w:r>
              <w:rPr>
                <w:noProof/>
                <w:webHidden/>
              </w:rPr>
              <w:instrText xml:space="preserve"> PAGEREF _Toc219036417 \h </w:instrText>
            </w:r>
            <w:r>
              <w:rPr>
                <w:noProof/>
                <w:webHidden/>
              </w:rPr>
            </w:r>
            <w:r>
              <w:rPr>
                <w:noProof/>
                <w:webHidden/>
              </w:rPr>
              <w:fldChar w:fldCharType="separate"/>
            </w:r>
            <w:r>
              <w:rPr>
                <w:noProof/>
                <w:webHidden/>
              </w:rPr>
              <w:t>16</w:t>
            </w:r>
            <w:r>
              <w:rPr>
                <w:noProof/>
                <w:webHidden/>
              </w:rPr>
              <w:fldChar w:fldCharType="end"/>
            </w:r>
          </w:hyperlink>
        </w:p>
        <w:p w14:paraId="2DAFFDA4" w14:textId="15180DA0"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18" w:history="1">
            <w:r w:rsidRPr="00425BCD">
              <w:rPr>
                <w:rStyle w:val="Hyperlink"/>
                <w:noProof/>
                <w:lang w:val="en-IN"/>
              </w:rPr>
              <w:t>3.3</w:t>
            </w:r>
            <w:r>
              <w:rPr>
                <w:noProof/>
                <w:kern w:val="2"/>
                <w:sz w:val="24"/>
                <w:szCs w:val="24"/>
                <w:lang w:val="en-IN" w:eastAsia="en-IN"/>
                <w14:ligatures w14:val="standardContextual"/>
              </w:rPr>
              <w:tab/>
            </w:r>
            <w:r w:rsidRPr="00425BCD">
              <w:rPr>
                <w:rStyle w:val="Hyperlink"/>
                <w:noProof/>
                <w:lang w:val="en-IN"/>
              </w:rPr>
              <w:t>Option C – Produce Wooden &amp; Roman Blinds</w:t>
            </w:r>
            <w:r>
              <w:rPr>
                <w:noProof/>
                <w:webHidden/>
              </w:rPr>
              <w:tab/>
            </w:r>
            <w:r>
              <w:rPr>
                <w:noProof/>
                <w:webHidden/>
              </w:rPr>
              <w:fldChar w:fldCharType="begin"/>
            </w:r>
            <w:r>
              <w:rPr>
                <w:noProof/>
                <w:webHidden/>
              </w:rPr>
              <w:instrText xml:space="preserve"> PAGEREF _Toc219036418 \h </w:instrText>
            </w:r>
            <w:r>
              <w:rPr>
                <w:noProof/>
                <w:webHidden/>
              </w:rPr>
            </w:r>
            <w:r>
              <w:rPr>
                <w:noProof/>
                <w:webHidden/>
              </w:rPr>
              <w:fldChar w:fldCharType="separate"/>
            </w:r>
            <w:r>
              <w:rPr>
                <w:noProof/>
                <w:webHidden/>
              </w:rPr>
              <w:t>16</w:t>
            </w:r>
            <w:r>
              <w:rPr>
                <w:noProof/>
                <w:webHidden/>
              </w:rPr>
              <w:fldChar w:fldCharType="end"/>
            </w:r>
          </w:hyperlink>
        </w:p>
        <w:p w14:paraId="53A2549E" w14:textId="6F57BFD4"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19" w:history="1">
            <w:r w:rsidRPr="00425BCD">
              <w:rPr>
                <w:rStyle w:val="Hyperlink"/>
                <w:noProof/>
              </w:rPr>
              <w:t>4.</w:t>
            </w:r>
            <w:r>
              <w:rPr>
                <w:noProof/>
                <w:kern w:val="2"/>
                <w:sz w:val="24"/>
                <w:szCs w:val="24"/>
                <w:lang w:val="en-IN" w:eastAsia="en-IN"/>
                <w14:ligatures w14:val="standardContextual"/>
              </w:rPr>
              <w:tab/>
            </w:r>
            <w:r w:rsidRPr="00425BCD">
              <w:rPr>
                <w:rStyle w:val="Hyperlink"/>
                <w:noProof/>
              </w:rPr>
              <w:t>Recommendation Based on NPV Results</w:t>
            </w:r>
            <w:r>
              <w:rPr>
                <w:noProof/>
                <w:webHidden/>
              </w:rPr>
              <w:tab/>
            </w:r>
            <w:r>
              <w:rPr>
                <w:noProof/>
                <w:webHidden/>
              </w:rPr>
              <w:fldChar w:fldCharType="begin"/>
            </w:r>
            <w:r>
              <w:rPr>
                <w:noProof/>
                <w:webHidden/>
              </w:rPr>
              <w:instrText xml:space="preserve"> PAGEREF _Toc219036419 \h </w:instrText>
            </w:r>
            <w:r>
              <w:rPr>
                <w:noProof/>
                <w:webHidden/>
              </w:rPr>
            </w:r>
            <w:r>
              <w:rPr>
                <w:noProof/>
                <w:webHidden/>
              </w:rPr>
              <w:fldChar w:fldCharType="separate"/>
            </w:r>
            <w:r>
              <w:rPr>
                <w:noProof/>
                <w:webHidden/>
              </w:rPr>
              <w:t>17</w:t>
            </w:r>
            <w:r>
              <w:rPr>
                <w:noProof/>
                <w:webHidden/>
              </w:rPr>
              <w:fldChar w:fldCharType="end"/>
            </w:r>
          </w:hyperlink>
        </w:p>
        <w:p w14:paraId="15951BA6" w14:textId="51EC7BC8"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20" w:history="1">
            <w:r w:rsidRPr="00425BCD">
              <w:rPr>
                <w:rStyle w:val="Hyperlink"/>
                <w:noProof/>
              </w:rPr>
              <w:t>5.</w:t>
            </w:r>
            <w:r>
              <w:rPr>
                <w:noProof/>
                <w:kern w:val="2"/>
                <w:sz w:val="24"/>
                <w:szCs w:val="24"/>
                <w:lang w:val="en-IN" w:eastAsia="en-IN"/>
                <w14:ligatures w14:val="standardContextual"/>
              </w:rPr>
              <w:tab/>
            </w:r>
            <w:r w:rsidRPr="00425BCD">
              <w:rPr>
                <w:rStyle w:val="Hyperlink"/>
                <w:noProof/>
              </w:rPr>
              <w:t>Internal Rate of Return (IRR) for the Recommended Option</w:t>
            </w:r>
            <w:r>
              <w:rPr>
                <w:noProof/>
                <w:webHidden/>
              </w:rPr>
              <w:tab/>
            </w:r>
            <w:r>
              <w:rPr>
                <w:noProof/>
                <w:webHidden/>
              </w:rPr>
              <w:fldChar w:fldCharType="begin"/>
            </w:r>
            <w:r>
              <w:rPr>
                <w:noProof/>
                <w:webHidden/>
              </w:rPr>
              <w:instrText xml:space="preserve"> PAGEREF _Toc219036420 \h </w:instrText>
            </w:r>
            <w:r>
              <w:rPr>
                <w:noProof/>
                <w:webHidden/>
              </w:rPr>
            </w:r>
            <w:r>
              <w:rPr>
                <w:noProof/>
                <w:webHidden/>
              </w:rPr>
              <w:fldChar w:fldCharType="separate"/>
            </w:r>
            <w:r>
              <w:rPr>
                <w:noProof/>
                <w:webHidden/>
              </w:rPr>
              <w:t>18</w:t>
            </w:r>
            <w:r>
              <w:rPr>
                <w:noProof/>
                <w:webHidden/>
              </w:rPr>
              <w:fldChar w:fldCharType="end"/>
            </w:r>
          </w:hyperlink>
        </w:p>
        <w:p w14:paraId="14527883" w14:textId="030DDA0C"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21" w:history="1">
            <w:r w:rsidRPr="00425BCD">
              <w:rPr>
                <w:rStyle w:val="Hyperlink"/>
                <w:noProof/>
              </w:rPr>
              <w:t>6.</w:t>
            </w:r>
            <w:r>
              <w:rPr>
                <w:noProof/>
                <w:kern w:val="2"/>
                <w:sz w:val="24"/>
                <w:szCs w:val="24"/>
                <w:lang w:val="en-IN" w:eastAsia="en-IN"/>
                <w14:ligatures w14:val="standardContextual"/>
              </w:rPr>
              <w:tab/>
            </w:r>
            <w:r w:rsidRPr="00425BCD">
              <w:rPr>
                <w:rStyle w:val="Hyperlink"/>
                <w:noProof/>
              </w:rPr>
              <w:t>Interpretation for Management</w:t>
            </w:r>
            <w:r>
              <w:rPr>
                <w:noProof/>
                <w:webHidden/>
              </w:rPr>
              <w:tab/>
            </w:r>
            <w:r>
              <w:rPr>
                <w:noProof/>
                <w:webHidden/>
              </w:rPr>
              <w:fldChar w:fldCharType="begin"/>
            </w:r>
            <w:r>
              <w:rPr>
                <w:noProof/>
                <w:webHidden/>
              </w:rPr>
              <w:instrText xml:space="preserve"> PAGEREF _Toc219036421 \h </w:instrText>
            </w:r>
            <w:r>
              <w:rPr>
                <w:noProof/>
                <w:webHidden/>
              </w:rPr>
            </w:r>
            <w:r>
              <w:rPr>
                <w:noProof/>
                <w:webHidden/>
              </w:rPr>
              <w:fldChar w:fldCharType="separate"/>
            </w:r>
            <w:r>
              <w:rPr>
                <w:noProof/>
                <w:webHidden/>
              </w:rPr>
              <w:t>19</w:t>
            </w:r>
            <w:r>
              <w:rPr>
                <w:noProof/>
                <w:webHidden/>
              </w:rPr>
              <w:fldChar w:fldCharType="end"/>
            </w:r>
          </w:hyperlink>
        </w:p>
        <w:p w14:paraId="3AE5FED3" w14:textId="5A4005E2" w:rsidR="00423781" w:rsidRDefault="00423781">
          <w:pPr>
            <w:pStyle w:val="TOC3"/>
            <w:tabs>
              <w:tab w:val="right" w:leader="dot" w:pos="8630"/>
            </w:tabs>
            <w:rPr>
              <w:noProof/>
              <w:kern w:val="2"/>
              <w:sz w:val="24"/>
              <w:szCs w:val="24"/>
              <w:lang w:val="en-IN" w:eastAsia="en-IN"/>
              <w14:ligatures w14:val="standardContextual"/>
            </w:rPr>
          </w:pPr>
          <w:hyperlink w:anchor="_Toc219036422" w:history="1">
            <w:r w:rsidRPr="00425BCD">
              <w:rPr>
                <w:rStyle w:val="Hyperlink"/>
                <w:noProof/>
              </w:rPr>
              <w:t>6.1 Theoretical Case for NPV as the Preferred Method</w:t>
            </w:r>
            <w:r>
              <w:rPr>
                <w:noProof/>
                <w:webHidden/>
              </w:rPr>
              <w:tab/>
            </w:r>
            <w:r>
              <w:rPr>
                <w:noProof/>
                <w:webHidden/>
              </w:rPr>
              <w:fldChar w:fldCharType="begin"/>
            </w:r>
            <w:r>
              <w:rPr>
                <w:noProof/>
                <w:webHidden/>
              </w:rPr>
              <w:instrText xml:space="preserve"> PAGEREF _Toc219036422 \h </w:instrText>
            </w:r>
            <w:r>
              <w:rPr>
                <w:noProof/>
                <w:webHidden/>
              </w:rPr>
            </w:r>
            <w:r>
              <w:rPr>
                <w:noProof/>
                <w:webHidden/>
              </w:rPr>
              <w:fldChar w:fldCharType="separate"/>
            </w:r>
            <w:r>
              <w:rPr>
                <w:noProof/>
                <w:webHidden/>
              </w:rPr>
              <w:t>19</w:t>
            </w:r>
            <w:r>
              <w:rPr>
                <w:noProof/>
                <w:webHidden/>
              </w:rPr>
              <w:fldChar w:fldCharType="end"/>
            </w:r>
          </w:hyperlink>
        </w:p>
        <w:p w14:paraId="246DB833" w14:textId="47B25B6B"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23" w:history="1">
            <w:r w:rsidRPr="00425BCD">
              <w:rPr>
                <w:rStyle w:val="Hyperlink"/>
                <w:noProof/>
              </w:rPr>
              <w:t>6.2</w:t>
            </w:r>
            <w:r>
              <w:rPr>
                <w:noProof/>
                <w:kern w:val="2"/>
                <w:sz w:val="24"/>
                <w:szCs w:val="24"/>
                <w:lang w:val="en-IN" w:eastAsia="en-IN"/>
                <w14:ligatures w14:val="standardContextual"/>
              </w:rPr>
              <w:tab/>
            </w:r>
            <w:r w:rsidRPr="00425BCD">
              <w:rPr>
                <w:rStyle w:val="Hyperlink"/>
                <w:noProof/>
              </w:rPr>
              <w:t>Why Non-Discounting Methods Remain Popular</w:t>
            </w:r>
            <w:r>
              <w:rPr>
                <w:noProof/>
                <w:webHidden/>
              </w:rPr>
              <w:tab/>
            </w:r>
            <w:r>
              <w:rPr>
                <w:noProof/>
                <w:webHidden/>
              </w:rPr>
              <w:fldChar w:fldCharType="begin"/>
            </w:r>
            <w:r>
              <w:rPr>
                <w:noProof/>
                <w:webHidden/>
              </w:rPr>
              <w:instrText xml:space="preserve"> PAGEREF _Toc219036423 \h </w:instrText>
            </w:r>
            <w:r>
              <w:rPr>
                <w:noProof/>
                <w:webHidden/>
              </w:rPr>
            </w:r>
            <w:r>
              <w:rPr>
                <w:noProof/>
                <w:webHidden/>
              </w:rPr>
              <w:fldChar w:fldCharType="separate"/>
            </w:r>
            <w:r>
              <w:rPr>
                <w:noProof/>
                <w:webHidden/>
              </w:rPr>
              <w:t>20</w:t>
            </w:r>
            <w:r>
              <w:rPr>
                <w:noProof/>
                <w:webHidden/>
              </w:rPr>
              <w:fldChar w:fldCharType="end"/>
            </w:r>
          </w:hyperlink>
        </w:p>
        <w:p w14:paraId="20404450" w14:textId="1ACC8BE8"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24" w:history="1">
            <w:r w:rsidRPr="00425BCD">
              <w:rPr>
                <w:rStyle w:val="Hyperlink"/>
                <w:noProof/>
              </w:rPr>
              <w:t>6.3</w:t>
            </w:r>
            <w:r>
              <w:rPr>
                <w:noProof/>
                <w:kern w:val="2"/>
                <w:sz w:val="24"/>
                <w:szCs w:val="24"/>
                <w:lang w:val="en-IN" w:eastAsia="en-IN"/>
                <w14:ligatures w14:val="standardContextual"/>
              </w:rPr>
              <w:tab/>
            </w:r>
            <w:r w:rsidRPr="00425BCD">
              <w:rPr>
                <w:rStyle w:val="Hyperlink"/>
                <w:noProof/>
              </w:rPr>
              <w:t>Additional Factors to Consider Before Final Decision</w:t>
            </w:r>
            <w:r>
              <w:rPr>
                <w:noProof/>
                <w:webHidden/>
              </w:rPr>
              <w:tab/>
            </w:r>
            <w:r>
              <w:rPr>
                <w:noProof/>
                <w:webHidden/>
              </w:rPr>
              <w:fldChar w:fldCharType="begin"/>
            </w:r>
            <w:r>
              <w:rPr>
                <w:noProof/>
                <w:webHidden/>
              </w:rPr>
              <w:instrText xml:space="preserve"> PAGEREF _Toc219036424 \h </w:instrText>
            </w:r>
            <w:r>
              <w:rPr>
                <w:noProof/>
                <w:webHidden/>
              </w:rPr>
            </w:r>
            <w:r>
              <w:rPr>
                <w:noProof/>
                <w:webHidden/>
              </w:rPr>
              <w:fldChar w:fldCharType="separate"/>
            </w:r>
            <w:r>
              <w:rPr>
                <w:noProof/>
                <w:webHidden/>
              </w:rPr>
              <w:t>20</w:t>
            </w:r>
            <w:r>
              <w:rPr>
                <w:noProof/>
                <w:webHidden/>
              </w:rPr>
              <w:fldChar w:fldCharType="end"/>
            </w:r>
          </w:hyperlink>
        </w:p>
        <w:p w14:paraId="5C8964FD" w14:textId="48B1E901" w:rsidR="00423781" w:rsidRDefault="00423781">
          <w:pPr>
            <w:pStyle w:val="TOC3"/>
            <w:tabs>
              <w:tab w:val="right" w:leader="dot" w:pos="8630"/>
            </w:tabs>
            <w:rPr>
              <w:noProof/>
              <w:kern w:val="2"/>
              <w:sz w:val="24"/>
              <w:szCs w:val="24"/>
              <w:lang w:val="en-IN" w:eastAsia="en-IN"/>
              <w14:ligatures w14:val="standardContextual"/>
            </w:rPr>
          </w:pPr>
          <w:hyperlink w:anchor="_Toc219036425" w:history="1">
            <w:r w:rsidRPr="00425BCD">
              <w:rPr>
                <w:rStyle w:val="Hyperlink"/>
                <w:noProof/>
              </w:rPr>
              <w:t>6.3.1. Strategic and Market Factors</w:t>
            </w:r>
            <w:r>
              <w:rPr>
                <w:noProof/>
                <w:webHidden/>
              </w:rPr>
              <w:tab/>
            </w:r>
            <w:r>
              <w:rPr>
                <w:noProof/>
                <w:webHidden/>
              </w:rPr>
              <w:fldChar w:fldCharType="begin"/>
            </w:r>
            <w:r>
              <w:rPr>
                <w:noProof/>
                <w:webHidden/>
              </w:rPr>
              <w:instrText xml:space="preserve"> PAGEREF _Toc219036425 \h </w:instrText>
            </w:r>
            <w:r>
              <w:rPr>
                <w:noProof/>
                <w:webHidden/>
              </w:rPr>
            </w:r>
            <w:r>
              <w:rPr>
                <w:noProof/>
                <w:webHidden/>
              </w:rPr>
              <w:fldChar w:fldCharType="separate"/>
            </w:r>
            <w:r>
              <w:rPr>
                <w:noProof/>
                <w:webHidden/>
              </w:rPr>
              <w:t>20</w:t>
            </w:r>
            <w:r>
              <w:rPr>
                <w:noProof/>
                <w:webHidden/>
              </w:rPr>
              <w:fldChar w:fldCharType="end"/>
            </w:r>
          </w:hyperlink>
        </w:p>
        <w:p w14:paraId="1DF41308" w14:textId="1EAE02A5" w:rsidR="00423781" w:rsidRDefault="00423781">
          <w:pPr>
            <w:pStyle w:val="TOC3"/>
            <w:tabs>
              <w:tab w:val="right" w:leader="dot" w:pos="8630"/>
            </w:tabs>
            <w:rPr>
              <w:noProof/>
              <w:kern w:val="2"/>
              <w:sz w:val="24"/>
              <w:szCs w:val="24"/>
              <w:lang w:val="en-IN" w:eastAsia="en-IN"/>
              <w14:ligatures w14:val="standardContextual"/>
            </w:rPr>
          </w:pPr>
          <w:hyperlink w:anchor="_Toc219036426" w:history="1">
            <w:r w:rsidRPr="00425BCD">
              <w:rPr>
                <w:rStyle w:val="Hyperlink"/>
                <w:noProof/>
              </w:rPr>
              <w:t>6.3.2. Operational Feasibility and Capability</w:t>
            </w:r>
            <w:r>
              <w:rPr>
                <w:noProof/>
                <w:webHidden/>
              </w:rPr>
              <w:tab/>
            </w:r>
            <w:r>
              <w:rPr>
                <w:noProof/>
                <w:webHidden/>
              </w:rPr>
              <w:fldChar w:fldCharType="begin"/>
            </w:r>
            <w:r>
              <w:rPr>
                <w:noProof/>
                <w:webHidden/>
              </w:rPr>
              <w:instrText xml:space="preserve"> PAGEREF _Toc219036426 \h </w:instrText>
            </w:r>
            <w:r>
              <w:rPr>
                <w:noProof/>
                <w:webHidden/>
              </w:rPr>
            </w:r>
            <w:r>
              <w:rPr>
                <w:noProof/>
                <w:webHidden/>
              </w:rPr>
              <w:fldChar w:fldCharType="separate"/>
            </w:r>
            <w:r>
              <w:rPr>
                <w:noProof/>
                <w:webHidden/>
              </w:rPr>
              <w:t>21</w:t>
            </w:r>
            <w:r>
              <w:rPr>
                <w:noProof/>
                <w:webHidden/>
              </w:rPr>
              <w:fldChar w:fldCharType="end"/>
            </w:r>
          </w:hyperlink>
        </w:p>
        <w:p w14:paraId="378ADA92" w14:textId="14DCE470" w:rsidR="00423781" w:rsidRDefault="00423781">
          <w:pPr>
            <w:pStyle w:val="TOC3"/>
            <w:tabs>
              <w:tab w:val="right" w:leader="dot" w:pos="8630"/>
            </w:tabs>
            <w:rPr>
              <w:noProof/>
              <w:kern w:val="2"/>
              <w:sz w:val="24"/>
              <w:szCs w:val="24"/>
              <w:lang w:val="en-IN" w:eastAsia="en-IN"/>
              <w14:ligatures w14:val="standardContextual"/>
            </w:rPr>
          </w:pPr>
          <w:hyperlink w:anchor="_Toc219036427" w:history="1">
            <w:r w:rsidRPr="00425BCD">
              <w:rPr>
                <w:rStyle w:val="Hyperlink"/>
                <w:noProof/>
              </w:rPr>
              <w:t>6.3.3. Risk and Uncertainty</w:t>
            </w:r>
            <w:r>
              <w:rPr>
                <w:noProof/>
                <w:webHidden/>
              </w:rPr>
              <w:tab/>
            </w:r>
            <w:r>
              <w:rPr>
                <w:noProof/>
                <w:webHidden/>
              </w:rPr>
              <w:fldChar w:fldCharType="begin"/>
            </w:r>
            <w:r>
              <w:rPr>
                <w:noProof/>
                <w:webHidden/>
              </w:rPr>
              <w:instrText xml:space="preserve"> PAGEREF _Toc219036427 \h </w:instrText>
            </w:r>
            <w:r>
              <w:rPr>
                <w:noProof/>
                <w:webHidden/>
              </w:rPr>
            </w:r>
            <w:r>
              <w:rPr>
                <w:noProof/>
                <w:webHidden/>
              </w:rPr>
              <w:fldChar w:fldCharType="separate"/>
            </w:r>
            <w:r>
              <w:rPr>
                <w:noProof/>
                <w:webHidden/>
              </w:rPr>
              <w:t>21</w:t>
            </w:r>
            <w:r>
              <w:rPr>
                <w:noProof/>
                <w:webHidden/>
              </w:rPr>
              <w:fldChar w:fldCharType="end"/>
            </w:r>
          </w:hyperlink>
        </w:p>
        <w:p w14:paraId="64EFE383" w14:textId="69C2CC99" w:rsidR="00423781" w:rsidRDefault="00423781">
          <w:pPr>
            <w:pStyle w:val="TOC3"/>
            <w:tabs>
              <w:tab w:val="right" w:leader="dot" w:pos="8630"/>
            </w:tabs>
            <w:rPr>
              <w:noProof/>
              <w:kern w:val="2"/>
              <w:sz w:val="24"/>
              <w:szCs w:val="24"/>
              <w:lang w:val="en-IN" w:eastAsia="en-IN"/>
              <w14:ligatures w14:val="standardContextual"/>
            </w:rPr>
          </w:pPr>
          <w:hyperlink w:anchor="_Toc219036428" w:history="1">
            <w:r w:rsidRPr="00425BCD">
              <w:rPr>
                <w:rStyle w:val="Hyperlink"/>
                <w:noProof/>
              </w:rPr>
              <w:t>6.3.4. ESG and Regulatory Issues</w:t>
            </w:r>
            <w:r>
              <w:rPr>
                <w:noProof/>
                <w:webHidden/>
              </w:rPr>
              <w:tab/>
            </w:r>
            <w:r>
              <w:rPr>
                <w:noProof/>
                <w:webHidden/>
              </w:rPr>
              <w:fldChar w:fldCharType="begin"/>
            </w:r>
            <w:r>
              <w:rPr>
                <w:noProof/>
                <w:webHidden/>
              </w:rPr>
              <w:instrText xml:space="preserve"> PAGEREF _Toc219036428 \h </w:instrText>
            </w:r>
            <w:r>
              <w:rPr>
                <w:noProof/>
                <w:webHidden/>
              </w:rPr>
            </w:r>
            <w:r>
              <w:rPr>
                <w:noProof/>
                <w:webHidden/>
              </w:rPr>
              <w:fldChar w:fldCharType="separate"/>
            </w:r>
            <w:r>
              <w:rPr>
                <w:noProof/>
                <w:webHidden/>
              </w:rPr>
              <w:t>21</w:t>
            </w:r>
            <w:r>
              <w:rPr>
                <w:noProof/>
                <w:webHidden/>
              </w:rPr>
              <w:fldChar w:fldCharType="end"/>
            </w:r>
          </w:hyperlink>
        </w:p>
        <w:p w14:paraId="61F7F593" w14:textId="55F7EF1C"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29" w:history="1">
            <w:r w:rsidRPr="00425BCD">
              <w:rPr>
                <w:rStyle w:val="Hyperlink"/>
                <w:noProof/>
              </w:rPr>
              <w:t>7.</w:t>
            </w:r>
            <w:r>
              <w:rPr>
                <w:noProof/>
                <w:kern w:val="2"/>
                <w:sz w:val="24"/>
                <w:szCs w:val="24"/>
                <w:lang w:val="en-IN" w:eastAsia="en-IN"/>
                <w14:ligatures w14:val="standardContextual"/>
              </w:rPr>
              <w:tab/>
            </w:r>
            <w:r w:rsidRPr="00425BCD">
              <w:rPr>
                <w:rStyle w:val="Hyperlink"/>
                <w:noProof/>
              </w:rPr>
              <w:t>Capital Rationing and Optimal Investment Policy (Divisible Projects)</w:t>
            </w:r>
            <w:r>
              <w:rPr>
                <w:noProof/>
                <w:webHidden/>
              </w:rPr>
              <w:tab/>
            </w:r>
            <w:r>
              <w:rPr>
                <w:noProof/>
                <w:webHidden/>
              </w:rPr>
              <w:fldChar w:fldCharType="begin"/>
            </w:r>
            <w:r>
              <w:rPr>
                <w:noProof/>
                <w:webHidden/>
              </w:rPr>
              <w:instrText xml:space="preserve"> PAGEREF _Toc219036429 \h </w:instrText>
            </w:r>
            <w:r>
              <w:rPr>
                <w:noProof/>
                <w:webHidden/>
              </w:rPr>
            </w:r>
            <w:r>
              <w:rPr>
                <w:noProof/>
                <w:webHidden/>
              </w:rPr>
              <w:fldChar w:fldCharType="separate"/>
            </w:r>
            <w:r>
              <w:rPr>
                <w:noProof/>
                <w:webHidden/>
              </w:rPr>
              <w:t>21</w:t>
            </w:r>
            <w:r>
              <w:rPr>
                <w:noProof/>
                <w:webHidden/>
              </w:rPr>
              <w:fldChar w:fldCharType="end"/>
            </w:r>
          </w:hyperlink>
        </w:p>
        <w:p w14:paraId="0094F235" w14:textId="58181A3D"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30" w:history="1">
            <w:r w:rsidRPr="00425BCD">
              <w:rPr>
                <w:rStyle w:val="Hyperlink"/>
                <w:noProof/>
              </w:rPr>
              <w:t>8.</w:t>
            </w:r>
            <w:r>
              <w:rPr>
                <w:noProof/>
                <w:kern w:val="2"/>
                <w:sz w:val="24"/>
                <w:szCs w:val="24"/>
                <w:lang w:val="en-IN" w:eastAsia="en-IN"/>
                <w14:ligatures w14:val="standardContextual"/>
              </w:rPr>
              <w:tab/>
            </w:r>
            <w:r w:rsidRPr="00425BCD">
              <w:rPr>
                <w:rStyle w:val="Hyperlink"/>
                <w:noProof/>
              </w:rPr>
              <w:t>Financing the Investment Programme: Sources of Finance and Evaluation</w:t>
            </w:r>
            <w:r>
              <w:rPr>
                <w:noProof/>
                <w:webHidden/>
              </w:rPr>
              <w:tab/>
            </w:r>
            <w:r>
              <w:rPr>
                <w:noProof/>
                <w:webHidden/>
              </w:rPr>
              <w:fldChar w:fldCharType="begin"/>
            </w:r>
            <w:r>
              <w:rPr>
                <w:noProof/>
                <w:webHidden/>
              </w:rPr>
              <w:instrText xml:space="preserve"> PAGEREF _Toc219036430 \h </w:instrText>
            </w:r>
            <w:r>
              <w:rPr>
                <w:noProof/>
                <w:webHidden/>
              </w:rPr>
            </w:r>
            <w:r>
              <w:rPr>
                <w:noProof/>
                <w:webHidden/>
              </w:rPr>
              <w:fldChar w:fldCharType="separate"/>
            </w:r>
            <w:r>
              <w:rPr>
                <w:noProof/>
                <w:webHidden/>
              </w:rPr>
              <w:t>22</w:t>
            </w:r>
            <w:r>
              <w:rPr>
                <w:noProof/>
                <w:webHidden/>
              </w:rPr>
              <w:fldChar w:fldCharType="end"/>
            </w:r>
          </w:hyperlink>
        </w:p>
        <w:p w14:paraId="6D1C7AA5" w14:textId="12DF3609"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31" w:history="1">
            <w:r w:rsidRPr="00425BCD">
              <w:rPr>
                <w:rStyle w:val="Hyperlink"/>
                <w:noProof/>
                <w:lang w:val="en-IN"/>
              </w:rPr>
              <w:t>8.1.</w:t>
            </w:r>
            <w:r>
              <w:rPr>
                <w:noProof/>
                <w:kern w:val="2"/>
                <w:sz w:val="24"/>
                <w:szCs w:val="24"/>
                <w:lang w:val="en-IN" w:eastAsia="en-IN"/>
                <w14:ligatures w14:val="standardContextual"/>
              </w:rPr>
              <w:tab/>
            </w:r>
            <w:r w:rsidRPr="00425BCD">
              <w:rPr>
                <w:rStyle w:val="Hyperlink"/>
                <w:noProof/>
                <w:lang w:val="en-IN"/>
              </w:rPr>
              <w:t>Debt Finance (Bank Loans / Corporate Borrowing)</w:t>
            </w:r>
            <w:r>
              <w:rPr>
                <w:noProof/>
                <w:webHidden/>
              </w:rPr>
              <w:tab/>
            </w:r>
            <w:r>
              <w:rPr>
                <w:noProof/>
                <w:webHidden/>
              </w:rPr>
              <w:fldChar w:fldCharType="begin"/>
            </w:r>
            <w:r>
              <w:rPr>
                <w:noProof/>
                <w:webHidden/>
              </w:rPr>
              <w:instrText xml:space="preserve"> PAGEREF _Toc219036431 \h </w:instrText>
            </w:r>
            <w:r>
              <w:rPr>
                <w:noProof/>
                <w:webHidden/>
              </w:rPr>
            </w:r>
            <w:r>
              <w:rPr>
                <w:noProof/>
                <w:webHidden/>
              </w:rPr>
              <w:fldChar w:fldCharType="separate"/>
            </w:r>
            <w:r>
              <w:rPr>
                <w:noProof/>
                <w:webHidden/>
              </w:rPr>
              <w:t>23</w:t>
            </w:r>
            <w:r>
              <w:rPr>
                <w:noProof/>
                <w:webHidden/>
              </w:rPr>
              <w:fldChar w:fldCharType="end"/>
            </w:r>
          </w:hyperlink>
        </w:p>
        <w:p w14:paraId="789A1043" w14:textId="6D029DD9"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32" w:history="1">
            <w:r w:rsidRPr="00425BCD">
              <w:rPr>
                <w:rStyle w:val="Hyperlink"/>
                <w:noProof/>
                <w:lang w:val="en-IN"/>
              </w:rPr>
              <w:t>8.2</w:t>
            </w:r>
            <w:r>
              <w:rPr>
                <w:noProof/>
                <w:kern w:val="2"/>
                <w:sz w:val="24"/>
                <w:szCs w:val="24"/>
                <w:lang w:val="en-IN" w:eastAsia="en-IN"/>
                <w14:ligatures w14:val="standardContextual"/>
              </w:rPr>
              <w:tab/>
            </w:r>
            <w:r w:rsidRPr="00425BCD">
              <w:rPr>
                <w:rStyle w:val="Hyperlink"/>
                <w:noProof/>
                <w:lang w:val="en-IN"/>
              </w:rPr>
              <w:t>Equity Finance (Issuing Shares / Bringing in Investors)</w:t>
            </w:r>
            <w:r>
              <w:rPr>
                <w:noProof/>
                <w:webHidden/>
              </w:rPr>
              <w:tab/>
            </w:r>
            <w:r>
              <w:rPr>
                <w:noProof/>
                <w:webHidden/>
              </w:rPr>
              <w:fldChar w:fldCharType="begin"/>
            </w:r>
            <w:r>
              <w:rPr>
                <w:noProof/>
                <w:webHidden/>
              </w:rPr>
              <w:instrText xml:space="preserve"> PAGEREF _Toc219036432 \h </w:instrText>
            </w:r>
            <w:r>
              <w:rPr>
                <w:noProof/>
                <w:webHidden/>
              </w:rPr>
            </w:r>
            <w:r>
              <w:rPr>
                <w:noProof/>
                <w:webHidden/>
              </w:rPr>
              <w:fldChar w:fldCharType="separate"/>
            </w:r>
            <w:r>
              <w:rPr>
                <w:noProof/>
                <w:webHidden/>
              </w:rPr>
              <w:t>23</w:t>
            </w:r>
            <w:r>
              <w:rPr>
                <w:noProof/>
                <w:webHidden/>
              </w:rPr>
              <w:fldChar w:fldCharType="end"/>
            </w:r>
          </w:hyperlink>
        </w:p>
        <w:p w14:paraId="496EDD8A" w14:textId="60AE2AA8"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33" w:history="1">
            <w:r w:rsidRPr="00425BCD">
              <w:rPr>
                <w:rStyle w:val="Hyperlink"/>
                <w:noProof/>
                <w:lang w:val="en-IN"/>
              </w:rPr>
              <w:t>8.3</w:t>
            </w:r>
            <w:r>
              <w:rPr>
                <w:noProof/>
                <w:kern w:val="2"/>
                <w:sz w:val="24"/>
                <w:szCs w:val="24"/>
                <w:lang w:val="en-IN" w:eastAsia="en-IN"/>
                <w14:ligatures w14:val="standardContextual"/>
              </w:rPr>
              <w:tab/>
            </w:r>
            <w:r w:rsidRPr="00425BCD">
              <w:rPr>
                <w:rStyle w:val="Hyperlink"/>
                <w:noProof/>
                <w:lang w:val="en-IN"/>
              </w:rPr>
              <w:t>Leasing (Asset-Based Finance)</w:t>
            </w:r>
            <w:r>
              <w:rPr>
                <w:noProof/>
                <w:webHidden/>
              </w:rPr>
              <w:tab/>
            </w:r>
            <w:r>
              <w:rPr>
                <w:noProof/>
                <w:webHidden/>
              </w:rPr>
              <w:fldChar w:fldCharType="begin"/>
            </w:r>
            <w:r>
              <w:rPr>
                <w:noProof/>
                <w:webHidden/>
              </w:rPr>
              <w:instrText xml:space="preserve"> PAGEREF _Toc219036433 \h </w:instrText>
            </w:r>
            <w:r>
              <w:rPr>
                <w:noProof/>
                <w:webHidden/>
              </w:rPr>
            </w:r>
            <w:r>
              <w:rPr>
                <w:noProof/>
                <w:webHidden/>
              </w:rPr>
              <w:fldChar w:fldCharType="separate"/>
            </w:r>
            <w:r>
              <w:rPr>
                <w:noProof/>
                <w:webHidden/>
              </w:rPr>
              <w:t>23</w:t>
            </w:r>
            <w:r>
              <w:rPr>
                <w:noProof/>
                <w:webHidden/>
              </w:rPr>
              <w:fldChar w:fldCharType="end"/>
            </w:r>
          </w:hyperlink>
        </w:p>
        <w:p w14:paraId="3D35D312" w14:textId="7501925F" w:rsidR="00423781" w:rsidRDefault="00423781">
          <w:pPr>
            <w:pStyle w:val="TOC3"/>
            <w:tabs>
              <w:tab w:val="left" w:pos="1200"/>
              <w:tab w:val="right" w:leader="dot" w:pos="8630"/>
            </w:tabs>
            <w:rPr>
              <w:noProof/>
              <w:kern w:val="2"/>
              <w:sz w:val="24"/>
              <w:szCs w:val="24"/>
              <w:lang w:val="en-IN" w:eastAsia="en-IN"/>
              <w14:ligatures w14:val="standardContextual"/>
            </w:rPr>
          </w:pPr>
          <w:hyperlink w:anchor="_Toc219036434" w:history="1">
            <w:r w:rsidRPr="00425BCD">
              <w:rPr>
                <w:rStyle w:val="Hyperlink"/>
                <w:noProof/>
                <w:lang w:val="en-IN"/>
              </w:rPr>
              <w:t>8.4</w:t>
            </w:r>
            <w:r>
              <w:rPr>
                <w:noProof/>
                <w:kern w:val="2"/>
                <w:sz w:val="24"/>
                <w:szCs w:val="24"/>
                <w:lang w:val="en-IN" w:eastAsia="en-IN"/>
                <w14:ligatures w14:val="standardContextual"/>
              </w:rPr>
              <w:tab/>
            </w:r>
            <w:r w:rsidRPr="00425BCD">
              <w:rPr>
                <w:rStyle w:val="Hyperlink"/>
                <w:noProof/>
                <w:lang w:val="en-IN"/>
              </w:rPr>
              <w:t>Government Grants / Green Funding</w:t>
            </w:r>
            <w:r>
              <w:rPr>
                <w:noProof/>
                <w:webHidden/>
              </w:rPr>
              <w:tab/>
            </w:r>
            <w:r>
              <w:rPr>
                <w:noProof/>
                <w:webHidden/>
              </w:rPr>
              <w:fldChar w:fldCharType="begin"/>
            </w:r>
            <w:r>
              <w:rPr>
                <w:noProof/>
                <w:webHidden/>
              </w:rPr>
              <w:instrText xml:space="preserve"> PAGEREF _Toc219036434 \h </w:instrText>
            </w:r>
            <w:r>
              <w:rPr>
                <w:noProof/>
                <w:webHidden/>
              </w:rPr>
            </w:r>
            <w:r>
              <w:rPr>
                <w:noProof/>
                <w:webHidden/>
              </w:rPr>
              <w:fldChar w:fldCharType="separate"/>
            </w:r>
            <w:r>
              <w:rPr>
                <w:noProof/>
                <w:webHidden/>
              </w:rPr>
              <w:t>24</w:t>
            </w:r>
            <w:r>
              <w:rPr>
                <w:noProof/>
                <w:webHidden/>
              </w:rPr>
              <w:fldChar w:fldCharType="end"/>
            </w:r>
          </w:hyperlink>
        </w:p>
        <w:p w14:paraId="54EF2E82" w14:textId="7522BEFB" w:rsidR="00423781" w:rsidRDefault="00423781">
          <w:pPr>
            <w:pStyle w:val="TOC3"/>
            <w:tabs>
              <w:tab w:val="right" w:leader="dot" w:pos="8630"/>
            </w:tabs>
            <w:rPr>
              <w:noProof/>
              <w:kern w:val="2"/>
              <w:sz w:val="24"/>
              <w:szCs w:val="24"/>
              <w:lang w:val="en-IN" w:eastAsia="en-IN"/>
              <w14:ligatures w14:val="standardContextual"/>
            </w:rPr>
          </w:pPr>
          <w:hyperlink w:anchor="_Toc219036435" w:history="1">
            <w:r w:rsidRPr="00425BCD">
              <w:rPr>
                <w:rStyle w:val="Hyperlink"/>
                <w:noProof/>
                <w:lang w:val="en-IN"/>
              </w:rPr>
              <w:t>Recommendation</w:t>
            </w:r>
            <w:r>
              <w:rPr>
                <w:noProof/>
                <w:webHidden/>
              </w:rPr>
              <w:tab/>
            </w:r>
            <w:r>
              <w:rPr>
                <w:noProof/>
                <w:webHidden/>
              </w:rPr>
              <w:fldChar w:fldCharType="begin"/>
            </w:r>
            <w:r>
              <w:rPr>
                <w:noProof/>
                <w:webHidden/>
              </w:rPr>
              <w:instrText xml:space="preserve"> PAGEREF _Toc219036435 \h </w:instrText>
            </w:r>
            <w:r>
              <w:rPr>
                <w:noProof/>
                <w:webHidden/>
              </w:rPr>
            </w:r>
            <w:r>
              <w:rPr>
                <w:noProof/>
                <w:webHidden/>
              </w:rPr>
              <w:fldChar w:fldCharType="separate"/>
            </w:r>
            <w:r>
              <w:rPr>
                <w:noProof/>
                <w:webHidden/>
              </w:rPr>
              <w:t>24</w:t>
            </w:r>
            <w:r>
              <w:rPr>
                <w:noProof/>
                <w:webHidden/>
              </w:rPr>
              <w:fldChar w:fldCharType="end"/>
            </w:r>
          </w:hyperlink>
        </w:p>
        <w:p w14:paraId="76D80A50" w14:textId="5C40ADFD" w:rsidR="00423781" w:rsidRDefault="00423781">
          <w:pPr>
            <w:pStyle w:val="TOC1"/>
            <w:tabs>
              <w:tab w:val="left" w:pos="440"/>
              <w:tab w:val="right" w:leader="dot" w:pos="8630"/>
            </w:tabs>
            <w:rPr>
              <w:noProof/>
              <w:kern w:val="2"/>
              <w:sz w:val="24"/>
              <w:szCs w:val="24"/>
              <w:lang w:val="en-IN" w:eastAsia="en-IN"/>
              <w14:ligatures w14:val="standardContextual"/>
            </w:rPr>
          </w:pPr>
          <w:hyperlink w:anchor="_Toc219036436" w:history="1">
            <w:r w:rsidRPr="00425BCD">
              <w:rPr>
                <w:rStyle w:val="Hyperlink"/>
                <w:noProof/>
              </w:rPr>
              <w:t>9.</w:t>
            </w:r>
            <w:r>
              <w:rPr>
                <w:noProof/>
                <w:kern w:val="2"/>
                <w:sz w:val="24"/>
                <w:szCs w:val="24"/>
                <w:lang w:val="en-IN" w:eastAsia="en-IN"/>
                <w14:ligatures w14:val="standardContextual"/>
              </w:rPr>
              <w:tab/>
            </w:r>
            <w:r w:rsidRPr="00425BCD">
              <w:rPr>
                <w:rStyle w:val="Hyperlink"/>
                <w:noProof/>
              </w:rPr>
              <w:t>Conclusion</w:t>
            </w:r>
            <w:r>
              <w:rPr>
                <w:noProof/>
                <w:webHidden/>
              </w:rPr>
              <w:tab/>
            </w:r>
            <w:r>
              <w:rPr>
                <w:noProof/>
                <w:webHidden/>
              </w:rPr>
              <w:fldChar w:fldCharType="begin"/>
            </w:r>
            <w:r>
              <w:rPr>
                <w:noProof/>
                <w:webHidden/>
              </w:rPr>
              <w:instrText xml:space="preserve"> PAGEREF _Toc219036436 \h </w:instrText>
            </w:r>
            <w:r>
              <w:rPr>
                <w:noProof/>
                <w:webHidden/>
              </w:rPr>
            </w:r>
            <w:r>
              <w:rPr>
                <w:noProof/>
                <w:webHidden/>
              </w:rPr>
              <w:fldChar w:fldCharType="separate"/>
            </w:r>
            <w:r>
              <w:rPr>
                <w:noProof/>
                <w:webHidden/>
              </w:rPr>
              <w:t>24</w:t>
            </w:r>
            <w:r>
              <w:rPr>
                <w:noProof/>
                <w:webHidden/>
              </w:rPr>
              <w:fldChar w:fldCharType="end"/>
            </w:r>
          </w:hyperlink>
        </w:p>
        <w:p w14:paraId="59109E24" w14:textId="4A463E4E" w:rsidR="00423781" w:rsidRDefault="00423781">
          <w:pPr>
            <w:pStyle w:val="TOC1"/>
            <w:tabs>
              <w:tab w:val="right" w:leader="dot" w:pos="8630"/>
            </w:tabs>
            <w:rPr>
              <w:noProof/>
              <w:kern w:val="2"/>
              <w:sz w:val="24"/>
              <w:szCs w:val="24"/>
              <w:lang w:val="en-IN" w:eastAsia="en-IN"/>
              <w14:ligatures w14:val="standardContextual"/>
            </w:rPr>
          </w:pPr>
          <w:hyperlink w:anchor="_Toc219036437" w:history="1">
            <w:r w:rsidRPr="00425BCD">
              <w:rPr>
                <w:rStyle w:val="Hyperlink"/>
                <w:noProof/>
                <w:lang w:val="en-IN" w:eastAsia="en-IN"/>
              </w:rPr>
              <w:t>References</w:t>
            </w:r>
            <w:r>
              <w:rPr>
                <w:noProof/>
                <w:webHidden/>
              </w:rPr>
              <w:tab/>
            </w:r>
            <w:r>
              <w:rPr>
                <w:noProof/>
                <w:webHidden/>
              </w:rPr>
              <w:fldChar w:fldCharType="begin"/>
            </w:r>
            <w:r>
              <w:rPr>
                <w:noProof/>
                <w:webHidden/>
              </w:rPr>
              <w:instrText xml:space="preserve"> PAGEREF _Toc219036437 \h </w:instrText>
            </w:r>
            <w:r>
              <w:rPr>
                <w:noProof/>
                <w:webHidden/>
              </w:rPr>
            </w:r>
            <w:r>
              <w:rPr>
                <w:noProof/>
                <w:webHidden/>
              </w:rPr>
              <w:fldChar w:fldCharType="separate"/>
            </w:r>
            <w:r>
              <w:rPr>
                <w:noProof/>
                <w:webHidden/>
              </w:rPr>
              <w:t>24</w:t>
            </w:r>
            <w:r>
              <w:rPr>
                <w:noProof/>
                <w:webHidden/>
              </w:rPr>
              <w:fldChar w:fldCharType="end"/>
            </w:r>
          </w:hyperlink>
        </w:p>
        <w:p w14:paraId="557169C4" w14:textId="6D8FA750" w:rsidR="00C84313" w:rsidRDefault="00C84313">
          <w:r>
            <w:rPr>
              <w:b/>
              <w:bCs/>
              <w:noProof/>
            </w:rPr>
            <w:fldChar w:fldCharType="end"/>
          </w:r>
        </w:p>
      </w:sdtContent>
    </w:sdt>
    <w:p w14:paraId="78000ABB" w14:textId="77777777" w:rsidR="00C84313" w:rsidRDefault="00C84313" w:rsidP="00E824B8">
      <w:pPr>
        <w:spacing w:line="480" w:lineRule="auto"/>
        <w:rPr>
          <w:rFonts w:ascii="Arial" w:hAnsi="Arial" w:cs="Arial"/>
          <w:b/>
          <w:bCs/>
          <w:sz w:val="24"/>
          <w:szCs w:val="24"/>
        </w:rPr>
      </w:pPr>
    </w:p>
    <w:p w14:paraId="44DF9D1E" w14:textId="77777777" w:rsidR="00C84313" w:rsidRDefault="00C84313" w:rsidP="00E824B8">
      <w:pPr>
        <w:spacing w:line="480" w:lineRule="auto"/>
        <w:rPr>
          <w:rFonts w:ascii="Arial" w:hAnsi="Arial" w:cs="Arial"/>
          <w:b/>
          <w:bCs/>
          <w:sz w:val="24"/>
          <w:szCs w:val="24"/>
        </w:rPr>
      </w:pPr>
    </w:p>
    <w:p w14:paraId="5137FEE0" w14:textId="77777777" w:rsidR="00C84313" w:rsidRDefault="00C84313" w:rsidP="00E824B8">
      <w:pPr>
        <w:spacing w:line="480" w:lineRule="auto"/>
        <w:rPr>
          <w:rFonts w:ascii="Arial" w:hAnsi="Arial" w:cs="Arial"/>
          <w:b/>
          <w:bCs/>
          <w:sz w:val="24"/>
          <w:szCs w:val="24"/>
        </w:rPr>
      </w:pPr>
    </w:p>
    <w:p w14:paraId="7C02C024" w14:textId="77777777" w:rsidR="00C84313" w:rsidRDefault="00C84313" w:rsidP="00E824B8">
      <w:pPr>
        <w:spacing w:line="480" w:lineRule="auto"/>
        <w:rPr>
          <w:rFonts w:ascii="Arial" w:hAnsi="Arial" w:cs="Arial"/>
          <w:b/>
          <w:bCs/>
          <w:sz w:val="24"/>
          <w:szCs w:val="24"/>
        </w:rPr>
      </w:pPr>
    </w:p>
    <w:p w14:paraId="510C1425" w14:textId="77777777" w:rsidR="00C84313" w:rsidRDefault="00C84313" w:rsidP="00E824B8">
      <w:pPr>
        <w:spacing w:line="480" w:lineRule="auto"/>
        <w:rPr>
          <w:rFonts w:ascii="Arial" w:hAnsi="Arial" w:cs="Arial"/>
          <w:b/>
          <w:bCs/>
          <w:sz w:val="24"/>
          <w:szCs w:val="24"/>
        </w:rPr>
      </w:pPr>
    </w:p>
    <w:p w14:paraId="2615148B" w14:textId="77777777" w:rsidR="00C84313" w:rsidRDefault="00C84313" w:rsidP="00E824B8">
      <w:pPr>
        <w:spacing w:line="480" w:lineRule="auto"/>
        <w:rPr>
          <w:rFonts w:ascii="Arial" w:hAnsi="Arial" w:cs="Arial"/>
          <w:b/>
          <w:bCs/>
          <w:sz w:val="24"/>
          <w:szCs w:val="24"/>
        </w:rPr>
      </w:pPr>
    </w:p>
    <w:p w14:paraId="573B8D45" w14:textId="77777777" w:rsidR="00C84313" w:rsidRDefault="00C84313" w:rsidP="00E824B8">
      <w:pPr>
        <w:spacing w:line="480" w:lineRule="auto"/>
        <w:rPr>
          <w:rFonts w:ascii="Arial" w:hAnsi="Arial" w:cs="Arial"/>
          <w:b/>
          <w:bCs/>
          <w:sz w:val="24"/>
          <w:szCs w:val="24"/>
        </w:rPr>
      </w:pPr>
    </w:p>
    <w:p w14:paraId="0B1560C7" w14:textId="77777777" w:rsidR="00C84313" w:rsidRDefault="00C84313" w:rsidP="00E824B8">
      <w:pPr>
        <w:spacing w:line="480" w:lineRule="auto"/>
        <w:rPr>
          <w:rFonts w:ascii="Arial" w:hAnsi="Arial" w:cs="Arial"/>
          <w:b/>
          <w:bCs/>
          <w:sz w:val="24"/>
          <w:szCs w:val="24"/>
        </w:rPr>
      </w:pPr>
    </w:p>
    <w:p w14:paraId="63FD7401" w14:textId="77777777" w:rsidR="00C84313" w:rsidRPr="00E824B8" w:rsidRDefault="00C84313" w:rsidP="00E824B8">
      <w:pPr>
        <w:spacing w:line="480" w:lineRule="auto"/>
        <w:rPr>
          <w:rFonts w:ascii="Arial" w:hAnsi="Arial" w:cs="Arial"/>
          <w:b/>
          <w:bCs/>
          <w:sz w:val="24"/>
          <w:szCs w:val="24"/>
        </w:rPr>
      </w:pPr>
    </w:p>
    <w:p w14:paraId="48068B59" w14:textId="77777777" w:rsidR="00A22383" w:rsidRDefault="00000000" w:rsidP="00A22383">
      <w:pPr>
        <w:pStyle w:val="Heading1"/>
      </w:pPr>
      <w:bookmarkStart w:id="0" w:name="_Toc219036385"/>
      <w:r>
        <w:t>Part 1 – Business Report to the Directors of Tesco plc</w:t>
      </w:r>
      <w:bookmarkEnd w:id="0"/>
    </w:p>
    <w:p w14:paraId="28D62484" w14:textId="64FA5FBC" w:rsidR="00402381" w:rsidRDefault="00000000" w:rsidP="00423781">
      <w:pPr>
        <w:pStyle w:val="Heading1"/>
      </w:pPr>
      <w:bookmarkStart w:id="1" w:name="_Toc219036386"/>
      <w:r>
        <w:t>Introduction</w:t>
      </w:r>
      <w:bookmarkEnd w:id="1"/>
    </w:p>
    <w:p w14:paraId="7165157E" w14:textId="77777777" w:rsidR="00402381" w:rsidRPr="00402381" w:rsidRDefault="00402381" w:rsidP="00402381">
      <w:pPr>
        <w:rPr>
          <w:lang w:val="en-IN"/>
        </w:rPr>
      </w:pPr>
      <w:r>
        <w:tab/>
      </w:r>
      <w:r w:rsidRPr="00402381">
        <w:rPr>
          <w:lang w:val="en-IN"/>
        </w:rPr>
        <w:t>Tesco plc is one of the United Kingdom’s largest and most strategically significant retailers and a long-standing constituent of the FTSE 100 Index. Operating across a diversified portfolio of formats including large supermarkets, convenience stores, online grocery fulfilment, and wholesale operations, Tesco plays a major role in the UK’s essential consumer goods sector. However, the retail industry has experienced heightened uncertainty in recent years due to inflationary pressures, rising operating costs, supply chain disruption, changes in consumer purchasing behaviour, and increased competition from both traditional grocery rivals and discount retailers.</w:t>
      </w:r>
    </w:p>
    <w:p w14:paraId="4DF66621" w14:textId="77777777" w:rsidR="00402381" w:rsidRPr="00402381" w:rsidRDefault="00402381" w:rsidP="00402381">
      <w:pPr>
        <w:rPr>
          <w:lang w:val="en-IN"/>
        </w:rPr>
      </w:pPr>
      <w:r w:rsidRPr="00402381">
        <w:rPr>
          <w:lang w:val="en-IN"/>
        </w:rPr>
        <w:t xml:space="preserve">The purpose of this business report is to provide Tesco’s Directors with a structured financial assessment of the company’s performance over the two most recent financial </w:t>
      </w:r>
      <w:r w:rsidRPr="00402381">
        <w:rPr>
          <w:lang w:val="en-IN"/>
        </w:rPr>
        <w:lastRenderedPageBreak/>
        <w:t>years, FY2023 and FY2024, using published annual report figures. Ratio analysis is applied as the primary analytical technique because it enables meaningful interpretation of financial statements by translating accounting data into comparable performance indicators. The report evaluates Tesco’s results across five key areas: profitability, liquidity, efficiency (working capital management), gearing/solvency, and investor ratios.</w:t>
      </w:r>
    </w:p>
    <w:p w14:paraId="00B8D470" w14:textId="77777777" w:rsidR="00402381" w:rsidRPr="00402381" w:rsidRDefault="00402381" w:rsidP="00402381">
      <w:pPr>
        <w:rPr>
          <w:lang w:val="en-IN"/>
        </w:rPr>
      </w:pPr>
      <w:r w:rsidRPr="00402381">
        <w:rPr>
          <w:lang w:val="en-IN"/>
        </w:rPr>
        <w:t>This analysis supports management decision-making by identifying financial strengths, potential risks, and emerging trends that may affect Tesco’s long-term competitiveness and shareholder value. In addition, the report critically evaluates the limitations of ratio analysis, recognising that financial ratios alone may not fully capture strategic issues such as brand strength, customer loyalty, digital capability, regulatory developments, and market positioning.</w:t>
      </w:r>
    </w:p>
    <w:p w14:paraId="408D338A" w14:textId="7419DA94" w:rsidR="00402381" w:rsidRPr="00402381" w:rsidRDefault="00402381" w:rsidP="00402381">
      <w:pPr>
        <w:rPr>
          <w:lang w:val="en-IN"/>
        </w:rPr>
      </w:pPr>
      <w:r w:rsidRPr="00402381">
        <w:rPr>
          <w:lang w:val="en-IN"/>
        </w:rPr>
        <w:t xml:space="preserve">The report concludes with evidence-based recommendations aimed at improving Tesco’s financial management, strengthening resilience, and supporting sustainable growth in a challenging UK </w:t>
      </w:r>
      <w:r>
        <w:rPr>
          <w:lang w:val="en-IN"/>
        </w:rPr>
        <w:t>r</w:t>
      </w:r>
      <w:r w:rsidRPr="00402381">
        <w:rPr>
          <w:lang w:val="en-IN"/>
        </w:rPr>
        <w:t>etail environment.</w:t>
      </w:r>
    </w:p>
    <w:p w14:paraId="5F39D4A4" w14:textId="4439A947" w:rsidR="00F040A6" w:rsidRDefault="00000000" w:rsidP="00A22383">
      <w:pPr>
        <w:pStyle w:val="Heading2"/>
        <w:numPr>
          <w:ilvl w:val="0"/>
          <w:numId w:val="16"/>
        </w:numPr>
      </w:pPr>
      <w:bookmarkStart w:id="2" w:name="_Toc219036387"/>
      <w:r>
        <w:t>Financial Statements Used and Data Extraction</w:t>
      </w:r>
      <w:bookmarkEnd w:id="2"/>
    </w:p>
    <w:p w14:paraId="083A6C4B" w14:textId="77777777" w:rsidR="00402381" w:rsidRPr="00402381" w:rsidRDefault="00402381" w:rsidP="00402381">
      <w:pPr>
        <w:rPr>
          <w:lang w:val="en-IN"/>
        </w:rPr>
      </w:pPr>
      <w:r w:rsidRPr="00402381">
        <w:rPr>
          <w:lang w:val="en-IN"/>
        </w:rPr>
        <w:t>This report is based on Tesco plc’s published financial information contained within its Annual Reports for FY2023 and FY2024. The analysis uses condensed extracts from the primary financial statements, specifically: (</w:t>
      </w:r>
      <w:proofErr w:type="spellStart"/>
      <w:r w:rsidRPr="00402381">
        <w:rPr>
          <w:lang w:val="en-IN"/>
        </w:rPr>
        <w:t>i</w:t>
      </w:r>
      <w:proofErr w:type="spellEnd"/>
      <w:r w:rsidRPr="00402381">
        <w:rPr>
          <w:lang w:val="en-IN"/>
        </w:rPr>
        <w:t>) the Consolidated Income Statement (to assess revenue generation, profitability and cost control), (ii) the Consolidated Balance Sheet / Statement of Financial Position (to evaluate liquidity, working capital structure, and gearing), and (iii) key cash flow figures (to support interpretation of liquidity and operational funding strength).</w:t>
      </w:r>
    </w:p>
    <w:p w14:paraId="44592288" w14:textId="77777777" w:rsidR="00402381" w:rsidRPr="00402381" w:rsidRDefault="00402381" w:rsidP="00402381">
      <w:pPr>
        <w:rPr>
          <w:lang w:val="en-IN"/>
        </w:rPr>
      </w:pPr>
      <w:proofErr w:type="gramStart"/>
      <w:r w:rsidRPr="00402381">
        <w:rPr>
          <w:lang w:val="en-IN"/>
        </w:rPr>
        <w:t>For the purpose of</w:t>
      </w:r>
      <w:proofErr w:type="gramEnd"/>
      <w:r w:rsidRPr="00402381">
        <w:rPr>
          <w:lang w:val="en-IN"/>
        </w:rPr>
        <w:t xml:space="preserve"> comparability, all financial values have been recorded in </w:t>
      </w:r>
      <w:r w:rsidRPr="00402381">
        <w:rPr>
          <w:b/>
          <w:bCs/>
          <w:lang w:val="en-IN"/>
        </w:rPr>
        <w:t>£ millions</w:t>
      </w:r>
      <w:r w:rsidRPr="00402381">
        <w:rPr>
          <w:lang w:val="en-IN"/>
        </w:rPr>
        <w:t xml:space="preserve">, and ratios have been calculated consistently across both years using the same definitions and formulae. The extracted figures </w:t>
      </w:r>
      <w:proofErr w:type="gramStart"/>
      <w:r w:rsidRPr="00402381">
        <w:rPr>
          <w:lang w:val="en-IN"/>
        </w:rPr>
        <w:t>include:</w:t>
      </w:r>
      <w:proofErr w:type="gramEnd"/>
      <w:r w:rsidRPr="00402381">
        <w:rPr>
          <w:lang w:val="en-IN"/>
        </w:rPr>
        <w:t xml:space="preserve"> revenue, gross profit, operating profit, profit after tax, total assets, total equity, current assets, current liabilities, inventories, trade receivables, trade payables, and cash flow from operations. These figures provide sufficient data to compute profitability, liquidity, efficiency, and solvency ratios required by the assessment brief.</w:t>
      </w:r>
    </w:p>
    <w:p w14:paraId="582C4695" w14:textId="2479A7A5" w:rsidR="00402381" w:rsidRDefault="00402381" w:rsidP="00402381">
      <w:pPr>
        <w:rPr>
          <w:lang w:val="en-IN"/>
        </w:rPr>
      </w:pPr>
      <w:r w:rsidRPr="00402381">
        <w:rPr>
          <w:lang w:val="en-IN"/>
        </w:rPr>
        <w:t>However, it is important to note that Tesco’s reported results are influenced by accounting policies and classification choices, including the treatment of leases under IFRS 16, impairment assumptions, and exceptional/one-off items. Where relevant, such factors are acknowledged during interpretation to ensure that conclusions are not drawn purely from numerical trends without context</w:t>
      </w:r>
      <w:r w:rsidR="00423781">
        <w:rPr>
          <w:lang w:val="en-IN"/>
        </w:rPr>
        <w:t>.</w:t>
      </w:r>
    </w:p>
    <w:p w14:paraId="4248146E" w14:textId="77777777" w:rsidR="00402381" w:rsidRPr="00402381" w:rsidRDefault="00402381" w:rsidP="00402381">
      <w:pPr>
        <w:rPr>
          <w:lang w:val="en-IN"/>
        </w:rPr>
      </w:pPr>
    </w:p>
    <w:p w14:paraId="489F77A3" w14:textId="7CBAB895" w:rsidR="00F040A6" w:rsidRDefault="00000000" w:rsidP="00A22383">
      <w:pPr>
        <w:pStyle w:val="Heading2"/>
        <w:numPr>
          <w:ilvl w:val="0"/>
          <w:numId w:val="17"/>
        </w:numPr>
      </w:pPr>
      <w:bookmarkStart w:id="3" w:name="_Toc219036388"/>
      <w:r>
        <w:t>Methodology and Ratio Selection</w:t>
      </w:r>
      <w:bookmarkEnd w:id="3"/>
    </w:p>
    <w:p w14:paraId="33689781" w14:textId="77777777" w:rsidR="00402381" w:rsidRPr="00402381" w:rsidRDefault="00402381" w:rsidP="00402381">
      <w:pPr>
        <w:rPr>
          <w:lang w:val="en-IN"/>
        </w:rPr>
      </w:pPr>
      <w:r w:rsidRPr="00402381">
        <w:rPr>
          <w:lang w:val="en-IN"/>
        </w:rPr>
        <w:t xml:space="preserve">The report applies </w:t>
      </w:r>
      <w:r w:rsidRPr="00402381">
        <w:rPr>
          <w:b/>
          <w:bCs/>
          <w:lang w:val="en-IN"/>
        </w:rPr>
        <w:t>ratio analysis</w:t>
      </w:r>
      <w:r w:rsidRPr="00402381">
        <w:rPr>
          <w:lang w:val="en-IN"/>
        </w:rPr>
        <w:t xml:space="preserve"> as the principal method of financial performance assessment. Ratio analysis is widely used by management and investors because it converts </w:t>
      </w:r>
      <w:r w:rsidRPr="00402381">
        <w:rPr>
          <w:lang w:val="en-IN"/>
        </w:rPr>
        <w:lastRenderedPageBreak/>
        <w:t xml:space="preserve">raw accounting information into comparative indicators, enabling performance to be evaluated over time and across key operational dimensions. In line with the requirements of the assessment brief, ratios have been grouped into five categories: </w:t>
      </w:r>
      <w:r w:rsidRPr="00402381">
        <w:rPr>
          <w:b/>
          <w:bCs/>
          <w:lang w:val="en-IN"/>
        </w:rPr>
        <w:t>profitability, liquidity, efficiency (activity), gearing/solvency, and investor ratios</w:t>
      </w:r>
      <w:r w:rsidRPr="00402381">
        <w:rPr>
          <w:lang w:val="en-IN"/>
        </w:rPr>
        <w:t>.</w:t>
      </w:r>
    </w:p>
    <w:p w14:paraId="4E88F15A" w14:textId="77777777" w:rsidR="00402381" w:rsidRPr="00402381" w:rsidRDefault="00402381" w:rsidP="00402381">
      <w:pPr>
        <w:rPr>
          <w:lang w:val="en-IN"/>
        </w:rPr>
      </w:pPr>
      <w:r w:rsidRPr="00402381">
        <w:rPr>
          <w:lang w:val="en-IN"/>
        </w:rPr>
        <w:t>Profitability ratios (gross margin, operating margin, net margin, ROA and ROE) are used to assess Tesco’s ability to generate earnings from sales, assets, and shareholder funds. Liquidity ratios (current and quick ratio) evaluate Tesco’s capacity to meet short-term obligations and manage working capital pressures. Efficiency ratios (inventory, receivables and payables days, and asset turnover) examine how effectively Tesco converts resources into revenue and controls the cash operating cycle. Gearing measures (debt-to-equity and interest cover) assess long-term financial stability and the degree of financial risk arising from leverage. Finally, investor ratios (EPS, dividend per share, and P/E ratio) provide insight into shareholder value and market perception.</w:t>
      </w:r>
    </w:p>
    <w:p w14:paraId="769FDA17" w14:textId="77777777" w:rsidR="00402381" w:rsidRPr="00402381" w:rsidRDefault="00402381" w:rsidP="00402381">
      <w:pPr>
        <w:rPr>
          <w:lang w:val="en-IN"/>
        </w:rPr>
      </w:pPr>
      <w:r w:rsidRPr="00402381">
        <w:rPr>
          <w:lang w:val="en-IN"/>
        </w:rPr>
        <w:t>Ratios were calculated using extracted financial statement figures for FY2023 and FY2024. The interpretation adopts a critical approach by linking ratio movements to operational and economic drivers such as inflation, cost pressures, consumer value-seeking behaviour, and investment in digital capability. The analysis also recognises the limitations of ratio analysis, particularly where accounting policy choices or exceptional items may distort underlying performance.</w:t>
      </w:r>
    </w:p>
    <w:p w14:paraId="4FBB86A9" w14:textId="77777777" w:rsidR="00402381" w:rsidRPr="00402381" w:rsidRDefault="00402381" w:rsidP="00402381">
      <w:pPr>
        <w:rPr>
          <w:lang w:val="en-IN"/>
        </w:rPr>
      </w:pPr>
    </w:p>
    <w:p w14:paraId="28BD7CD0" w14:textId="465B023E" w:rsidR="00F040A6" w:rsidRDefault="00000000" w:rsidP="00A22383">
      <w:pPr>
        <w:pStyle w:val="Heading2"/>
        <w:numPr>
          <w:ilvl w:val="0"/>
          <w:numId w:val="17"/>
        </w:numPr>
      </w:pPr>
      <w:bookmarkStart w:id="4" w:name="_Toc219036389"/>
      <w:r>
        <w:t>Profitability Analysis</w:t>
      </w:r>
      <w:bookmarkEnd w:id="4"/>
    </w:p>
    <w:p w14:paraId="1FD07C23" w14:textId="4584F679" w:rsidR="00402381" w:rsidRDefault="00402381" w:rsidP="00402381">
      <w:r w:rsidRPr="00402381">
        <w:t>Profitability ratios evaluate Tesco’s ability to generate earnings relative to sales, assets, and shareholder investment. For a large UK grocery retailer operating in a high-volume, low-margin sector, profitability is strongly influenced by cost efficiency, pricing strategy, supplier negotiation power, and the ability to manage inflation-driven operating pressures without losing customer demand.</w:t>
      </w:r>
    </w:p>
    <w:p w14:paraId="7EB748AA" w14:textId="4DA86E3E" w:rsidR="00402381" w:rsidRDefault="00402381" w:rsidP="00A22383">
      <w:pPr>
        <w:pStyle w:val="Heading3"/>
        <w:numPr>
          <w:ilvl w:val="1"/>
          <w:numId w:val="17"/>
        </w:numPr>
      </w:pPr>
      <w:bookmarkStart w:id="5" w:name="_Toc219036390"/>
      <w:r w:rsidRPr="00402381">
        <w:t>Profitability Ratio Results (FY2023–FY2024)</w:t>
      </w:r>
      <w:bookmarkEnd w:id="5"/>
    </w:p>
    <w:tbl>
      <w:tblPr>
        <w:tblW w:w="0" w:type="auto"/>
        <w:tblCellSpacing w:w="15" w:type="dxa"/>
        <w:tblInd w:w="180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377"/>
        <w:gridCol w:w="849"/>
        <w:gridCol w:w="742"/>
      </w:tblGrid>
      <w:tr w:rsidR="00402381" w:rsidRPr="00402381" w14:paraId="41C4BBF8" w14:textId="77777777" w:rsidTr="00402381">
        <w:trPr>
          <w:tblHeader/>
          <w:tblCellSpacing w:w="15" w:type="dxa"/>
        </w:trPr>
        <w:tc>
          <w:tcPr>
            <w:tcW w:w="0" w:type="auto"/>
            <w:vAlign w:val="center"/>
            <w:hideMark/>
          </w:tcPr>
          <w:p w14:paraId="4975616A" w14:textId="77777777" w:rsidR="00402381" w:rsidRPr="00402381" w:rsidRDefault="00402381" w:rsidP="00402381">
            <w:pPr>
              <w:rPr>
                <w:b/>
                <w:bCs/>
                <w:color w:val="000000" w:themeColor="text1"/>
                <w:lang w:val="en-IN"/>
              </w:rPr>
            </w:pPr>
            <w:r w:rsidRPr="00402381">
              <w:rPr>
                <w:b/>
                <w:bCs/>
                <w:color w:val="000000" w:themeColor="text1"/>
                <w:lang w:val="en-IN"/>
              </w:rPr>
              <w:t>Ratio</w:t>
            </w:r>
          </w:p>
        </w:tc>
        <w:tc>
          <w:tcPr>
            <w:tcW w:w="0" w:type="auto"/>
            <w:vAlign w:val="center"/>
            <w:hideMark/>
          </w:tcPr>
          <w:p w14:paraId="3726F467" w14:textId="77777777" w:rsidR="00402381" w:rsidRPr="00402381" w:rsidRDefault="00402381" w:rsidP="00402381">
            <w:pPr>
              <w:rPr>
                <w:b/>
                <w:bCs/>
                <w:color w:val="000000" w:themeColor="text1"/>
                <w:lang w:val="en-IN"/>
              </w:rPr>
            </w:pPr>
            <w:r w:rsidRPr="00402381">
              <w:rPr>
                <w:b/>
                <w:bCs/>
                <w:color w:val="000000" w:themeColor="text1"/>
                <w:lang w:val="en-IN"/>
              </w:rPr>
              <w:t>2024</w:t>
            </w:r>
          </w:p>
        </w:tc>
        <w:tc>
          <w:tcPr>
            <w:tcW w:w="0" w:type="auto"/>
            <w:vAlign w:val="center"/>
            <w:hideMark/>
          </w:tcPr>
          <w:p w14:paraId="6C7AE589" w14:textId="77777777" w:rsidR="00402381" w:rsidRPr="00402381" w:rsidRDefault="00402381" w:rsidP="00402381">
            <w:pPr>
              <w:rPr>
                <w:b/>
                <w:bCs/>
                <w:color w:val="000000" w:themeColor="text1"/>
                <w:lang w:val="en-IN"/>
              </w:rPr>
            </w:pPr>
            <w:r w:rsidRPr="00402381">
              <w:rPr>
                <w:b/>
                <w:bCs/>
                <w:color w:val="000000" w:themeColor="text1"/>
                <w:lang w:val="en-IN"/>
              </w:rPr>
              <w:t>2023</w:t>
            </w:r>
          </w:p>
        </w:tc>
      </w:tr>
      <w:tr w:rsidR="00402381" w:rsidRPr="00402381" w14:paraId="786977F1" w14:textId="77777777" w:rsidTr="00402381">
        <w:trPr>
          <w:tblCellSpacing w:w="15" w:type="dxa"/>
        </w:trPr>
        <w:tc>
          <w:tcPr>
            <w:tcW w:w="0" w:type="auto"/>
            <w:vAlign w:val="center"/>
            <w:hideMark/>
          </w:tcPr>
          <w:p w14:paraId="336BF508" w14:textId="77777777" w:rsidR="00402381" w:rsidRPr="00402381" w:rsidRDefault="00402381" w:rsidP="00402381">
            <w:pPr>
              <w:rPr>
                <w:color w:val="000000" w:themeColor="text1"/>
                <w:lang w:val="en-IN"/>
              </w:rPr>
            </w:pPr>
            <w:r w:rsidRPr="00402381">
              <w:rPr>
                <w:color w:val="000000" w:themeColor="text1"/>
                <w:lang w:val="en-IN"/>
              </w:rPr>
              <w:t>Gross Profit Margin</w:t>
            </w:r>
          </w:p>
        </w:tc>
        <w:tc>
          <w:tcPr>
            <w:tcW w:w="0" w:type="auto"/>
            <w:vAlign w:val="center"/>
            <w:hideMark/>
          </w:tcPr>
          <w:p w14:paraId="4FA408E0" w14:textId="77777777" w:rsidR="00402381" w:rsidRPr="00402381" w:rsidRDefault="00402381" w:rsidP="00402381">
            <w:pPr>
              <w:rPr>
                <w:color w:val="000000" w:themeColor="text1"/>
                <w:lang w:val="en-IN"/>
              </w:rPr>
            </w:pPr>
            <w:r w:rsidRPr="00402381">
              <w:rPr>
                <w:color w:val="000000" w:themeColor="text1"/>
                <w:lang w:val="en-IN"/>
              </w:rPr>
              <w:t>8.0%</w:t>
            </w:r>
          </w:p>
        </w:tc>
        <w:tc>
          <w:tcPr>
            <w:tcW w:w="0" w:type="auto"/>
            <w:vAlign w:val="center"/>
            <w:hideMark/>
          </w:tcPr>
          <w:p w14:paraId="62F55277" w14:textId="77777777" w:rsidR="00402381" w:rsidRPr="00402381" w:rsidRDefault="00402381" w:rsidP="00402381">
            <w:pPr>
              <w:rPr>
                <w:color w:val="000000" w:themeColor="text1"/>
                <w:lang w:val="en-IN"/>
              </w:rPr>
            </w:pPr>
            <w:r w:rsidRPr="00402381">
              <w:rPr>
                <w:color w:val="000000" w:themeColor="text1"/>
                <w:lang w:val="en-IN"/>
              </w:rPr>
              <w:t>7.6%</w:t>
            </w:r>
          </w:p>
        </w:tc>
      </w:tr>
      <w:tr w:rsidR="00402381" w:rsidRPr="00402381" w14:paraId="44403B4A" w14:textId="77777777" w:rsidTr="00402381">
        <w:trPr>
          <w:tblCellSpacing w:w="15" w:type="dxa"/>
        </w:trPr>
        <w:tc>
          <w:tcPr>
            <w:tcW w:w="0" w:type="auto"/>
            <w:vAlign w:val="center"/>
            <w:hideMark/>
          </w:tcPr>
          <w:p w14:paraId="012B5B28" w14:textId="77777777" w:rsidR="00402381" w:rsidRPr="00402381" w:rsidRDefault="00402381" w:rsidP="00402381">
            <w:pPr>
              <w:rPr>
                <w:color w:val="000000" w:themeColor="text1"/>
                <w:lang w:val="en-IN"/>
              </w:rPr>
            </w:pPr>
            <w:r w:rsidRPr="00402381">
              <w:rPr>
                <w:color w:val="000000" w:themeColor="text1"/>
                <w:lang w:val="en-IN"/>
              </w:rPr>
              <w:t>Operating Profit Margin</w:t>
            </w:r>
          </w:p>
        </w:tc>
        <w:tc>
          <w:tcPr>
            <w:tcW w:w="0" w:type="auto"/>
            <w:vAlign w:val="center"/>
            <w:hideMark/>
          </w:tcPr>
          <w:p w14:paraId="7754B1B8" w14:textId="77777777" w:rsidR="00402381" w:rsidRPr="00402381" w:rsidRDefault="00402381" w:rsidP="00402381">
            <w:pPr>
              <w:rPr>
                <w:color w:val="000000" w:themeColor="text1"/>
                <w:lang w:val="en-IN"/>
              </w:rPr>
            </w:pPr>
            <w:r w:rsidRPr="00402381">
              <w:rPr>
                <w:color w:val="000000" w:themeColor="text1"/>
                <w:lang w:val="en-IN"/>
              </w:rPr>
              <w:t>3.84%</w:t>
            </w:r>
          </w:p>
        </w:tc>
        <w:tc>
          <w:tcPr>
            <w:tcW w:w="0" w:type="auto"/>
            <w:vAlign w:val="center"/>
            <w:hideMark/>
          </w:tcPr>
          <w:p w14:paraId="0732D5C9" w14:textId="77777777" w:rsidR="00402381" w:rsidRPr="00402381" w:rsidRDefault="00402381" w:rsidP="00402381">
            <w:pPr>
              <w:rPr>
                <w:color w:val="000000" w:themeColor="text1"/>
                <w:lang w:val="en-IN"/>
              </w:rPr>
            </w:pPr>
            <w:r w:rsidRPr="00402381">
              <w:rPr>
                <w:color w:val="000000" w:themeColor="text1"/>
                <w:lang w:val="en-IN"/>
              </w:rPr>
              <w:t>4.00%</w:t>
            </w:r>
          </w:p>
        </w:tc>
      </w:tr>
      <w:tr w:rsidR="00402381" w:rsidRPr="00402381" w14:paraId="7630D0A0" w14:textId="77777777" w:rsidTr="00402381">
        <w:trPr>
          <w:tblCellSpacing w:w="15" w:type="dxa"/>
        </w:trPr>
        <w:tc>
          <w:tcPr>
            <w:tcW w:w="0" w:type="auto"/>
            <w:vAlign w:val="center"/>
            <w:hideMark/>
          </w:tcPr>
          <w:p w14:paraId="6F2F535B" w14:textId="77777777" w:rsidR="00402381" w:rsidRPr="00402381" w:rsidRDefault="00402381" w:rsidP="00402381">
            <w:pPr>
              <w:rPr>
                <w:color w:val="000000" w:themeColor="text1"/>
                <w:lang w:val="en-IN"/>
              </w:rPr>
            </w:pPr>
            <w:r w:rsidRPr="00402381">
              <w:rPr>
                <w:color w:val="000000" w:themeColor="text1"/>
                <w:lang w:val="en-IN"/>
              </w:rPr>
              <w:t>Net Profit Margin</w:t>
            </w:r>
          </w:p>
        </w:tc>
        <w:tc>
          <w:tcPr>
            <w:tcW w:w="0" w:type="auto"/>
            <w:vAlign w:val="center"/>
            <w:hideMark/>
          </w:tcPr>
          <w:p w14:paraId="059DC339" w14:textId="77777777" w:rsidR="00402381" w:rsidRPr="00402381" w:rsidRDefault="00402381" w:rsidP="00402381">
            <w:pPr>
              <w:rPr>
                <w:color w:val="000000" w:themeColor="text1"/>
                <w:lang w:val="en-IN"/>
              </w:rPr>
            </w:pPr>
            <w:r w:rsidRPr="00402381">
              <w:rPr>
                <w:color w:val="000000" w:themeColor="text1"/>
                <w:lang w:val="en-IN"/>
              </w:rPr>
              <w:t>2.64%</w:t>
            </w:r>
          </w:p>
        </w:tc>
        <w:tc>
          <w:tcPr>
            <w:tcW w:w="0" w:type="auto"/>
            <w:vAlign w:val="center"/>
            <w:hideMark/>
          </w:tcPr>
          <w:p w14:paraId="10570A3F" w14:textId="77777777" w:rsidR="00402381" w:rsidRPr="00402381" w:rsidRDefault="00402381" w:rsidP="00402381">
            <w:pPr>
              <w:rPr>
                <w:color w:val="000000" w:themeColor="text1"/>
                <w:lang w:val="en-IN"/>
              </w:rPr>
            </w:pPr>
            <w:r w:rsidRPr="00402381">
              <w:rPr>
                <w:color w:val="000000" w:themeColor="text1"/>
                <w:lang w:val="en-IN"/>
              </w:rPr>
              <w:t>1.22%</w:t>
            </w:r>
          </w:p>
        </w:tc>
      </w:tr>
      <w:tr w:rsidR="00402381" w:rsidRPr="00402381" w14:paraId="6A6F5737" w14:textId="77777777" w:rsidTr="00402381">
        <w:trPr>
          <w:tblCellSpacing w:w="15" w:type="dxa"/>
        </w:trPr>
        <w:tc>
          <w:tcPr>
            <w:tcW w:w="0" w:type="auto"/>
            <w:vAlign w:val="center"/>
            <w:hideMark/>
          </w:tcPr>
          <w:p w14:paraId="49C07DBD" w14:textId="77777777" w:rsidR="00402381" w:rsidRPr="00402381" w:rsidRDefault="00402381" w:rsidP="00402381">
            <w:pPr>
              <w:rPr>
                <w:color w:val="000000" w:themeColor="text1"/>
                <w:lang w:val="en-IN"/>
              </w:rPr>
            </w:pPr>
            <w:r w:rsidRPr="00402381">
              <w:rPr>
                <w:color w:val="000000" w:themeColor="text1"/>
                <w:lang w:val="en-IN"/>
              </w:rPr>
              <w:t>ROA</w:t>
            </w:r>
          </w:p>
        </w:tc>
        <w:tc>
          <w:tcPr>
            <w:tcW w:w="0" w:type="auto"/>
            <w:vAlign w:val="center"/>
            <w:hideMark/>
          </w:tcPr>
          <w:p w14:paraId="78A49FFC" w14:textId="77777777" w:rsidR="00402381" w:rsidRPr="00402381" w:rsidRDefault="00402381" w:rsidP="00402381">
            <w:pPr>
              <w:rPr>
                <w:color w:val="000000" w:themeColor="text1"/>
                <w:lang w:val="en-IN"/>
              </w:rPr>
            </w:pPr>
            <w:r w:rsidRPr="00402381">
              <w:rPr>
                <w:color w:val="000000" w:themeColor="text1"/>
                <w:lang w:val="en-IN"/>
              </w:rPr>
              <w:t>3.48%</w:t>
            </w:r>
          </w:p>
        </w:tc>
        <w:tc>
          <w:tcPr>
            <w:tcW w:w="0" w:type="auto"/>
            <w:vAlign w:val="center"/>
            <w:hideMark/>
          </w:tcPr>
          <w:p w14:paraId="5E9A8F11" w14:textId="77777777" w:rsidR="00402381" w:rsidRPr="00402381" w:rsidRDefault="00402381" w:rsidP="00402381">
            <w:pPr>
              <w:rPr>
                <w:color w:val="000000" w:themeColor="text1"/>
                <w:lang w:val="en-IN"/>
              </w:rPr>
            </w:pPr>
            <w:r w:rsidRPr="00402381">
              <w:rPr>
                <w:color w:val="000000" w:themeColor="text1"/>
                <w:lang w:val="en-IN"/>
              </w:rPr>
              <w:t>1.59%</w:t>
            </w:r>
          </w:p>
        </w:tc>
      </w:tr>
      <w:tr w:rsidR="00402381" w:rsidRPr="00402381" w14:paraId="3578661C" w14:textId="77777777" w:rsidTr="00402381">
        <w:trPr>
          <w:tblCellSpacing w:w="15" w:type="dxa"/>
        </w:trPr>
        <w:tc>
          <w:tcPr>
            <w:tcW w:w="0" w:type="auto"/>
            <w:vAlign w:val="center"/>
            <w:hideMark/>
          </w:tcPr>
          <w:p w14:paraId="4C71C33A" w14:textId="77777777" w:rsidR="00402381" w:rsidRPr="00402381" w:rsidRDefault="00402381" w:rsidP="00402381">
            <w:pPr>
              <w:rPr>
                <w:color w:val="000000" w:themeColor="text1"/>
                <w:lang w:val="en-IN"/>
              </w:rPr>
            </w:pPr>
            <w:r w:rsidRPr="00402381">
              <w:rPr>
                <w:color w:val="000000" w:themeColor="text1"/>
                <w:lang w:val="en-IN"/>
              </w:rPr>
              <w:t>ROE</w:t>
            </w:r>
          </w:p>
        </w:tc>
        <w:tc>
          <w:tcPr>
            <w:tcW w:w="0" w:type="auto"/>
            <w:vAlign w:val="center"/>
            <w:hideMark/>
          </w:tcPr>
          <w:p w14:paraId="435B77A3" w14:textId="77777777" w:rsidR="00402381" w:rsidRPr="00402381" w:rsidRDefault="00402381" w:rsidP="00402381">
            <w:pPr>
              <w:rPr>
                <w:color w:val="000000" w:themeColor="text1"/>
                <w:lang w:val="en-IN"/>
              </w:rPr>
            </w:pPr>
            <w:r w:rsidRPr="00402381">
              <w:rPr>
                <w:color w:val="000000" w:themeColor="text1"/>
                <w:lang w:val="en-IN"/>
              </w:rPr>
              <w:t>13.68%</w:t>
            </w:r>
          </w:p>
        </w:tc>
        <w:tc>
          <w:tcPr>
            <w:tcW w:w="0" w:type="auto"/>
            <w:vAlign w:val="center"/>
            <w:hideMark/>
          </w:tcPr>
          <w:p w14:paraId="270993D0" w14:textId="77777777" w:rsidR="00402381" w:rsidRPr="00402381" w:rsidRDefault="00402381" w:rsidP="00402381">
            <w:pPr>
              <w:rPr>
                <w:color w:val="000000" w:themeColor="text1"/>
                <w:lang w:val="en-IN"/>
              </w:rPr>
            </w:pPr>
            <w:r w:rsidRPr="00402381">
              <w:rPr>
                <w:color w:val="000000" w:themeColor="text1"/>
                <w:lang w:val="en-IN"/>
              </w:rPr>
              <w:t>6.36%</w:t>
            </w:r>
          </w:p>
        </w:tc>
      </w:tr>
    </w:tbl>
    <w:p w14:paraId="427F23C2" w14:textId="7FE679A5" w:rsidR="00402381" w:rsidRDefault="00402381" w:rsidP="00A22383">
      <w:pPr>
        <w:pStyle w:val="Heading3"/>
        <w:numPr>
          <w:ilvl w:val="1"/>
          <w:numId w:val="17"/>
        </w:numPr>
      </w:pPr>
      <w:bookmarkStart w:id="6" w:name="_Toc219036391"/>
      <w:r w:rsidRPr="00402381">
        <w:lastRenderedPageBreak/>
        <w:t>Interpretation and Critical Evaluation</w:t>
      </w:r>
      <w:bookmarkEnd w:id="6"/>
    </w:p>
    <w:p w14:paraId="5DB931F8" w14:textId="77777777" w:rsidR="00402381" w:rsidRPr="00402381" w:rsidRDefault="00402381" w:rsidP="00402381">
      <w:pPr>
        <w:rPr>
          <w:lang w:val="en-IN"/>
        </w:rPr>
      </w:pPr>
      <w:r w:rsidRPr="00402381">
        <w:rPr>
          <w:b/>
          <w:bCs/>
          <w:lang w:val="en-IN"/>
        </w:rPr>
        <w:t>Gross profit margin</w:t>
      </w:r>
      <w:r w:rsidRPr="00402381">
        <w:rPr>
          <w:lang w:val="en-IN"/>
        </w:rPr>
        <w:t xml:space="preserve"> increased from </w:t>
      </w:r>
      <w:r w:rsidRPr="00402381">
        <w:rPr>
          <w:b/>
          <w:bCs/>
          <w:lang w:val="en-IN"/>
        </w:rPr>
        <w:t>7.6% to 8.0%</w:t>
      </w:r>
      <w:r w:rsidRPr="00402381">
        <w:rPr>
          <w:lang w:val="en-IN"/>
        </w:rPr>
        <w:t>, indicating stronger trading performance and improved cost control at the gross level. This improvement is likely supported by operational levers such as more disciplined supplier procurement, better product mix management, and increased contribution from higher-margin own-brand ranges. In the UK grocery sector, where price competition remains intense and margins are structurally thin, even modest improvement reflects meaningful operational discipline.</w:t>
      </w:r>
    </w:p>
    <w:p w14:paraId="24BEE371" w14:textId="77777777" w:rsidR="00402381" w:rsidRPr="00402381" w:rsidRDefault="00402381" w:rsidP="00402381">
      <w:pPr>
        <w:rPr>
          <w:lang w:val="en-IN"/>
        </w:rPr>
      </w:pPr>
      <w:r w:rsidRPr="00402381">
        <w:rPr>
          <w:lang w:val="en-IN"/>
        </w:rPr>
        <w:t xml:space="preserve">However, </w:t>
      </w:r>
      <w:r w:rsidRPr="00402381">
        <w:rPr>
          <w:b/>
          <w:bCs/>
          <w:lang w:val="en-IN"/>
        </w:rPr>
        <w:t>operating margin declined slightly from 4.00% to 3.84%</w:t>
      </w:r>
      <w:r w:rsidRPr="00402381">
        <w:rPr>
          <w:lang w:val="en-IN"/>
        </w:rPr>
        <w:t>, suggesting that inflationary pressures impacted operating expenses faster than gross margin gains could offset. This may reflect higher labour costs, transport/distribution costs, and energy expenditure—factors that have significantly affected UK retailers over the period. This ratio signals that Tesco’s “cost-to-serve” model remains a strategic priority, as operating margin is a key determinant of sustainable long-term profitability.</w:t>
      </w:r>
    </w:p>
    <w:p w14:paraId="4A28328D" w14:textId="77777777" w:rsidR="00402381" w:rsidRPr="00402381" w:rsidRDefault="00402381" w:rsidP="00402381">
      <w:pPr>
        <w:rPr>
          <w:lang w:val="en-IN"/>
        </w:rPr>
      </w:pPr>
      <w:r w:rsidRPr="00402381">
        <w:rPr>
          <w:lang w:val="en-IN"/>
        </w:rPr>
        <w:t xml:space="preserve">The most significant improvement is observed in </w:t>
      </w:r>
      <w:r w:rsidRPr="00402381">
        <w:rPr>
          <w:b/>
          <w:bCs/>
          <w:lang w:val="en-IN"/>
        </w:rPr>
        <w:t>net profit margin</w:t>
      </w:r>
      <w:r w:rsidRPr="00402381">
        <w:rPr>
          <w:lang w:val="en-IN"/>
        </w:rPr>
        <w:t xml:space="preserve">, which rose from </w:t>
      </w:r>
      <w:r w:rsidRPr="00402381">
        <w:rPr>
          <w:b/>
          <w:bCs/>
          <w:lang w:val="en-IN"/>
        </w:rPr>
        <w:t>1.22% to 2.64%</w:t>
      </w:r>
      <w:r w:rsidRPr="00402381">
        <w:rPr>
          <w:lang w:val="en-IN"/>
        </w:rPr>
        <w:t>. This indicates that non-operating factors (e.g., finance costs, restructuring items, one-off charges) had a smaller negative effect in FY2024, leading to stronger bottom-line performance. While this is positive for shareholder value, net margin improvements can sometimes be influenced by items not directly related to core operations. Therefore, Directors should focus primarily on operating margin as the more reliable measure of underlying performance quality.</w:t>
      </w:r>
    </w:p>
    <w:p w14:paraId="03283686" w14:textId="77777777" w:rsidR="00402381" w:rsidRPr="00402381" w:rsidRDefault="00402381" w:rsidP="00402381">
      <w:pPr>
        <w:rPr>
          <w:lang w:val="en-IN"/>
        </w:rPr>
      </w:pPr>
      <w:r w:rsidRPr="00402381">
        <w:rPr>
          <w:b/>
          <w:bCs/>
          <w:lang w:val="en-IN"/>
        </w:rPr>
        <w:t>ROA</w:t>
      </w:r>
      <w:r w:rsidRPr="00402381">
        <w:rPr>
          <w:lang w:val="en-IN"/>
        </w:rPr>
        <w:t xml:space="preserve"> and </w:t>
      </w:r>
      <w:r w:rsidRPr="00402381">
        <w:rPr>
          <w:b/>
          <w:bCs/>
          <w:lang w:val="en-IN"/>
        </w:rPr>
        <w:t>ROE</w:t>
      </w:r>
      <w:r w:rsidRPr="00402381">
        <w:rPr>
          <w:lang w:val="en-IN"/>
        </w:rPr>
        <w:t xml:space="preserve"> increased substantially, particularly ROE (6.36% to 13.68%). This shows Tesco generated stronger returns for shareholders, reflecting improved profitability and effective use of equity capital. However, elevated ROE should also be interpreted alongside Tesco’s leverage position: where gearing is high, ROE may appear inflated due to reliance on debt financing. This reinforces the need to assess profitability together with solvency ratios to avoid overstating performance quality.</w:t>
      </w:r>
    </w:p>
    <w:p w14:paraId="0869EDD0" w14:textId="36D7CE42" w:rsidR="00F040A6" w:rsidRDefault="00000000" w:rsidP="00A22383">
      <w:pPr>
        <w:pStyle w:val="Heading2"/>
        <w:numPr>
          <w:ilvl w:val="0"/>
          <w:numId w:val="17"/>
        </w:numPr>
      </w:pPr>
      <w:bookmarkStart w:id="7" w:name="_Toc219036392"/>
      <w:r>
        <w:t>Liquidity Analysis</w:t>
      </w:r>
      <w:bookmarkEnd w:id="7"/>
    </w:p>
    <w:p w14:paraId="528AEDF6" w14:textId="031253F0" w:rsidR="00A22383" w:rsidRDefault="00A22383" w:rsidP="00A22383">
      <w:r w:rsidRPr="00A22383">
        <w:t>Liquidity ratios measure Tesco’s ability to meet short-term obligations as they fall due. Strong liquidity reduces the risk of cash shortages, protects creditworthiness, and supports operational flexibility. However, in large grocery retailers, liquidity ratios are often structurally low because the business model benefits from rapid inventory turnover and extended supplier credit terms, meaning current liabilities can exceed current assets without necessarily indicating financial distress.</w:t>
      </w:r>
    </w:p>
    <w:p w14:paraId="0C6589FF" w14:textId="172A2783" w:rsidR="00A22383" w:rsidRDefault="00A22383" w:rsidP="00A22383">
      <w:pPr>
        <w:pStyle w:val="Heading3"/>
        <w:numPr>
          <w:ilvl w:val="1"/>
          <w:numId w:val="17"/>
        </w:numPr>
      </w:pPr>
      <w:bookmarkStart w:id="8" w:name="_Toc219036393"/>
      <w:r w:rsidRPr="00A22383">
        <w:t>Liquidity Ratio Results (FY2023–FY2024)</w:t>
      </w:r>
      <w:bookmarkEnd w:id="8"/>
    </w:p>
    <w:tbl>
      <w:tblPr>
        <w:tblW w:w="0" w:type="auto"/>
        <w:tblCellSpacing w:w="15" w:type="dxa"/>
        <w:tblInd w:w="51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132"/>
        <w:gridCol w:w="1362"/>
        <w:gridCol w:w="1377"/>
      </w:tblGrid>
      <w:tr w:rsidR="00A22383" w:rsidRPr="00A22383" w14:paraId="5E14F792" w14:textId="77777777" w:rsidTr="003B1155">
        <w:trPr>
          <w:tblHeader/>
          <w:tblCellSpacing w:w="15" w:type="dxa"/>
        </w:trPr>
        <w:tc>
          <w:tcPr>
            <w:tcW w:w="0" w:type="auto"/>
            <w:vAlign w:val="center"/>
            <w:hideMark/>
          </w:tcPr>
          <w:p w14:paraId="4B3DDCF7" w14:textId="77777777" w:rsidR="00A22383" w:rsidRPr="00A22383" w:rsidRDefault="00A22383" w:rsidP="00A22383">
            <w:pPr>
              <w:pStyle w:val="ListParagraph"/>
              <w:rPr>
                <w:b/>
                <w:bCs/>
                <w:lang w:val="en-IN"/>
              </w:rPr>
            </w:pPr>
            <w:r w:rsidRPr="00A22383">
              <w:rPr>
                <w:b/>
                <w:bCs/>
                <w:lang w:val="en-IN"/>
              </w:rPr>
              <w:t>Ratio</w:t>
            </w:r>
          </w:p>
        </w:tc>
        <w:tc>
          <w:tcPr>
            <w:tcW w:w="0" w:type="auto"/>
            <w:vAlign w:val="center"/>
            <w:hideMark/>
          </w:tcPr>
          <w:p w14:paraId="1F52D111" w14:textId="77777777" w:rsidR="00A22383" w:rsidRPr="00A22383" w:rsidRDefault="00A22383" w:rsidP="00A22383">
            <w:pPr>
              <w:pStyle w:val="ListParagraph"/>
              <w:rPr>
                <w:b/>
                <w:bCs/>
                <w:lang w:val="en-IN"/>
              </w:rPr>
            </w:pPr>
            <w:r w:rsidRPr="00A22383">
              <w:rPr>
                <w:b/>
                <w:bCs/>
                <w:lang w:val="en-IN"/>
              </w:rPr>
              <w:t>2024</w:t>
            </w:r>
          </w:p>
        </w:tc>
        <w:tc>
          <w:tcPr>
            <w:tcW w:w="0" w:type="auto"/>
            <w:vAlign w:val="center"/>
            <w:hideMark/>
          </w:tcPr>
          <w:p w14:paraId="472B2AC7" w14:textId="77777777" w:rsidR="00A22383" w:rsidRPr="00A22383" w:rsidRDefault="00A22383" w:rsidP="00A22383">
            <w:pPr>
              <w:pStyle w:val="ListParagraph"/>
              <w:rPr>
                <w:b/>
                <w:bCs/>
                <w:lang w:val="en-IN"/>
              </w:rPr>
            </w:pPr>
            <w:r w:rsidRPr="00A22383">
              <w:rPr>
                <w:b/>
                <w:bCs/>
                <w:lang w:val="en-IN"/>
              </w:rPr>
              <w:t>2023</w:t>
            </w:r>
          </w:p>
        </w:tc>
      </w:tr>
      <w:tr w:rsidR="00A22383" w:rsidRPr="00A22383" w14:paraId="23A466F3" w14:textId="77777777" w:rsidTr="003B1155">
        <w:trPr>
          <w:tblCellSpacing w:w="15" w:type="dxa"/>
        </w:trPr>
        <w:tc>
          <w:tcPr>
            <w:tcW w:w="0" w:type="auto"/>
            <w:vAlign w:val="center"/>
            <w:hideMark/>
          </w:tcPr>
          <w:p w14:paraId="656A8FBA" w14:textId="77777777" w:rsidR="00A22383" w:rsidRPr="00A22383" w:rsidRDefault="00A22383" w:rsidP="00A22383">
            <w:pPr>
              <w:pStyle w:val="ListParagraph"/>
              <w:rPr>
                <w:lang w:val="en-IN"/>
              </w:rPr>
            </w:pPr>
            <w:r w:rsidRPr="00A22383">
              <w:rPr>
                <w:lang w:val="en-IN"/>
              </w:rPr>
              <w:t>Current Ratio</w:t>
            </w:r>
          </w:p>
        </w:tc>
        <w:tc>
          <w:tcPr>
            <w:tcW w:w="0" w:type="auto"/>
            <w:vAlign w:val="center"/>
            <w:hideMark/>
          </w:tcPr>
          <w:p w14:paraId="4418BDCB" w14:textId="77777777" w:rsidR="00A22383" w:rsidRPr="00A22383" w:rsidRDefault="00A22383" w:rsidP="00A22383">
            <w:pPr>
              <w:pStyle w:val="ListParagraph"/>
              <w:rPr>
                <w:lang w:val="en-IN"/>
              </w:rPr>
            </w:pPr>
            <w:r w:rsidRPr="00A22383">
              <w:rPr>
                <w:lang w:val="en-IN"/>
              </w:rPr>
              <w:t>0.63</w:t>
            </w:r>
          </w:p>
        </w:tc>
        <w:tc>
          <w:tcPr>
            <w:tcW w:w="0" w:type="auto"/>
            <w:vAlign w:val="center"/>
            <w:hideMark/>
          </w:tcPr>
          <w:p w14:paraId="0435EBD1" w14:textId="77777777" w:rsidR="00A22383" w:rsidRPr="00A22383" w:rsidRDefault="00A22383" w:rsidP="00A22383">
            <w:pPr>
              <w:pStyle w:val="ListParagraph"/>
              <w:rPr>
                <w:lang w:val="en-IN"/>
              </w:rPr>
            </w:pPr>
            <w:r w:rsidRPr="00A22383">
              <w:rPr>
                <w:lang w:val="en-IN"/>
              </w:rPr>
              <w:t>0.61</w:t>
            </w:r>
          </w:p>
        </w:tc>
      </w:tr>
      <w:tr w:rsidR="00A22383" w:rsidRPr="00A22383" w14:paraId="27AF3235" w14:textId="77777777" w:rsidTr="003B1155">
        <w:trPr>
          <w:tblCellSpacing w:w="15" w:type="dxa"/>
        </w:trPr>
        <w:tc>
          <w:tcPr>
            <w:tcW w:w="0" w:type="auto"/>
            <w:vAlign w:val="center"/>
            <w:hideMark/>
          </w:tcPr>
          <w:p w14:paraId="750E50B1" w14:textId="77777777" w:rsidR="00A22383" w:rsidRPr="00A22383" w:rsidRDefault="00A22383" w:rsidP="00A22383">
            <w:pPr>
              <w:pStyle w:val="ListParagraph"/>
              <w:rPr>
                <w:lang w:val="en-IN"/>
              </w:rPr>
            </w:pPr>
            <w:r w:rsidRPr="00A22383">
              <w:rPr>
                <w:lang w:val="en-IN"/>
              </w:rPr>
              <w:lastRenderedPageBreak/>
              <w:t>Quick Ratio</w:t>
            </w:r>
          </w:p>
        </w:tc>
        <w:tc>
          <w:tcPr>
            <w:tcW w:w="0" w:type="auto"/>
            <w:vAlign w:val="center"/>
            <w:hideMark/>
          </w:tcPr>
          <w:p w14:paraId="413A7D07" w14:textId="77777777" w:rsidR="00A22383" w:rsidRPr="00A22383" w:rsidRDefault="00A22383" w:rsidP="00A22383">
            <w:pPr>
              <w:pStyle w:val="ListParagraph"/>
              <w:rPr>
                <w:lang w:val="en-IN"/>
              </w:rPr>
            </w:pPr>
            <w:r w:rsidRPr="00A22383">
              <w:rPr>
                <w:lang w:val="en-IN"/>
              </w:rPr>
              <w:t>0.47</w:t>
            </w:r>
          </w:p>
        </w:tc>
        <w:tc>
          <w:tcPr>
            <w:tcW w:w="0" w:type="auto"/>
            <w:vAlign w:val="center"/>
            <w:hideMark/>
          </w:tcPr>
          <w:p w14:paraId="7BDB5094" w14:textId="77777777" w:rsidR="00A22383" w:rsidRPr="00A22383" w:rsidRDefault="00A22383" w:rsidP="00A22383">
            <w:pPr>
              <w:pStyle w:val="ListParagraph"/>
              <w:rPr>
                <w:lang w:val="en-IN"/>
              </w:rPr>
            </w:pPr>
            <w:r w:rsidRPr="00A22383">
              <w:rPr>
                <w:lang w:val="en-IN"/>
              </w:rPr>
              <w:t>0.46</w:t>
            </w:r>
          </w:p>
        </w:tc>
      </w:tr>
    </w:tbl>
    <w:p w14:paraId="2A5A4454" w14:textId="1FFAF19E" w:rsidR="00A22383" w:rsidRDefault="00A22383" w:rsidP="00A22383">
      <w:pPr>
        <w:pStyle w:val="Heading3"/>
        <w:numPr>
          <w:ilvl w:val="1"/>
          <w:numId w:val="17"/>
        </w:numPr>
      </w:pPr>
      <w:bookmarkStart w:id="9" w:name="_Toc219036394"/>
      <w:r w:rsidRPr="00A22383">
        <w:t>Interpretation and Critical Evaluation</w:t>
      </w:r>
      <w:bookmarkEnd w:id="9"/>
    </w:p>
    <w:p w14:paraId="78911C0D" w14:textId="77777777" w:rsidR="00A22383" w:rsidRDefault="00A22383" w:rsidP="00A22383">
      <w:pPr>
        <w:rPr>
          <w:lang w:val="en-IN"/>
        </w:rPr>
      </w:pPr>
      <w:r>
        <w:t>T</w:t>
      </w:r>
      <w:proofErr w:type="spellStart"/>
      <w:r w:rsidRPr="00A22383">
        <w:rPr>
          <w:lang w:val="en-IN"/>
        </w:rPr>
        <w:t>esco’s</w:t>
      </w:r>
      <w:proofErr w:type="spellEnd"/>
      <w:r w:rsidRPr="00A22383">
        <w:rPr>
          <w:lang w:val="en-IN"/>
        </w:rPr>
        <w:t xml:space="preserve"> </w:t>
      </w:r>
      <w:r w:rsidRPr="00A22383">
        <w:rPr>
          <w:b/>
          <w:bCs/>
          <w:lang w:val="en-IN"/>
        </w:rPr>
        <w:t>current ratio</w:t>
      </w:r>
      <w:r w:rsidRPr="00A22383">
        <w:rPr>
          <w:lang w:val="en-IN"/>
        </w:rPr>
        <w:t xml:space="preserve"> improved slightly from </w:t>
      </w:r>
      <w:r w:rsidRPr="00A22383">
        <w:rPr>
          <w:b/>
          <w:bCs/>
          <w:lang w:val="en-IN"/>
        </w:rPr>
        <w:t>0.61 to 0.63</w:t>
      </w:r>
      <w:r w:rsidRPr="00A22383">
        <w:rPr>
          <w:lang w:val="en-IN"/>
        </w:rPr>
        <w:t xml:space="preserve">, while the </w:t>
      </w:r>
      <w:r w:rsidRPr="00A22383">
        <w:rPr>
          <w:b/>
          <w:bCs/>
          <w:lang w:val="en-IN"/>
        </w:rPr>
        <w:t>quick ratio</w:t>
      </w:r>
      <w:r w:rsidRPr="00A22383">
        <w:rPr>
          <w:lang w:val="en-IN"/>
        </w:rPr>
        <w:t xml:space="preserve"> remained broadly stable (</w:t>
      </w:r>
      <w:r w:rsidRPr="00A22383">
        <w:rPr>
          <w:b/>
          <w:bCs/>
          <w:lang w:val="en-IN"/>
        </w:rPr>
        <w:t>0.46 to 0.47</w:t>
      </w:r>
      <w:r w:rsidRPr="00A22383">
        <w:rPr>
          <w:lang w:val="en-IN"/>
        </w:rPr>
        <w:t>). Both measures remain below 1, indicating that Tesco does not hold sufficient current assets to cover current liabilities. In many sectors this would represent a serious risk; however, in retail it is relatively common due to strong daily cash generation and the ability to fund operations through supplier credit.</w:t>
      </w:r>
    </w:p>
    <w:p w14:paraId="14DA6E23" w14:textId="02CFCA50" w:rsidR="00A22383" w:rsidRPr="00A22383" w:rsidRDefault="00A22383" w:rsidP="00A22383">
      <w:pPr>
        <w:rPr>
          <w:lang w:val="en-IN"/>
        </w:rPr>
      </w:pPr>
      <w:r w:rsidRPr="00A22383">
        <w:rPr>
          <w:lang w:val="en-IN"/>
        </w:rPr>
        <w:t>Nevertheless, the low liquidity position highlights Tesco’s high dependence on continuous operating cash flows. If the company experiences unexpected disruption (e.g., demand shocks, higher operating costs, supply shortages, or temporary declines in sales), liquidity strain could arise quickly. In addition, the low quick ratio suggests that Tesco’s short-term stability relies significantly on inventory and consistent sales performance, making supply chain resilience and demand forecasting strategically important.</w:t>
      </w:r>
    </w:p>
    <w:p w14:paraId="1ABFF1EF" w14:textId="77777777" w:rsidR="00A22383" w:rsidRPr="00A22383" w:rsidRDefault="00A22383" w:rsidP="00A22383">
      <w:pPr>
        <w:rPr>
          <w:lang w:val="en-IN"/>
        </w:rPr>
      </w:pPr>
      <w:r w:rsidRPr="00A22383">
        <w:rPr>
          <w:lang w:val="en-IN"/>
        </w:rPr>
        <w:t xml:space="preserve">A key positive factor is Tesco’s strong operating cash flow (increasing from </w:t>
      </w:r>
      <w:r w:rsidRPr="00A22383">
        <w:rPr>
          <w:b/>
          <w:bCs/>
          <w:lang w:val="en-IN"/>
        </w:rPr>
        <w:t>£3,770m to £4,110m</w:t>
      </w:r>
      <w:r w:rsidRPr="00A22383">
        <w:rPr>
          <w:lang w:val="en-IN"/>
        </w:rPr>
        <w:t>), which reduces liquidity risk and strengthens Tesco’s ability to meet obligations despite low ratio values. Therefore, liquidity should not be judged purely by ratio levels but interpreted alongside cash flow performance and working capital efficiency.</w:t>
      </w:r>
    </w:p>
    <w:p w14:paraId="50B120A9" w14:textId="77777777" w:rsidR="00A22383" w:rsidRPr="00A22383" w:rsidRDefault="00A22383" w:rsidP="00A22383">
      <w:pPr>
        <w:rPr>
          <w:lang w:val="en-IN"/>
        </w:rPr>
      </w:pPr>
      <w:r w:rsidRPr="00A22383">
        <w:rPr>
          <w:lang w:val="en-IN"/>
        </w:rPr>
        <w:t>From a Board perspective, the liquidity ratios indicate Tesco’s working capital structure is operationally efficient but financially tight. Tesco must ensure careful management of inventory levels, supplier payment terms, and cash cycle performance to avoid liquidity pressure—especially during periods of inflation, economic uncertainty, and increasing interest rates.</w:t>
      </w:r>
    </w:p>
    <w:p w14:paraId="6880604A" w14:textId="363ECE22" w:rsidR="00A22383" w:rsidRPr="00A22383" w:rsidRDefault="00A22383" w:rsidP="00A22383">
      <w:pPr>
        <w:pStyle w:val="ListParagraph"/>
      </w:pPr>
    </w:p>
    <w:p w14:paraId="62D50B85" w14:textId="29F1F132" w:rsidR="00F040A6" w:rsidRDefault="00000000" w:rsidP="00A22383">
      <w:pPr>
        <w:pStyle w:val="Heading3"/>
        <w:numPr>
          <w:ilvl w:val="0"/>
          <w:numId w:val="17"/>
        </w:numPr>
      </w:pPr>
      <w:bookmarkStart w:id="10" w:name="_Toc219036395"/>
      <w:r>
        <w:t>Efficiency and Working Capital Analysis</w:t>
      </w:r>
      <w:bookmarkEnd w:id="10"/>
    </w:p>
    <w:p w14:paraId="43D0524B" w14:textId="2810A3DF" w:rsidR="00A22383" w:rsidRDefault="00A22383" w:rsidP="00A22383">
      <w:r w:rsidRPr="00A22383">
        <w:t>Efficiency (activity) ratios evaluate how effectively Tesco manages its assets and working capital to generate revenue and sustain operational performance. In retail, efficiency is a critical driver of competitiveness because the sector operates on thin margins and depends on high sales volumes, rapid stock turnover, and strong supplier credit arrangements. Efficient working capital management improves liquidity, reduces funding needs, and strengthens resilience during periods of inflation and supply chain volatility.</w:t>
      </w:r>
    </w:p>
    <w:p w14:paraId="5F152A2B" w14:textId="36249688" w:rsidR="00A22383" w:rsidRDefault="00A22383" w:rsidP="00A22383">
      <w:pPr>
        <w:pStyle w:val="Heading3"/>
        <w:numPr>
          <w:ilvl w:val="1"/>
          <w:numId w:val="17"/>
        </w:numPr>
      </w:pPr>
      <w:bookmarkStart w:id="11" w:name="_Toc219036396"/>
      <w:r w:rsidRPr="00A22383">
        <w:t>Efficiency Ratio Results (FY2023–FY2024)</w:t>
      </w:r>
      <w:bookmarkEnd w:id="11"/>
    </w:p>
    <w:tbl>
      <w:tblPr>
        <w:tblW w:w="0" w:type="auto"/>
        <w:tblCellSpacing w:w="15" w:type="dxa"/>
        <w:tblInd w:w="648"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377"/>
        <w:gridCol w:w="1734"/>
        <w:gridCol w:w="1749"/>
      </w:tblGrid>
      <w:tr w:rsidR="00A22383" w:rsidRPr="00A22383" w14:paraId="2E531BDD" w14:textId="77777777" w:rsidTr="003B1155">
        <w:trPr>
          <w:tblHeader/>
          <w:tblCellSpacing w:w="15" w:type="dxa"/>
        </w:trPr>
        <w:tc>
          <w:tcPr>
            <w:tcW w:w="0" w:type="auto"/>
            <w:vAlign w:val="center"/>
            <w:hideMark/>
          </w:tcPr>
          <w:p w14:paraId="6A6E5175" w14:textId="77777777" w:rsidR="00A22383" w:rsidRPr="00A22383" w:rsidRDefault="00A22383" w:rsidP="00A22383">
            <w:pPr>
              <w:pStyle w:val="ListParagraph"/>
              <w:rPr>
                <w:b/>
                <w:bCs/>
                <w:lang w:val="en-IN"/>
              </w:rPr>
            </w:pPr>
            <w:r w:rsidRPr="00A22383">
              <w:rPr>
                <w:b/>
                <w:bCs/>
                <w:lang w:val="en-IN"/>
              </w:rPr>
              <w:t>Ratio</w:t>
            </w:r>
          </w:p>
        </w:tc>
        <w:tc>
          <w:tcPr>
            <w:tcW w:w="0" w:type="auto"/>
            <w:vAlign w:val="center"/>
            <w:hideMark/>
          </w:tcPr>
          <w:p w14:paraId="2537F865" w14:textId="77777777" w:rsidR="00A22383" w:rsidRPr="00A22383" w:rsidRDefault="00A22383" w:rsidP="00A22383">
            <w:pPr>
              <w:pStyle w:val="ListParagraph"/>
              <w:rPr>
                <w:b/>
                <w:bCs/>
                <w:lang w:val="en-IN"/>
              </w:rPr>
            </w:pPr>
            <w:r w:rsidRPr="00A22383">
              <w:rPr>
                <w:b/>
                <w:bCs/>
                <w:lang w:val="en-IN"/>
              </w:rPr>
              <w:t>2024</w:t>
            </w:r>
          </w:p>
        </w:tc>
        <w:tc>
          <w:tcPr>
            <w:tcW w:w="0" w:type="auto"/>
            <w:vAlign w:val="center"/>
            <w:hideMark/>
          </w:tcPr>
          <w:p w14:paraId="6F4111C1" w14:textId="77777777" w:rsidR="00A22383" w:rsidRPr="00A22383" w:rsidRDefault="00A22383" w:rsidP="00A22383">
            <w:pPr>
              <w:pStyle w:val="ListParagraph"/>
              <w:rPr>
                <w:b/>
                <w:bCs/>
                <w:lang w:val="en-IN"/>
              </w:rPr>
            </w:pPr>
            <w:r w:rsidRPr="00A22383">
              <w:rPr>
                <w:b/>
                <w:bCs/>
                <w:lang w:val="en-IN"/>
              </w:rPr>
              <w:t>2023</w:t>
            </w:r>
          </w:p>
        </w:tc>
      </w:tr>
      <w:tr w:rsidR="00A22383" w:rsidRPr="00A22383" w14:paraId="30A47B94" w14:textId="77777777" w:rsidTr="003B1155">
        <w:trPr>
          <w:tblCellSpacing w:w="15" w:type="dxa"/>
        </w:trPr>
        <w:tc>
          <w:tcPr>
            <w:tcW w:w="0" w:type="auto"/>
            <w:vAlign w:val="center"/>
            <w:hideMark/>
          </w:tcPr>
          <w:p w14:paraId="4560C5C7" w14:textId="77777777" w:rsidR="00A22383" w:rsidRPr="00A22383" w:rsidRDefault="00A22383" w:rsidP="00A22383">
            <w:pPr>
              <w:pStyle w:val="ListParagraph"/>
              <w:rPr>
                <w:lang w:val="en-IN"/>
              </w:rPr>
            </w:pPr>
            <w:r w:rsidRPr="00A22383">
              <w:rPr>
                <w:lang w:val="en-IN"/>
              </w:rPr>
              <w:lastRenderedPageBreak/>
              <w:t>Inventory Days</w:t>
            </w:r>
          </w:p>
        </w:tc>
        <w:tc>
          <w:tcPr>
            <w:tcW w:w="0" w:type="auto"/>
            <w:vAlign w:val="center"/>
            <w:hideMark/>
          </w:tcPr>
          <w:p w14:paraId="2C902AA0" w14:textId="77777777" w:rsidR="00A22383" w:rsidRPr="00A22383" w:rsidRDefault="00A22383" w:rsidP="00A22383">
            <w:pPr>
              <w:pStyle w:val="ListParagraph"/>
              <w:rPr>
                <w:lang w:val="en-IN"/>
              </w:rPr>
            </w:pPr>
            <w:r w:rsidRPr="00A22383">
              <w:rPr>
                <w:lang w:val="en-IN"/>
              </w:rPr>
              <w:t>15.9 days</w:t>
            </w:r>
          </w:p>
        </w:tc>
        <w:tc>
          <w:tcPr>
            <w:tcW w:w="0" w:type="auto"/>
            <w:vAlign w:val="center"/>
            <w:hideMark/>
          </w:tcPr>
          <w:p w14:paraId="31C012F8" w14:textId="77777777" w:rsidR="00A22383" w:rsidRPr="00A22383" w:rsidRDefault="00A22383" w:rsidP="00A22383">
            <w:pPr>
              <w:pStyle w:val="ListParagraph"/>
              <w:rPr>
                <w:lang w:val="en-IN"/>
              </w:rPr>
            </w:pPr>
            <w:r w:rsidRPr="00A22383">
              <w:rPr>
                <w:lang w:val="en-IN"/>
              </w:rPr>
              <w:t>15.1 days</w:t>
            </w:r>
          </w:p>
        </w:tc>
      </w:tr>
      <w:tr w:rsidR="00A22383" w:rsidRPr="00A22383" w14:paraId="51393A6A" w14:textId="77777777" w:rsidTr="003B1155">
        <w:trPr>
          <w:tblCellSpacing w:w="15" w:type="dxa"/>
        </w:trPr>
        <w:tc>
          <w:tcPr>
            <w:tcW w:w="0" w:type="auto"/>
            <w:vAlign w:val="center"/>
            <w:hideMark/>
          </w:tcPr>
          <w:p w14:paraId="31259B2F" w14:textId="77777777" w:rsidR="00A22383" w:rsidRPr="00A22383" w:rsidRDefault="00A22383" w:rsidP="00A22383">
            <w:pPr>
              <w:pStyle w:val="ListParagraph"/>
              <w:rPr>
                <w:lang w:val="en-IN"/>
              </w:rPr>
            </w:pPr>
            <w:r w:rsidRPr="00A22383">
              <w:rPr>
                <w:lang w:val="en-IN"/>
              </w:rPr>
              <w:t>Receivable Days</w:t>
            </w:r>
          </w:p>
        </w:tc>
        <w:tc>
          <w:tcPr>
            <w:tcW w:w="0" w:type="auto"/>
            <w:vAlign w:val="center"/>
            <w:hideMark/>
          </w:tcPr>
          <w:p w14:paraId="0ABF1951" w14:textId="77777777" w:rsidR="00A22383" w:rsidRPr="00A22383" w:rsidRDefault="00A22383" w:rsidP="00A22383">
            <w:pPr>
              <w:pStyle w:val="ListParagraph"/>
              <w:rPr>
                <w:lang w:val="en-IN"/>
              </w:rPr>
            </w:pPr>
            <w:r w:rsidRPr="00A22383">
              <w:rPr>
                <w:lang w:val="en-IN"/>
              </w:rPr>
              <w:t>6.3 days</w:t>
            </w:r>
          </w:p>
        </w:tc>
        <w:tc>
          <w:tcPr>
            <w:tcW w:w="0" w:type="auto"/>
            <w:vAlign w:val="center"/>
            <w:hideMark/>
          </w:tcPr>
          <w:p w14:paraId="603AF797" w14:textId="77777777" w:rsidR="00A22383" w:rsidRPr="00A22383" w:rsidRDefault="00A22383" w:rsidP="00A22383">
            <w:pPr>
              <w:pStyle w:val="ListParagraph"/>
              <w:rPr>
                <w:lang w:val="en-IN"/>
              </w:rPr>
            </w:pPr>
            <w:r w:rsidRPr="00A22383">
              <w:rPr>
                <w:lang w:val="en-IN"/>
              </w:rPr>
              <w:t>5.8 days</w:t>
            </w:r>
          </w:p>
        </w:tc>
      </w:tr>
      <w:tr w:rsidR="00A22383" w:rsidRPr="00A22383" w14:paraId="5578C344" w14:textId="77777777" w:rsidTr="003B1155">
        <w:trPr>
          <w:tblCellSpacing w:w="15" w:type="dxa"/>
        </w:trPr>
        <w:tc>
          <w:tcPr>
            <w:tcW w:w="0" w:type="auto"/>
            <w:vAlign w:val="center"/>
            <w:hideMark/>
          </w:tcPr>
          <w:p w14:paraId="1B82D731" w14:textId="77777777" w:rsidR="00A22383" w:rsidRPr="00A22383" w:rsidRDefault="00A22383" w:rsidP="00A22383">
            <w:pPr>
              <w:pStyle w:val="ListParagraph"/>
              <w:rPr>
                <w:lang w:val="en-IN"/>
              </w:rPr>
            </w:pPr>
            <w:r w:rsidRPr="00A22383">
              <w:rPr>
                <w:lang w:val="en-IN"/>
              </w:rPr>
              <w:t>Payable Days</w:t>
            </w:r>
          </w:p>
        </w:tc>
        <w:tc>
          <w:tcPr>
            <w:tcW w:w="0" w:type="auto"/>
            <w:vAlign w:val="center"/>
            <w:hideMark/>
          </w:tcPr>
          <w:p w14:paraId="05862EBF" w14:textId="77777777" w:rsidR="00A22383" w:rsidRPr="00A22383" w:rsidRDefault="00A22383" w:rsidP="00A22383">
            <w:pPr>
              <w:pStyle w:val="ListParagraph"/>
              <w:rPr>
                <w:lang w:val="en-IN"/>
              </w:rPr>
            </w:pPr>
            <w:r w:rsidRPr="00A22383">
              <w:rPr>
                <w:lang w:val="en-IN"/>
              </w:rPr>
              <w:t>40.7 days</w:t>
            </w:r>
          </w:p>
        </w:tc>
        <w:tc>
          <w:tcPr>
            <w:tcW w:w="0" w:type="auto"/>
            <w:vAlign w:val="center"/>
            <w:hideMark/>
          </w:tcPr>
          <w:p w14:paraId="07BC14DB" w14:textId="77777777" w:rsidR="00A22383" w:rsidRPr="00A22383" w:rsidRDefault="00A22383" w:rsidP="00A22383">
            <w:pPr>
              <w:pStyle w:val="ListParagraph"/>
              <w:rPr>
                <w:lang w:val="en-IN"/>
              </w:rPr>
            </w:pPr>
            <w:r w:rsidRPr="00A22383">
              <w:rPr>
                <w:lang w:val="en-IN"/>
              </w:rPr>
              <w:t>40.2 days</w:t>
            </w:r>
          </w:p>
        </w:tc>
      </w:tr>
      <w:tr w:rsidR="00A22383" w:rsidRPr="00A22383" w14:paraId="001246A3" w14:textId="77777777" w:rsidTr="003B1155">
        <w:trPr>
          <w:tblCellSpacing w:w="15" w:type="dxa"/>
        </w:trPr>
        <w:tc>
          <w:tcPr>
            <w:tcW w:w="0" w:type="auto"/>
            <w:vAlign w:val="center"/>
            <w:hideMark/>
          </w:tcPr>
          <w:p w14:paraId="14E7D9E7" w14:textId="77777777" w:rsidR="00A22383" w:rsidRPr="00A22383" w:rsidRDefault="00A22383" w:rsidP="00A22383">
            <w:pPr>
              <w:pStyle w:val="ListParagraph"/>
              <w:rPr>
                <w:lang w:val="en-IN"/>
              </w:rPr>
            </w:pPr>
            <w:r w:rsidRPr="00A22383">
              <w:rPr>
                <w:lang w:val="en-IN"/>
              </w:rPr>
              <w:t>Asset Turnover</w:t>
            </w:r>
          </w:p>
        </w:tc>
        <w:tc>
          <w:tcPr>
            <w:tcW w:w="0" w:type="auto"/>
            <w:vAlign w:val="center"/>
            <w:hideMark/>
          </w:tcPr>
          <w:p w14:paraId="1D9F305D" w14:textId="77777777" w:rsidR="00A22383" w:rsidRPr="00A22383" w:rsidRDefault="00A22383" w:rsidP="00A22383">
            <w:pPr>
              <w:pStyle w:val="ListParagraph"/>
              <w:rPr>
                <w:lang w:val="en-IN"/>
              </w:rPr>
            </w:pPr>
            <w:r w:rsidRPr="00A22383">
              <w:rPr>
                <w:lang w:val="en-IN"/>
              </w:rPr>
              <w:t>1.32</w:t>
            </w:r>
          </w:p>
        </w:tc>
        <w:tc>
          <w:tcPr>
            <w:tcW w:w="0" w:type="auto"/>
            <w:vAlign w:val="center"/>
            <w:hideMark/>
          </w:tcPr>
          <w:p w14:paraId="7F0F1129" w14:textId="77777777" w:rsidR="00A22383" w:rsidRPr="00A22383" w:rsidRDefault="00A22383" w:rsidP="00A22383">
            <w:pPr>
              <w:pStyle w:val="ListParagraph"/>
              <w:rPr>
                <w:lang w:val="en-IN"/>
              </w:rPr>
            </w:pPr>
            <w:r w:rsidRPr="00A22383">
              <w:rPr>
                <w:lang w:val="en-IN"/>
              </w:rPr>
              <w:t>1.30</w:t>
            </w:r>
          </w:p>
        </w:tc>
      </w:tr>
    </w:tbl>
    <w:p w14:paraId="19B454C4" w14:textId="77777777" w:rsidR="00A22383" w:rsidRDefault="00A22383" w:rsidP="00A22383"/>
    <w:p w14:paraId="5334DECC" w14:textId="7430EAF8" w:rsidR="00A22383" w:rsidRDefault="00A22383" w:rsidP="00A22383">
      <w:pPr>
        <w:pStyle w:val="Heading3"/>
        <w:numPr>
          <w:ilvl w:val="1"/>
          <w:numId w:val="17"/>
        </w:numPr>
        <w:rPr>
          <w:lang w:val="en-IN"/>
        </w:rPr>
      </w:pPr>
      <w:bookmarkStart w:id="12" w:name="_Toc219036397"/>
      <w:r w:rsidRPr="00A22383">
        <w:rPr>
          <w:lang w:val="en-IN"/>
        </w:rPr>
        <w:t>Interpretation and Critical Evaluation</w:t>
      </w:r>
      <w:bookmarkEnd w:id="12"/>
    </w:p>
    <w:p w14:paraId="06D82468"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Inventory days</w:t>
      </w:r>
      <w:r w:rsidRPr="00A22383">
        <w:rPr>
          <w:rFonts w:ascii="Times New Roman" w:eastAsia="Times New Roman" w:hAnsi="Times New Roman" w:cs="Times New Roman"/>
          <w:sz w:val="24"/>
          <w:szCs w:val="24"/>
          <w:lang w:val="en-IN" w:eastAsia="en-IN"/>
        </w:rPr>
        <w:t xml:space="preserve"> increased slightly from </w:t>
      </w:r>
      <w:r w:rsidRPr="00A22383">
        <w:rPr>
          <w:rFonts w:ascii="Times New Roman" w:eastAsia="Times New Roman" w:hAnsi="Times New Roman" w:cs="Times New Roman"/>
          <w:b/>
          <w:bCs/>
          <w:sz w:val="24"/>
          <w:szCs w:val="24"/>
          <w:lang w:val="en-IN" w:eastAsia="en-IN"/>
        </w:rPr>
        <w:t>15.1 to 15.9 days</w:t>
      </w:r>
      <w:r w:rsidRPr="00A22383">
        <w:rPr>
          <w:rFonts w:ascii="Times New Roman" w:eastAsia="Times New Roman" w:hAnsi="Times New Roman" w:cs="Times New Roman"/>
          <w:sz w:val="24"/>
          <w:szCs w:val="24"/>
          <w:lang w:val="en-IN" w:eastAsia="en-IN"/>
        </w:rPr>
        <w:t>, suggesting a marginal slowdown in stock turnover. This change may reflect Tesco maintaining higher safety stock levels due to continued supply chain uncertainty, inflation-driven demand fluctuations, and strategic inventory planning across product categories. While a small increase may help prevent stockouts and protect customer satisfaction, higher inventory days can also increase storage costs, waste risk (particularly for perishables), and cash tied up in working capital. Therefore, Tesco must balance availability and efficiency, using improved demand forecasting and inventory optimisation to avoid unnecessary stock accumulation.</w:t>
      </w:r>
    </w:p>
    <w:p w14:paraId="2CF960DB"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Receivable days</w:t>
      </w:r>
      <w:r w:rsidRPr="00A22383">
        <w:rPr>
          <w:rFonts w:ascii="Times New Roman" w:eastAsia="Times New Roman" w:hAnsi="Times New Roman" w:cs="Times New Roman"/>
          <w:sz w:val="24"/>
          <w:szCs w:val="24"/>
          <w:lang w:val="en-IN" w:eastAsia="en-IN"/>
        </w:rPr>
        <w:t xml:space="preserve"> increased marginally (from </w:t>
      </w:r>
      <w:r w:rsidRPr="00A22383">
        <w:rPr>
          <w:rFonts w:ascii="Times New Roman" w:eastAsia="Times New Roman" w:hAnsi="Times New Roman" w:cs="Times New Roman"/>
          <w:b/>
          <w:bCs/>
          <w:sz w:val="24"/>
          <w:szCs w:val="24"/>
          <w:lang w:val="en-IN" w:eastAsia="en-IN"/>
        </w:rPr>
        <w:t>5.8 to 6.3 days</w:t>
      </w:r>
      <w:r w:rsidRPr="00A22383">
        <w:rPr>
          <w:rFonts w:ascii="Times New Roman" w:eastAsia="Times New Roman" w:hAnsi="Times New Roman" w:cs="Times New Roman"/>
          <w:sz w:val="24"/>
          <w:szCs w:val="24"/>
          <w:lang w:val="en-IN" w:eastAsia="en-IN"/>
        </w:rPr>
        <w:t>) but remain extremely low, which is consistent with Tesco’s customer payment structure (primarily cash/card transactions). The receivables figure likely relates to trade customers, wholesale activity, and timing differences in payment processing. This ratio does not represent a major credit risk; however, Tesco should continue using digital payment systems and faster settlement cycles to strengthen short-term cash availability.</w:t>
      </w:r>
    </w:p>
    <w:p w14:paraId="76057870"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Payable days</w:t>
      </w:r>
      <w:r w:rsidRPr="00A22383">
        <w:rPr>
          <w:rFonts w:ascii="Times New Roman" w:eastAsia="Times New Roman" w:hAnsi="Times New Roman" w:cs="Times New Roman"/>
          <w:sz w:val="24"/>
          <w:szCs w:val="24"/>
          <w:lang w:val="en-IN" w:eastAsia="en-IN"/>
        </w:rPr>
        <w:t xml:space="preserve"> increased from </w:t>
      </w:r>
      <w:r w:rsidRPr="00A22383">
        <w:rPr>
          <w:rFonts w:ascii="Times New Roman" w:eastAsia="Times New Roman" w:hAnsi="Times New Roman" w:cs="Times New Roman"/>
          <w:b/>
          <w:bCs/>
          <w:sz w:val="24"/>
          <w:szCs w:val="24"/>
          <w:lang w:val="en-IN" w:eastAsia="en-IN"/>
        </w:rPr>
        <w:t>40.2 to 40.7 days</w:t>
      </w:r>
      <w:r w:rsidRPr="00A22383">
        <w:rPr>
          <w:rFonts w:ascii="Times New Roman" w:eastAsia="Times New Roman" w:hAnsi="Times New Roman" w:cs="Times New Roman"/>
          <w:sz w:val="24"/>
          <w:szCs w:val="24"/>
          <w:lang w:val="en-IN" w:eastAsia="en-IN"/>
        </w:rPr>
        <w:t>, showing Tesco slightly extended credit terms with suppliers. From a working capital perspective, longer payable days improve liquidity by delaying cash outflows, which is beneficial during inflation and high operating cost periods. However, there are strategic risks: excessive extension can damage supplier relationships, reduce supplier flexibility, or lead to weaker negotiated terms (e.g., reduced discounts or reliability). Directors should ensure that supplier payment strategies remain ethical, sustainable, and aligned with long-term partnership value.</w:t>
      </w:r>
    </w:p>
    <w:p w14:paraId="4AEA5A72"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sz w:val="24"/>
          <w:szCs w:val="24"/>
          <w:lang w:val="en-IN" w:eastAsia="en-IN"/>
        </w:rPr>
        <w:t xml:space="preserve">Finally, </w:t>
      </w:r>
      <w:r w:rsidRPr="00A22383">
        <w:rPr>
          <w:rFonts w:ascii="Times New Roman" w:eastAsia="Times New Roman" w:hAnsi="Times New Roman" w:cs="Times New Roman"/>
          <w:b/>
          <w:bCs/>
          <w:sz w:val="24"/>
          <w:szCs w:val="24"/>
          <w:lang w:val="en-IN" w:eastAsia="en-IN"/>
        </w:rPr>
        <w:t>asset turnover</w:t>
      </w:r>
      <w:r w:rsidRPr="00A22383">
        <w:rPr>
          <w:rFonts w:ascii="Times New Roman" w:eastAsia="Times New Roman" w:hAnsi="Times New Roman" w:cs="Times New Roman"/>
          <w:sz w:val="24"/>
          <w:szCs w:val="24"/>
          <w:lang w:val="en-IN" w:eastAsia="en-IN"/>
        </w:rPr>
        <w:t xml:space="preserve"> improved from </w:t>
      </w:r>
      <w:r w:rsidRPr="00A22383">
        <w:rPr>
          <w:rFonts w:ascii="Times New Roman" w:eastAsia="Times New Roman" w:hAnsi="Times New Roman" w:cs="Times New Roman"/>
          <w:b/>
          <w:bCs/>
          <w:sz w:val="24"/>
          <w:szCs w:val="24"/>
          <w:lang w:val="en-IN" w:eastAsia="en-IN"/>
        </w:rPr>
        <w:t>1.30 to 1.32</w:t>
      </w:r>
      <w:r w:rsidRPr="00A22383">
        <w:rPr>
          <w:rFonts w:ascii="Times New Roman" w:eastAsia="Times New Roman" w:hAnsi="Times New Roman" w:cs="Times New Roman"/>
          <w:sz w:val="24"/>
          <w:szCs w:val="24"/>
          <w:lang w:val="en-IN" w:eastAsia="en-IN"/>
        </w:rPr>
        <w:t>, indicating Tesco generated more revenue per £1 of assets. This improvement reflects strong operational utilisation of store assets and distribution infrastructure, combined with improved sales performance. High asset turnover is a key strength in grocery retail, reinforcing Tesco’s ability to operate at scale and maximise revenue from its asset base.</w:t>
      </w:r>
    </w:p>
    <w:p w14:paraId="1B9CA7B3"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sz w:val="24"/>
          <w:szCs w:val="24"/>
          <w:lang w:val="en-IN" w:eastAsia="en-IN"/>
        </w:rPr>
        <w:lastRenderedPageBreak/>
        <w:t>Overall, Tesco demonstrates strong efficiency performance. However, slight upward movement in inventory days and payables requires monitoring to ensure working capital remains optimised without negatively affecting customer service or supplier stability.</w:t>
      </w:r>
    </w:p>
    <w:p w14:paraId="17E9821A" w14:textId="77777777" w:rsidR="00A22383" w:rsidRPr="00A22383" w:rsidRDefault="00A22383" w:rsidP="00A22383">
      <w:pPr>
        <w:rPr>
          <w:lang w:val="en-IN"/>
        </w:rPr>
      </w:pPr>
    </w:p>
    <w:p w14:paraId="2227C7AF" w14:textId="0E965F07" w:rsidR="00F040A6" w:rsidRDefault="00000000" w:rsidP="00E3346D">
      <w:pPr>
        <w:pStyle w:val="Heading2"/>
        <w:numPr>
          <w:ilvl w:val="0"/>
          <w:numId w:val="17"/>
        </w:numPr>
      </w:pPr>
      <w:bookmarkStart w:id="13" w:name="_Toc219036398"/>
      <w:r>
        <w:t>Gearing and Solvency Analysis</w:t>
      </w:r>
      <w:bookmarkEnd w:id="13"/>
    </w:p>
    <w:p w14:paraId="24F18D0E" w14:textId="122D16FF" w:rsidR="00A22383" w:rsidRDefault="00A22383" w:rsidP="00A22383">
      <w:pPr>
        <w:pStyle w:val="ListNumber"/>
        <w:numPr>
          <w:ilvl w:val="0"/>
          <w:numId w:val="0"/>
        </w:numPr>
      </w:pPr>
      <w:r w:rsidRPr="00A22383">
        <w:t>Gearing and solvency ratios assess Tesco’s long-term financial stability and the extent to which it relies on debt financing. These measures are important for Directors because high leverage increases financial risk, particularly when interest rates rise or trading conditions weaken. In retail, gearing levels are often higher than in other sectors due to significant capital investment in property, logistics, and leases (especially under IFRS 16, where lease liabilities increase reported debt-like obligations).</w:t>
      </w:r>
    </w:p>
    <w:p w14:paraId="088E8153" w14:textId="7DC1AD11" w:rsidR="00A22383" w:rsidRDefault="00A22383" w:rsidP="00E3346D">
      <w:pPr>
        <w:pStyle w:val="Heading3"/>
        <w:numPr>
          <w:ilvl w:val="1"/>
          <w:numId w:val="17"/>
        </w:numPr>
        <w:rPr>
          <w:lang w:val="en-IN"/>
        </w:rPr>
      </w:pPr>
      <w:r w:rsidRPr="00A22383">
        <w:rPr>
          <w:lang w:val="en-IN"/>
        </w:rPr>
        <w:t xml:space="preserve"> </w:t>
      </w:r>
      <w:bookmarkStart w:id="14" w:name="_Toc219036399"/>
      <w:r w:rsidRPr="00A22383">
        <w:rPr>
          <w:lang w:val="en-IN"/>
        </w:rPr>
        <w:t>Gearing Ratio Results (FY2023–FY2024)</w:t>
      </w:r>
      <w:bookmarkEnd w:id="14"/>
    </w:p>
    <w:tbl>
      <w:tblPr>
        <w:tblW w:w="0" w:type="auto"/>
        <w:tblCellSpacing w:w="15" w:type="dxa"/>
        <w:tblInd w:w="828"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1535"/>
        <w:gridCol w:w="653"/>
        <w:gridCol w:w="668"/>
      </w:tblGrid>
      <w:tr w:rsidR="00A22383" w:rsidRPr="00A22383" w14:paraId="63130688" w14:textId="77777777" w:rsidTr="003B1155">
        <w:trPr>
          <w:tblHeader/>
          <w:tblCellSpacing w:w="15" w:type="dxa"/>
        </w:trPr>
        <w:tc>
          <w:tcPr>
            <w:tcW w:w="0" w:type="auto"/>
            <w:vAlign w:val="center"/>
            <w:hideMark/>
          </w:tcPr>
          <w:p w14:paraId="5511036A" w14:textId="77777777" w:rsidR="00A22383" w:rsidRPr="00A22383" w:rsidRDefault="00A22383" w:rsidP="00A22383">
            <w:pPr>
              <w:rPr>
                <w:b/>
                <w:bCs/>
                <w:lang w:val="en-IN"/>
              </w:rPr>
            </w:pPr>
            <w:r w:rsidRPr="00A22383">
              <w:rPr>
                <w:b/>
                <w:bCs/>
                <w:lang w:val="en-IN"/>
              </w:rPr>
              <w:t>Ratio</w:t>
            </w:r>
          </w:p>
        </w:tc>
        <w:tc>
          <w:tcPr>
            <w:tcW w:w="0" w:type="auto"/>
            <w:vAlign w:val="center"/>
            <w:hideMark/>
          </w:tcPr>
          <w:p w14:paraId="08BCD380" w14:textId="77777777" w:rsidR="00A22383" w:rsidRPr="00A22383" w:rsidRDefault="00A22383" w:rsidP="00A22383">
            <w:pPr>
              <w:rPr>
                <w:b/>
                <w:bCs/>
                <w:lang w:val="en-IN"/>
              </w:rPr>
            </w:pPr>
            <w:r w:rsidRPr="00A22383">
              <w:rPr>
                <w:b/>
                <w:bCs/>
                <w:lang w:val="en-IN"/>
              </w:rPr>
              <w:t>2024</w:t>
            </w:r>
          </w:p>
        </w:tc>
        <w:tc>
          <w:tcPr>
            <w:tcW w:w="0" w:type="auto"/>
            <w:vAlign w:val="center"/>
            <w:hideMark/>
          </w:tcPr>
          <w:p w14:paraId="4F0A8EBF" w14:textId="77777777" w:rsidR="00A22383" w:rsidRPr="00A22383" w:rsidRDefault="00A22383" w:rsidP="00A22383">
            <w:pPr>
              <w:rPr>
                <w:b/>
                <w:bCs/>
                <w:lang w:val="en-IN"/>
              </w:rPr>
            </w:pPr>
            <w:r w:rsidRPr="00A22383">
              <w:rPr>
                <w:b/>
                <w:bCs/>
                <w:lang w:val="en-IN"/>
              </w:rPr>
              <w:t>2023</w:t>
            </w:r>
          </w:p>
        </w:tc>
      </w:tr>
      <w:tr w:rsidR="00A22383" w:rsidRPr="00A22383" w14:paraId="21655C1E" w14:textId="77777777" w:rsidTr="003B1155">
        <w:trPr>
          <w:tblCellSpacing w:w="15" w:type="dxa"/>
        </w:trPr>
        <w:tc>
          <w:tcPr>
            <w:tcW w:w="0" w:type="auto"/>
            <w:vAlign w:val="center"/>
            <w:hideMark/>
          </w:tcPr>
          <w:p w14:paraId="6BEE84BE" w14:textId="77777777" w:rsidR="00A22383" w:rsidRPr="00A22383" w:rsidRDefault="00A22383" w:rsidP="00A22383">
            <w:pPr>
              <w:rPr>
                <w:lang w:val="en-IN"/>
              </w:rPr>
            </w:pPr>
            <w:r w:rsidRPr="00A22383">
              <w:rPr>
                <w:lang w:val="en-IN"/>
              </w:rPr>
              <w:t>Debt-to-Equity</w:t>
            </w:r>
          </w:p>
        </w:tc>
        <w:tc>
          <w:tcPr>
            <w:tcW w:w="0" w:type="auto"/>
            <w:vAlign w:val="center"/>
            <w:hideMark/>
          </w:tcPr>
          <w:p w14:paraId="38675819" w14:textId="77777777" w:rsidR="00A22383" w:rsidRPr="00A22383" w:rsidRDefault="00A22383" w:rsidP="00A22383">
            <w:pPr>
              <w:rPr>
                <w:lang w:val="en-IN"/>
              </w:rPr>
            </w:pPr>
            <w:r w:rsidRPr="00A22383">
              <w:rPr>
                <w:lang w:val="en-IN"/>
              </w:rPr>
              <w:t>2.09</w:t>
            </w:r>
          </w:p>
        </w:tc>
        <w:tc>
          <w:tcPr>
            <w:tcW w:w="0" w:type="auto"/>
            <w:vAlign w:val="center"/>
            <w:hideMark/>
          </w:tcPr>
          <w:p w14:paraId="6FAB8049" w14:textId="77777777" w:rsidR="00A22383" w:rsidRPr="00A22383" w:rsidRDefault="00A22383" w:rsidP="00A22383">
            <w:pPr>
              <w:rPr>
                <w:lang w:val="en-IN"/>
              </w:rPr>
            </w:pPr>
            <w:r w:rsidRPr="00A22383">
              <w:rPr>
                <w:lang w:val="en-IN"/>
              </w:rPr>
              <w:t>2.01</w:t>
            </w:r>
          </w:p>
        </w:tc>
      </w:tr>
      <w:tr w:rsidR="00A22383" w:rsidRPr="00A22383" w14:paraId="61586A42" w14:textId="77777777" w:rsidTr="003B1155">
        <w:trPr>
          <w:tblCellSpacing w:w="15" w:type="dxa"/>
        </w:trPr>
        <w:tc>
          <w:tcPr>
            <w:tcW w:w="0" w:type="auto"/>
            <w:vAlign w:val="center"/>
            <w:hideMark/>
          </w:tcPr>
          <w:p w14:paraId="488BBE71" w14:textId="77777777" w:rsidR="00A22383" w:rsidRPr="00A22383" w:rsidRDefault="00A22383" w:rsidP="00A22383">
            <w:pPr>
              <w:rPr>
                <w:lang w:val="en-IN"/>
              </w:rPr>
            </w:pPr>
            <w:r w:rsidRPr="00A22383">
              <w:rPr>
                <w:lang w:val="en-IN"/>
              </w:rPr>
              <w:t>Interest Cover</w:t>
            </w:r>
          </w:p>
        </w:tc>
        <w:tc>
          <w:tcPr>
            <w:tcW w:w="0" w:type="auto"/>
            <w:vAlign w:val="center"/>
            <w:hideMark/>
          </w:tcPr>
          <w:p w14:paraId="3415E332" w14:textId="77777777" w:rsidR="00A22383" w:rsidRPr="00A22383" w:rsidRDefault="00A22383" w:rsidP="00A22383">
            <w:pPr>
              <w:rPr>
                <w:lang w:val="en-IN"/>
              </w:rPr>
            </w:pPr>
            <w:r w:rsidRPr="00A22383">
              <w:rPr>
                <w:lang w:val="en-IN"/>
              </w:rPr>
              <w:t>6.52×</w:t>
            </w:r>
          </w:p>
        </w:tc>
        <w:tc>
          <w:tcPr>
            <w:tcW w:w="0" w:type="auto"/>
            <w:vAlign w:val="center"/>
            <w:hideMark/>
          </w:tcPr>
          <w:p w14:paraId="46B9CF74" w14:textId="77777777" w:rsidR="00A22383" w:rsidRPr="00A22383" w:rsidRDefault="00A22383" w:rsidP="00A22383">
            <w:pPr>
              <w:rPr>
                <w:lang w:val="en-IN"/>
              </w:rPr>
            </w:pPr>
            <w:r w:rsidRPr="00A22383">
              <w:rPr>
                <w:lang w:val="en-IN"/>
              </w:rPr>
              <w:t>5.20×</w:t>
            </w:r>
          </w:p>
        </w:tc>
      </w:tr>
    </w:tbl>
    <w:p w14:paraId="62E31F30" w14:textId="06443C7E" w:rsidR="00A22383" w:rsidRPr="00A22383" w:rsidRDefault="00A22383" w:rsidP="003B1155">
      <w:pPr>
        <w:pStyle w:val="Heading3"/>
        <w:numPr>
          <w:ilvl w:val="1"/>
          <w:numId w:val="17"/>
        </w:numPr>
        <w:rPr>
          <w:lang w:val="en-IN"/>
        </w:rPr>
      </w:pPr>
      <w:r w:rsidRPr="00A22383">
        <w:rPr>
          <w:lang w:val="en-IN"/>
        </w:rPr>
        <w:t xml:space="preserve"> </w:t>
      </w:r>
      <w:bookmarkStart w:id="15" w:name="_Toc219036400"/>
      <w:r w:rsidRPr="00A22383">
        <w:rPr>
          <w:lang w:val="en-IN"/>
        </w:rPr>
        <w:t>Interpretation and Critical Evaluation</w:t>
      </w:r>
      <w:bookmarkEnd w:id="15"/>
    </w:p>
    <w:p w14:paraId="3E306D60" w14:textId="77777777" w:rsidR="00A22383" w:rsidRPr="00A22383" w:rsidRDefault="00A22383" w:rsidP="00A22383">
      <w:pPr>
        <w:rPr>
          <w:lang w:val="en-IN"/>
        </w:rPr>
      </w:pPr>
      <w:r w:rsidRPr="00A22383">
        <w:rPr>
          <w:lang w:val="en-IN"/>
        </w:rPr>
        <w:t xml:space="preserve">Tesco’s </w:t>
      </w:r>
      <w:r w:rsidRPr="00A22383">
        <w:rPr>
          <w:b/>
          <w:bCs/>
          <w:lang w:val="en-IN"/>
        </w:rPr>
        <w:t>debt-to-equity ratio</w:t>
      </w:r>
      <w:r w:rsidRPr="00A22383">
        <w:rPr>
          <w:lang w:val="en-IN"/>
        </w:rPr>
        <w:t xml:space="preserve"> increased slightly from </w:t>
      </w:r>
      <w:r w:rsidRPr="00A22383">
        <w:rPr>
          <w:b/>
          <w:bCs/>
          <w:lang w:val="en-IN"/>
        </w:rPr>
        <w:t>2.01 to 2.09</w:t>
      </w:r>
      <w:r w:rsidRPr="00A22383">
        <w:rPr>
          <w:lang w:val="en-IN"/>
        </w:rPr>
        <w:t xml:space="preserve">, indicating marginally higher leverage. This suggests Tesco continues to fund a significant portion of its asset base through liabilities rather than shareholder equity. While this leverage can enhance shareholder returns (as seen in Tesco’s improved ROE), it also increases exposure to financial risk. </w:t>
      </w:r>
      <w:proofErr w:type="gramStart"/>
      <w:r w:rsidRPr="00A22383">
        <w:rPr>
          <w:lang w:val="en-IN"/>
        </w:rPr>
        <w:t>In particular, higher</w:t>
      </w:r>
      <w:proofErr w:type="gramEnd"/>
      <w:r w:rsidRPr="00A22383">
        <w:rPr>
          <w:lang w:val="en-IN"/>
        </w:rPr>
        <w:t xml:space="preserve"> gearing reduces flexibility during economic downturns and increases sensitivity to changes in financing costs.</w:t>
      </w:r>
    </w:p>
    <w:p w14:paraId="62E0CCCC" w14:textId="77777777" w:rsidR="00A22383" w:rsidRPr="00A22383" w:rsidRDefault="00A22383" w:rsidP="00A22383">
      <w:pPr>
        <w:rPr>
          <w:lang w:val="en-IN"/>
        </w:rPr>
      </w:pPr>
      <w:r w:rsidRPr="00A22383">
        <w:rPr>
          <w:lang w:val="en-IN"/>
        </w:rPr>
        <w:t xml:space="preserve">However, Tesco’s ability to manage this leverage is supported by stronger profitability and cash generation. This is reflected in the improvement in </w:t>
      </w:r>
      <w:r w:rsidRPr="00A22383">
        <w:rPr>
          <w:b/>
          <w:bCs/>
          <w:lang w:val="en-IN"/>
        </w:rPr>
        <w:t>interest cover</w:t>
      </w:r>
      <w:r w:rsidRPr="00A22383">
        <w:rPr>
          <w:lang w:val="en-IN"/>
        </w:rPr>
        <w:t xml:space="preserve">, which increased from </w:t>
      </w:r>
      <w:r w:rsidRPr="00A22383">
        <w:rPr>
          <w:b/>
          <w:bCs/>
          <w:lang w:val="en-IN"/>
        </w:rPr>
        <w:t>5.20× to 6.52×</w:t>
      </w:r>
      <w:r w:rsidRPr="00A22383">
        <w:rPr>
          <w:lang w:val="en-IN"/>
        </w:rPr>
        <w:t>. The rise indicates Tesco generated sufficient operating profit to comfortably meet interest obligations. Higher interest cover reduces default risk and suggests Tesco is currently in a stronger position to service debt than the previous year.</w:t>
      </w:r>
    </w:p>
    <w:p w14:paraId="651D8E8A" w14:textId="77777777" w:rsidR="00A22383" w:rsidRPr="00A22383" w:rsidRDefault="00A22383" w:rsidP="00A22383">
      <w:pPr>
        <w:rPr>
          <w:lang w:val="en-IN"/>
        </w:rPr>
      </w:pPr>
      <w:r w:rsidRPr="00A22383">
        <w:rPr>
          <w:lang w:val="en-IN"/>
        </w:rPr>
        <w:t>Despite this, it is important to interpret gearing carefully, as retail financial statements may be affected by accounting treatments (including lease liabilities and classification of finance costs). Therefore, Directors should complement gearing analysis with additional measures such as net debt trends, lease-adjusted leverage, and cash flow coverage ratios to understand true solvency resilience.</w:t>
      </w:r>
    </w:p>
    <w:p w14:paraId="355361FC" w14:textId="02D15B1C" w:rsidR="00A22383" w:rsidRPr="003B1155" w:rsidRDefault="00A22383" w:rsidP="003B1155">
      <w:pPr>
        <w:rPr>
          <w:lang w:val="en-IN"/>
        </w:rPr>
      </w:pPr>
      <w:r w:rsidRPr="00A22383">
        <w:rPr>
          <w:lang w:val="en-IN"/>
        </w:rPr>
        <w:t xml:space="preserve">Overall, Tesco’s gearing position remains manageable due to improved earnings and strong operating cash flows, but leverage should be actively controlled to protect long-term </w:t>
      </w:r>
      <w:r w:rsidRPr="00A22383">
        <w:rPr>
          <w:lang w:val="en-IN"/>
        </w:rPr>
        <w:lastRenderedPageBreak/>
        <w:t>financial stability and credit strength—especially in an environment of persistent inflation and uncertain consumer spending patterns.</w:t>
      </w:r>
    </w:p>
    <w:p w14:paraId="6B243A4C" w14:textId="48215EC3" w:rsidR="00F040A6" w:rsidRDefault="00000000" w:rsidP="00A22383">
      <w:pPr>
        <w:pStyle w:val="Heading2"/>
        <w:numPr>
          <w:ilvl w:val="0"/>
          <w:numId w:val="17"/>
        </w:numPr>
      </w:pPr>
      <w:bookmarkStart w:id="16" w:name="_Toc219036401"/>
      <w:r>
        <w:t>Investor Ratios and Shareholder Returns</w:t>
      </w:r>
      <w:bookmarkEnd w:id="16"/>
    </w:p>
    <w:p w14:paraId="6B3A0EE8" w14:textId="77777777" w:rsidR="00A22383" w:rsidRPr="00A22383" w:rsidRDefault="00A22383" w:rsidP="00A22383">
      <w:pPr>
        <w:pStyle w:val="ListNumber"/>
        <w:numPr>
          <w:ilvl w:val="0"/>
          <w:numId w:val="0"/>
        </w:numPr>
        <w:rPr>
          <w:lang w:val="en-IN"/>
        </w:rPr>
      </w:pPr>
      <w:r w:rsidRPr="00A22383">
        <w:rPr>
          <w:lang w:val="en-IN"/>
        </w:rPr>
        <w:t>Investor ratios assess Tesco’s performance from a shareholder perspective by focusing on earnings generation, dividend strength, and market valuation. These indicators are significant for the Board because they influence investor confidence, share price stability, and Tesco’s ability to raise capital on favourable terms. In addition, investor ratios reflect market expectations regarding Tesco’s future growth prospects, risk profile, and resilience in a competitive retail environment.</w:t>
      </w:r>
    </w:p>
    <w:p w14:paraId="0CEE3631" w14:textId="465A1F8B" w:rsidR="00A22383" w:rsidRPr="00A22383" w:rsidRDefault="00A22383" w:rsidP="00A22383">
      <w:pPr>
        <w:pStyle w:val="Heading3"/>
        <w:numPr>
          <w:ilvl w:val="1"/>
          <w:numId w:val="17"/>
        </w:numPr>
        <w:rPr>
          <w:lang w:val="en-IN"/>
        </w:rPr>
      </w:pPr>
      <w:bookmarkStart w:id="17" w:name="_Toc219036402"/>
      <w:r w:rsidRPr="00A22383">
        <w:rPr>
          <w:lang w:val="en-IN"/>
        </w:rPr>
        <w:t>Key Investor Indicators (FY2023–FY2024</w:t>
      </w:r>
      <w:r>
        <w:rPr>
          <w:lang w:val="en-IN"/>
        </w:rPr>
        <w:t>0</w:t>
      </w:r>
      <w:bookmarkEnd w:id="17"/>
    </w:p>
    <w:p w14:paraId="0C6C330C" w14:textId="77777777" w:rsidR="00A22383" w:rsidRPr="00A22383" w:rsidRDefault="00A22383" w:rsidP="00A22383">
      <w:pPr>
        <w:pStyle w:val="ListNumber"/>
        <w:numPr>
          <w:ilvl w:val="0"/>
          <w:numId w:val="0"/>
        </w:numPr>
        <w:ind w:left="360" w:hanging="360"/>
        <w:rPr>
          <w:lang w:val="en-IN"/>
        </w:rPr>
      </w:pPr>
      <w:r w:rsidRPr="00A22383">
        <w:rPr>
          <w:lang w:val="en-IN"/>
        </w:rPr>
        <w:t>The report evaluates:</w:t>
      </w:r>
    </w:p>
    <w:p w14:paraId="2DEF178C" w14:textId="77777777" w:rsidR="00A22383" w:rsidRPr="00A22383" w:rsidRDefault="00A22383" w:rsidP="00E3346D">
      <w:pPr>
        <w:pStyle w:val="ListNumber"/>
        <w:numPr>
          <w:ilvl w:val="0"/>
          <w:numId w:val="20"/>
        </w:numPr>
        <w:rPr>
          <w:lang w:val="en-IN"/>
        </w:rPr>
      </w:pPr>
      <w:r w:rsidRPr="00A22383">
        <w:rPr>
          <w:b/>
          <w:bCs/>
          <w:lang w:val="en-IN"/>
        </w:rPr>
        <w:t>Earnings per Share (EPS)</w:t>
      </w:r>
    </w:p>
    <w:p w14:paraId="48671493" w14:textId="77777777" w:rsidR="00A22383" w:rsidRPr="00A22383" w:rsidRDefault="00A22383" w:rsidP="00E3346D">
      <w:pPr>
        <w:pStyle w:val="ListNumber"/>
        <w:numPr>
          <w:ilvl w:val="0"/>
          <w:numId w:val="20"/>
        </w:numPr>
        <w:rPr>
          <w:lang w:val="en-IN"/>
        </w:rPr>
      </w:pPr>
      <w:r w:rsidRPr="00A22383">
        <w:rPr>
          <w:b/>
          <w:bCs/>
          <w:lang w:val="en-IN"/>
        </w:rPr>
        <w:t>Dividend per Share (DPS)</w:t>
      </w:r>
    </w:p>
    <w:p w14:paraId="358D2684" w14:textId="77777777" w:rsidR="00A22383" w:rsidRPr="00E3346D" w:rsidRDefault="00A22383" w:rsidP="00E3346D">
      <w:pPr>
        <w:pStyle w:val="ListNumber"/>
        <w:numPr>
          <w:ilvl w:val="0"/>
          <w:numId w:val="20"/>
        </w:numPr>
        <w:rPr>
          <w:lang w:val="en-IN"/>
        </w:rPr>
      </w:pPr>
      <w:r w:rsidRPr="00A22383">
        <w:rPr>
          <w:b/>
          <w:bCs/>
          <w:lang w:val="en-IN"/>
        </w:rPr>
        <w:t>Price/Earnings (P/E) ratio</w:t>
      </w:r>
    </w:p>
    <w:p w14:paraId="06699BFB"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Tesco’s improvement in profit after tax in FY2024 suggests an upward movement in EPS compared to FY2023. A rise in EPS typically signals stronger value creation for shareholders and often supports a higher market valuation. In Tesco’s case, improved profitability combined with efficient asset utilisation strengthens the perception of financial stability, particularly in a sector experiencing inflation-driven cost pressures and margin compression.</w:t>
      </w:r>
    </w:p>
    <w:p w14:paraId="1C91B0E5"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Dividend performance also remains critical. Tesco’s ability to maintain a stable dividend policy indicates confidence in future cash generation and provides attractiveness to income-focused investors. Strong operating cash flow supports dividend sustainability, even when profitability fluctuates due to external pressures such as wage inflation and supply chain disruption.</w:t>
      </w:r>
    </w:p>
    <w:p w14:paraId="1C3C0A53"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The </w:t>
      </w:r>
      <w:r w:rsidRPr="00E3346D">
        <w:rPr>
          <w:rFonts w:ascii="Times New Roman" w:eastAsia="Times New Roman" w:hAnsi="Times New Roman" w:cs="Times New Roman"/>
          <w:b/>
          <w:bCs/>
          <w:sz w:val="24"/>
          <w:szCs w:val="24"/>
          <w:lang w:val="en-IN" w:eastAsia="en-IN"/>
        </w:rPr>
        <w:t>P/E ratio</w:t>
      </w:r>
      <w:r w:rsidRPr="00E3346D">
        <w:rPr>
          <w:rFonts w:ascii="Times New Roman" w:eastAsia="Times New Roman" w:hAnsi="Times New Roman" w:cs="Times New Roman"/>
          <w:sz w:val="24"/>
          <w:szCs w:val="24"/>
          <w:lang w:val="en-IN" w:eastAsia="en-IN"/>
        </w:rPr>
        <w:t xml:space="preserve"> provides insight into how the market values Tesco relative to its earnings. If P/E decreases despite rising earnings, it may indicate that investors remain cautious about UK retail sector risks (e.g., weakening consumer demand, intensifying competition, and regulatory pressures). Conversely, a stable or rising P/E may indicate strong market confidence in Tesco’s strategic direction and long-term resilience.</w:t>
      </w:r>
    </w:p>
    <w:p w14:paraId="29FA0C98" w14:textId="50783276" w:rsidR="00A22383" w:rsidRPr="00A22383"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b/>
          <w:bCs/>
          <w:sz w:val="24"/>
          <w:szCs w:val="24"/>
          <w:lang w:val="en-IN" w:eastAsia="en-IN"/>
        </w:rPr>
        <w:t>Critical point:</w:t>
      </w:r>
      <w:r w:rsidRPr="00E3346D">
        <w:rPr>
          <w:rFonts w:ascii="Times New Roman" w:eastAsia="Times New Roman" w:hAnsi="Times New Roman" w:cs="Times New Roman"/>
          <w:sz w:val="24"/>
          <w:szCs w:val="24"/>
          <w:lang w:val="en-IN" w:eastAsia="en-IN"/>
        </w:rPr>
        <w:t xml:space="preserve"> While investor ratios are valuable, they must be interpreted alongside profitability and gearing. For example, improved EPS and ROE may appear stronger in highly leveraged businesses, which increases financial risk. Therefore, Directors should balance shareholder return objectives against long-term solvency and operational sustainability</w:t>
      </w:r>
      <w:r>
        <w:rPr>
          <w:rFonts w:ascii="Times New Roman" w:eastAsia="Times New Roman" w:hAnsi="Times New Roman" w:cs="Times New Roman"/>
          <w:sz w:val="24"/>
          <w:szCs w:val="24"/>
          <w:lang w:val="en-IN" w:eastAsia="en-IN"/>
        </w:rPr>
        <w:t>.</w:t>
      </w:r>
    </w:p>
    <w:p w14:paraId="29B78724" w14:textId="77777777" w:rsidR="00A22383" w:rsidRPr="00A22383" w:rsidRDefault="00A22383" w:rsidP="00A22383">
      <w:pPr>
        <w:pStyle w:val="ListNumber"/>
        <w:numPr>
          <w:ilvl w:val="0"/>
          <w:numId w:val="0"/>
        </w:numPr>
        <w:ind w:left="360" w:hanging="360"/>
        <w:rPr>
          <w:lang w:val="en-IN"/>
        </w:rPr>
      </w:pPr>
    </w:p>
    <w:p w14:paraId="3612356F" w14:textId="7016BD77" w:rsidR="00E3346D" w:rsidRDefault="00000000" w:rsidP="00E3346D">
      <w:pPr>
        <w:pStyle w:val="Heading2"/>
        <w:numPr>
          <w:ilvl w:val="0"/>
          <w:numId w:val="17"/>
        </w:numPr>
      </w:pPr>
      <w:bookmarkStart w:id="18" w:name="_Toc219036403"/>
      <w:r>
        <w:lastRenderedPageBreak/>
        <w:t>Benchmarking and Industry Context</w:t>
      </w:r>
      <w:bookmarkEnd w:id="18"/>
    </w:p>
    <w:p w14:paraId="5B806F6A"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Benchmarking strengthens ratio analysis by providing comparative context. Tesco’s ratio trends must be assessed against the wider UK grocery retail industry, which operates in a highly competitive environment shaped by intense price pressure, rising operating costs, and shifting consumer preferences toward value-based purchasing. In this sector, even small changes in margins, working capital efficiency, and gearing levels can materially affect long-term competitiveness.</w:t>
      </w:r>
    </w:p>
    <w:p w14:paraId="693F2C0B"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Tesco’s profitability ratios indicate performance broadly consistent with the structural realities of the retail sector. Grocery retail typically produces </w:t>
      </w:r>
      <w:r w:rsidRPr="00E3346D">
        <w:rPr>
          <w:rFonts w:ascii="Times New Roman" w:eastAsia="Times New Roman" w:hAnsi="Times New Roman" w:cs="Times New Roman"/>
          <w:b/>
          <w:bCs/>
          <w:sz w:val="24"/>
          <w:szCs w:val="24"/>
          <w:lang w:val="en-IN" w:eastAsia="en-IN"/>
        </w:rPr>
        <w:t>low net margins</w:t>
      </w:r>
      <w:r w:rsidRPr="00E3346D">
        <w:rPr>
          <w:rFonts w:ascii="Times New Roman" w:eastAsia="Times New Roman" w:hAnsi="Times New Roman" w:cs="Times New Roman"/>
          <w:sz w:val="24"/>
          <w:szCs w:val="24"/>
          <w:lang w:val="en-IN" w:eastAsia="en-IN"/>
        </w:rPr>
        <w:t xml:space="preserve"> due to high competition and price sensitivity. Therefore, Tesco’s improvement in net margin and ROE in FY2024 is a positive sign, suggesting effective cost control below the operating line and stronger shareholder returns. Compared with similar UK retailers, Tesco’s scale and supply chain bargaining power can provide an advantage in protecting margins during inflationary periods.</w:t>
      </w:r>
    </w:p>
    <w:p w14:paraId="37898979"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From a liquidity and working capital perspective, Tesco’s ratios below 1 are also typical of grocery retailers, where fast stock turnover and strong supplier credit allow businesses to operate efficiently with negative working capital structures. Tesco’s payable days remain high relative to receivable days, supporting liquidity; however, benchmarking highlights a risk: prolonged reliance on supplier financing can be unsustainable if suppliers demand faster payment or impose stricter pricing terms.</w:t>
      </w:r>
    </w:p>
    <w:p w14:paraId="326BBAE1"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Efficiency benchmarking shows Tesco performs strongly: inventory days remain low, and asset turnover is high, reflecting strong operational utilisation of stores and distribution infrastructure. These ratios reinforce Tesco’s competitive strength in converting asset investment into sales.</w:t>
      </w:r>
    </w:p>
    <w:p w14:paraId="69ED0DFF"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Overall, Tesco’s ratio profile aligns with the characteristics of a mature UK grocery leader: stable cash generation, strong efficiency, and controlled margin performance. However, continued benchmarking against competitors (e.g., Sainsbury’s, Morrisons, and discounters such as Aldi/Lidl) is essential to ensure Tesco protects market share while maintaining profitability and service quality.</w:t>
      </w:r>
    </w:p>
    <w:p w14:paraId="317EFBD6" w14:textId="77777777" w:rsidR="00E3346D" w:rsidRPr="00E3346D" w:rsidRDefault="00E3346D" w:rsidP="00E3346D">
      <w:pPr>
        <w:rPr>
          <w:lang w:val="en-IN"/>
        </w:rPr>
      </w:pPr>
    </w:p>
    <w:p w14:paraId="319990CD" w14:textId="0D31132E" w:rsidR="00F040A6" w:rsidRDefault="00000000" w:rsidP="00E3346D">
      <w:pPr>
        <w:pStyle w:val="Heading2"/>
        <w:numPr>
          <w:ilvl w:val="0"/>
          <w:numId w:val="17"/>
        </w:numPr>
      </w:pPr>
      <w:bookmarkStart w:id="19" w:name="_Toc219036404"/>
      <w:r>
        <w:t>Critical Evaluation and Limitations of Ratio Analysis</w:t>
      </w:r>
      <w:bookmarkEnd w:id="19"/>
    </w:p>
    <w:p w14:paraId="313FDDF4"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While ratio analysis is valuable for evaluating financial performance and identifying trends, it has several limitations which must be considered when interpreting Tesco’s results. First, ratios rely on historical accounting data and therefore do not necessarily reflect future performance, particularly in a volatile retail environment influenced by inflation, consumer confidence, and supply chain disruption. Second, ratios are sensitive to accounting policies and classification decisions. For example, the treatment of leases </w:t>
      </w:r>
      <w:r w:rsidRPr="00E3346D">
        <w:rPr>
          <w:rFonts w:ascii="Times New Roman" w:eastAsia="Times New Roman" w:hAnsi="Times New Roman" w:cs="Times New Roman"/>
          <w:sz w:val="24"/>
          <w:szCs w:val="24"/>
          <w:lang w:val="en-IN" w:eastAsia="en-IN"/>
        </w:rPr>
        <w:lastRenderedPageBreak/>
        <w:t xml:space="preserve">under </w:t>
      </w:r>
      <w:r w:rsidRPr="00E3346D">
        <w:rPr>
          <w:rFonts w:ascii="Times New Roman" w:eastAsia="Times New Roman" w:hAnsi="Times New Roman" w:cs="Times New Roman"/>
          <w:b/>
          <w:bCs/>
          <w:sz w:val="24"/>
          <w:szCs w:val="24"/>
          <w:lang w:val="en-IN" w:eastAsia="en-IN"/>
        </w:rPr>
        <w:t>IFRS 16</w:t>
      </w:r>
      <w:r w:rsidRPr="00E3346D">
        <w:rPr>
          <w:rFonts w:ascii="Times New Roman" w:eastAsia="Times New Roman" w:hAnsi="Times New Roman" w:cs="Times New Roman"/>
          <w:sz w:val="24"/>
          <w:szCs w:val="24"/>
          <w:lang w:val="en-IN" w:eastAsia="en-IN"/>
        </w:rPr>
        <w:t xml:space="preserve"> increases reported liabilities, affecting gearing ratios and comparability with earlier periods or competitors with differing lease structures.</w:t>
      </w:r>
    </w:p>
    <w:p w14:paraId="76C16876" w14:textId="74D1768B"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Third, ratios offer limited insight into qualitative drivers of performance, such as Tesco’s brand strength, customer loyalty, competitive positioning, digital capabilities, and sustainability initiatives. Fourth, inflation distorts comparisons by inflating revenues and costs, meaning improved profitability ratios may reflect price increases rather than genuine operational efficiency. Finally, benchmarking can be difficult because competitors may use different year ends, reporting structures, or strategic models (e.g., premium vs discount). Therefore, ratio analysis should be viewed as one component of a wider strategic evaluation rather than a standalone decision tool.</w:t>
      </w:r>
    </w:p>
    <w:p w14:paraId="6B54E1EF" w14:textId="6F93A6AB" w:rsidR="00F040A6" w:rsidRDefault="00000000" w:rsidP="00E3346D">
      <w:pPr>
        <w:pStyle w:val="Heading2"/>
        <w:numPr>
          <w:ilvl w:val="0"/>
          <w:numId w:val="17"/>
        </w:numPr>
      </w:pPr>
      <w:bookmarkStart w:id="20" w:name="_Toc219036405"/>
      <w:r>
        <w:t>Recommendations for Improving Financial Management</w:t>
      </w:r>
      <w:bookmarkEnd w:id="20"/>
    </w:p>
    <w:p w14:paraId="71FF70B4" w14:textId="509381E3" w:rsidR="00E3346D" w:rsidRDefault="00E3346D" w:rsidP="00E3346D">
      <w:r w:rsidRPr="00E3346D">
        <w:t>Based on the ratio analysis and critical evaluation of Tesco’s financial performance in FY2023–FY2024, the following recommendations are proposed to strengthen financial management, enhance resilience, and support sustainable long-term growth. These actions are designed to improve profitability quality, strengthen liquidity position, and manage financial risk while protecting shareholder value.</w:t>
      </w:r>
    </w:p>
    <w:p w14:paraId="2D6BE6B5" w14:textId="7D91C63A" w:rsidR="00E3346D" w:rsidRDefault="00E3346D" w:rsidP="00E3346D">
      <w:pPr>
        <w:pStyle w:val="Heading3"/>
      </w:pPr>
      <w:bookmarkStart w:id="21" w:name="_Toc219036406"/>
      <w:r>
        <w:t xml:space="preserve">11.1 </w:t>
      </w:r>
      <w:r w:rsidRPr="00E3346D">
        <w:t>Protect and Improve Operating Margins Through Targeted Cost Efficiency</w:t>
      </w:r>
      <w:bookmarkEnd w:id="21"/>
    </w:p>
    <w:p w14:paraId="43D22E87" w14:textId="49AB1817" w:rsidR="00E3346D" w:rsidRDefault="00E3346D" w:rsidP="00E3346D">
      <w:r w:rsidRPr="00E3346D">
        <w:t xml:space="preserve">Although gross margin improved, operating margin weakened slightly, suggesting inflationary pressure on operating expenses. Tesco should implement enhanced cost </w:t>
      </w:r>
      <w:proofErr w:type="spellStart"/>
      <w:r w:rsidRPr="00E3346D">
        <w:t>optimisation</w:t>
      </w:r>
      <w:proofErr w:type="spellEnd"/>
      <w:r w:rsidRPr="00E3346D">
        <w:t xml:space="preserve"> initiatives focused on controllable expenditure, including:</w:t>
      </w:r>
    </w:p>
    <w:p w14:paraId="199BE8FD" w14:textId="0331D876" w:rsidR="00E3346D" w:rsidRP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tighter energy management and store efficiency upgrades,</w:t>
      </w:r>
    </w:p>
    <w:p w14:paraId="0D45F892" w14:textId="2D779AFD" w:rsidR="00E3346D" w:rsidRP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further automation in distribution and warehouse operations,</w:t>
      </w:r>
    </w:p>
    <w:p w14:paraId="18AE5EE7" w14:textId="4135D1B5" w:rsid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productivity-led labour planning and scheduling improvements.</w:t>
      </w:r>
      <w:r w:rsidRPr="00E3346D">
        <w:rPr>
          <w:rFonts w:ascii="Times New Roman" w:eastAsia="Times New Roman" w:hAnsi="Times New Roman" w:cs="Times New Roman"/>
          <w:sz w:val="24"/>
          <w:szCs w:val="24"/>
          <w:lang w:val="en-IN" w:eastAsia="en-IN"/>
        </w:rPr>
        <w:br/>
        <w:t xml:space="preserve">Tesco should set a clear internal KPI target, such as maintaining operating margin above </w:t>
      </w:r>
      <w:r w:rsidRPr="00E3346D">
        <w:rPr>
          <w:rFonts w:ascii="Times New Roman" w:eastAsia="Times New Roman" w:hAnsi="Times New Roman" w:cs="Times New Roman"/>
          <w:b/>
          <w:bCs/>
          <w:sz w:val="24"/>
          <w:szCs w:val="24"/>
          <w:lang w:val="en-IN" w:eastAsia="en-IN"/>
        </w:rPr>
        <w:t>4%</w:t>
      </w:r>
      <w:r w:rsidRPr="00E3346D">
        <w:rPr>
          <w:rFonts w:ascii="Times New Roman" w:eastAsia="Times New Roman" w:hAnsi="Times New Roman" w:cs="Times New Roman"/>
          <w:sz w:val="24"/>
          <w:szCs w:val="24"/>
          <w:lang w:val="en-IN" w:eastAsia="en-IN"/>
        </w:rPr>
        <w:t>, supported by quarterly monitoring.</w:t>
      </w:r>
    </w:p>
    <w:p w14:paraId="465AF950" w14:textId="5A1189D3" w:rsidR="00E3346D" w:rsidRDefault="00E3346D" w:rsidP="00E3346D">
      <w:pPr>
        <w:pStyle w:val="Heading3"/>
        <w:rPr>
          <w:lang w:eastAsia="en-IN"/>
        </w:rPr>
      </w:pPr>
      <w:bookmarkStart w:id="22" w:name="_Toc219036407"/>
      <w:r>
        <w:rPr>
          <w:lang w:val="en-IN" w:eastAsia="en-IN"/>
        </w:rPr>
        <w:t xml:space="preserve">11.2. </w:t>
      </w:r>
      <w:r w:rsidRPr="00E3346D">
        <w:rPr>
          <w:lang w:eastAsia="en-IN"/>
        </w:rPr>
        <w:t xml:space="preserve">Strengthening Liquidity Through Working Capital </w:t>
      </w:r>
      <w:proofErr w:type="spellStart"/>
      <w:r w:rsidRPr="00E3346D">
        <w:rPr>
          <w:lang w:eastAsia="en-IN"/>
        </w:rPr>
        <w:t>Optimisation</w:t>
      </w:r>
      <w:bookmarkEnd w:id="22"/>
      <w:proofErr w:type="spellEnd"/>
    </w:p>
    <w:p w14:paraId="4C4EFE12" w14:textId="77777777" w:rsidR="00E3346D" w:rsidRPr="00E3346D" w:rsidRDefault="00E3346D" w:rsidP="00E3346D">
      <w:pPr>
        <w:rPr>
          <w:lang w:val="en-IN" w:eastAsia="en-IN"/>
        </w:rPr>
      </w:pPr>
      <w:r w:rsidRPr="00E3346D">
        <w:rPr>
          <w:lang w:val="en-IN" w:eastAsia="en-IN"/>
        </w:rPr>
        <w:t>Liquidity remains structurally low (current ratio &lt; 1). Tesco should improve resilience by reducing cash tied up in inventory and improving cash conversion efficiency through:</w:t>
      </w:r>
    </w:p>
    <w:p w14:paraId="0222B712" w14:textId="77777777" w:rsidR="00E3346D" w:rsidRDefault="00E3346D" w:rsidP="00E3346D">
      <w:pPr>
        <w:pStyle w:val="ListParagraph"/>
        <w:numPr>
          <w:ilvl w:val="0"/>
          <w:numId w:val="25"/>
        </w:numPr>
        <w:rPr>
          <w:lang w:val="en-IN" w:eastAsia="en-IN"/>
        </w:rPr>
      </w:pPr>
      <w:r w:rsidRPr="00E3346D">
        <w:rPr>
          <w:lang w:val="en-IN" w:eastAsia="en-IN"/>
        </w:rPr>
        <w:t>improved demand forecasting (AI-based replenishment systems),</w:t>
      </w:r>
    </w:p>
    <w:p w14:paraId="315E7806" w14:textId="102F5028" w:rsidR="00E3346D" w:rsidRDefault="00E3346D" w:rsidP="00E3346D">
      <w:pPr>
        <w:pStyle w:val="ListParagraph"/>
        <w:numPr>
          <w:ilvl w:val="0"/>
          <w:numId w:val="25"/>
        </w:numPr>
        <w:rPr>
          <w:lang w:val="en-IN" w:eastAsia="en-IN"/>
        </w:rPr>
      </w:pPr>
      <w:r w:rsidRPr="00E3346D">
        <w:rPr>
          <w:lang w:val="en-IN" w:eastAsia="en-IN"/>
        </w:rPr>
        <w:t>category-based inventory reduction targets (especially for slow-moving SKUs),</w:t>
      </w:r>
    </w:p>
    <w:p w14:paraId="7066523B" w14:textId="22A1B9B7" w:rsidR="00E3346D" w:rsidRPr="00E3346D" w:rsidRDefault="00E3346D" w:rsidP="00E3346D">
      <w:pPr>
        <w:pStyle w:val="ListParagraph"/>
        <w:numPr>
          <w:ilvl w:val="0"/>
          <w:numId w:val="25"/>
        </w:numPr>
        <w:rPr>
          <w:lang w:val="en-IN" w:eastAsia="en-IN"/>
        </w:rPr>
      </w:pPr>
      <w:r w:rsidRPr="00E3346D">
        <w:rPr>
          <w:lang w:val="en-IN" w:eastAsia="en-IN"/>
        </w:rPr>
        <w:t>optimisation of supplier terms without damaging relationships.</w:t>
      </w:r>
      <w:r w:rsidRPr="00E3346D">
        <w:rPr>
          <w:lang w:val="en-IN" w:eastAsia="en-IN"/>
        </w:rPr>
        <w:br/>
        <w:t xml:space="preserve">A practical target would be reducing inventory days toward </w:t>
      </w:r>
      <w:r w:rsidRPr="00E3346D">
        <w:rPr>
          <w:b/>
          <w:bCs/>
          <w:lang w:val="en-IN" w:eastAsia="en-IN"/>
        </w:rPr>
        <w:t>15 days</w:t>
      </w:r>
      <w:r w:rsidRPr="00E3346D">
        <w:rPr>
          <w:lang w:val="en-IN" w:eastAsia="en-IN"/>
        </w:rPr>
        <w:t xml:space="preserve"> while maintaining service availability.</w:t>
      </w:r>
    </w:p>
    <w:p w14:paraId="206DA070" w14:textId="268CEF08" w:rsidR="00E3346D" w:rsidRPr="00E3346D" w:rsidRDefault="00E3346D" w:rsidP="00E3346D">
      <w:pPr>
        <w:pStyle w:val="Heading3"/>
        <w:rPr>
          <w:lang w:val="en-IN" w:eastAsia="en-IN"/>
        </w:rPr>
      </w:pPr>
      <w:bookmarkStart w:id="23" w:name="_Toc219036408"/>
      <w:r>
        <w:rPr>
          <w:lang w:val="en-IN" w:eastAsia="en-IN"/>
        </w:rPr>
        <w:t>11.</w:t>
      </w:r>
      <w:r w:rsidRPr="00E3346D">
        <w:rPr>
          <w:lang w:val="en-IN" w:eastAsia="en-IN"/>
        </w:rPr>
        <w:t>3. Manage Gearing and Reduce Long-Term Financial Risk</w:t>
      </w:r>
      <w:bookmarkEnd w:id="23"/>
    </w:p>
    <w:p w14:paraId="28B0BE08" w14:textId="77777777" w:rsidR="00E3346D" w:rsidRPr="00E3346D" w:rsidRDefault="00E3346D" w:rsidP="00E3346D">
      <w:pPr>
        <w:rPr>
          <w:lang w:val="en-IN" w:eastAsia="en-IN"/>
        </w:rPr>
      </w:pPr>
      <w:r w:rsidRPr="00E3346D">
        <w:rPr>
          <w:lang w:val="en-IN" w:eastAsia="en-IN"/>
        </w:rPr>
        <w:t>Tesco’s leverage remains high, increasing sensitivity to interest rate volatility. Directors should prioritise:</w:t>
      </w:r>
    </w:p>
    <w:p w14:paraId="65615AF1" w14:textId="77777777" w:rsidR="00E3346D" w:rsidRDefault="00E3346D" w:rsidP="00E3346D">
      <w:pPr>
        <w:pStyle w:val="ListParagraph"/>
        <w:numPr>
          <w:ilvl w:val="0"/>
          <w:numId w:val="27"/>
        </w:numPr>
        <w:rPr>
          <w:lang w:val="en-IN" w:eastAsia="en-IN"/>
        </w:rPr>
      </w:pPr>
      <w:r w:rsidRPr="00E3346D">
        <w:rPr>
          <w:lang w:val="en-IN" w:eastAsia="en-IN"/>
        </w:rPr>
        <w:t>refinancing higher-cost debt where possible,</w:t>
      </w:r>
    </w:p>
    <w:p w14:paraId="04275872" w14:textId="77777777" w:rsidR="00E3346D" w:rsidRDefault="00E3346D" w:rsidP="00E3346D">
      <w:pPr>
        <w:pStyle w:val="ListParagraph"/>
        <w:numPr>
          <w:ilvl w:val="0"/>
          <w:numId w:val="27"/>
        </w:numPr>
        <w:rPr>
          <w:lang w:val="en-IN" w:eastAsia="en-IN"/>
        </w:rPr>
      </w:pPr>
      <w:r w:rsidRPr="00E3346D">
        <w:rPr>
          <w:lang w:val="en-IN" w:eastAsia="en-IN"/>
        </w:rPr>
        <w:lastRenderedPageBreak/>
        <w:t>maintaining a disciplined leverage policy aligned with stable interest cover,</w:t>
      </w:r>
    </w:p>
    <w:p w14:paraId="1CFCB413" w14:textId="02C2BF08" w:rsidR="00E3346D" w:rsidRPr="00E3346D" w:rsidRDefault="00E3346D" w:rsidP="00E3346D">
      <w:pPr>
        <w:pStyle w:val="ListParagraph"/>
        <w:numPr>
          <w:ilvl w:val="0"/>
          <w:numId w:val="27"/>
        </w:numPr>
        <w:rPr>
          <w:lang w:val="en-IN" w:eastAsia="en-IN"/>
        </w:rPr>
      </w:pPr>
      <w:r w:rsidRPr="00E3346D">
        <w:rPr>
          <w:lang w:val="en-IN" w:eastAsia="en-IN"/>
        </w:rPr>
        <w:t>ensuring that any sale-and-leaseback decisions are used strategically rather than as short-term cash fixes.</w:t>
      </w:r>
      <w:r w:rsidRPr="00E3346D">
        <w:rPr>
          <w:lang w:val="en-IN" w:eastAsia="en-IN"/>
        </w:rPr>
        <w:br/>
        <w:t xml:space="preserve">A minimum interest cover threshold of </w:t>
      </w:r>
      <w:r w:rsidRPr="00E3346D">
        <w:rPr>
          <w:b/>
          <w:bCs/>
          <w:lang w:val="en-IN" w:eastAsia="en-IN"/>
        </w:rPr>
        <w:t>&gt;5×</w:t>
      </w:r>
      <w:r w:rsidRPr="00E3346D">
        <w:rPr>
          <w:lang w:val="en-IN" w:eastAsia="en-IN"/>
        </w:rPr>
        <w:t xml:space="preserve"> should be maintained to protect solvency and credit confidence.</w:t>
      </w:r>
    </w:p>
    <w:p w14:paraId="2594F5C6" w14:textId="2EB956BF" w:rsidR="00E3346D" w:rsidRPr="00E3346D" w:rsidRDefault="00E3346D" w:rsidP="00E3346D">
      <w:pPr>
        <w:pStyle w:val="Heading3"/>
        <w:rPr>
          <w:lang w:val="en-IN" w:eastAsia="en-IN"/>
        </w:rPr>
      </w:pPr>
      <w:bookmarkStart w:id="24" w:name="_Toc219036409"/>
      <w:r>
        <w:rPr>
          <w:lang w:val="en-IN" w:eastAsia="en-IN"/>
        </w:rPr>
        <w:t>11.</w:t>
      </w:r>
      <w:r w:rsidRPr="00E3346D">
        <w:rPr>
          <w:lang w:val="en-IN" w:eastAsia="en-IN"/>
        </w:rPr>
        <w:t>4. Increase Profit Quality by Prioritising Operational Profit Improvements</w:t>
      </w:r>
      <w:bookmarkEnd w:id="24"/>
    </w:p>
    <w:p w14:paraId="5EA58199" w14:textId="77777777" w:rsidR="00E3346D" w:rsidRPr="00E3346D" w:rsidRDefault="00E3346D" w:rsidP="00E3346D">
      <w:pPr>
        <w:rPr>
          <w:lang w:val="en-IN" w:eastAsia="en-IN"/>
        </w:rPr>
      </w:pPr>
      <w:r w:rsidRPr="00E3346D">
        <w:rPr>
          <w:lang w:val="en-IN" w:eastAsia="en-IN"/>
        </w:rPr>
        <w:t>The improvement in net margin is positive but may include non-operational drivers. Tesco should focus on strengthening core operational profitability through:</w:t>
      </w:r>
    </w:p>
    <w:p w14:paraId="5DABE9AB" w14:textId="77777777" w:rsidR="00E3346D" w:rsidRDefault="00E3346D" w:rsidP="00E3346D">
      <w:pPr>
        <w:pStyle w:val="ListParagraph"/>
        <w:numPr>
          <w:ilvl w:val="0"/>
          <w:numId w:val="28"/>
        </w:numPr>
        <w:rPr>
          <w:lang w:val="en-IN" w:eastAsia="en-IN"/>
        </w:rPr>
      </w:pPr>
      <w:r w:rsidRPr="00E3346D">
        <w:rPr>
          <w:lang w:val="en-IN" w:eastAsia="en-IN"/>
        </w:rPr>
        <w:t>enhanced private-label growth (where margins allow),</w:t>
      </w:r>
    </w:p>
    <w:p w14:paraId="5822573D" w14:textId="77777777" w:rsidR="00E3346D" w:rsidRDefault="00E3346D" w:rsidP="00E3346D">
      <w:pPr>
        <w:pStyle w:val="ListParagraph"/>
        <w:numPr>
          <w:ilvl w:val="0"/>
          <w:numId w:val="28"/>
        </w:numPr>
        <w:rPr>
          <w:lang w:val="en-IN" w:eastAsia="en-IN"/>
        </w:rPr>
      </w:pPr>
      <w:r w:rsidRPr="00E3346D">
        <w:rPr>
          <w:lang w:val="en-IN" w:eastAsia="en-IN"/>
        </w:rPr>
        <w:t>improved pricing and promotions analytics,</w:t>
      </w:r>
    </w:p>
    <w:p w14:paraId="770E9254" w14:textId="77777777" w:rsidR="00E3346D" w:rsidRDefault="00E3346D" w:rsidP="00E3346D">
      <w:pPr>
        <w:pStyle w:val="ListParagraph"/>
        <w:numPr>
          <w:ilvl w:val="0"/>
          <w:numId w:val="28"/>
        </w:numPr>
        <w:rPr>
          <w:lang w:val="en-IN" w:eastAsia="en-IN"/>
        </w:rPr>
      </w:pPr>
      <w:r w:rsidRPr="00E3346D">
        <w:rPr>
          <w:lang w:val="en-IN" w:eastAsia="en-IN"/>
        </w:rPr>
        <w:t>continued digital growth (online grocery and fulfilment efficiency).</w:t>
      </w:r>
      <w:r w:rsidRPr="00E3346D">
        <w:rPr>
          <w:lang w:val="en-IN" w:eastAsia="en-IN"/>
        </w:rPr>
        <w:br/>
        <w:t>This improves the sustainability of earnings rather than relying on one-off factors.</w:t>
      </w:r>
    </w:p>
    <w:p w14:paraId="68768C11" w14:textId="7C1D3440" w:rsidR="00E3346D" w:rsidRPr="00E3346D" w:rsidRDefault="00E3346D" w:rsidP="00E3346D">
      <w:pPr>
        <w:pStyle w:val="Heading3"/>
        <w:rPr>
          <w:lang w:val="en-IN" w:eastAsia="en-IN"/>
        </w:rPr>
      </w:pPr>
      <w:bookmarkStart w:id="25" w:name="_Toc219036410"/>
      <w:r>
        <w:rPr>
          <w:lang w:val="en-IN" w:eastAsia="en-IN"/>
        </w:rPr>
        <w:t>11.</w:t>
      </w:r>
      <w:r w:rsidRPr="00E3346D">
        <w:rPr>
          <w:lang w:val="en-IN" w:eastAsia="en-IN"/>
        </w:rPr>
        <w:t>5. Maintain Investor Confidence Through Predictable Shareholder Returns</w:t>
      </w:r>
      <w:bookmarkEnd w:id="25"/>
    </w:p>
    <w:p w14:paraId="26E85CFE" w14:textId="77777777" w:rsidR="00E3346D" w:rsidRPr="00E3346D" w:rsidRDefault="00E3346D" w:rsidP="00E3346D">
      <w:pPr>
        <w:rPr>
          <w:lang w:val="en-IN" w:eastAsia="en-IN"/>
        </w:rPr>
      </w:pPr>
      <w:r w:rsidRPr="00E3346D">
        <w:rPr>
          <w:lang w:val="en-IN" w:eastAsia="en-IN"/>
        </w:rPr>
        <w:t>Tesco should protect shareholder value by maintaining a stable dividend policy supported by operating cash flow. Where the share price appears undervalued relative to earnings, Tesco may consider selective share buybacks, provided gearing remains within acceptable limits and cash reserves remain strong.</w:t>
      </w:r>
    </w:p>
    <w:p w14:paraId="2630FBAB" w14:textId="77777777" w:rsidR="00E3346D" w:rsidRPr="00E3346D" w:rsidRDefault="00E3346D" w:rsidP="00E3346D">
      <w:pPr>
        <w:rPr>
          <w:lang w:val="en-IN" w:eastAsia="en-IN"/>
        </w:rPr>
      </w:pPr>
    </w:p>
    <w:p w14:paraId="326C8962" w14:textId="6879427A" w:rsidR="00F040A6" w:rsidRDefault="00000000" w:rsidP="00E3346D">
      <w:pPr>
        <w:pStyle w:val="Heading2"/>
        <w:numPr>
          <w:ilvl w:val="0"/>
          <w:numId w:val="17"/>
        </w:numPr>
      </w:pPr>
      <w:bookmarkStart w:id="26" w:name="_Toc219036411"/>
      <w:r>
        <w:t>Conclusion</w:t>
      </w:r>
      <w:bookmarkEnd w:id="26"/>
    </w:p>
    <w:p w14:paraId="104FFF79" w14:textId="49F8FDA2" w:rsidR="00E3346D" w:rsidRPr="00E3346D" w:rsidRDefault="00E3346D" w:rsidP="00E3346D">
      <w:r w:rsidRPr="00E3346D">
        <w:t xml:space="preserve">Tesco plc demonstrates a broadly improving financial position across FY2023–FY2024, with stronger net profitability and improved returns to shareholders. Efficiency remains a key strength, supported by strong asset </w:t>
      </w:r>
      <w:proofErr w:type="spellStart"/>
      <w:r w:rsidRPr="00E3346D">
        <w:t>utilisation</w:t>
      </w:r>
      <w:proofErr w:type="spellEnd"/>
      <w:r w:rsidRPr="00E3346D">
        <w:t xml:space="preserve"> and effective working capital performance typical of the grocery retail sector. However, operating margin pressure highlights ongoing inflation-related cost challenges, while liquidity remains structurally low and requires careful working capital control. Tesco’s gearing remains high but manageable, supported by strong cash generation and improving interest cover. Overall, Tesco is financially stable, but continued focus on cost efficiency, liquidity resilience, and disciplined leverage management will be essential to sustain long-term competitiveness.</w:t>
      </w:r>
    </w:p>
    <w:p w14:paraId="388F373C" w14:textId="77777777" w:rsidR="00E3346D" w:rsidRDefault="00E3346D" w:rsidP="00E3346D">
      <w:pPr>
        <w:pStyle w:val="ListNumber"/>
        <w:numPr>
          <w:ilvl w:val="0"/>
          <w:numId w:val="0"/>
        </w:numPr>
        <w:ind w:left="360" w:hanging="360"/>
      </w:pPr>
    </w:p>
    <w:p w14:paraId="08DF3C50" w14:textId="77777777" w:rsidR="00F040A6" w:rsidRDefault="00000000">
      <w:pPr>
        <w:pStyle w:val="Heading1"/>
      </w:pPr>
      <w:bookmarkStart w:id="27" w:name="_Toc219036412"/>
      <w:r>
        <w:t>Part 2 – Business Report to the Directors of Westward plc</w:t>
      </w:r>
      <w:bookmarkEnd w:id="27"/>
    </w:p>
    <w:p w14:paraId="4C09D6E4" w14:textId="3F7026A0" w:rsidR="003B1155" w:rsidRDefault="003B1155" w:rsidP="003B1155">
      <w:pPr>
        <w:pStyle w:val="Heading1"/>
        <w:numPr>
          <w:ilvl w:val="0"/>
          <w:numId w:val="32"/>
        </w:numPr>
      </w:pPr>
      <w:bookmarkStart w:id="28" w:name="_Toc219036413"/>
      <w:r>
        <w:t>Introduction</w:t>
      </w:r>
      <w:bookmarkEnd w:id="28"/>
    </w:p>
    <w:p w14:paraId="15C376AC"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Westward Plc is a well-established manufacturer and supplier of high-quality curtains and related home furnishing products. </w:t>
      </w:r>
      <w:proofErr w:type="gramStart"/>
      <w:r w:rsidRPr="003B1155">
        <w:rPr>
          <w:rFonts w:ascii="Times New Roman" w:eastAsia="Times New Roman" w:hAnsi="Times New Roman" w:cs="Times New Roman"/>
          <w:sz w:val="24"/>
          <w:szCs w:val="24"/>
          <w:lang w:val="en-IN" w:eastAsia="en-IN"/>
        </w:rPr>
        <w:t>In order to</w:t>
      </w:r>
      <w:proofErr w:type="gramEnd"/>
      <w:r w:rsidRPr="003B1155">
        <w:rPr>
          <w:rFonts w:ascii="Times New Roman" w:eastAsia="Times New Roman" w:hAnsi="Times New Roman" w:cs="Times New Roman"/>
          <w:sz w:val="24"/>
          <w:szCs w:val="24"/>
          <w:lang w:val="en-IN" w:eastAsia="en-IN"/>
        </w:rPr>
        <w:t xml:space="preserve"> strengthen long-term competitiveness and respond to changing consumer purchasing behaviour, the Directors are considering a </w:t>
      </w:r>
      <w:r w:rsidRPr="003B1155">
        <w:rPr>
          <w:rFonts w:ascii="Times New Roman" w:eastAsia="Times New Roman" w:hAnsi="Times New Roman" w:cs="Times New Roman"/>
          <w:sz w:val="24"/>
          <w:szCs w:val="24"/>
          <w:lang w:val="en-IN" w:eastAsia="en-IN"/>
        </w:rPr>
        <w:lastRenderedPageBreak/>
        <w:t>four-year investment programme aimed at expanding the company’s operations and improving market reach. The proposed programme consists of three alternative projects: (A) expanding the existing retail outlet to include the full product range, (B) developing an internet sales platform, and (C) diversifying into the production of wooden blinds and Roman blinds. Each option requires substantial capital expenditure and is expected to generate cash inflows over a four-year period.</w:t>
      </w:r>
    </w:p>
    <w:p w14:paraId="06AC6BE5"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The objective of this report is to evaluate the financial attractiveness of the three projects and recommend the optimal investment decision. The analysis applies capital investment appraisal techniques, with a primary focus on </w:t>
      </w:r>
      <w:r w:rsidRPr="003B1155">
        <w:rPr>
          <w:rFonts w:ascii="Times New Roman" w:eastAsia="Times New Roman" w:hAnsi="Times New Roman" w:cs="Times New Roman"/>
          <w:b/>
          <w:bCs/>
          <w:sz w:val="24"/>
          <w:szCs w:val="24"/>
          <w:lang w:val="en-IN" w:eastAsia="en-IN"/>
        </w:rPr>
        <w:t>Net Present Value (NPV)</w:t>
      </w:r>
      <w:r w:rsidRPr="003B1155">
        <w:rPr>
          <w:rFonts w:ascii="Times New Roman" w:eastAsia="Times New Roman" w:hAnsi="Times New Roman" w:cs="Times New Roman"/>
          <w:sz w:val="24"/>
          <w:szCs w:val="24"/>
          <w:lang w:val="en-IN" w:eastAsia="en-IN"/>
        </w:rPr>
        <w:t xml:space="preserve"> due to its ability to account for the time value of money and its alignment with shareholder wealth maximisation. </w:t>
      </w:r>
      <w:r w:rsidRPr="003B1155">
        <w:rPr>
          <w:rFonts w:ascii="Times New Roman" w:eastAsia="Times New Roman" w:hAnsi="Times New Roman" w:cs="Times New Roman"/>
          <w:b/>
          <w:bCs/>
          <w:sz w:val="24"/>
          <w:szCs w:val="24"/>
          <w:lang w:val="en-IN" w:eastAsia="en-IN"/>
        </w:rPr>
        <w:t>Internal Rate of Return (IRR)</w:t>
      </w:r>
      <w:r w:rsidRPr="003B1155">
        <w:rPr>
          <w:rFonts w:ascii="Times New Roman" w:eastAsia="Times New Roman" w:hAnsi="Times New Roman" w:cs="Times New Roman"/>
          <w:sz w:val="24"/>
          <w:szCs w:val="24"/>
          <w:lang w:val="en-IN" w:eastAsia="en-IN"/>
        </w:rPr>
        <w:t xml:space="preserve"> is also calculated for the recommended option to provide additional insight into expected project returns.</w:t>
      </w:r>
    </w:p>
    <w:p w14:paraId="1FB3E7A4"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The report also considers a </w:t>
      </w:r>
      <w:r w:rsidRPr="003B1155">
        <w:rPr>
          <w:rFonts w:ascii="Times New Roman" w:eastAsia="Times New Roman" w:hAnsi="Times New Roman" w:cs="Times New Roman"/>
          <w:b/>
          <w:bCs/>
          <w:sz w:val="24"/>
          <w:szCs w:val="24"/>
          <w:lang w:val="en-IN" w:eastAsia="en-IN"/>
        </w:rPr>
        <w:t>capital rationing scenario</w:t>
      </w:r>
      <w:r w:rsidRPr="003B1155">
        <w:rPr>
          <w:rFonts w:ascii="Times New Roman" w:eastAsia="Times New Roman" w:hAnsi="Times New Roman" w:cs="Times New Roman"/>
          <w:sz w:val="24"/>
          <w:szCs w:val="24"/>
          <w:lang w:val="en-IN" w:eastAsia="en-IN"/>
        </w:rPr>
        <w:t xml:space="preserve">, where investment funds are limited to </w:t>
      </w:r>
      <w:r w:rsidRPr="003B1155">
        <w:rPr>
          <w:rFonts w:ascii="Times New Roman" w:eastAsia="Times New Roman" w:hAnsi="Times New Roman" w:cs="Times New Roman"/>
          <w:b/>
          <w:bCs/>
          <w:sz w:val="24"/>
          <w:szCs w:val="24"/>
          <w:lang w:val="en-IN" w:eastAsia="en-IN"/>
        </w:rPr>
        <w:t>£2.5 million</w:t>
      </w:r>
      <w:r w:rsidRPr="003B1155">
        <w:rPr>
          <w:rFonts w:ascii="Times New Roman" w:eastAsia="Times New Roman" w:hAnsi="Times New Roman" w:cs="Times New Roman"/>
          <w:sz w:val="24"/>
          <w:szCs w:val="24"/>
          <w:lang w:val="en-IN" w:eastAsia="en-IN"/>
        </w:rPr>
        <w:t xml:space="preserve"> and projects are divisible. In this situation, profitability index (PI) is used to determine the optimal investment mix that maximises total NPV. Finally, the report concludes with financing recommendations for the proposed programme, critically assessing the most appropriate sources of finance available to Westward Plc.</w:t>
      </w:r>
    </w:p>
    <w:p w14:paraId="3D801FDC" w14:textId="77777777" w:rsidR="003B1155" w:rsidRPr="003B1155" w:rsidRDefault="003B1155" w:rsidP="003B1155">
      <w:pPr>
        <w:rPr>
          <w:lang w:val="en-IN"/>
        </w:rPr>
      </w:pPr>
    </w:p>
    <w:p w14:paraId="64BA1AAB" w14:textId="77777777" w:rsidR="003B1155" w:rsidRDefault="00000000" w:rsidP="003B1155">
      <w:pPr>
        <w:pStyle w:val="Heading1"/>
        <w:numPr>
          <w:ilvl w:val="0"/>
          <w:numId w:val="32"/>
        </w:numPr>
      </w:pPr>
      <w:bookmarkStart w:id="29" w:name="_Toc219036414"/>
      <w:r>
        <w:t>Assumptions and Tax/Capital Allowance Treatment</w:t>
      </w:r>
      <w:bookmarkEnd w:id="29"/>
    </w:p>
    <w:p w14:paraId="7B9FF2B5" w14:textId="77777777" w:rsidR="003B1155" w:rsidRPr="003B1155" w:rsidRDefault="003B1155" w:rsidP="003B1155">
      <w:pPr>
        <w:rPr>
          <w:lang w:val="en-IN"/>
        </w:rPr>
      </w:pPr>
      <w:r w:rsidRPr="003B1155">
        <w:rPr>
          <w:lang w:val="en-IN"/>
        </w:rPr>
        <w:t xml:space="preserve">To ensure consistent and reliable evaluation of the three proposed investment options, </w:t>
      </w:r>
      <w:proofErr w:type="gramStart"/>
      <w:r w:rsidRPr="003B1155">
        <w:rPr>
          <w:lang w:val="en-IN"/>
        </w:rPr>
        <w:t>a number of</w:t>
      </w:r>
      <w:proofErr w:type="gramEnd"/>
      <w:r w:rsidRPr="003B1155">
        <w:rPr>
          <w:lang w:val="en-IN"/>
        </w:rPr>
        <w:t xml:space="preserve"> assumptions are applied in line with the information provided in the case study. All projects are assessed over a four-year period, and all annual cash inflows are assumed to occur at the end of each year. The cost of capital (discount rate) is assumed to be </w:t>
      </w:r>
      <w:r w:rsidRPr="003B1155">
        <w:rPr>
          <w:b/>
          <w:bCs/>
          <w:lang w:val="en-IN"/>
        </w:rPr>
        <w:t>6%</w:t>
      </w:r>
      <w:r w:rsidRPr="003B1155">
        <w:rPr>
          <w:lang w:val="en-IN"/>
        </w:rPr>
        <w:t>, reflecting Westward Plc’s required return and the opportunity cost of investing funds elsewhere.</w:t>
      </w:r>
    </w:p>
    <w:p w14:paraId="422EFA72" w14:textId="77777777" w:rsidR="003B1155" w:rsidRPr="003B1155" w:rsidRDefault="003B1155" w:rsidP="003B1155">
      <w:pPr>
        <w:rPr>
          <w:lang w:val="en-IN"/>
        </w:rPr>
      </w:pPr>
      <w:r w:rsidRPr="003B1155">
        <w:rPr>
          <w:lang w:val="en-IN"/>
        </w:rPr>
        <w:t xml:space="preserve">The forecast cash inflows provided for Options A, B, and C represent </w:t>
      </w:r>
      <w:r w:rsidRPr="003B1155">
        <w:rPr>
          <w:b/>
          <w:bCs/>
          <w:lang w:val="en-IN"/>
        </w:rPr>
        <w:t>pre-tax cash flows</w:t>
      </w:r>
      <w:r w:rsidRPr="003B1155">
        <w:rPr>
          <w:lang w:val="en-IN"/>
        </w:rPr>
        <w:t xml:space="preserve">. Therefore, corporation tax is applied at </w:t>
      </w:r>
      <w:r w:rsidRPr="003B1155">
        <w:rPr>
          <w:b/>
          <w:bCs/>
          <w:lang w:val="en-IN"/>
        </w:rPr>
        <w:t>25%</w:t>
      </w:r>
      <w:r w:rsidRPr="003B1155">
        <w:rPr>
          <w:lang w:val="en-IN"/>
        </w:rPr>
        <w:t>. The after-tax operating cash flow is calculated as:</w:t>
      </w:r>
    </w:p>
    <w:p w14:paraId="1F4AC873" w14:textId="77777777" w:rsidR="003B1155" w:rsidRPr="003B1155" w:rsidRDefault="003B1155" w:rsidP="003B1155">
      <w:pPr>
        <w:rPr>
          <w:lang w:val="en-IN"/>
        </w:rPr>
      </w:pPr>
      <w:r w:rsidRPr="003B1155">
        <w:rPr>
          <w:b/>
          <w:bCs/>
          <w:lang w:val="en-IN"/>
        </w:rPr>
        <w:t>After-tax cash flow = Pre-tax cash flow × (1 – 0.25) = Pre-tax cash flow × 0.75</w:t>
      </w:r>
    </w:p>
    <w:p w14:paraId="12F89FDF" w14:textId="77777777" w:rsidR="003B1155" w:rsidRPr="003B1155" w:rsidRDefault="003B1155" w:rsidP="003B1155">
      <w:pPr>
        <w:rPr>
          <w:lang w:val="en-IN"/>
        </w:rPr>
      </w:pPr>
      <w:r w:rsidRPr="003B1155">
        <w:rPr>
          <w:lang w:val="en-IN"/>
        </w:rPr>
        <w:t xml:space="preserve">In addition, the projects benefit from </w:t>
      </w:r>
      <w:r w:rsidRPr="003B1155">
        <w:rPr>
          <w:b/>
          <w:bCs/>
          <w:lang w:val="en-IN"/>
        </w:rPr>
        <w:t>capital allowances</w:t>
      </w:r>
      <w:r w:rsidRPr="003B1155">
        <w:rPr>
          <w:lang w:val="en-IN"/>
        </w:rPr>
        <w:t xml:space="preserve"> at </w:t>
      </w:r>
      <w:r w:rsidRPr="003B1155">
        <w:rPr>
          <w:b/>
          <w:bCs/>
          <w:lang w:val="en-IN"/>
        </w:rPr>
        <w:t>20% per annum on a straight-line basis</w:t>
      </w:r>
      <w:r w:rsidRPr="003B1155">
        <w:rPr>
          <w:lang w:val="en-IN"/>
        </w:rPr>
        <w:t>, which creates a tax saving each year. This tax benefit is treated as an additional cash inflow because it reduces the tax payable by the organisation. Capital allowance per year for each option is calculated as:</w:t>
      </w:r>
    </w:p>
    <w:p w14:paraId="6719FB69" w14:textId="77777777" w:rsidR="003B1155" w:rsidRPr="003B1155" w:rsidRDefault="003B1155" w:rsidP="003B1155">
      <w:pPr>
        <w:numPr>
          <w:ilvl w:val="0"/>
          <w:numId w:val="33"/>
        </w:numPr>
        <w:rPr>
          <w:lang w:val="en-IN"/>
        </w:rPr>
      </w:pPr>
      <w:r w:rsidRPr="003B1155">
        <w:rPr>
          <w:b/>
          <w:bCs/>
          <w:lang w:val="en-IN"/>
        </w:rPr>
        <w:t>Option A:</w:t>
      </w:r>
      <w:r w:rsidRPr="003B1155">
        <w:rPr>
          <w:lang w:val="en-IN"/>
        </w:rPr>
        <w:t xml:space="preserve"> £600,000 × 20% = £120,000 per year</w:t>
      </w:r>
    </w:p>
    <w:p w14:paraId="6ACEDD55" w14:textId="77777777" w:rsidR="003B1155" w:rsidRPr="003B1155" w:rsidRDefault="003B1155" w:rsidP="003B1155">
      <w:pPr>
        <w:numPr>
          <w:ilvl w:val="0"/>
          <w:numId w:val="33"/>
        </w:numPr>
        <w:rPr>
          <w:lang w:val="en-IN"/>
        </w:rPr>
      </w:pPr>
      <w:r w:rsidRPr="003B1155">
        <w:rPr>
          <w:b/>
          <w:bCs/>
          <w:lang w:val="en-IN"/>
        </w:rPr>
        <w:t>Option B:</w:t>
      </w:r>
      <w:r w:rsidRPr="003B1155">
        <w:rPr>
          <w:lang w:val="en-IN"/>
        </w:rPr>
        <w:t xml:space="preserve"> £1,000,000 × 20% = £200,000 per year</w:t>
      </w:r>
    </w:p>
    <w:p w14:paraId="1D0DFF31" w14:textId="77777777" w:rsidR="003B1155" w:rsidRPr="003B1155" w:rsidRDefault="003B1155" w:rsidP="003B1155">
      <w:pPr>
        <w:numPr>
          <w:ilvl w:val="0"/>
          <w:numId w:val="33"/>
        </w:numPr>
        <w:rPr>
          <w:lang w:val="en-IN"/>
        </w:rPr>
      </w:pPr>
      <w:r w:rsidRPr="003B1155">
        <w:rPr>
          <w:b/>
          <w:bCs/>
          <w:lang w:val="en-IN"/>
        </w:rPr>
        <w:t>Option C:</w:t>
      </w:r>
      <w:r w:rsidRPr="003B1155">
        <w:rPr>
          <w:lang w:val="en-IN"/>
        </w:rPr>
        <w:t xml:space="preserve"> £1,600,000 × 20% = £320,000 per year</w:t>
      </w:r>
    </w:p>
    <w:p w14:paraId="3D03B146" w14:textId="77777777" w:rsidR="003B1155" w:rsidRPr="003B1155" w:rsidRDefault="003B1155" w:rsidP="003B1155">
      <w:pPr>
        <w:rPr>
          <w:lang w:val="en-IN"/>
        </w:rPr>
      </w:pPr>
      <w:r w:rsidRPr="003B1155">
        <w:rPr>
          <w:lang w:val="en-IN"/>
        </w:rPr>
        <w:lastRenderedPageBreak/>
        <w:t>The annual tax saving from capital allowances is therefore:</w:t>
      </w:r>
    </w:p>
    <w:p w14:paraId="51B4A64B" w14:textId="77777777" w:rsidR="003B1155" w:rsidRPr="003B1155" w:rsidRDefault="003B1155" w:rsidP="003B1155">
      <w:pPr>
        <w:rPr>
          <w:lang w:val="en-IN"/>
        </w:rPr>
      </w:pPr>
      <w:r w:rsidRPr="003B1155">
        <w:rPr>
          <w:b/>
          <w:bCs/>
          <w:lang w:val="en-IN"/>
        </w:rPr>
        <w:t>Tax saving = Capital allowance × 25%</w:t>
      </w:r>
    </w:p>
    <w:p w14:paraId="1A5C5940" w14:textId="77777777" w:rsidR="003B1155" w:rsidRPr="003B1155" w:rsidRDefault="003B1155" w:rsidP="003B1155">
      <w:pPr>
        <w:rPr>
          <w:lang w:val="en-IN"/>
        </w:rPr>
      </w:pPr>
      <w:r w:rsidRPr="003B1155">
        <w:rPr>
          <w:lang w:val="en-IN"/>
        </w:rPr>
        <w:t>Resulting tax savings:</w:t>
      </w:r>
    </w:p>
    <w:p w14:paraId="63D8A318" w14:textId="77777777" w:rsidR="003B1155" w:rsidRPr="003B1155" w:rsidRDefault="003B1155" w:rsidP="003B1155">
      <w:pPr>
        <w:numPr>
          <w:ilvl w:val="0"/>
          <w:numId w:val="34"/>
        </w:numPr>
        <w:rPr>
          <w:lang w:val="en-IN"/>
        </w:rPr>
      </w:pPr>
      <w:r w:rsidRPr="003B1155">
        <w:rPr>
          <w:lang w:val="en-IN"/>
        </w:rPr>
        <w:t xml:space="preserve">Option A: £120,000 × 25% = </w:t>
      </w:r>
      <w:r w:rsidRPr="003B1155">
        <w:rPr>
          <w:b/>
          <w:bCs/>
          <w:lang w:val="en-IN"/>
        </w:rPr>
        <w:t>£30,000</w:t>
      </w:r>
      <w:r w:rsidRPr="003B1155">
        <w:rPr>
          <w:lang w:val="en-IN"/>
        </w:rPr>
        <w:t xml:space="preserve"> per year</w:t>
      </w:r>
    </w:p>
    <w:p w14:paraId="08F5CE6D" w14:textId="77777777" w:rsidR="003B1155" w:rsidRPr="003B1155" w:rsidRDefault="003B1155" w:rsidP="003B1155">
      <w:pPr>
        <w:numPr>
          <w:ilvl w:val="0"/>
          <w:numId w:val="34"/>
        </w:numPr>
        <w:rPr>
          <w:lang w:val="en-IN"/>
        </w:rPr>
      </w:pPr>
      <w:r w:rsidRPr="003B1155">
        <w:rPr>
          <w:lang w:val="en-IN"/>
        </w:rPr>
        <w:t xml:space="preserve">Option B: £200,000 × 25% = </w:t>
      </w:r>
      <w:r w:rsidRPr="003B1155">
        <w:rPr>
          <w:b/>
          <w:bCs/>
          <w:lang w:val="en-IN"/>
        </w:rPr>
        <w:t>£50,000</w:t>
      </w:r>
      <w:r w:rsidRPr="003B1155">
        <w:rPr>
          <w:lang w:val="en-IN"/>
        </w:rPr>
        <w:t xml:space="preserve"> per year</w:t>
      </w:r>
    </w:p>
    <w:p w14:paraId="58FCE4FE" w14:textId="77777777" w:rsidR="003B1155" w:rsidRPr="003B1155" w:rsidRDefault="003B1155" w:rsidP="003B1155">
      <w:pPr>
        <w:numPr>
          <w:ilvl w:val="0"/>
          <w:numId w:val="34"/>
        </w:numPr>
        <w:rPr>
          <w:lang w:val="en-IN"/>
        </w:rPr>
      </w:pPr>
      <w:r w:rsidRPr="003B1155">
        <w:rPr>
          <w:lang w:val="en-IN"/>
        </w:rPr>
        <w:t xml:space="preserve">Option C: £320,000 × 25% = </w:t>
      </w:r>
      <w:r w:rsidRPr="003B1155">
        <w:rPr>
          <w:b/>
          <w:bCs/>
          <w:lang w:val="en-IN"/>
        </w:rPr>
        <w:t>£80,000</w:t>
      </w:r>
      <w:r w:rsidRPr="003B1155">
        <w:rPr>
          <w:lang w:val="en-IN"/>
        </w:rPr>
        <w:t xml:space="preserve"> per year</w:t>
      </w:r>
    </w:p>
    <w:p w14:paraId="791FAF73" w14:textId="7F2F2706" w:rsidR="003B1155" w:rsidRPr="003B1155" w:rsidRDefault="003B1155" w:rsidP="003B1155">
      <w:pPr>
        <w:rPr>
          <w:lang w:val="en-IN"/>
        </w:rPr>
      </w:pPr>
      <w:r w:rsidRPr="003B1155">
        <w:rPr>
          <w:lang w:val="en-IN"/>
        </w:rPr>
        <w:t>These tax savings are added to the after-tax operating cash flows to determine annual net cash inflows. Discount factors at 6% are then applied to compute present values and NPVs for each option.</w:t>
      </w:r>
    </w:p>
    <w:p w14:paraId="3EBE0918" w14:textId="77777777" w:rsidR="003B1155" w:rsidRDefault="00000000" w:rsidP="003B1155">
      <w:pPr>
        <w:pStyle w:val="Heading1"/>
        <w:numPr>
          <w:ilvl w:val="0"/>
          <w:numId w:val="32"/>
        </w:numPr>
      </w:pPr>
      <w:bookmarkStart w:id="30" w:name="_Toc219036415"/>
      <w:r>
        <w:t>Net Present Value (NPV) Appraisal of Options A, B and C</w:t>
      </w:r>
      <w:bookmarkEnd w:id="30"/>
    </w:p>
    <w:p w14:paraId="25316868" w14:textId="77777777" w:rsidR="003B1155" w:rsidRPr="003B1155" w:rsidRDefault="003B1155" w:rsidP="003B1155">
      <w:pPr>
        <w:rPr>
          <w:lang w:val="en-IN"/>
        </w:rPr>
      </w:pPr>
      <w:r w:rsidRPr="003B1155">
        <w:rPr>
          <w:lang w:val="en-IN"/>
        </w:rPr>
        <w:t>Net Present Value (NPV) is used to evaluate each option because it incorporates the time value of money and measures the absolute value added to the company from undertaking an investment. The NPV method discounts expected cash inflows at the organisation’s cost of capital (6%) and compares the present value of inflows with the initial investment cost. The decision rule is:</w:t>
      </w:r>
    </w:p>
    <w:p w14:paraId="4FB8B948" w14:textId="77777777" w:rsidR="003B1155" w:rsidRDefault="003B1155" w:rsidP="003B1155">
      <w:pPr>
        <w:pStyle w:val="ListParagraph"/>
        <w:numPr>
          <w:ilvl w:val="0"/>
          <w:numId w:val="36"/>
        </w:numPr>
        <w:rPr>
          <w:lang w:val="en-IN"/>
        </w:rPr>
      </w:pPr>
      <w:r w:rsidRPr="003B1155">
        <w:rPr>
          <w:b/>
          <w:bCs/>
          <w:lang w:val="en-IN"/>
        </w:rPr>
        <w:t>NPV &gt; 0:</w:t>
      </w:r>
      <w:r w:rsidRPr="003B1155">
        <w:rPr>
          <w:lang w:val="en-IN"/>
        </w:rPr>
        <w:t xml:space="preserve"> Accept the project (value-creating)</w:t>
      </w:r>
    </w:p>
    <w:p w14:paraId="21B1F9DC" w14:textId="77777777" w:rsidR="003B1155" w:rsidRDefault="003B1155" w:rsidP="003B1155">
      <w:pPr>
        <w:pStyle w:val="ListParagraph"/>
        <w:numPr>
          <w:ilvl w:val="0"/>
          <w:numId w:val="36"/>
        </w:numPr>
        <w:rPr>
          <w:lang w:val="en-IN"/>
        </w:rPr>
      </w:pPr>
      <w:r w:rsidRPr="003B1155">
        <w:rPr>
          <w:b/>
          <w:bCs/>
          <w:lang w:val="en-IN"/>
        </w:rPr>
        <w:t>NPV &lt; 0:</w:t>
      </w:r>
      <w:r w:rsidRPr="003B1155">
        <w:rPr>
          <w:lang w:val="en-IN"/>
        </w:rPr>
        <w:t xml:space="preserve"> Reject the project (value-destroying)</w:t>
      </w:r>
    </w:p>
    <w:p w14:paraId="139FBD95" w14:textId="53A951BF" w:rsidR="003B1155" w:rsidRPr="003B1155" w:rsidRDefault="003B1155" w:rsidP="003B1155">
      <w:pPr>
        <w:pStyle w:val="ListParagraph"/>
        <w:numPr>
          <w:ilvl w:val="0"/>
          <w:numId w:val="36"/>
        </w:numPr>
        <w:rPr>
          <w:lang w:val="en-IN"/>
        </w:rPr>
      </w:pPr>
      <w:r w:rsidRPr="003B1155">
        <w:rPr>
          <w:b/>
          <w:bCs/>
          <w:lang w:val="en-IN"/>
        </w:rPr>
        <w:t>Highest NPV:</w:t>
      </w:r>
      <w:r w:rsidRPr="003B1155">
        <w:rPr>
          <w:lang w:val="en-IN"/>
        </w:rPr>
        <w:t xml:space="preserve"> Preferred option (maximises shareholder wealth)</w:t>
      </w:r>
    </w:p>
    <w:p w14:paraId="7238B4F3" w14:textId="77777777" w:rsidR="003B1155" w:rsidRDefault="003B1155" w:rsidP="003B1155">
      <w:pPr>
        <w:rPr>
          <w:lang w:val="en-IN"/>
        </w:rPr>
      </w:pPr>
      <w:r w:rsidRPr="003B1155">
        <w:rPr>
          <w:lang w:val="en-IN"/>
        </w:rPr>
        <w:t>Discount factors at 6% are applied as follows:</w:t>
      </w:r>
    </w:p>
    <w:tbl>
      <w:tblPr>
        <w:tblW w:w="0" w:type="auto"/>
        <w:tblCellSpacing w:w="1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156"/>
        <w:gridCol w:w="653"/>
        <w:gridCol w:w="653"/>
        <w:gridCol w:w="653"/>
        <w:gridCol w:w="668"/>
      </w:tblGrid>
      <w:tr w:rsidR="003B1155" w:rsidRPr="003B1155" w14:paraId="3F36F4BD" w14:textId="77777777" w:rsidTr="003B1155">
        <w:trPr>
          <w:tblHeader/>
          <w:tblCellSpacing w:w="15" w:type="dxa"/>
        </w:trPr>
        <w:tc>
          <w:tcPr>
            <w:tcW w:w="0" w:type="auto"/>
            <w:vAlign w:val="center"/>
            <w:hideMark/>
          </w:tcPr>
          <w:p w14:paraId="538A476B" w14:textId="77777777" w:rsidR="003B1155" w:rsidRPr="003B1155" w:rsidRDefault="003B1155" w:rsidP="003B1155">
            <w:pPr>
              <w:rPr>
                <w:b/>
                <w:bCs/>
                <w:lang w:val="en-IN"/>
              </w:rPr>
            </w:pPr>
            <w:r w:rsidRPr="003B1155">
              <w:rPr>
                <w:b/>
                <w:bCs/>
                <w:lang w:val="en-IN"/>
              </w:rPr>
              <w:t>Year</w:t>
            </w:r>
          </w:p>
        </w:tc>
        <w:tc>
          <w:tcPr>
            <w:tcW w:w="0" w:type="auto"/>
            <w:vAlign w:val="center"/>
            <w:hideMark/>
          </w:tcPr>
          <w:p w14:paraId="7AE2A551" w14:textId="77777777" w:rsidR="003B1155" w:rsidRPr="003B1155" w:rsidRDefault="003B1155" w:rsidP="003B1155">
            <w:pPr>
              <w:rPr>
                <w:b/>
                <w:bCs/>
                <w:lang w:val="en-IN"/>
              </w:rPr>
            </w:pPr>
            <w:r w:rsidRPr="003B1155">
              <w:rPr>
                <w:b/>
                <w:bCs/>
                <w:lang w:val="en-IN"/>
              </w:rPr>
              <w:t>1</w:t>
            </w:r>
          </w:p>
        </w:tc>
        <w:tc>
          <w:tcPr>
            <w:tcW w:w="0" w:type="auto"/>
            <w:vAlign w:val="center"/>
            <w:hideMark/>
          </w:tcPr>
          <w:p w14:paraId="63ECFF46" w14:textId="77777777" w:rsidR="003B1155" w:rsidRPr="003B1155" w:rsidRDefault="003B1155" w:rsidP="003B1155">
            <w:pPr>
              <w:rPr>
                <w:b/>
                <w:bCs/>
                <w:lang w:val="en-IN"/>
              </w:rPr>
            </w:pPr>
            <w:r w:rsidRPr="003B1155">
              <w:rPr>
                <w:b/>
                <w:bCs/>
                <w:lang w:val="en-IN"/>
              </w:rPr>
              <w:t>2</w:t>
            </w:r>
          </w:p>
        </w:tc>
        <w:tc>
          <w:tcPr>
            <w:tcW w:w="0" w:type="auto"/>
            <w:vAlign w:val="center"/>
            <w:hideMark/>
          </w:tcPr>
          <w:p w14:paraId="1609FB2C" w14:textId="77777777" w:rsidR="003B1155" w:rsidRPr="003B1155" w:rsidRDefault="003B1155" w:rsidP="003B1155">
            <w:pPr>
              <w:rPr>
                <w:b/>
                <w:bCs/>
                <w:lang w:val="en-IN"/>
              </w:rPr>
            </w:pPr>
            <w:r w:rsidRPr="003B1155">
              <w:rPr>
                <w:b/>
                <w:bCs/>
                <w:lang w:val="en-IN"/>
              </w:rPr>
              <w:t>3</w:t>
            </w:r>
          </w:p>
        </w:tc>
        <w:tc>
          <w:tcPr>
            <w:tcW w:w="0" w:type="auto"/>
            <w:vAlign w:val="center"/>
            <w:hideMark/>
          </w:tcPr>
          <w:p w14:paraId="17F57930" w14:textId="77777777" w:rsidR="003B1155" w:rsidRPr="003B1155" w:rsidRDefault="003B1155" w:rsidP="003B1155">
            <w:pPr>
              <w:rPr>
                <w:b/>
                <w:bCs/>
                <w:lang w:val="en-IN"/>
              </w:rPr>
            </w:pPr>
            <w:r w:rsidRPr="003B1155">
              <w:rPr>
                <w:b/>
                <w:bCs/>
                <w:lang w:val="en-IN"/>
              </w:rPr>
              <w:t>4</w:t>
            </w:r>
          </w:p>
        </w:tc>
      </w:tr>
      <w:tr w:rsidR="003B1155" w:rsidRPr="003B1155" w14:paraId="36D32765" w14:textId="77777777" w:rsidTr="003B1155">
        <w:trPr>
          <w:tblCellSpacing w:w="15" w:type="dxa"/>
        </w:trPr>
        <w:tc>
          <w:tcPr>
            <w:tcW w:w="0" w:type="auto"/>
            <w:vAlign w:val="center"/>
            <w:hideMark/>
          </w:tcPr>
          <w:p w14:paraId="3A57C962" w14:textId="77777777" w:rsidR="003B1155" w:rsidRPr="003B1155" w:rsidRDefault="003B1155" w:rsidP="003B1155">
            <w:pPr>
              <w:rPr>
                <w:lang w:val="en-IN"/>
              </w:rPr>
            </w:pPr>
            <w:r w:rsidRPr="003B1155">
              <w:rPr>
                <w:lang w:val="en-IN"/>
              </w:rPr>
              <w:t>Discount Factor (6%)</w:t>
            </w:r>
          </w:p>
        </w:tc>
        <w:tc>
          <w:tcPr>
            <w:tcW w:w="0" w:type="auto"/>
            <w:vAlign w:val="center"/>
            <w:hideMark/>
          </w:tcPr>
          <w:p w14:paraId="54D57C75" w14:textId="77777777" w:rsidR="003B1155" w:rsidRPr="003B1155" w:rsidRDefault="003B1155" w:rsidP="003B1155">
            <w:pPr>
              <w:rPr>
                <w:lang w:val="en-IN"/>
              </w:rPr>
            </w:pPr>
            <w:r w:rsidRPr="003B1155">
              <w:rPr>
                <w:lang w:val="en-IN"/>
              </w:rPr>
              <w:t>0.943</w:t>
            </w:r>
          </w:p>
        </w:tc>
        <w:tc>
          <w:tcPr>
            <w:tcW w:w="0" w:type="auto"/>
            <w:vAlign w:val="center"/>
            <w:hideMark/>
          </w:tcPr>
          <w:p w14:paraId="1D1475C3" w14:textId="77777777" w:rsidR="003B1155" w:rsidRPr="003B1155" w:rsidRDefault="003B1155" w:rsidP="003B1155">
            <w:pPr>
              <w:rPr>
                <w:lang w:val="en-IN"/>
              </w:rPr>
            </w:pPr>
            <w:r w:rsidRPr="003B1155">
              <w:rPr>
                <w:lang w:val="en-IN"/>
              </w:rPr>
              <w:t>0.890</w:t>
            </w:r>
          </w:p>
        </w:tc>
        <w:tc>
          <w:tcPr>
            <w:tcW w:w="0" w:type="auto"/>
            <w:vAlign w:val="center"/>
            <w:hideMark/>
          </w:tcPr>
          <w:p w14:paraId="34F68AD7" w14:textId="77777777" w:rsidR="003B1155" w:rsidRPr="003B1155" w:rsidRDefault="003B1155" w:rsidP="003B1155">
            <w:pPr>
              <w:rPr>
                <w:lang w:val="en-IN"/>
              </w:rPr>
            </w:pPr>
            <w:r w:rsidRPr="003B1155">
              <w:rPr>
                <w:lang w:val="en-IN"/>
              </w:rPr>
              <w:t>0.840</w:t>
            </w:r>
          </w:p>
        </w:tc>
        <w:tc>
          <w:tcPr>
            <w:tcW w:w="0" w:type="auto"/>
            <w:vAlign w:val="center"/>
            <w:hideMark/>
          </w:tcPr>
          <w:p w14:paraId="71391B24" w14:textId="77777777" w:rsidR="003B1155" w:rsidRPr="003B1155" w:rsidRDefault="003B1155" w:rsidP="003B1155">
            <w:pPr>
              <w:rPr>
                <w:lang w:val="en-IN"/>
              </w:rPr>
            </w:pPr>
            <w:r w:rsidRPr="003B1155">
              <w:rPr>
                <w:lang w:val="en-IN"/>
              </w:rPr>
              <w:t>0.792</w:t>
            </w:r>
          </w:p>
        </w:tc>
      </w:tr>
    </w:tbl>
    <w:p w14:paraId="64D181C4" w14:textId="303FDAAD" w:rsidR="003B1155" w:rsidRDefault="003B1155" w:rsidP="003B1155">
      <w:pPr>
        <w:rPr>
          <w:lang w:val="en-IN"/>
        </w:rPr>
      </w:pPr>
    </w:p>
    <w:p w14:paraId="3774B369" w14:textId="781A6155" w:rsidR="003B1155" w:rsidRPr="003B1155" w:rsidRDefault="003B1155" w:rsidP="003B1155">
      <w:pPr>
        <w:pStyle w:val="Heading3"/>
        <w:rPr>
          <w:lang w:val="en-IN"/>
        </w:rPr>
      </w:pPr>
      <w:r>
        <w:rPr>
          <w:lang w:val="en-IN"/>
        </w:rPr>
        <w:t xml:space="preserve">    </w:t>
      </w:r>
      <w:bookmarkStart w:id="31" w:name="_Toc219036416"/>
      <w:r>
        <w:rPr>
          <w:lang w:val="en-IN"/>
        </w:rPr>
        <w:t>3</w:t>
      </w:r>
      <w:r w:rsidRPr="003B1155">
        <w:rPr>
          <w:lang w:val="en-IN"/>
        </w:rPr>
        <w:t>.1</w:t>
      </w:r>
      <w:r>
        <w:rPr>
          <w:lang w:val="en-IN"/>
        </w:rPr>
        <w:t>.</w:t>
      </w:r>
      <w:r w:rsidRPr="003B1155">
        <w:rPr>
          <w:lang w:val="en-IN"/>
        </w:rPr>
        <w:t xml:space="preserve"> Option A – Expand Retail Outle</w:t>
      </w:r>
      <w:r>
        <w:rPr>
          <w:lang w:val="en-IN"/>
        </w:rPr>
        <w:t>t</w:t>
      </w:r>
      <w:bookmarkEnd w:id="31"/>
    </w:p>
    <w:p w14:paraId="3F939171" w14:textId="77777777" w:rsidR="003B1155" w:rsidRPr="003B1155" w:rsidRDefault="003B1155" w:rsidP="003B1155">
      <w:pPr>
        <w:rPr>
          <w:lang w:val="en-IN"/>
        </w:rPr>
      </w:pPr>
      <w:r w:rsidRPr="003B1155">
        <w:rPr>
          <w:lang w:val="en-IN"/>
        </w:rPr>
        <w:t xml:space="preserve">Initial cost: </w:t>
      </w:r>
      <w:r w:rsidRPr="003B1155">
        <w:rPr>
          <w:b/>
          <w:bCs/>
          <w:lang w:val="en-IN"/>
        </w:rPr>
        <w:t>£600,000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1737"/>
        <w:gridCol w:w="1313"/>
        <w:gridCol w:w="703"/>
        <w:gridCol w:w="730"/>
        <w:gridCol w:w="668"/>
      </w:tblGrid>
      <w:tr w:rsidR="003B1155" w:rsidRPr="003B1155" w14:paraId="610FC3BB" w14:textId="77777777">
        <w:trPr>
          <w:tblHeader/>
          <w:tblCellSpacing w:w="15" w:type="dxa"/>
        </w:trPr>
        <w:tc>
          <w:tcPr>
            <w:tcW w:w="0" w:type="auto"/>
            <w:vAlign w:val="center"/>
            <w:hideMark/>
          </w:tcPr>
          <w:p w14:paraId="1B3F748B" w14:textId="77777777" w:rsidR="003B1155" w:rsidRPr="003B1155" w:rsidRDefault="003B1155" w:rsidP="003B1155">
            <w:pPr>
              <w:rPr>
                <w:b/>
                <w:bCs/>
                <w:lang w:val="en-IN"/>
              </w:rPr>
            </w:pPr>
            <w:r w:rsidRPr="003B1155">
              <w:rPr>
                <w:b/>
                <w:bCs/>
                <w:lang w:val="en-IN"/>
              </w:rPr>
              <w:t>Year</w:t>
            </w:r>
          </w:p>
        </w:tc>
        <w:tc>
          <w:tcPr>
            <w:tcW w:w="0" w:type="auto"/>
            <w:vAlign w:val="center"/>
            <w:hideMark/>
          </w:tcPr>
          <w:p w14:paraId="6C66BFD3"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3CD9FEDC" w14:textId="77777777" w:rsidR="003B1155" w:rsidRPr="003B1155" w:rsidRDefault="003B1155" w:rsidP="003B1155">
            <w:pPr>
              <w:rPr>
                <w:b/>
                <w:bCs/>
                <w:lang w:val="en-IN"/>
              </w:rPr>
            </w:pPr>
            <w:r w:rsidRPr="003B1155">
              <w:rPr>
                <w:b/>
                <w:bCs/>
                <w:lang w:val="en-IN"/>
              </w:rPr>
              <w:t>After tax (×0.75)</w:t>
            </w:r>
          </w:p>
        </w:tc>
        <w:tc>
          <w:tcPr>
            <w:tcW w:w="0" w:type="auto"/>
            <w:vAlign w:val="center"/>
            <w:hideMark/>
          </w:tcPr>
          <w:p w14:paraId="1213057B"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7EC60510"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0DBD3EA9" w14:textId="77777777" w:rsidR="003B1155" w:rsidRPr="003B1155" w:rsidRDefault="003B1155" w:rsidP="003B1155">
            <w:pPr>
              <w:rPr>
                <w:b/>
                <w:bCs/>
                <w:lang w:val="en-IN"/>
              </w:rPr>
            </w:pPr>
            <w:r w:rsidRPr="003B1155">
              <w:rPr>
                <w:b/>
                <w:bCs/>
                <w:lang w:val="en-IN"/>
              </w:rPr>
              <w:t>DF 6%</w:t>
            </w:r>
          </w:p>
        </w:tc>
        <w:tc>
          <w:tcPr>
            <w:tcW w:w="0" w:type="auto"/>
            <w:vAlign w:val="center"/>
            <w:hideMark/>
          </w:tcPr>
          <w:p w14:paraId="30199903" w14:textId="77777777" w:rsidR="003B1155" w:rsidRPr="003B1155" w:rsidRDefault="003B1155" w:rsidP="003B1155">
            <w:pPr>
              <w:rPr>
                <w:b/>
                <w:bCs/>
                <w:lang w:val="en-IN"/>
              </w:rPr>
            </w:pPr>
            <w:r w:rsidRPr="003B1155">
              <w:rPr>
                <w:b/>
                <w:bCs/>
                <w:lang w:val="en-IN"/>
              </w:rPr>
              <w:t>PV</w:t>
            </w:r>
          </w:p>
        </w:tc>
      </w:tr>
      <w:tr w:rsidR="003B1155" w:rsidRPr="003B1155" w14:paraId="6328EA94"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4D4CD41"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2D2F4CD" w14:textId="77777777" w:rsidR="003B1155" w:rsidRPr="003B1155" w:rsidRDefault="003B1155" w:rsidP="003B1155">
            <w:pPr>
              <w:rPr>
                <w:lang w:val="en-IN"/>
              </w:rPr>
            </w:pPr>
            <w:r w:rsidRPr="003B1155">
              <w:rPr>
                <w:lang w:val="en-IN"/>
              </w:rPr>
              <w:t>200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2065388" w14:textId="77777777" w:rsidR="003B1155" w:rsidRPr="003B1155" w:rsidRDefault="003B1155" w:rsidP="003B1155">
            <w:pPr>
              <w:rPr>
                <w:lang w:val="en-IN"/>
              </w:rPr>
            </w:pPr>
            <w:r w:rsidRPr="003B1155">
              <w:rPr>
                <w:lang w:val="en-IN"/>
              </w:rPr>
              <w:t>150.0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7BF7A4C"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7C3930B" w14:textId="77777777" w:rsidR="003B1155" w:rsidRPr="003B1155" w:rsidRDefault="003B1155" w:rsidP="003B1155">
            <w:pPr>
              <w:rPr>
                <w:lang w:val="en-IN"/>
              </w:rPr>
            </w:pPr>
            <w:r w:rsidRPr="003B1155">
              <w:rPr>
                <w:lang w:val="en-IN"/>
              </w:rPr>
              <w:t>180.0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4ECFA3E"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248EFEC" w14:textId="77777777" w:rsidR="003B1155" w:rsidRPr="003B1155" w:rsidRDefault="003B1155" w:rsidP="003B1155">
            <w:pPr>
              <w:rPr>
                <w:lang w:val="en-IN"/>
              </w:rPr>
            </w:pPr>
            <w:r w:rsidRPr="003B1155">
              <w:rPr>
                <w:lang w:val="en-IN"/>
              </w:rPr>
              <w:t>169.7</w:t>
            </w:r>
          </w:p>
        </w:tc>
      </w:tr>
      <w:tr w:rsidR="003B1155" w:rsidRPr="003B1155" w14:paraId="3134911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3BC124C" w14:textId="77777777" w:rsidR="003B1155" w:rsidRPr="003B1155" w:rsidRDefault="003B1155" w:rsidP="003B1155">
            <w:pPr>
              <w:rPr>
                <w:lang w:val="en-IN"/>
              </w:rPr>
            </w:pPr>
            <w:r w:rsidRPr="003B1155">
              <w:rPr>
                <w:lang w:val="en-IN"/>
              </w:rPr>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116C1FA" w14:textId="77777777" w:rsidR="003B1155" w:rsidRPr="003B1155" w:rsidRDefault="003B1155" w:rsidP="003B1155">
            <w:pPr>
              <w:rPr>
                <w:lang w:val="en-IN"/>
              </w:rPr>
            </w:pPr>
            <w:r w:rsidRPr="003B1155">
              <w:rPr>
                <w:lang w:val="en-IN"/>
              </w:rPr>
              <w:t>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11C81E3" w14:textId="77777777" w:rsidR="003B1155" w:rsidRPr="003B1155" w:rsidRDefault="003B1155" w:rsidP="003B1155">
            <w:pPr>
              <w:rPr>
                <w:lang w:val="en-IN"/>
              </w:rPr>
            </w:pPr>
            <w:r w:rsidRPr="003B1155">
              <w:rPr>
                <w:lang w:val="en-IN"/>
              </w:rPr>
              <w:t>300.0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DAFDB25"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E771A0C" w14:textId="77777777" w:rsidR="003B1155" w:rsidRPr="003B1155" w:rsidRDefault="003B1155" w:rsidP="003B1155">
            <w:pPr>
              <w:rPr>
                <w:lang w:val="en-IN"/>
              </w:rPr>
            </w:pPr>
            <w:r w:rsidRPr="003B1155">
              <w:rPr>
                <w:lang w:val="en-IN"/>
              </w:rPr>
              <w:t>330.0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A2EFEBA"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7EEDA2B" w14:textId="77777777" w:rsidR="003B1155" w:rsidRPr="003B1155" w:rsidRDefault="003B1155" w:rsidP="003B1155">
            <w:pPr>
              <w:rPr>
                <w:lang w:val="en-IN"/>
              </w:rPr>
            </w:pPr>
            <w:r w:rsidRPr="003B1155">
              <w:rPr>
                <w:lang w:val="en-IN"/>
              </w:rPr>
              <w:t>293.7</w:t>
            </w:r>
          </w:p>
        </w:tc>
      </w:tr>
      <w:tr w:rsidR="003B1155" w:rsidRPr="003B1155" w14:paraId="0E44196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8AF07A8" w14:textId="77777777" w:rsidR="003B1155" w:rsidRPr="003B1155" w:rsidRDefault="003B1155" w:rsidP="003B1155">
            <w:pPr>
              <w:rPr>
                <w:lang w:val="en-IN"/>
              </w:rPr>
            </w:pPr>
            <w:r w:rsidRPr="003B1155">
              <w:rPr>
                <w:lang w:val="en-IN"/>
              </w:rPr>
              <w:lastRenderedPageBreak/>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DC58BDF" w14:textId="77777777" w:rsidR="003B1155" w:rsidRPr="003B1155" w:rsidRDefault="003B1155" w:rsidP="003B1155">
            <w:pPr>
              <w:rPr>
                <w:lang w:val="en-IN"/>
              </w:rPr>
            </w:pPr>
            <w:r w:rsidRPr="003B1155">
              <w:rPr>
                <w:lang w:val="en-IN"/>
              </w:rPr>
              <w:t>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E93F408" w14:textId="77777777" w:rsidR="003B1155" w:rsidRPr="003B1155" w:rsidRDefault="003B1155" w:rsidP="003B1155">
            <w:pPr>
              <w:rPr>
                <w:lang w:val="en-IN"/>
              </w:rPr>
            </w:pPr>
            <w:r w:rsidRPr="003B1155">
              <w:rPr>
                <w:lang w:val="en-IN"/>
              </w:rPr>
              <w:t>375.0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D05A0DD"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BF8FC7A" w14:textId="77777777" w:rsidR="003B1155" w:rsidRPr="003B1155" w:rsidRDefault="003B1155" w:rsidP="003B1155">
            <w:pPr>
              <w:rPr>
                <w:lang w:val="en-IN"/>
              </w:rPr>
            </w:pPr>
            <w:r w:rsidRPr="003B1155">
              <w:rPr>
                <w:lang w:val="en-IN"/>
              </w:rPr>
              <w:t>405.0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FAA505"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F997C59" w14:textId="77777777" w:rsidR="003B1155" w:rsidRPr="003B1155" w:rsidRDefault="003B1155" w:rsidP="003B1155">
            <w:pPr>
              <w:rPr>
                <w:lang w:val="en-IN"/>
              </w:rPr>
            </w:pPr>
            <w:r w:rsidRPr="003B1155">
              <w:rPr>
                <w:lang w:val="en-IN"/>
              </w:rPr>
              <w:t>340.2</w:t>
            </w:r>
          </w:p>
        </w:tc>
      </w:tr>
      <w:tr w:rsidR="003B1155" w:rsidRPr="003B1155" w14:paraId="6D320DAF"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58F71A9"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B085A27" w14:textId="77777777" w:rsidR="003B1155" w:rsidRPr="003B1155" w:rsidRDefault="003B1155" w:rsidP="003B1155">
            <w:pPr>
              <w:rPr>
                <w:lang w:val="en-IN"/>
              </w:rPr>
            </w:pPr>
            <w:r w:rsidRPr="003B1155">
              <w:rPr>
                <w:lang w:val="en-IN"/>
              </w:rPr>
              <w:t>700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A776A61" w14:textId="77777777" w:rsidR="003B1155" w:rsidRPr="003B1155" w:rsidRDefault="003B1155" w:rsidP="003B1155">
            <w:pPr>
              <w:rPr>
                <w:lang w:val="en-IN"/>
              </w:rPr>
            </w:pPr>
            <w:r w:rsidRPr="003B1155">
              <w:rPr>
                <w:lang w:val="en-IN"/>
              </w:rPr>
              <w:t>525.0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38C767"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746B528" w14:textId="77777777" w:rsidR="003B1155" w:rsidRPr="003B1155" w:rsidRDefault="003B1155" w:rsidP="003B1155">
            <w:pPr>
              <w:rPr>
                <w:lang w:val="en-IN"/>
              </w:rPr>
            </w:pPr>
            <w:r w:rsidRPr="003B1155">
              <w:rPr>
                <w:lang w:val="en-IN"/>
              </w:rPr>
              <w:t>555.0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EA06106"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B70470" w14:textId="77777777" w:rsidR="003B1155" w:rsidRPr="003B1155" w:rsidRDefault="003B1155" w:rsidP="003B1155">
            <w:pPr>
              <w:rPr>
                <w:lang w:val="en-IN"/>
              </w:rPr>
            </w:pPr>
            <w:r w:rsidRPr="003B1155">
              <w:rPr>
                <w:lang w:val="en-IN"/>
              </w:rPr>
              <w:t>439.6</w:t>
            </w:r>
          </w:p>
        </w:tc>
      </w:tr>
    </w:tbl>
    <w:p w14:paraId="3443D9FA" w14:textId="77777777" w:rsidR="003B1155" w:rsidRPr="003B1155" w:rsidRDefault="003B1155" w:rsidP="003B1155">
      <w:pPr>
        <w:rPr>
          <w:lang w:val="en-IN"/>
        </w:rPr>
      </w:pPr>
      <w:r w:rsidRPr="003B1155">
        <w:rPr>
          <w:lang w:val="en-IN"/>
        </w:rPr>
        <w:t xml:space="preserve">Total PV of inflows = </w:t>
      </w:r>
      <w:r w:rsidRPr="003B1155">
        <w:rPr>
          <w:b/>
          <w:bCs/>
          <w:lang w:val="en-IN"/>
        </w:rPr>
        <w:t>£1,243.2k</w:t>
      </w:r>
      <w:r w:rsidRPr="003B1155">
        <w:rPr>
          <w:lang w:val="en-IN"/>
        </w:rPr>
        <w:br/>
      </w:r>
      <w:r w:rsidRPr="003B1155">
        <w:rPr>
          <w:b/>
          <w:bCs/>
          <w:lang w:val="en-IN"/>
        </w:rPr>
        <w:t>NPV(A) = 1,243.2 – 600 = £643.2k</w:t>
      </w:r>
    </w:p>
    <w:p w14:paraId="2A0E18C6" w14:textId="77777777" w:rsidR="003B1155" w:rsidRPr="003B1155" w:rsidRDefault="003B1155" w:rsidP="003B1155">
      <w:pPr>
        <w:rPr>
          <w:lang w:val="en-IN"/>
        </w:rPr>
      </w:pPr>
      <w:r w:rsidRPr="003B1155">
        <w:rPr>
          <w:lang w:val="en-IN"/>
        </w:rPr>
        <w:t>Option A produces a strong positive NPV, indicating the expansion adds value and generates returns above the cost of capital. The cash flows are relatively moderate early on, improving significantly in later years.</w:t>
      </w:r>
    </w:p>
    <w:p w14:paraId="79D92C4F" w14:textId="37D6BC65" w:rsidR="003B1155" w:rsidRPr="003B1155" w:rsidRDefault="003B1155" w:rsidP="003B1155">
      <w:pPr>
        <w:rPr>
          <w:lang w:val="en-IN"/>
        </w:rPr>
      </w:pPr>
    </w:p>
    <w:p w14:paraId="69F02694" w14:textId="43201DCD" w:rsidR="003B1155" w:rsidRPr="003B1155" w:rsidRDefault="003B1155" w:rsidP="003B1155">
      <w:pPr>
        <w:pStyle w:val="Heading3"/>
        <w:numPr>
          <w:ilvl w:val="1"/>
          <w:numId w:val="32"/>
        </w:numPr>
        <w:rPr>
          <w:lang w:val="en-IN"/>
        </w:rPr>
      </w:pPr>
      <w:bookmarkStart w:id="32" w:name="_Toc219036417"/>
      <w:r w:rsidRPr="003B1155">
        <w:rPr>
          <w:lang w:val="en-IN"/>
        </w:rPr>
        <w:t>Option B – Develop Internet Sales</w:t>
      </w:r>
      <w:bookmarkEnd w:id="32"/>
    </w:p>
    <w:p w14:paraId="74E51D19" w14:textId="77777777" w:rsidR="003B1155" w:rsidRPr="003B1155" w:rsidRDefault="003B1155" w:rsidP="003B1155">
      <w:pPr>
        <w:rPr>
          <w:lang w:val="en-IN"/>
        </w:rPr>
      </w:pPr>
      <w:r w:rsidRPr="003B1155">
        <w:rPr>
          <w:lang w:val="en-IN"/>
        </w:rPr>
        <w:t xml:space="preserve">Initial cost: </w:t>
      </w:r>
      <w:r w:rsidRPr="003B1155">
        <w:rPr>
          <w:b/>
          <w:bCs/>
          <w:lang w:val="en-IN"/>
        </w:rPr>
        <w:t>£1,000,000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936"/>
        <w:gridCol w:w="1313"/>
        <w:gridCol w:w="703"/>
        <w:gridCol w:w="730"/>
        <w:gridCol w:w="668"/>
      </w:tblGrid>
      <w:tr w:rsidR="003B1155" w:rsidRPr="003B1155" w14:paraId="043A31BF" w14:textId="77777777">
        <w:trPr>
          <w:tblHeader/>
          <w:tblCellSpacing w:w="15" w:type="dxa"/>
        </w:trPr>
        <w:tc>
          <w:tcPr>
            <w:tcW w:w="0" w:type="auto"/>
            <w:vAlign w:val="center"/>
            <w:hideMark/>
          </w:tcPr>
          <w:p w14:paraId="149A3914" w14:textId="77777777" w:rsidR="003B1155" w:rsidRPr="003B1155" w:rsidRDefault="003B1155" w:rsidP="003B1155">
            <w:pPr>
              <w:rPr>
                <w:b/>
                <w:bCs/>
                <w:lang w:val="en-IN"/>
              </w:rPr>
            </w:pPr>
            <w:r w:rsidRPr="003B1155">
              <w:rPr>
                <w:b/>
                <w:bCs/>
                <w:lang w:val="en-IN"/>
              </w:rPr>
              <w:t>Year</w:t>
            </w:r>
          </w:p>
        </w:tc>
        <w:tc>
          <w:tcPr>
            <w:tcW w:w="0" w:type="auto"/>
            <w:vAlign w:val="center"/>
            <w:hideMark/>
          </w:tcPr>
          <w:p w14:paraId="7B8C6471"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53F63B62" w14:textId="77777777" w:rsidR="003B1155" w:rsidRPr="003B1155" w:rsidRDefault="003B1155" w:rsidP="003B1155">
            <w:pPr>
              <w:rPr>
                <w:b/>
                <w:bCs/>
                <w:lang w:val="en-IN"/>
              </w:rPr>
            </w:pPr>
            <w:r w:rsidRPr="003B1155">
              <w:rPr>
                <w:b/>
                <w:bCs/>
                <w:lang w:val="en-IN"/>
              </w:rPr>
              <w:t>After tax</w:t>
            </w:r>
          </w:p>
        </w:tc>
        <w:tc>
          <w:tcPr>
            <w:tcW w:w="0" w:type="auto"/>
            <w:vAlign w:val="center"/>
            <w:hideMark/>
          </w:tcPr>
          <w:p w14:paraId="28511404"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4979A921"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5B5A425C" w14:textId="77777777" w:rsidR="003B1155" w:rsidRPr="003B1155" w:rsidRDefault="003B1155" w:rsidP="003B1155">
            <w:pPr>
              <w:rPr>
                <w:b/>
                <w:bCs/>
                <w:lang w:val="en-IN"/>
              </w:rPr>
            </w:pPr>
            <w:r w:rsidRPr="003B1155">
              <w:rPr>
                <w:b/>
                <w:bCs/>
                <w:lang w:val="en-IN"/>
              </w:rPr>
              <w:t>DF 6%</w:t>
            </w:r>
          </w:p>
        </w:tc>
        <w:tc>
          <w:tcPr>
            <w:tcW w:w="0" w:type="auto"/>
            <w:vAlign w:val="center"/>
            <w:hideMark/>
          </w:tcPr>
          <w:p w14:paraId="30B0A86D" w14:textId="77777777" w:rsidR="003B1155" w:rsidRPr="003B1155" w:rsidRDefault="003B1155" w:rsidP="003B1155">
            <w:pPr>
              <w:rPr>
                <w:b/>
                <w:bCs/>
                <w:lang w:val="en-IN"/>
              </w:rPr>
            </w:pPr>
            <w:r w:rsidRPr="003B1155">
              <w:rPr>
                <w:b/>
                <w:bCs/>
                <w:lang w:val="en-IN"/>
              </w:rPr>
              <w:t>PV</w:t>
            </w:r>
          </w:p>
        </w:tc>
      </w:tr>
      <w:tr w:rsidR="003B1155" w:rsidRPr="003B1155" w14:paraId="4FC9E93A"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7931F30"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20541E" w14:textId="77777777" w:rsidR="003B1155" w:rsidRPr="003B1155" w:rsidRDefault="003B1155" w:rsidP="003B1155">
            <w:pPr>
              <w:rPr>
                <w:lang w:val="en-IN"/>
              </w:rPr>
            </w:pPr>
            <w:r w:rsidRPr="003B1155">
              <w:rPr>
                <w:lang w:val="en-IN"/>
              </w:rPr>
              <w:t>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D480160" w14:textId="77777777" w:rsidR="003B1155" w:rsidRPr="003B1155" w:rsidRDefault="003B1155" w:rsidP="003B1155">
            <w:pPr>
              <w:rPr>
                <w:lang w:val="en-IN"/>
              </w:rPr>
            </w:pPr>
            <w:r w:rsidRPr="003B1155">
              <w:rPr>
                <w:lang w:val="en-IN"/>
              </w:rPr>
              <w:t>300.0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E69B118"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7BBAACE" w14:textId="77777777" w:rsidR="003B1155" w:rsidRPr="003B1155" w:rsidRDefault="003B1155" w:rsidP="003B1155">
            <w:pPr>
              <w:rPr>
                <w:lang w:val="en-IN"/>
              </w:rPr>
            </w:pPr>
            <w:r w:rsidRPr="003B1155">
              <w:rPr>
                <w:lang w:val="en-IN"/>
              </w:rPr>
              <w:t>350.0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5946671"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92AF371" w14:textId="77777777" w:rsidR="003B1155" w:rsidRPr="003B1155" w:rsidRDefault="003B1155" w:rsidP="003B1155">
            <w:pPr>
              <w:rPr>
                <w:lang w:val="en-IN"/>
              </w:rPr>
            </w:pPr>
            <w:r w:rsidRPr="003B1155">
              <w:rPr>
                <w:lang w:val="en-IN"/>
              </w:rPr>
              <w:t>330.1</w:t>
            </w:r>
          </w:p>
        </w:tc>
      </w:tr>
      <w:tr w:rsidR="003B1155" w:rsidRPr="003B1155" w14:paraId="23FE6B82"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005323C" w14:textId="77777777" w:rsidR="003B1155" w:rsidRPr="003B1155" w:rsidRDefault="003B1155" w:rsidP="003B1155">
            <w:pPr>
              <w:rPr>
                <w:lang w:val="en-IN"/>
              </w:rPr>
            </w:pPr>
            <w:r w:rsidRPr="003B1155">
              <w:rPr>
                <w:lang w:val="en-IN"/>
              </w:rPr>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264EB4F" w14:textId="77777777" w:rsidR="003B1155" w:rsidRPr="003B1155" w:rsidRDefault="003B1155" w:rsidP="003B1155">
            <w:pPr>
              <w:rPr>
                <w:lang w:val="en-IN"/>
              </w:rPr>
            </w:pPr>
            <w:r w:rsidRPr="003B1155">
              <w:rPr>
                <w:lang w:val="en-IN"/>
              </w:rPr>
              <w:t>450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4A4026D" w14:textId="77777777" w:rsidR="003B1155" w:rsidRPr="003B1155" w:rsidRDefault="003B1155" w:rsidP="003B1155">
            <w:pPr>
              <w:rPr>
                <w:lang w:val="en-IN"/>
              </w:rPr>
            </w:pPr>
            <w:r w:rsidRPr="003B1155">
              <w:rPr>
                <w:lang w:val="en-IN"/>
              </w:rPr>
              <w:t>337.5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2FDE971"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1F13F5C" w14:textId="77777777" w:rsidR="003B1155" w:rsidRPr="003B1155" w:rsidRDefault="003B1155" w:rsidP="003B1155">
            <w:pPr>
              <w:rPr>
                <w:lang w:val="en-IN"/>
              </w:rPr>
            </w:pPr>
            <w:r w:rsidRPr="003B1155">
              <w:rPr>
                <w:lang w:val="en-IN"/>
              </w:rPr>
              <w:t>387.5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F1885CF"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AD261CA" w14:textId="77777777" w:rsidR="003B1155" w:rsidRPr="003B1155" w:rsidRDefault="003B1155" w:rsidP="003B1155">
            <w:pPr>
              <w:rPr>
                <w:lang w:val="en-IN"/>
              </w:rPr>
            </w:pPr>
            <w:r w:rsidRPr="003B1155">
              <w:rPr>
                <w:lang w:val="en-IN"/>
              </w:rPr>
              <w:t>344.9</w:t>
            </w:r>
          </w:p>
        </w:tc>
      </w:tr>
      <w:tr w:rsidR="003B1155" w:rsidRPr="003B1155" w14:paraId="205698C6"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6F2E12" w14:textId="77777777" w:rsidR="003B1155" w:rsidRPr="003B1155" w:rsidRDefault="003B1155" w:rsidP="003B1155">
            <w:pPr>
              <w:rPr>
                <w:lang w:val="en-IN"/>
              </w:rPr>
            </w:pPr>
            <w:r w:rsidRPr="003B1155">
              <w:rPr>
                <w:lang w:val="en-IN"/>
              </w:rPr>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E474C32" w14:textId="77777777" w:rsidR="003B1155" w:rsidRPr="003B1155" w:rsidRDefault="003B1155" w:rsidP="003B1155">
            <w:pPr>
              <w:rPr>
                <w:lang w:val="en-IN"/>
              </w:rPr>
            </w:pPr>
            <w:r w:rsidRPr="003B1155">
              <w:rPr>
                <w:lang w:val="en-IN"/>
              </w:rPr>
              <w:t>720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042E41F" w14:textId="77777777" w:rsidR="003B1155" w:rsidRPr="003B1155" w:rsidRDefault="003B1155" w:rsidP="003B1155">
            <w:pPr>
              <w:rPr>
                <w:lang w:val="en-IN"/>
              </w:rPr>
            </w:pPr>
            <w:r w:rsidRPr="003B1155">
              <w:rPr>
                <w:lang w:val="en-IN"/>
              </w:rPr>
              <w:t>540.0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1363774"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7FA2DD7" w14:textId="77777777" w:rsidR="003B1155" w:rsidRPr="003B1155" w:rsidRDefault="003B1155" w:rsidP="003B1155">
            <w:pPr>
              <w:rPr>
                <w:lang w:val="en-IN"/>
              </w:rPr>
            </w:pPr>
            <w:r w:rsidRPr="003B1155">
              <w:rPr>
                <w:lang w:val="en-IN"/>
              </w:rPr>
              <w:t>590.0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3BD6B06"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4BF7774" w14:textId="77777777" w:rsidR="003B1155" w:rsidRPr="003B1155" w:rsidRDefault="003B1155" w:rsidP="003B1155">
            <w:pPr>
              <w:rPr>
                <w:lang w:val="en-IN"/>
              </w:rPr>
            </w:pPr>
            <w:r w:rsidRPr="003B1155">
              <w:rPr>
                <w:lang w:val="en-IN"/>
              </w:rPr>
              <w:t>495.6</w:t>
            </w:r>
          </w:p>
        </w:tc>
      </w:tr>
      <w:tr w:rsidR="003B1155" w:rsidRPr="003B1155" w14:paraId="5B42453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52FB288"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1E0D3A4" w14:textId="77777777" w:rsidR="003B1155" w:rsidRPr="003B1155" w:rsidRDefault="003B1155" w:rsidP="003B1155">
            <w:pPr>
              <w:rPr>
                <w:lang w:val="en-IN"/>
              </w:rPr>
            </w:pPr>
            <w:r w:rsidRPr="003B1155">
              <w:rPr>
                <w:lang w:val="en-IN"/>
              </w:rPr>
              <w:t>980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23F1F4" w14:textId="77777777" w:rsidR="003B1155" w:rsidRPr="003B1155" w:rsidRDefault="003B1155" w:rsidP="003B1155">
            <w:pPr>
              <w:rPr>
                <w:lang w:val="en-IN"/>
              </w:rPr>
            </w:pPr>
            <w:r w:rsidRPr="003B1155">
              <w:rPr>
                <w:lang w:val="en-IN"/>
              </w:rPr>
              <w:t>735.0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305DA09"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8A652E" w14:textId="77777777" w:rsidR="003B1155" w:rsidRPr="003B1155" w:rsidRDefault="003B1155" w:rsidP="003B1155">
            <w:pPr>
              <w:rPr>
                <w:lang w:val="en-IN"/>
              </w:rPr>
            </w:pPr>
            <w:r w:rsidRPr="003B1155">
              <w:rPr>
                <w:lang w:val="en-IN"/>
              </w:rPr>
              <w:t>785.0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25894B7"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B4E05D3" w14:textId="77777777" w:rsidR="003B1155" w:rsidRPr="003B1155" w:rsidRDefault="003B1155" w:rsidP="003B1155">
            <w:pPr>
              <w:rPr>
                <w:lang w:val="en-IN"/>
              </w:rPr>
            </w:pPr>
            <w:r w:rsidRPr="003B1155">
              <w:rPr>
                <w:lang w:val="en-IN"/>
              </w:rPr>
              <w:t>621.1</w:t>
            </w:r>
          </w:p>
        </w:tc>
      </w:tr>
    </w:tbl>
    <w:p w14:paraId="18665FD2" w14:textId="77777777" w:rsidR="003B1155" w:rsidRPr="003B1155" w:rsidRDefault="003B1155" w:rsidP="003B1155">
      <w:pPr>
        <w:rPr>
          <w:lang w:val="en-IN"/>
        </w:rPr>
      </w:pPr>
      <w:r w:rsidRPr="003B1155">
        <w:rPr>
          <w:lang w:val="en-IN"/>
        </w:rPr>
        <w:t xml:space="preserve">Total PV of inflows = </w:t>
      </w:r>
      <w:r w:rsidRPr="003B1155">
        <w:rPr>
          <w:b/>
          <w:bCs/>
          <w:lang w:val="en-IN"/>
        </w:rPr>
        <w:t>£1,791.7k</w:t>
      </w:r>
      <w:r w:rsidRPr="003B1155">
        <w:rPr>
          <w:lang w:val="en-IN"/>
        </w:rPr>
        <w:br/>
      </w:r>
      <w:r w:rsidRPr="003B1155">
        <w:rPr>
          <w:b/>
          <w:bCs/>
          <w:lang w:val="en-IN"/>
        </w:rPr>
        <w:t>NPV(B) = 1,791.7 – 1,000 = £791.7k</w:t>
      </w:r>
    </w:p>
    <w:p w14:paraId="2A76B30A" w14:textId="77777777" w:rsidR="003B1155" w:rsidRPr="003B1155" w:rsidRDefault="003B1155" w:rsidP="003B1155">
      <w:pPr>
        <w:rPr>
          <w:lang w:val="en-IN"/>
        </w:rPr>
      </w:pPr>
      <w:r w:rsidRPr="003B1155">
        <w:rPr>
          <w:lang w:val="en-IN"/>
        </w:rPr>
        <w:t>Option B generates the highest NPV, suggesting the strongest value creation. This reflects high cash inflows, particularly in Years 3 and 4, consistent with scalability benefits from online sales growth.</w:t>
      </w:r>
    </w:p>
    <w:p w14:paraId="26BF3F81" w14:textId="77777777" w:rsidR="003B1155" w:rsidRPr="003B1155" w:rsidRDefault="00000000" w:rsidP="003B1155">
      <w:pPr>
        <w:rPr>
          <w:lang w:val="en-IN"/>
        </w:rPr>
      </w:pPr>
      <w:r>
        <w:rPr>
          <w:lang w:val="en-IN"/>
        </w:rPr>
        <w:pict w14:anchorId="4E7F88CF">
          <v:rect id="_x0000_i1025" style="width:0;height:1.5pt" o:hralign="center" o:hrstd="t" o:hr="t" fillcolor="#a0a0a0" stroked="f"/>
        </w:pict>
      </w:r>
    </w:p>
    <w:p w14:paraId="03E20337" w14:textId="369EC7F2" w:rsidR="003B1155" w:rsidRPr="003B1155" w:rsidRDefault="003B1155" w:rsidP="003B1155">
      <w:pPr>
        <w:pStyle w:val="Heading3"/>
        <w:numPr>
          <w:ilvl w:val="1"/>
          <w:numId w:val="32"/>
        </w:numPr>
        <w:rPr>
          <w:lang w:val="en-IN"/>
        </w:rPr>
      </w:pPr>
      <w:bookmarkStart w:id="33" w:name="_Toc219036418"/>
      <w:r w:rsidRPr="003B1155">
        <w:rPr>
          <w:lang w:val="en-IN"/>
        </w:rPr>
        <w:t>Option C – Produce Wooden &amp; Roman Blinds</w:t>
      </w:r>
      <w:bookmarkEnd w:id="33"/>
    </w:p>
    <w:p w14:paraId="5A91A0FC" w14:textId="77777777" w:rsidR="003B1155" w:rsidRPr="003B1155" w:rsidRDefault="003B1155" w:rsidP="003B1155">
      <w:pPr>
        <w:rPr>
          <w:lang w:val="en-IN"/>
        </w:rPr>
      </w:pPr>
      <w:r w:rsidRPr="003B1155">
        <w:rPr>
          <w:lang w:val="en-IN"/>
        </w:rPr>
        <w:t xml:space="preserve">Initial cost: </w:t>
      </w:r>
      <w:r w:rsidRPr="003B1155">
        <w:rPr>
          <w:b/>
          <w:bCs/>
          <w:lang w:val="en-IN"/>
        </w:rPr>
        <w:t>£1,600,000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936"/>
        <w:gridCol w:w="1313"/>
        <w:gridCol w:w="703"/>
        <w:gridCol w:w="730"/>
        <w:gridCol w:w="668"/>
      </w:tblGrid>
      <w:tr w:rsidR="003B1155" w:rsidRPr="003B1155" w14:paraId="41B108D5" w14:textId="77777777">
        <w:trPr>
          <w:tblHeader/>
          <w:tblCellSpacing w:w="15" w:type="dxa"/>
        </w:trPr>
        <w:tc>
          <w:tcPr>
            <w:tcW w:w="0" w:type="auto"/>
            <w:vAlign w:val="center"/>
            <w:hideMark/>
          </w:tcPr>
          <w:p w14:paraId="1FD9CCC0" w14:textId="77777777" w:rsidR="003B1155" w:rsidRPr="003B1155" w:rsidRDefault="003B1155" w:rsidP="003B1155">
            <w:pPr>
              <w:rPr>
                <w:b/>
                <w:bCs/>
                <w:lang w:val="en-IN"/>
              </w:rPr>
            </w:pPr>
            <w:r w:rsidRPr="003B1155">
              <w:rPr>
                <w:b/>
                <w:bCs/>
                <w:lang w:val="en-IN"/>
              </w:rPr>
              <w:t>Year</w:t>
            </w:r>
          </w:p>
        </w:tc>
        <w:tc>
          <w:tcPr>
            <w:tcW w:w="0" w:type="auto"/>
            <w:vAlign w:val="center"/>
            <w:hideMark/>
          </w:tcPr>
          <w:p w14:paraId="01909621"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22DC2231" w14:textId="77777777" w:rsidR="003B1155" w:rsidRPr="003B1155" w:rsidRDefault="003B1155" w:rsidP="003B1155">
            <w:pPr>
              <w:rPr>
                <w:b/>
                <w:bCs/>
                <w:lang w:val="en-IN"/>
              </w:rPr>
            </w:pPr>
            <w:r w:rsidRPr="003B1155">
              <w:rPr>
                <w:b/>
                <w:bCs/>
                <w:lang w:val="en-IN"/>
              </w:rPr>
              <w:t>After tax</w:t>
            </w:r>
          </w:p>
        </w:tc>
        <w:tc>
          <w:tcPr>
            <w:tcW w:w="0" w:type="auto"/>
            <w:vAlign w:val="center"/>
            <w:hideMark/>
          </w:tcPr>
          <w:p w14:paraId="72188019"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30F743AB"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18EBCDAA" w14:textId="77777777" w:rsidR="003B1155" w:rsidRPr="003B1155" w:rsidRDefault="003B1155" w:rsidP="003B1155">
            <w:pPr>
              <w:rPr>
                <w:b/>
                <w:bCs/>
                <w:lang w:val="en-IN"/>
              </w:rPr>
            </w:pPr>
            <w:r w:rsidRPr="003B1155">
              <w:rPr>
                <w:b/>
                <w:bCs/>
                <w:lang w:val="en-IN"/>
              </w:rPr>
              <w:t>DF 6%</w:t>
            </w:r>
          </w:p>
        </w:tc>
        <w:tc>
          <w:tcPr>
            <w:tcW w:w="0" w:type="auto"/>
            <w:vAlign w:val="center"/>
            <w:hideMark/>
          </w:tcPr>
          <w:p w14:paraId="293DC4BB" w14:textId="77777777" w:rsidR="003B1155" w:rsidRPr="003B1155" w:rsidRDefault="003B1155" w:rsidP="003B1155">
            <w:pPr>
              <w:rPr>
                <w:b/>
                <w:bCs/>
                <w:lang w:val="en-IN"/>
              </w:rPr>
            </w:pPr>
            <w:r w:rsidRPr="003B1155">
              <w:rPr>
                <w:b/>
                <w:bCs/>
                <w:lang w:val="en-IN"/>
              </w:rPr>
              <w:t>PV</w:t>
            </w:r>
          </w:p>
        </w:tc>
      </w:tr>
      <w:tr w:rsidR="003B1155" w:rsidRPr="003B1155" w14:paraId="1BF2357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FACB77C"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007DD4C" w14:textId="77777777" w:rsidR="003B1155" w:rsidRPr="003B1155" w:rsidRDefault="003B1155" w:rsidP="003B1155">
            <w:pPr>
              <w:rPr>
                <w:lang w:val="en-IN"/>
              </w:rPr>
            </w:pPr>
            <w:r w:rsidRPr="003B1155">
              <w:rPr>
                <w:lang w:val="en-IN"/>
              </w:rPr>
              <w:t>450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8C190DD" w14:textId="77777777" w:rsidR="003B1155" w:rsidRPr="003B1155" w:rsidRDefault="003B1155" w:rsidP="003B1155">
            <w:pPr>
              <w:rPr>
                <w:lang w:val="en-IN"/>
              </w:rPr>
            </w:pPr>
            <w:r w:rsidRPr="003B1155">
              <w:rPr>
                <w:lang w:val="en-IN"/>
              </w:rPr>
              <w:t>337.5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4DF497A"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51282F9" w14:textId="77777777" w:rsidR="003B1155" w:rsidRPr="003B1155" w:rsidRDefault="003B1155" w:rsidP="003B1155">
            <w:pPr>
              <w:rPr>
                <w:lang w:val="en-IN"/>
              </w:rPr>
            </w:pPr>
            <w:r w:rsidRPr="003B1155">
              <w:rPr>
                <w:lang w:val="en-IN"/>
              </w:rPr>
              <w:t>417.5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2374008"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CA047E0" w14:textId="77777777" w:rsidR="003B1155" w:rsidRPr="003B1155" w:rsidRDefault="003B1155" w:rsidP="003B1155">
            <w:pPr>
              <w:rPr>
                <w:lang w:val="en-IN"/>
              </w:rPr>
            </w:pPr>
            <w:r w:rsidRPr="003B1155">
              <w:rPr>
                <w:lang w:val="en-IN"/>
              </w:rPr>
              <w:t>393.7</w:t>
            </w:r>
          </w:p>
        </w:tc>
      </w:tr>
      <w:tr w:rsidR="003B1155" w:rsidRPr="003B1155" w14:paraId="6D9B4B09"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5F9EEF2" w14:textId="77777777" w:rsidR="003B1155" w:rsidRPr="003B1155" w:rsidRDefault="003B1155" w:rsidP="003B1155">
            <w:pPr>
              <w:rPr>
                <w:lang w:val="en-IN"/>
              </w:rPr>
            </w:pPr>
            <w:r w:rsidRPr="003B1155">
              <w:rPr>
                <w:lang w:val="en-IN"/>
              </w:rPr>
              <w:lastRenderedPageBreak/>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0509626" w14:textId="77777777" w:rsidR="003B1155" w:rsidRPr="003B1155" w:rsidRDefault="003B1155" w:rsidP="003B1155">
            <w:pPr>
              <w:rPr>
                <w:lang w:val="en-IN"/>
              </w:rPr>
            </w:pPr>
            <w:r w:rsidRPr="003B1155">
              <w:rPr>
                <w:lang w:val="en-IN"/>
              </w:rPr>
              <w:t>700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E9D20A6" w14:textId="77777777" w:rsidR="003B1155" w:rsidRPr="003B1155" w:rsidRDefault="003B1155" w:rsidP="003B1155">
            <w:pPr>
              <w:rPr>
                <w:lang w:val="en-IN"/>
              </w:rPr>
            </w:pPr>
            <w:r w:rsidRPr="003B1155">
              <w:rPr>
                <w:lang w:val="en-IN"/>
              </w:rPr>
              <w:t>525.0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CFA48E9"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8CBECDC" w14:textId="77777777" w:rsidR="003B1155" w:rsidRPr="003B1155" w:rsidRDefault="003B1155" w:rsidP="003B1155">
            <w:pPr>
              <w:rPr>
                <w:lang w:val="en-IN"/>
              </w:rPr>
            </w:pPr>
            <w:r w:rsidRPr="003B1155">
              <w:rPr>
                <w:lang w:val="en-IN"/>
              </w:rPr>
              <w:t>605.0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24A8212"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F6CD7AF" w14:textId="77777777" w:rsidR="003B1155" w:rsidRPr="003B1155" w:rsidRDefault="003B1155" w:rsidP="003B1155">
            <w:pPr>
              <w:rPr>
                <w:lang w:val="en-IN"/>
              </w:rPr>
            </w:pPr>
            <w:r w:rsidRPr="003B1155">
              <w:rPr>
                <w:lang w:val="en-IN"/>
              </w:rPr>
              <w:t>538.5</w:t>
            </w:r>
          </w:p>
        </w:tc>
      </w:tr>
      <w:tr w:rsidR="003B1155" w:rsidRPr="003B1155" w14:paraId="67AB8EC3"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99A78C6" w14:textId="77777777" w:rsidR="003B1155" w:rsidRPr="003B1155" w:rsidRDefault="003B1155" w:rsidP="003B1155">
            <w:pPr>
              <w:rPr>
                <w:lang w:val="en-IN"/>
              </w:rPr>
            </w:pPr>
            <w:r w:rsidRPr="003B1155">
              <w:rPr>
                <w:lang w:val="en-IN"/>
              </w:rPr>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6184256" w14:textId="77777777" w:rsidR="003B1155" w:rsidRPr="003B1155" w:rsidRDefault="003B1155" w:rsidP="003B1155">
            <w:pPr>
              <w:rPr>
                <w:lang w:val="en-IN"/>
              </w:rPr>
            </w:pPr>
            <w:r w:rsidRPr="003B1155">
              <w:rPr>
                <w:lang w:val="en-IN"/>
              </w:rPr>
              <w:t>900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BB5A133" w14:textId="77777777" w:rsidR="003B1155" w:rsidRPr="003B1155" w:rsidRDefault="003B1155" w:rsidP="003B1155">
            <w:pPr>
              <w:rPr>
                <w:lang w:val="en-IN"/>
              </w:rPr>
            </w:pPr>
            <w:r w:rsidRPr="003B1155">
              <w:rPr>
                <w:lang w:val="en-IN"/>
              </w:rPr>
              <w:t>675.0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1F61810"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906054A" w14:textId="77777777" w:rsidR="003B1155" w:rsidRPr="003B1155" w:rsidRDefault="003B1155" w:rsidP="003B1155">
            <w:pPr>
              <w:rPr>
                <w:lang w:val="en-IN"/>
              </w:rPr>
            </w:pPr>
            <w:r w:rsidRPr="003B1155">
              <w:rPr>
                <w:lang w:val="en-IN"/>
              </w:rPr>
              <w:t>755.0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705BBCE"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029218" w14:textId="77777777" w:rsidR="003B1155" w:rsidRPr="003B1155" w:rsidRDefault="003B1155" w:rsidP="003B1155">
            <w:pPr>
              <w:rPr>
                <w:lang w:val="en-IN"/>
              </w:rPr>
            </w:pPr>
            <w:r w:rsidRPr="003B1155">
              <w:rPr>
                <w:lang w:val="en-IN"/>
              </w:rPr>
              <w:t>634.2</w:t>
            </w:r>
          </w:p>
        </w:tc>
      </w:tr>
      <w:tr w:rsidR="003B1155" w:rsidRPr="003B1155" w14:paraId="27013D14"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B90CC58"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CFC2F53" w14:textId="77777777" w:rsidR="003B1155" w:rsidRPr="003B1155" w:rsidRDefault="003B1155" w:rsidP="003B1155">
            <w:pPr>
              <w:rPr>
                <w:lang w:val="en-IN"/>
              </w:rPr>
            </w:pPr>
            <w:r w:rsidRPr="003B1155">
              <w:rPr>
                <w:lang w:val="en-IN"/>
              </w:rPr>
              <w:t>1200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1B05773" w14:textId="77777777" w:rsidR="003B1155" w:rsidRPr="003B1155" w:rsidRDefault="003B1155" w:rsidP="003B1155">
            <w:pPr>
              <w:rPr>
                <w:lang w:val="en-IN"/>
              </w:rPr>
            </w:pPr>
            <w:r w:rsidRPr="003B1155">
              <w:rPr>
                <w:lang w:val="en-IN"/>
              </w:rPr>
              <w:t>900.0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5179784"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51C7A66" w14:textId="77777777" w:rsidR="003B1155" w:rsidRPr="003B1155" w:rsidRDefault="003B1155" w:rsidP="003B1155">
            <w:pPr>
              <w:rPr>
                <w:lang w:val="en-IN"/>
              </w:rPr>
            </w:pPr>
            <w:r w:rsidRPr="003B1155">
              <w:rPr>
                <w:lang w:val="en-IN"/>
              </w:rPr>
              <w:t>980.0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0904D8F"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AFC2AC3" w14:textId="77777777" w:rsidR="003B1155" w:rsidRPr="003B1155" w:rsidRDefault="003B1155" w:rsidP="003B1155">
            <w:pPr>
              <w:rPr>
                <w:lang w:val="en-IN"/>
              </w:rPr>
            </w:pPr>
            <w:r w:rsidRPr="003B1155">
              <w:rPr>
                <w:lang w:val="en-IN"/>
              </w:rPr>
              <w:t>776.2</w:t>
            </w:r>
          </w:p>
        </w:tc>
      </w:tr>
    </w:tbl>
    <w:p w14:paraId="7590F19E" w14:textId="77777777" w:rsidR="003B1155" w:rsidRPr="003B1155" w:rsidRDefault="003B1155" w:rsidP="003B1155">
      <w:pPr>
        <w:rPr>
          <w:lang w:val="en-IN"/>
        </w:rPr>
      </w:pPr>
      <w:r w:rsidRPr="003B1155">
        <w:rPr>
          <w:lang w:val="en-IN"/>
        </w:rPr>
        <w:t xml:space="preserve">Total PV of inflows = </w:t>
      </w:r>
      <w:r w:rsidRPr="003B1155">
        <w:rPr>
          <w:b/>
          <w:bCs/>
          <w:lang w:val="en-IN"/>
        </w:rPr>
        <w:t>£2,342.6k</w:t>
      </w:r>
      <w:r w:rsidRPr="003B1155">
        <w:rPr>
          <w:lang w:val="en-IN"/>
        </w:rPr>
        <w:br/>
      </w:r>
      <w:r w:rsidRPr="003B1155">
        <w:rPr>
          <w:b/>
          <w:bCs/>
          <w:lang w:val="en-IN"/>
        </w:rPr>
        <w:t>NPV(C) = 2,342.6 – 1,600 = £742.6k</w:t>
      </w:r>
    </w:p>
    <w:p w14:paraId="428D2040" w14:textId="2C4BE0CF" w:rsidR="003B1155" w:rsidRPr="003B1155" w:rsidRDefault="003B1155" w:rsidP="003B1155">
      <w:pPr>
        <w:rPr>
          <w:lang w:val="en-IN"/>
        </w:rPr>
      </w:pPr>
      <w:r w:rsidRPr="003B1155">
        <w:rPr>
          <w:lang w:val="en-IN"/>
        </w:rPr>
        <w:t>Option C generates strong cash inflows but requires the highest initial investment. Its NPV is positive and high, but the scale of investment also increases operational and execution risk</w:t>
      </w:r>
      <w:r>
        <w:rPr>
          <w:lang w:val="en-IN"/>
        </w:rPr>
        <w:t>.</w:t>
      </w:r>
    </w:p>
    <w:p w14:paraId="521A2699" w14:textId="77777777" w:rsidR="003B1155" w:rsidRDefault="00000000" w:rsidP="003B1155">
      <w:pPr>
        <w:pStyle w:val="Heading1"/>
        <w:numPr>
          <w:ilvl w:val="0"/>
          <w:numId w:val="32"/>
        </w:numPr>
      </w:pPr>
      <w:bookmarkStart w:id="34" w:name="_Toc219036419"/>
      <w:r>
        <w:t>Recommendation Based on NPV Results</w:t>
      </w:r>
      <w:bookmarkEnd w:id="34"/>
    </w:p>
    <w:p w14:paraId="23AF16B8" w14:textId="77777777" w:rsidR="003B1155" w:rsidRPr="003B1155" w:rsidRDefault="003B1155" w:rsidP="003B1155">
      <w:pPr>
        <w:rPr>
          <w:lang w:val="en-IN"/>
        </w:rPr>
      </w:pPr>
      <w:r w:rsidRPr="003B1155">
        <w:rPr>
          <w:lang w:val="en-IN"/>
        </w:rPr>
        <w:t>The NPV appraisal indicates that all three options are financially viable because each project generates a positive NPV when discounted at Westward Plc’s cost of capital of 6%. This means each investment is expected to generate returns above the minimum required rate, adding value to the organisation and supporting shareholder wealth creation.</w:t>
      </w:r>
    </w:p>
    <w:p w14:paraId="0F0763DE" w14:textId="77777777" w:rsidR="003B1155" w:rsidRPr="003B1155" w:rsidRDefault="003B1155" w:rsidP="003B1155">
      <w:pPr>
        <w:rPr>
          <w:lang w:val="en-IN"/>
        </w:rPr>
      </w:pPr>
      <w:r w:rsidRPr="003B1155">
        <w:rPr>
          <w:lang w:val="en-IN"/>
        </w:rPr>
        <w:t>However, the projects differ in the level of value created. The calculated NPVs are:</w:t>
      </w:r>
    </w:p>
    <w:p w14:paraId="298EF904" w14:textId="77777777" w:rsidR="003B1155" w:rsidRPr="003B1155" w:rsidRDefault="003B1155" w:rsidP="003B1155">
      <w:pPr>
        <w:numPr>
          <w:ilvl w:val="0"/>
          <w:numId w:val="37"/>
        </w:numPr>
        <w:rPr>
          <w:lang w:val="en-IN"/>
        </w:rPr>
      </w:pPr>
      <w:r w:rsidRPr="003B1155">
        <w:rPr>
          <w:b/>
          <w:bCs/>
          <w:lang w:val="en-IN"/>
        </w:rPr>
        <w:t>Option B (Internet Sales Development): £791.7k</w:t>
      </w:r>
    </w:p>
    <w:p w14:paraId="6CF3DF39" w14:textId="77777777" w:rsidR="003B1155" w:rsidRPr="003B1155" w:rsidRDefault="003B1155" w:rsidP="003B1155">
      <w:pPr>
        <w:numPr>
          <w:ilvl w:val="0"/>
          <w:numId w:val="37"/>
        </w:numPr>
        <w:rPr>
          <w:lang w:val="en-IN"/>
        </w:rPr>
      </w:pPr>
      <w:r w:rsidRPr="003B1155">
        <w:rPr>
          <w:b/>
          <w:bCs/>
          <w:lang w:val="en-IN"/>
        </w:rPr>
        <w:t>Option C (Wooden &amp; Roman Blinds): £742.6k</w:t>
      </w:r>
    </w:p>
    <w:p w14:paraId="62C78691" w14:textId="77777777" w:rsidR="003B1155" w:rsidRPr="003B1155" w:rsidRDefault="003B1155" w:rsidP="003B1155">
      <w:pPr>
        <w:numPr>
          <w:ilvl w:val="0"/>
          <w:numId w:val="37"/>
        </w:numPr>
        <w:rPr>
          <w:lang w:val="en-IN"/>
        </w:rPr>
      </w:pPr>
      <w:r w:rsidRPr="003B1155">
        <w:rPr>
          <w:b/>
          <w:bCs/>
          <w:lang w:val="en-IN"/>
        </w:rPr>
        <w:t>Option A (Retail Expansion): £643.2k</w:t>
      </w:r>
    </w:p>
    <w:p w14:paraId="1B824211" w14:textId="77777777" w:rsidR="003B1155" w:rsidRPr="003B1155" w:rsidRDefault="003B1155" w:rsidP="003B1155">
      <w:pPr>
        <w:rPr>
          <w:lang w:val="en-IN"/>
        </w:rPr>
      </w:pPr>
      <w:r w:rsidRPr="003B1155">
        <w:rPr>
          <w:lang w:val="en-IN"/>
        </w:rPr>
        <w:t xml:space="preserve">Based on the decision rule of selecting the option with the </w:t>
      </w:r>
      <w:r w:rsidRPr="003B1155">
        <w:rPr>
          <w:b/>
          <w:bCs/>
          <w:lang w:val="en-IN"/>
        </w:rPr>
        <w:t>highest positive NPV</w:t>
      </w:r>
      <w:r w:rsidRPr="003B1155">
        <w:rPr>
          <w:lang w:val="en-IN"/>
        </w:rPr>
        <w:t xml:space="preserve">, </w:t>
      </w:r>
      <w:r w:rsidRPr="003B1155">
        <w:rPr>
          <w:b/>
          <w:bCs/>
          <w:lang w:val="en-IN"/>
        </w:rPr>
        <w:t>Option B</w:t>
      </w:r>
      <w:r w:rsidRPr="003B1155">
        <w:rPr>
          <w:lang w:val="en-IN"/>
        </w:rPr>
        <w:t xml:space="preserve"> should be recommended as the best single investment choice. This option not only creates the greatest financial value, but also aligns strongly with modern consumer purchasing behaviour, where online shopping continues to expand rapidly. In strategic terms, online sales channels provide scalability, increased market coverage beyond physical store limitations, and improved long-term growth potential if implemented effectively.</w:t>
      </w:r>
    </w:p>
    <w:p w14:paraId="6F2D5466" w14:textId="77777777" w:rsidR="003B1155" w:rsidRPr="003B1155" w:rsidRDefault="003B1155" w:rsidP="003B1155">
      <w:pPr>
        <w:rPr>
          <w:lang w:val="en-IN"/>
        </w:rPr>
      </w:pPr>
      <w:r w:rsidRPr="003B1155">
        <w:rPr>
          <w:lang w:val="en-IN"/>
        </w:rPr>
        <w:t>While Option C provides high cash inflows and a strong NPV, it involves the largest upfront cost (£1.6m) and may introduce additional operational complexity (new product manufacturing, sourcing, and specialised production). Option A is the lowest risk financially due to the smallest investment requirement but produces the lowest NPV of the three.</w:t>
      </w:r>
    </w:p>
    <w:p w14:paraId="758711E1" w14:textId="6DB30EAA" w:rsidR="003B1155" w:rsidRPr="003B1155" w:rsidRDefault="003B1155" w:rsidP="003B1155">
      <w:pPr>
        <w:rPr>
          <w:lang w:val="en-IN"/>
        </w:rPr>
      </w:pPr>
      <w:r w:rsidRPr="003B1155">
        <w:rPr>
          <w:lang w:val="en-IN"/>
        </w:rPr>
        <w:t xml:space="preserve">Therefore, </w:t>
      </w:r>
      <w:r w:rsidRPr="003B1155">
        <w:rPr>
          <w:b/>
          <w:bCs/>
          <w:lang w:val="en-IN"/>
        </w:rPr>
        <w:t>Option B is recommended</w:t>
      </w:r>
      <w:r w:rsidRPr="003B1155">
        <w:rPr>
          <w:lang w:val="en-IN"/>
        </w:rPr>
        <w:t xml:space="preserve"> as it provides the strongest balance of value creation and strategic opportunity.</w:t>
      </w:r>
    </w:p>
    <w:p w14:paraId="43371570" w14:textId="77777777" w:rsidR="003B1155" w:rsidRDefault="00000000" w:rsidP="003B1155">
      <w:pPr>
        <w:pStyle w:val="Heading1"/>
        <w:numPr>
          <w:ilvl w:val="0"/>
          <w:numId w:val="32"/>
        </w:numPr>
      </w:pPr>
      <w:bookmarkStart w:id="35" w:name="_Toc219036420"/>
      <w:r>
        <w:lastRenderedPageBreak/>
        <w:t>Internal Rate of Return (IRR) for the Recommended Option</w:t>
      </w:r>
      <w:bookmarkEnd w:id="35"/>
    </w:p>
    <w:p w14:paraId="3096ACAF" w14:textId="77777777" w:rsidR="00D2600E" w:rsidRPr="00D2600E" w:rsidRDefault="00D2600E" w:rsidP="00D2600E">
      <w:pPr>
        <w:rPr>
          <w:lang w:val="en-IN"/>
        </w:rPr>
      </w:pPr>
      <w:r w:rsidRPr="00D2600E">
        <w:rPr>
          <w:lang w:val="en-IN"/>
        </w:rPr>
        <w:t xml:space="preserve">Following the NPV appraisal, </w:t>
      </w:r>
      <w:r w:rsidRPr="00D2600E">
        <w:rPr>
          <w:b/>
          <w:bCs/>
          <w:lang w:val="en-IN"/>
        </w:rPr>
        <w:t>Option B (Internet Sales Development)</w:t>
      </w:r>
      <w:r w:rsidRPr="00D2600E">
        <w:rPr>
          <w:lang w:val="en-IN"/>
        </w:rPr>
        <w:t xml:space="preserve"> is recommended as the preferred project. To provide further insight into the project’s expected return, the </w:t>
      </w:r>
      <w:r w:rsidRPr="00D2600E">
        <w:rPr>
          <w:b/>
          <w:bCs/>
          <w:lang w:val="en-IN"/>
        </w:rPr>
        <w:t>Internal Rate of Return (IRR)</w:t>
      </w:r>
      <w:r w:rsidRPr="00D2600E">
        <w:rPr>
          <w:lang w:val="en-IN"/>
        </w:rPr>
        <w:t xml:space="preserve"> is estimated. The IRR is defined as the discount rate at which the project’s </w:t>
      </w:r>
      <w:r w:rsidRPr="00D2600E">
        <w:rPr>
          <w:b/>
          <w:bCs/>
          <w:lang w:val="en-IN"/>
        </w:rPr>
        <w:t>NPV equals zero</w:t>
      </w:r>
      <w:r w:rsidRPr="00D2600E">
        <w:rPr>
          <w:lang w:val="en-IN"/>
        </w:rPr>
        <w:t>, meaning the present value of cash inflows equals the initial investment.</w:t>
      </w:r>
    </w:p>
    <w:p w14:paraId="1F6B73FE" w14:textId="77777777" w:rsidR="00D2600E" w:rsidRPr="00D2600E" w:rsidRDefault="00D2600E" w:rsidP="00D2600E">
      <w:pPr>
        <w:rPr>
          <w:lang w:val="en-IN"/>
        </w:rPr>
      </w:pPr>
      <w:r w:rsidRPr="00D2600E">
        <w:rPr>
          <w:lang w:val="en-IN"/>
        </w:rPr>
        <w:t>The decision rule for IRR is:</w:t>
      </w:r>
    </w:p>
    <w:p w14:paraId="784D9683" w14:textId="77777777" w:rsidR="00D2600E" w:rsidRPr="00D2600E" w:rsidRDefault="00D2600E" w:rsidP="00D2600E">
      <w:pPr>
        <w:numPr>
          <w:ilvl w:val="0"/>
          <w:numId w:val="38"/>
        </w:numPr>
        <w:rPr>
          <w:lang w:val="en-IN"/>
        </w:rPr>
      </w:pPr>
      <w:r w:rsidRPr="00D2600E">
        <w:rPr>
          <w:b/>
          <w:bCs/>
          <w:lang w:val="en-IN"/>
        </w:rPr>
        <w:t>If IRR &gt; Cost of capital (6%) → Accept</w:t>
      </w:r>
    </w:p>
    <w:p w14:paraId="5394051E" w14:textId="77777777" w:rsidR="00D2600E" w:rsidRPr="00D2600E" w:rsidRDefault="00D2600E" w:rsidP="00D2600E">
      <w:pPr>
        <w:numPr>
          <w:ilvl w:val="0"/>
          <w:numId w:val="38"/>
        </w:numPr>
        <w:rPr>
          <w:lang w:val="en-IN"/>
        </w:rPr>
      </w:pPr>
      <w:r w:rsidRPr="00D2600E">
        <w:rPr>
          <w:b/>
          <w:bCs/>
          <w:lang w:val="en-IN"/>
        </w:rPr>
        <w:t>If IRR &lt; Cost of capital (6%) → Reject</w:t>
      </w:r>
    </w:p>
    <w:p w14:paraId="70952E88" w14:textId="77777777" w:rsidR="00D2600E" w:rsidRPr="00D2600E" w:rsidRDefault="00D2600E" w:rsidP="00D2600E">
      <w:pPr>
        <w:rPr>
          <w:lang w:val="en-IN"/>
        </w:rPr>
      </w:pPr>
      <w:r w:rsidRPr="00D2600E">
        <w:rPr>
          <w:lang w:val="en-IN"/>
        </w:rPr>
        <w:t>To estimate IRR, two trial discount rates are applied. Based on recalculated results:</w:t>
      </w:r>
    </w:p>
    <w:p w14:paraId="2627010F"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6%</w:t>
      </w:r>
      <w:r w:rsidRPr="00D2600E">
        <w:rPr>
          <w:lang w:val="en-IN"/>
        </w:rPr>
        <w:t xml:space="preserve">, the NPV of Option B = </w:t>
      </w:r>
      <w:r w:rsidRPr="00D2600E">
        <w:rPr>
          <w:b/>
          <w:bCs/>
          <w:lang w:val="en-IN"/>
        </w:rPr>
        <w:t>+£791.7k</w:t>
      </w:r>
    </w:p>
    <w:p w14:paraId="4160546C"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20%</w:t>
      </w:r>
      <w:r w:rsidRPr="00D2600E">
        <w:rPr>
          <w:lang w:val="en-IN"/>
        </w:rPr>
        <w:t xml:space="preserve">, approximate recalculated NPV ≈ </w:t>
      </w:r>
      <w:r w:rsidRPr="00D2600E">
        <w:rPr>
          <w:b/>
          <w:bCs/>
          <w:lang w:val="en-IN"/>
        </w:rPr>
        <w:t>+£120k</w:t>
      </w:r>
    </w:p>
    <w:p w14:paraId="27938103"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25%</w:t>
      </w:r>
      <w:r w:rsidRPr="00D2600E">
        <w:rPr>
          <w:lang w:val="en-IN"/>
        </w:rPr>
        <w:t xml:space="preserve">, approximate recalculated NPV ≈ </w:t>
      </w:r>
      <w:r w:rsidRPr="00D2600E">
        <w:rPr>
          <w:b/>
          <w:bCs/>
          <w:lang w:val="en-IN"/>
        </w:rPr>
        <w:t>–£150k</w:t>
      </w:r>
    </w:p>
    <w:p w14:paraId="60C91865" w14:textId="77777777" w:rsidR="00D2600E" w:rsidRPr="00D2600E" w:rsidRDefault="00D2600E" w:rsidP="00D2600E">
      <w:pPr>
        <w:rPr>
          <w:lang w:val="en-IN"/>
        </w:rPr>
      </w:pPr>
      <w:r w:rsidRPr="00D2600E">
        <w:rPr>
          <w:lang w:val="en-IN"/>
        </w:rPr>
        <w:t>Since the NPV changes from positive to negative between 20% and 25%, the IRR lies between these two discount rates. IRR can be estimated using linear interpolation:</w:t>
      </w:r>
    </w:p>
    <w:p w14:paraId="1DB9BF66" w14:textId="3FC35694" w:rsidR="00D2600E" w:rsidRPr="00D2600E" w:rsidRDefault="00D2600E" w:rsidP="00D2600E">
      <w:pPr>
        <w:rPr>
          <w:lang w:val="en-IN"/>
        </w:rPr>
      </w:pPr>
      <m:oMathPara>
        <m:oMath>
          <m:r>
            <w:rPr>
              <w:rFonts w:ascii="Cambria Math" w:hAnsi="Cambria Math"/>
              <w:lang w:val="en-IN"/>
            </w:rPr>
            <m:t>IRR=</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num>
                <m:den>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2</m:t>
                      </m:r>
                    </m:sub>
                  </m:sSub>
                </m:den>
              </m:f>
            </m:e>
          </m:d>
          <m:r>
            <w:rPr>
              <w:rFonts w:ascii="Cambria Math" w:hAnsi="Cambria Math"/>
              <w:lang w:val="en-IN"/>
            </w:rPr>
            <m:t>(</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2</m:t>
              </m:r>
            </m:sub>
          </m:sSub>
          <m:r>
            <w:rPr>
              <w:rFonts w:ascii="Cambria Math" w:hAnsi="Cambria Math"/>
              <w:lang w:val="en-IN"/>
            </w:rPr>
            <m:t>-</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m:t>
          </m:r>
          <m:r>
            <w:rPr>
              <w:lang w:val="en-IN"/>
            </w:rPr>
            <w:br/>
          </m:r>
        </m:oMath>
      </m:oMathPara>
    </w:p>
    <w:p w14:paraId="79F06453" w14:textId="77777777" w:rsidR="00D2600E" w:rsidRPr="00D2600E" w:rsidRDefault="00D2600E" w:rsidP="00D2600E">
      <w:pPr>
        <w:rPr>
          <w:lang w:val="en-IN"/>
        </w:rPr>
      </w:pPr>
      <w:r w:rsidRPr="00D2600E">
        <w:rPr>
          <w:lang w:val="en-IN"/>
        </w:rPr>
        <w:t>Where:</w:t>
      </w:r>
    </w:p>
    <w:p w14:paraId="1645ADCE" w14:textId="0E8F84D9" w:rsidR="00D2600E" w:rsidRPr="00D2600E" w:rsidRDefault="00000000" w:rsidP="00D2600E">
      <w:pPr>
        <w:numPr>
          <w:ilvl w:val="0"/>
          <w:numId w:val="40"/>
        </w:numPr>
        <w:rPr>
          <w:lang w:val="en-IN"/>
        </w:rPr>
      </w:pPr>
      <m:oMath>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=20</m:t>
        </m:r>
        <m:r>
          <m:rPr>
            <m:sty m:val="p"/>
          </m:rPr>
          <w:rPr>
            <w:rFonts w:ascii="Cambria Math" w:hAnsi="Cambria Math"/>
            <w:lang w:val="en-IN"/>
          </w:rPr>
          <m:t>%</m:t>
        </m:r>
      </m:oMath>
      <w:r w:rsidR="00D2600E" w:rsidRPr="00D2600E">
        <w:rPr>
          <w:lang w:val="en-IN"/>
        </w:rPr>
        <w:t xml:space="preserve">, </w:t>
      </w:r>
      <m:oMath>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r>
          <w:rPr>
            <w:rFonts w:ascii="Cambria Math" w:hAnsi="Cambria Math"/>
            <w:lang w:val="en-IN"/>
          </w:rPr>
          <m:t>=+120</m:t>
        </m:r>
      </m:oMath>
    </w:p>
    <w:p w14:paraId="0A296FD0" w14:textId="5F8C60E2" w:rsidR="00D2600E" w:rsidRPr="00D2600E" w:rsidRDefault="00000000" w:rsidP="00D2600E">
      <w:pPr>
        <w:numPr>
          <w:ilvl w:val="0"/>
          <w:numId w:val="40"/>
        </w:numPr>
        <w:rPr>
          <w:lang w:val="en-IN"/>
        </w:rPr>
      </w:pPr>
      <m:oMath>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2</m:t>
            </m:r>
          </m:sub>
        </m:sSub>
        <m:r>
          <w:rPr>
            <w:rFonts w:ascii="Cambria Math" w:hAnsi="Cambria Math"/>
            <w:lang w:val="en-IN"/>
          </w:rPr>
          <m:t>=25</m:t>
        </m:r>
        <m:r>
          <m:rPr>
            <m:sty m:val="p"/>
          </m:rPr>
          <w:rPr>
            <w:rFonts w:ascii="Cambria Math" w:hAnsi="Cambria Math"/>
            <w:lang w:val="en-IN"/>
          </w:rPr>
          <m:t>%</m:t>
        </m:r>
      </m:oMath>
      <w:r w:rsidR="00D2600E" w:rsidRPr="00D2600E">
        <w:rPr>
          <w:lang w:val="en-IN"/>
        </w:rPr>
        <w:t xml:space="preserve">, </w:t>
      </w:r>
      <m:oMath>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2</m:t>
            </m:r>
          </m:sub>
        </m:sSub>
        <m:r>
          <w:rPr>
            <w:rFonts w:ascii="Cambria Math" w:hAnsi="Cambria Math"/>
            <w:lang w:val="en-IN"/>
          </w:rPr>
          <m:t>=-150</m:t>
        </m:r>
      </m:oMath>
    </w:p>
    <w:p w14:paraId="6B3BD39D" w14:textId="77777777" w:rsidR="00D2600E" w:rsidRDefault="00D2600E" w:rsidP="00D2600E">
      <w:pPr>
        <w:rPr>
          <w:lang w:val="en-IN"/>
        </w:rPr>
      </w:pPr>
      <m:oMathPara>
        <m:oMath>
          <m:r>
            <w:rPr>
              <w:rFonts w:ascii="Cambria Math" w:hAnsi="Cambria Math"/>
              <w:lang w:val="en-IN"/>
            </w:rPr>
            <m:t>IRR=20+</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120</m:t>
                  </m:r>
                </m:num>
                <m:den>
                  <m:r>
                    <w:rPr>
                      <w:rFonts w:ascii="Cambria Math" w:hAnsi="Cambria Math"/>
                      <w:lang w:val="en-IN"/>
                    </w:rPr>
                    <m:t>120-(-150)</m:t>
                  </m:r>
                </m:den>
              </m:f>
            </m:e>
          </m:d>
          <m:r>
            <w:rPr>
              <w:rFonts w:ascii="Cambria Math" w:hAnsi="Cambria Math"/>
              <w:lang w:val="en-IN"/>
            </w:rPr>
            <m:t>×5=20+</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120</m:t>
                  </m:r>
                </m:num>
                <m:den>
                  <m:r>
                    <w:rPr>
                      <w:rFonts w:ascii="Cambria Math" w:hAnsi="Cambria Math"/>
                      <w:lang w:val="en-IN"/>
                    </w:rPr>
                    <m:t>270</m:t>
                  </m:r>
                </m:den>
              </m:f>
            </m:e>
          </m:d>
          <m:r>
            <w:rPr>
              <w:rFonts w:ascii="Cambria Math" w:hAnsi="Cambria Math"/>
              <w:lang w:val="en-IN"/>
            </w:rPr>
            <m:t>×5=20+2.22=22.22</m:t>
          </m:r>
          <m:r>
            <m:rPr>
              <m:sty m:val="p"/>
            </m:rPr>
            <w:rPr>
              <w:rFonts w:ascii="Cambria Math" w:hAnsi="Cambria Math"/>
              <w:lang w:val="en-IN"/>
            </w:rPr>
            <m:t>%</m:t>
          </m:r>
          <m:r>
            <m:rPr>
              <m:sty m:val="p"/>
            </m:rPr>
            <w:rPr>
              <w:lang w:val="en-IN"/>
            </w:rPr>
            <w:br/>
          </m:r>
        </m:oMath>
      </m:oMathPara>
    </w:p>
    <w:p w14:paraId="5DC4B020" w14:textId="796322D2" w:rsidR="00D2600E" w:rsidRPr="00D2600E" w:rsidRDefault="00D2600E" w:rsidP="00D2600E">
      <w:pPr>
        <w:rPr>
          <w:lang w:val="en-IN"/>
        </w:rPr>
      </w:pPr>
      <w:r w:rsidRPr="00D2600E">
        <w:rPr>
          <w:lang w:val="en-IN"/>
        </w:rPr>
        <w:t xml:space="preserve"> </w:t>
      </w:r>
      <w:r w:rsidRPr="00D2600E">
        <w:rPr>
          <w:b/>
          <w:bCs/>
          <w:lang w:val="en-IN"/>
        </w:rPr>
        <w:t>Approximate IRR for Option B ≈ 22%</w:t>
      </w:r>
    </w:p>
    <w:p w14:paraId="5DA5A067" w14:textId="77777777" w:rsidR="00D2600E" w:rsidRPr="00D2600E" w:rsidRDefault="00D2600E" w:rsidP="00D2600E">
      <w:pPr>
        <w:rPr>
          <w:lang w:val="en-IN"/>
        </w:rPr>
      </w:pPr>
      <w:r w:rsidRPr="00D2600E">
        <w:rPr>
          <w:lang w:val="en-IN"/>
        </w:rPr>
        <w:t>This IRR is significantly higher than the cost of capital (6%), confirming that Option B is financially attractive and is expected to generate substantial value for Westward Plc.</w:t>
      </w:r>
    </w:p>
    <w:p w14:paraId="7152F607" w14:textId="77777777" w:rsidR="003B1155" w:rsidRPr="00D2600E" w:rsidRDefault="003B1155" w:rsidP="003B1155">
      <w:pPr>
        <w:rPr>
          <w:lang w:val="en-IN"/>
        </w:rPr>
      </w:pPr>
    </w:p>
    <w:p w14:paraId="1BF861C3" w14:textId="654092BC" w:rsidR="00D2600E" w:rsidRPr="00D2600E" w:rsidRDefault="00000000" w:rsidP="00D2600E">
      <w:pPr>
        <w:pStyle w:val="Heading1"/>
        <w:numPr>
          <w:ilvl w:val="0"/>
          <w:numId w:val="32"/>
        </w:numPr>
      </w:pPr>
      <w:bookmarkStart w:id="36" w:name="_Toc219036421"/>
      <w:r>
        <w:lastRenderedPageBreak/>
        <w:t>Interpretation for Management</w:t>
      </w:r>
      <w:bookmarkEnd w:id="36"/>
    </w:p>
    <w:p w14:paraId="60C5DBA7" w14:textId="1EAD2ED5" w:rsidR="00F040A6" w:rsidRDefault="00D2600E" w:rsidP="00D2600E">
      <w:pPr>
        <w:pStyle w:val="Heading3"/>
      </w:pPr>
      <w:bookmarkStart w:id="37" w:name="_Toc219036422"/>
      <w:r>
        <w:t>6.1 Theoretical Case for NPV as the Preferred Method</w:t>
      </w:r>
      <w:bookmarkEnd w:id="37"/>
    </w:p>
    <w:p w14:paraId="1E7164AD" w14:textId="77777777" w:rsidR="00D2600E" w:rsidRPr="00D2600E" w:rsidRDefault="00D2600E" w:rsidP="00D2600E">
      <w:pPr>
        <w:rPr>
          <w:lang w:val="en-IN"/>
        </w:rPr>
      </w:pPr>
      <w:r w:rsidRPr="00D2600E">
        <w:rPr>
          <w:lang w:val="en-IN"/>
        </w:rPr>
        <w:t xml:space="preserve">Net Present Value (NPV) is widely regarded as the most theoretically robust and reliable capital investment appraisal technique because it directly aligns investment decision-making with the core financial objective of business: </w:t>
      </w:r>
      <w:r w:rsidRPr="00D2600E">
        <w:rPr>
          <w:b/>
          <w:bCs/>
          <w:lang w:val="en-IN"/>
        </w:rPr>
        <w:t>maximising shareholder wealth</w:t>
      </w:r>
      <w:r w:rsidRPr="00D2600E">
        <w:rPr>
          <w:lang w:val="en-IN"/>
        </w:rPr>
        <w:t xml:space="preserve">. NPV measures the </w:t>
      </w:r>
      <w:r w:rsidRPr="00D2600E">
        <w:rPr>
          <w:i/>
          <w:iCs/>
          <w:lang w:val="en-IN"/>
        </w:rPr>
        <w:t>absolute value created</w:t>
      </w:r>
      <w:r w:rsidRPr="00D2600E">
        <w:rPr>
          <w:lang w:val="en-IN"/>
        </w:rPr>
        <w:t xml:space="preserve"> by a project by discounting future cash inflows to their present value using the company’s cost of capital. This reflects the economic principle that money received today is worth more than money received in the future due to inflation, risk, and the opportunity to earn returns elsewhere.</w:t>
      </w:r>
    </w:p>
    <w:p w14:paraId="7F3008A0" w14:textId="77777777" w:rsidR="00D2600E" w:rsidRPr="00D2600E" w:rsidRDefault="00D2600E" w:rsidP="00D2600E">
      <w:pPr>
        <w:rPr>
          <w:lang w:val="en-IN"/>
        </w:rPr>
      </w:pPr>
      <w:r w:rsidRPr="00D2600E">
        <w:rPr>
          <w:lang w:val="en-IN"/>
        </w:rPr>
        <w:t xml:space="preserve">A key strength of NPV is that it uses </w:t>
      </w:r>
      <w:r w:rsidRPr="00D2600E">
        <w:rPr>
          <w:b/>
          <w:bCs/>
          <w:lang w:val="en-IN"/>
        </w:rPr>
        <w:t>all project cash flows</w:t>
      </w:r>
      <w:r w:rsidRPr="00D2600E">
        <w:rPr>
          <w:lang w:val="en-IN"/>
        </w:rPr>
        <w:t xml:space="preserve"> over the full project life, rather than focusing only on early returns. This gives a more complete assessment of value creation and prevents managers from rejecting profitable long-term projects merely because they generate returns later in the investment horizon. Additionally, NPV supports rational decision-making when inflation and interest rates are significant because discounting incorporates the required return.</w:t>
      </w:r>
    </w:p>
    <w:p w14:paraId="70C7E2C6" w14:textId="77777777" w:rsidR="00D2600E" w:rsidRPr="00D2600E" w:rsidRDefault="00D2600E" w:rsidP="00D2600E">
      <w:pPr>
        <w:rPr>
          <w:lang w:val="en-IN"/>
        </w:rPr>
      </w:pPr>
      <w:r w:rsidRPr="00D2600E">
        <w:rPr>
          <w:lang w:val="en-IN"/>
        </w:rPr>
        <w:t>NPV also provides a clear and unambiguous investment rule:</w:t>
      </w:r>
    </w:p>
    <w:p w14:paraId="3F53C17D" w14:textId="77777777" w:rsidR="00D2600E" w:rsidRPr="00D2600E" w:rsidRDefault="00D2600E" w:rsidP="00D2600E">
      <w:pPr>
        <w:numPr>
          <w:ilvl w:val="0"/>
          <w:numId w:val="41"/>
        </w:numPr>
        <w:rPr>
          <w:lang w:val="en-IN"/>
        </w:rPr>
      </w:pPr>
      <w:r w:rsidRPr="00D2600E">
        <w:rPr>
          <w:lang w:val="en-IN"/>
        </w:rPr>
        <w:t xml:space="preserve">If </w:t>
      </w:r>
      <w:r w:rsidRPr="00D2600E">
        <w:rPr>
          <w:b/>
          <w:bCs/>
          <w:lang w:val="en-IN"/>
        </w:rPr>
        <w:t>NPV &gt; 0</w:t>
      </w:r>
      <w:r w:rsidRPr="00D2600E">
        <w:rPr>
          <w:lang w:val="en-IN"/>
        </w:rPr>
        <w:t>, the project earns above the cost of capital and should increase shareholder value.</w:t>
      </w:r>
    </w:p>
    <w:p w14:paraId="0B32A01F" w14:textId="77777777" w:rsidR="00D2600E" w:rsidRPr="00D2600E" w:rsidRDefault="00D2600E" w:rsidP="00D2600E">
      <w:pPr>
        <w:numPr>
          <w:ilvl w:val="0"/>
          <w:numId w:val="41"/>
        </w:numPr>
        <w:rPr>
          <w:lang w:val="en-IN"/>
        </w:rPr>
      </w:pPr>
      <w:r w:rsidRPr="00D2600E">
        <w:rPr>
          <w:lang w:val="en-IN"/>
        </w:rPr>
        <w:t xml:space="preserve">If </w:t>
      </w:r>
      <w:r w:rsidRPr="00D2600E">
        <w:rPr>
          <w:b/>
          <w:bCs/>
          <w:lang w:val="en-IN"/>
        </w:rPr>
        <w:t>NPV &lt; 0</w:t>
      </w:r>
      <w:r w:rsidRPr="00D2600E">
        <w:rPr>
          <w:lang w:val="en-IN"/>
        </w:rPr>
        <w:t>, the project destroys value and should be rejected.</w:t>
      </w:r>
    </w:p>
    <w:p w14:paraId="30357238" w14:textId="77777777" w:rsidR="00D2600E" w:rsidRPr="00D2600E" w:rsidRDefault="00D2600E" w:rsidP="00D2600E">
      <w:pPr>
        <w:rPr>
          <w:lang w:val="en-IN"/>
        </w:rPr>
      </w:pPr>
      <w:r w:rsidRPr="00D2600E">
        <w:rPr>
          <w:lang w:val="en-IN"/>
        </w:rPr>
        <w:t xml:space="preserve">Another significant advantage is </w:t>
      </w:r>
      <w:r w:rsidRPr="00D2600E">
        <w:rPr>
          <w:b/>
          <w:bCs/>
          <w:lang w:val="en-IN"/>
        </w:rPr>
        <w:t>additivity</w:t>
      </w:r>
      <w:r w:rsidRPr="00D2600E">
        <w:rPr>
          <w:lang w:val="en-IN"/>
        </w:rPr>
        <w:t>. NPVs from different projects can be added to evaluate the total value created by an investment programme. This is particularly important for Westward Plc under capital rationing conditions, where the business may undertake fractions of projects. IRR does not provide this benefit and can be misleading when comparing projects of different scale.</w:t>
      </w:r>
    </w:p>
    <w:p w14:paraId="0D6BA796" w14:textId="77777777" w:rsidR="00D2600E" w:rsidRPr="00D2600E" w:rsidRDefault="00D2600E" w:rsidP="00D2600E">
      <w:pPr>
        <w:rPr>
          <w:lang w:val="en-IN"/>
        </w:rPr>
      </w:pPr>
      <w:r w:rsidRPr="00D2600E">
        <w:rPr>
          <w:lang w:val="en-IN"/>
        </w:rPr>
        <w:t>Furthermore, unlike the IRR method, NPV avoids the reinvestment assumption problem. NPV assumes reinvestment at the cost of capital (a realistic benchmark), while IRR assumes reinvestment at the IRR itself, which can be unrealistic when IRR is extremely high.</w:t>
      </w:r>
    </w:p>
    <w:p w14:paraId="7608E5C7" w14:textId="77777777" w:rsidR="00D2600E" w:rsidRPr="00D2600E" w:rsidRDefault="00D2600E" w:rsidP="00D2600E">
      <w:pPr>
        <w:rPr>
          <w:lang w:val="en-IN"/>
        </w:rPr>
      </w:pPr>
      <w:r w:rsidRPr="00D2600E">
        <w:rPr>
          <w:lang w:val="en-IN"/>
        </w:rPr>
        <w:t>Overall, NPV is superior because it:</w:t>
      </w:r>
    </w:p>
    <w:p w14:paraId="4E63FDA6" w14:textId="77777777" w:rsidR="00D2600E" w:rsidRPr="00D2600E" w:rsidRDefault="00D2600E" w:rsidP="00D2600E">
      <w:pPr>
        <w:numPr>
          <w:ilvl w:val="0"/>
          <w:numId w:val="42"/>
        </w:numPr>
        <w:rPr>
          <w:lang w:val="en-IN"/>
        </w:rPr>
      </w:pPr>
      <w:r w:rsidRPr="00D2600E">
        <w:rPr>
          <w:lang w:val="en-IN"/>
        </w:rPr>
        <w:t>incorporates time value of money,</w:t>
      </w:r>
    </w:p>
    <w:p w14:paraId="6D06BAF8" w14:textId="77777777" w:rsidR="00D2600E" w:rsidRPr="00D2600E" w:rsidRDefault="00D2600E" w:rsidP="00D2600E">
      <w:pPr>
        <w:numPr>
          <w:ilvl w:val="0"/>
          <w:numId w:val="42"/>
        </w:numPr>
        <w:rPr>
          <w:lang w:val="en-IN"/>
        </w:rPr>
      </w:pPr>
      <w:r w:rsidRPr="00D2600E">
        <w:rPr>
          <w:lang w:val="en-IN"/>
        </w:rPr>
        <w:t>recognises risk through discounting,</w:t>
      </w:r>
    </w:p>
    <w:p w14:paraId="363FAAFD" w14:textId="77777777" w:rsidR="00D2600E" w:rsidRPr="00D2600E" w:rsidRDefault="00D2600E" w:rsidP="00D2600E">
      <w:pPr>
        <w:numPr>
          <w:ilvl w:val="0"/>
          <w:numId w:val="42"/>
        </w:numPr>
        <w:rPr>
          <w:lang w:val="en-IN"/>
        </w:rPr>
      </w:pPr>
      <w:r w:rsidRPr="00D2600E">
        <w:rPr>
          <w:lang w:val="en-IN"/>
        </w:rPr>
        <w:t>evaluates total cash flows,</w:t>
      </w:r>
    </w:p>
    <w:p w14:paraId="438F7F28" w14:textId="77777777" w:rsidR="00D2600E" w:rsidRPr="00D2600E" w:rsidRDefault="00D2600E" w:rsidP="00D2600E">
      <w:pPr>
        <w:numPr>
          <w:ilvl w:val="0"/>
          <w:numId w:val="42"/>
        </w:numPr>
        <w:rPr>
          <w:lang w:val="en-IN"/>
        </w:rPr>
      </w:pPr>
      <w:r w:rsidRPr="00D2600E">
        <w:rPr>
          <w:lang w:val="en-IN"/>
        </w:rPr>
        <w:t>provides a direct measure of wealth creation,</w:t>
      </w:r>
    </w:p>
    <w:p w14:paraId="730DF3CD" w14:textId="77777777" w:rsidR="00D2600E" w:rsidRPr="00D2600E" w:rsidRDefault="00D2600E" w:rsidP="00D2600E">
      <w:pPr>
        <w:numPr>
          <w:ilvl w:val="0"/>
          <w:numId w:val="42"/>
        </w:numPr>
        <w:rPr>
          <w:lang w:val="en-IN"/>
        </w:rPr>
      </w:pPr>
      <w:r w:rsidRPr="00D2600E">
        <w:rPr>
          <w:lang w:val="en-IN"/>
        </w:rPr>
        <w:t>supports strategic, long-term decision-making.</w:t>
      </w:r>
    </w:p>
    <w:p w14:paraId="6CA42C3F" w14:textId="77777777" w:rsidR="00D2600E" w:rsidRPr="00D2600E" w:rsidRDefault="00D2600E" w:rsidP="00D2600E">
      <w:pPr>
        <w:rPr>
          <w:lang w:val="en-IN"/>
        </w:rPr>
      </w:pPr>
    </w:p>
    <w:p w14:paraId="21887966" w14:textId="3F82167A" w:rsidR="00F040A6" w:rsidRDefault="00000000" w:rsidP="00D2600E">
      <w:pPr>
        <w:pStyle w:val="Heading3"/>
        <w:numPr>
          <w:ilvl w:val="1"/>
          <w:numId w:val="32"/>
        </w:numPr>
      </w:pPr>
      <w:bookmarkStart w:id="38" w:name="_Toc219036423"/>
      <w:r>
        <w:lastRenderedPageBreak/>
        <w:t>Why Non-Discounting Methods Remain Popular</w:t>
      </w:r>
      <w:bookmarkEnd w:id="38"/>
    </w:p>
    <w:p w14:paraId="09AD20FD"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 xml:space="preserve">Despite the theoretical superiority of discounted cash flow techniques such as NPV and IRR, non-discounting methods like the </w:t>
      </w:r>
      <w:r w:rsidRPr="00D2600E">
        <w:rPr>
          <w:rFonts w:ascii="Times New Roman" w:eastAsia="Times New Roman" w:hAnsi="Times New Roman" w:cs="Times New Roman"/>
          <w:b/>
          <w:bCs/>
          <w:sz w:val="24"/>
          <w:szCs w:val="24"/>
          <w:lang w:val="en-IN" w:eastAsia="en-IN"/>
        </w:rPr>
        <w:t>Payback Period</w:t>
      </w:r>
      <w:r w:rsidRPr="00D2600E">
        <w:rPr>
          <w:rFonts w:ascii="Times New Roman" w:eastAsia="Times New Roman" w:hAnsi="Times New Roman" w:cs="Times New Roman"/>
          <w:sz w:val="24"/>
          <w:szCs w:val="24"/>
          <w:lang w:val="en-IN" w:eastAsia="en-IN"/>
        </w:rPr>
        <w:t xml:space="preserve"> and </w:t>
      </w:r>
      <w:r w:rsidRPr="00D2600E">
        <w:rPr>
          <w:rFonts w:ascii="Times New Roman" w:eastAsia="Times New Roman" w:hAnsi="Times New Roman" w:cs="Times New Roman"/>
          <w:b/>
          <w:bCs/>
          <w:sz w:val="24"/>
          <w:szCs w:val="24"/>
          <w:lang w:val="en-IN" w:eastAsia="en-IN"/>
        </w:rPr>
        <w:t>Accounting Rate of Return (ARR)</w:t>
      </w:r>
      <w:r w:rsidRPr="00D2600E">
        <w:rPr>
          <w:rFonts w:ascii="Times New Roman" w:eastAsia="Times New Roman" w:hAnsi="Times New Roman" w:cs="Times New Roman"/>
          <w:sz w:val="24"/>
          <w:szCs w:val="24"/>
          <w:lang w:val="en-IN" w:eastAsia="en-IN"/>
        </w:rPr>
        <w:t xml:space="preserve"> remain widely used by managers in real-world decision-making. This continued popularity is largely due to simplicity and speed. Payback and ARR can be calculated quickly with limited data and without complex discounting assumptions, making them attractive as screening tools—especially in businesses where management may lack specialist finance expertise or where rapid decisions are required.</w:t>
      </w:r>
    </w:p>
    <w:p w14:paraId="51D74DF2"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In addition, Payback provides a practical focus on liquidity and risk. By identifying how quickly an investment recovers its initial cost, it offers reassurance in uncertain conditions where future cash flows are unpredictable. This is particularly relevant for smaller organisations and industries with high volatility, where long-term forecasting is unreliable and access to finance may be limited. Managers often prefer projects that return cash sooner to reduce exposure to risk and maintain flexibility.</w:t>
      </w:r>
    </w:p>
    <w:p w14:paraId="4BD6140E"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ARR is also popular because it uses familiar accounting concepts such as profits and book values, making it easier to interpret alongside financial statements and performance targets. Furthermore, non-discounting methods are often embedded in organisational culture, budgeting systems, and performance appraisals, reinforcing their use even when more advanced techniques exist.</w:t>
      </w:r>
    </w:p>
    <w:p w14:paraId="12C1A620" w14:textId="2A0ECAEE"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However, these methods are limited because they ignore the time value of money and may lead to suboptimal long-term decisions if used in isolation. Therefore, they should only complement (not replace) NPV analysis.</w:t>
      </w:r>
    </w:p>
    <w:p w14:paraId="703F17D4" w14:textId="77777777" w:rsidR="00D2600E" w:rsidRPr="00D2600E" w:rsidRDefault="00D2600E" w:rsidP="00D2600E"/>
    <w:p w14:paraId="0BA60ED5" w14:textId="1D7C773B" w:rsidR="00F040A6" w:rsidRDefault="00000000" w:rsidP="00D2600E">
      <w:pPr>
        <w:pStyle w:val="Heading3"/>
        <w:numPr>
          <w:ilvl w:val="1"/>
          <w:numId w:val="32"/>
        </w:numPr>
      </w:pPr>
      <w:bookmarkStart w:id="39" w:name="_Toc219036424"/>
      <w:r>
        <w:t>Additional Factors to Consider Before Final Decision</w:t>
      </w:r>
      <w:bookmarkEnd w:id="39"/>
    </w:p>
    <w:p w14:paraId="09D67A9F" w14:textId="77777777" w:rsidR="00D2600E" w:rsidRDefault="00D2600E" w:rsidP="00D2600E">
      <w:pPr>
        <w:pStyle w:val="NormalWeb"/>
      </w:pPr>
      <w:r>
        <w:t>Although NPV and IRR provide strong financial evidence, investment decisions should not be based solely on quantitative appraisal. Westward Plc must also evaluate qualitative and strategic factors that may materially influence project success. These considerations are particularly important because financial forecasts are based on assumptions and are therefore uncertain.</w:t>
      </w:r>
    </w:p>
    <w:p w14:paraId="1B355505" w14:textId="0746829F" w:rsidR="00893A1F" w:rsidRPr="00893A1F" w:rsidRDefault="00893A1F" w:rsidP="00893A1F">
      <w:pPr>
        <w:pStyle w:val="Heading3"/>
      </w:pPr>
      <w:r>
        <w:rPr>
          <w:rStyle w:val="Strong"/>
          <w:b/>
          <w:bCs/>
        </w:rPr>
        <w:t xml:space="preserve">       </w:t>
      </w:r>
      <w:bookmarkStart w:id="40" w:name="_Toc219036425"/>
      <w:r>
        <w:rPr>
          <w:rStyle w:val="Strong"/>
          <w:b/>
          <w:bCs/>
        </w:rPr>
        <w:t xml:space="preserve">6.3.1. </w:t>
      </w:r>
      <w:r w:rsidR="00D2600E">
        <w:rPr>
          <w:rStyle w:val="Strong"/>
          <w:b/>
          <w:bCs/>
        </w:rPr>
        <w:t>Strategic and Market Factors</w:t>
      </w:r>
      <w:bookmarkEnd w:id="40"/>
    </w:p>
    <w:p w14:paraId="7DD3A8B0" w14:textId="77777777" w:rsidR="00D2600E" w:rsidRDefault="00D2600E" w:rsidP="00D2600E">
      <w:pPr>
        <w:pStyle w:val="NormalWeb"/>
      </w:pPr>
      <w:r>
        <w:t xml:space="preserve">Management must assess whether each option aligns with long-term strategy and market direction. For example, Option B (internet sales) is likely to support future growth as consumer </w:t>
      </w:r>
      <w:proofErr w:type="spellStart"/>
      <w:r>
        <w:t>behaviour</w:t>
      </w:r>
      <w:proofErr w:type="spellEnd"/>
      <w:r>
        <w:t xml:space="preserve"> increasingly shifts toward online purchasing. However, competition is intense in online retail, and success depends on differentiation, customer experience, and digital marketing capabilities. For Option C (wooden and Roman blinds), demand forecasts must be validated to ensure the product diversification is strategically justified.</w:t>
      </w:r>
    </w:p>
    <w:p w14:paraId="3BFB59E7" w14:textId="25EDFED3" w:rsidR="00D2600E" w:rsidRDefault="00893A1F" w:rsidP="00D2600E">
      <w:pPr>
        <w:pStyle w:val="Heading3"/>
      </w:pPr>
      <w:r>
        <w:rPr>
          <w:rStyle w:val="Strong"/>
          <w:b/>
          <w:bCs/>
        </w:rPr>
        <w:lastRenderedPageBreak/>
        <w:t xml:space="preserve">       </w:t>
      </w:r>
      <w:bookmarkStart w:id="41" w:name="_Toc219036426"/>
      <w:r>
        <w:rPr>
          <w:rStyle w:val="Strong"/>
          <w:b/>
          <w:bCs/>
        </w:rPr>
        <w:t xml:space="preserve">6.3.2. </w:t>
      </w:r>
      <w:r w:rsidR="00D2600E">
        <w:rPr>
          <w:rStyle w:val="Strong"/>
          <w:b/>
          <w:bCs/>
        </w:rPr>
        <w:t>Operational Feasibility and Capability</w:t>
      </w:r>
      <w:bookmarkEnd w:id="41"/>
    </w:p>
    <w:p w14:paraId="34B4D766" w14:textId="77777777" w:rsidR="00D2600E" w:rsidRDefault="00D2600E" w:rsidP="00D2600E">
      <w:pPr>
        <w:pStyle w:val="NormalWeb"/>
      </w:pPr>
      <w:r>
        <w:t xml:space="preserve">Projects must match Westward’s operational capacity, including staffing, production skills, supply chain infrastructure, and distribution capability. Option C may require new machinery, specialist </w:t>
      </w:r>
      <w:proofErr w:type="spellStart"/>
      <w:r>
        <w:t>labour</w:t>
      </w:r>
      <w:proofErr w:type="spellEnd"/>
      <w:r>
        <w:t>, sourcing agreements, and quality control systems. Option B may require strong IT systems, cybersecurity controls, order fulfilment processes, and customer service support.</w:t>
      </w:r>
    </w:p>
    <w:p w14:paraId="18B82DC9" w14:textId="46733585" w:rsidR="00D2600E" w:rsidRDefault="00893A1F" w:rsidP="00D2600E">
      <w:pPr>
        <w:pStyle w:val="Heading3"/>
      </w:pPr>
      <w:r>
        <w:rPr>
          <w:rStyle w:val="Strong"/>
          <w:b/>
          <w:bCs/>
        </w:rPr>
        <w:t xml:space="preserve">       </w:t>
      </w:r>
      <w:bookmarkStart w:id="42" w:name="_Toc219036427"/>
      <w:r>
        <w:rPr>
          <w:rStyle w:val="Strong"/>
          <w:b/>
          <w:bCs/>
        </w:rPr>
        <w:t xml:space="preserve">6.3.3. </w:t>
      </w:r>
      <w:r w:rsidR="00D2600E">
        <w:rPr>
          <w:rStyle w:val="Strong"/>
          <w:b/>
          <w:bCs/>
        </w:rPr>
        <w:t>Risk and Uncertainty</w:t>
      </w:r>
      <w:bookmarkEnd w:id="42"/>
    </w:p>
    <w:p w14:paraId="6CC147AA" w14:textId="77777777" w:rsidR="00D2600E" w:rsidRDefault="00D2600E" w:rsidP="00D2600E">
      <w:pPr>
        <w:pStyle w:val="NormalWeb"/>
      </w:pPr>
      <w:r>
        <w:t>Management should consider sensitivity testing and scenario analysis. Key risk variables include inflation in raw materials, wage cost increases, technology failure risks, demand volatility, and the risk of delayed implementation. For example, internet sales development may face cost overruns or underperformance if digital adoption is slower than expected.</w:t>
      </w:r>
    </w:p>
    <w:p w14:paraId="4DE7482E" w14:textId="00DB6FD4" w:rsidR="00D2600E" w:rsidRDefault="00893A1F" w:rsidP="00D2600E">
      <w:pPr>
        <w:pStyle w:val="Heading3"/>
      </w:pPr>
      <w:r>
        <w:rPr>
          <w:rStyle w:val="Strong"/>
          <w:b/>
          <w:bCs/>
        </w:rPr>
        <w:t xml:space="preserve">       </w:t>
      </w:r>
      <w:bookmarkStart w:id="43" w:name="_Toc219036428"/>
      <w:r>
        <w:rPr>
          <w:rStyle w:val="Strong"/>
          <w:b/>
          <w:bCs/>
        </w:rPr>
        <w:t xml:space="preserve">6.3.4. </w:t>
      </w:r>
      <w:r w:rsidR="00D2600E">
        <w:rPr>
          <w:rStyle w:val="Strong"/>
          <w:b/>
          <w:bCs/>
        </w:rPr>
        <w:t>ESG and Regulatory Issues</w:t>
      </w:r>
      <w:bookmarkEnd w:id="43"/>
    </w:p>
    <w:p w14:paraId="3CC8FDA1" w14:textId="77777777" w:rsidR="00D2600E" w:rsidRDefault="00D2600E" w:rsidP="00D2600E">
      <w:pPr>
        <w:pStyle w:val="NormalWeb"/>
      </w:pPr>
      <w:r>
        <w:t>Environmental sustainability and regulatory compliance should also be assessed. Wooden blinds require responsible sourcing of materials, and sustainability expectations could influence customer perception and brand reputation. In addition, online operations require compliance with digital consumer rights, data protection, and cybersecurity standards.</w:t>
      </w:r>
    </w:p>
    <w:p w14:paraId="05B6D911" w14:textId="77777777" w:rsidR="00D2600E" w:rsidRDefault="00D2600E" w:rsidP="00D2600E">
      <w:pPr>
        <w:pStyle w:val="NormalWeb"/>
      </w:pPr>
      <w:r>
        <w:t>Therefore, Westward Plc should complement NPV findings with strategic fit analysis, operational readiness evaluation, and risk planning before final investment approval.</w:t>
      </w:r>
    </w:p>
    <w:p w14:paraId="534BC975" w14:textId="77777777" w:rsidR="00D2600E" w:rsidRPr="00D2600E" w:rsidRDefault="00D2600E" w:rsidP="00D2600E"/>
    <w:p w14:paraId="5146298B" w14:textId="3A5618AD" w:rsidR="00D2600E" w:rsidRDefault="00000000" w:rsidP="00D2600E">
      <w:pPr>
        <w:pStyle w:val="Heading1"/>
        <w:numPr>
          <w:ilvl w:val="0"/>
          <w:numId w:val="32"/>
        </w:numPr>
      </w:pPr>
      <w:bookmarkStart w:id="44" w:name="_Toc219036429"/>
      <w:r>
        <w:t>Capital Rationing and Optimal Investment Policy (Divisible Projects)</w:t>
      </w:r>
      <w:bookmarkEnd w:id="44"/>
    </w:p>
    <w:p w14:paraId="5E0AF249" w14:textId="77777777" w:rsidR="00D2600E" w:rsidRPr="00D2600E" w:rsidRDefault="00D2600E" w:rsidP="00D2600E">
      <w:pPr>
        <w:rPr>
          <w:lang w:val="en-IN"/>
        </w:rPr>
      </w:pPr>
      <w:r w:rsidRPr="00D2600E">
        <w:rPr>
          <w:lang w:val="en-IN"/>
        </w:rPr>
        <w:t xml:space="preserve">When investment funds are limited, the firm must select the combination of projects that maximises shareholder value within the available budget. Westward Plc has a maximum capital budget of </w:t>
      </w:r>
      <w:r w:rsidRPr="00D2600E">
        <w:rPr>
          <w:b/>
          <w:bCs/>
          <w:lang w:val="en-IN"/>
        </w:rPr>
        <w:t>£2.5 million</w:t>
      </w:r>
      <w:r w:rsidRPr="00D2600E">
        <w:rPr>
          <w:lang w:val="en-IN"/>
        </w:rPr>
        <w:t xml:space="preserve">, and the projects are </w:t>
      </w:r>
      <w:r w:rsidRPr="00D2600E">
        <w:rPr>
          <w:b/>
          <w:bCs/>
          <w:lang w:val="en-IN"/>
        </w:rPr>
        <w:t>divisible</w:t>
      </w:r>
      <w:r w:rsidRPr="00D2600E">
        <w:rPr>
          <w:lang w:val="en-IN"/>
        </w:rPr>
        <w:t xml:space="preserve">, meaning it is possible to invest in a fraction of a project. Under these conditions, projects should be ranked using the </w:t>
      </w:r>
      <w:r w:rsidRPr="00D2600E">
        <w:rPr>
          <w:b/>
          <w:bCs/>
          <w:lang w:val="en-IN"/>
        </w:rPr>
        <w:t>Profitability Index (PI)</w:t>
      </w:r>
      <w:r w:rsidRPr="00D2600E">
        <w:rPr>
          <w:lang w:val="en-IN"/>
        </w:rPr>
        <w:t>, defined as:</w:t>
      </w:r>
    </w:p>
    <w:p w14:paraId="64FDC404" w14:textId="730299FE" w:rsidR="00D2600E" w:rsidRPr="00D2600E" w:rsidRDefault="00D2600E" w:rsidP="00D2600E">
      <w:pPr>
        <w:rPr>
          <w:lang w:val="en-IN"/>
        </w:rPr>
      </w:pPr>
      <m:oMathPara>
        <m:oMath>
          <m:r>
            <w:rPr>
              <w:rFonts w:ascii="Cambria Math" w:hAnsi="Cambria Math"/>
              <w:lang w:val="en-IN"/>
            </w:rPr>
            <m:t>PI=</m:t>
          </m:r>
          <m:f>
            <m:fPr>
              <m:ctrlPr>
                <w:rPr>
                  <w:rFonts w:ascii="Cambria Math" w:hAnsi="Cambria Math"/>
                  <w:lang w:val="en-IN"/>
                </w:rPr>
              </m:ctrlPr>
            </m:fPr>
            <m:num>
              <m:r>
                <m:rPr>
                  <m:nor/>
                </m:rPr>
                <w:rPr>
                  <w:lang w:val="en-IN"/>
                </w:rPr>
                <m:t>Present Value of future cash inflows</m:t>
              </m:r>
            </m:num>
            <m:den>
              <m:r>
                <m:rPr>
                  <m:nor/>
                </m:rPr>
                <w:rPr>
                  <w:lang w:val="en-IN"/>
                </w:rPr>
                <m:t>Initial investment</m:t>
              </m:r>
            </m:den>
          </m:f>
          <m:r>
            <m:rPr>
              <m:sty m:val="p"/>
            </m:rPr>
            <w:rPr>
              <w:lang w:val="en-IN"/>
            </w:rPr>
            <w:br/>
          </m:r>
        </m:oMath>
      </m:oMathPara>
    </w:p>
    <w:p w14:paraId="7655C410" w14:textId="77777777" w:rsidR="00D2600E" w:rsidRPr="00D2600E" w:rsidRDefault="00D2600E" w:rsidP="00D2600E">
      <w:pPr>
        <w:rPr>
          <w:lang w:val="en-IN"/>
        </w:rPr>
      </w:pPr>
      <w:r w:rsidRPr="00D2600E">
        <w:rPr>
          <w:lang w:val="en-IN"/>
        </w:rPr>
        <w:t>Equivalently:</w:t>
      </w:r>
    </w:p>
    <w:p w14:paraId="534F8842" w14:textId="72B3FE40" w:rsidR="00D2600E" w:rsidRPr="00D2600E" w:rsidRDefault="00D2600E" w:rsidP="00D2600E">
      <w:pPr>
        <w:rPr>
          <w:lang w:val="en-IN"/>
        </w:rPr>
      </w:pPr>
      <m:oMathPara>
        <m:oMath>
          <m:r>
            <w:rPr>
              <w:rFonts w:ascii="Cambria Math" w:hAnsi="Cambria Math"/>
              <w:lang w:val="en-IN"/>
            </w:rPr>
            <m:t>PI=</m:t>
          </m:r>
          <m:f>
            <m:fPr>
              <m:ctrlPr>
                <w:rPr>
                  <w:rFonts w:ascii="Cambria Math" w:hAnsi="Cambria Math"/>
                  <w:lang w:val="en-IN"/>
                </w:rPr>
              </m:ctrlPr>
            </m:fPr>
            <m:num>
              <m:r>
                <w:rPr>
                  <w:rFonts w:ascii="Cambria Math" w:hAnsi="Cambria Math"/>
                  <w:lang w:val="en-IN"/>
                </w:rPr>
                <m:t>NPV+Investment</m:t>
              </m:r>
            </m:num>
            <m:den>
              <m:r>
                <w:rPr>
                  <w:rFonts w:ascii="Cambria Math" w:hAnsi="Cambria Math"/>
                  <w:lang w:val="en-IN"/>
                </w:rPr>
                <m:t>Investment</m:t>
              </m:r>
            </m:den>
          </m:f>
          <m:r>
            <w:rPr>
              <w:rFonts w:ascii="Cambria Math" w:hAnsi="Cambria Math"/>
              <w:lang w:val="en-IN"/>
            </w:rPr>
            <m:t>=1+</m:t>
          </m:r>
          <m:f>
            <m:fPr>
              <m:ctrlPr>
                <w:rPr>
                  <w:rFonts w:ascii="Cambria Math" w:hAnsi="Cambria Math"/>
                  <w:lang w:val="en-IN"/>
                </w:rPr>
              </m:ctrlPr>
            </m:fPr>
            <m:num>
              <m:r>
                <w:rPr>
                  <w:rFonts w:ascii="Cambria Math" w:hAnsi="Cambria Math"/>
                  <w:lang w:val="en-IN"/>
                </w:rPr>
                <m:t>NPV</m:t>
              </m:r>
            </m:num>
            <m:den>
              <m:r>
                <w:rPr>
                  <w:rFonts w:ascii="Cambria Math" w:hAnsi="Cambria Math"/>
                  <w:lang w:val="en-IN"/>
                </w:rPr>
                <m:t>Investment</m:t>
              </m:r>
            </m:den>
          </m:f>
          <m:r>
            <m:rPr>
              <m:sty m:val="p"/>
            </m:rPr>
            <w:rPr>
              <w:lang w:val="en-IN"/>
            </w:rPr>
            <w:br/>
          </m:r>
        </m:oMath>
      </m:oMathPara>
    </w:p>
    <w:p w14:paraId="2D2B1BED" w14:textId="77777777" w:rsidR="00D2600E" w:rsidRPr="00D2600E" w:rsidRDefault="00D2600E" w:rsidP="00D2600E">
      <w:pPr>
        <w:rPr>
          <w:b/>
          <w:bCs/>
          <w:lang w:val="en-IN"/>
        </w:rPr>
      </w:pPr>
      <w:r w:rsidRPr="00D2600E">
        <w:rPr>
          <w:b/>
          <w:bCs/>
          <w:lang w:val="en-IN"/>
        </w:rPr>
        <w:t>Profitability Index ranking</w:t>
      </w:r>
    </w:p>
    <w:p w14:paraId="69DB25AB" w14:textId="77777777" w:rsidR="00D2600E" w:rsidRPr="00D2600E" w:rsidRDefault="00D2600E" w:rsidP="00D2600E">
      <w:pPr>
        <w:rPr>
          <w:lang w:val="en-IN"/>
        </w:rPr>
      </w:pPr>
      <w:r w:rsidRPr="00D2600E">
        <w:rPr>
          <w:lang w:val="en-IN"/>
        </w:rPr>
        <w:lastRenderedPageBreak/>
        <w:t>Using the NPVs calculated earlier:</w:t>
      </w:r>
    </w:p>
    <w:p w14:paraId="1740F168" w14:textId="77777777" w:rsidR="00D2600E" w:rsidRPr="00D2600E" w:rsidRDefault="00D2600E" w:rsidP="00D2600E">
      <w:pPr>
        <w:numPr>
          <w:ilvl w:val="0"/>
          <w:numId w:val="43"/>
        </w:numPr>
        <w:rPr>
          <w:lang w:val="en-IN"/>
        </w:rPr>
      </w:pPr>
      <w:r w:rsidRPr="00D2600E">
        <w:rPr>
          <w:b/>
          <w:bCs/>
          <w:lang w:val="en-IN"/>
        </w:rPr>
        <w:t>Option A:</w:t>
      </w:r>
      <w:r w:rsidRPr="00D2600E">
        <w:rPr>
          <w:lang w:val="en-IN"/>
        </w:rPr>
        <w:t xml:space="preserve"> PI = 1 + (643.2 / 600) = </w:t>
      </w:r>
      <w:r w:rsidRPr="00D2600E">
        <w:rPr>
          <w:b/>
          <w:bCs/>
          <w:lang w:val="en-IN"/>
        </w:rPr>
        <w:t>2.072</w:t>
      </w:r>
    </w:p>
    <w:p w14:paraId="3179E5EB" w14:textId="77777777" w:rsidR="00D2600E" w:rsidRPr="00D2600E" w:rsidRDefault="00D2600E" w:rsidP="00D2600E">
      <w:pPr>
        <w:numPr>
          <w:ilvl w:val="0"/>
          <w:numId w:val="43"/>
        </w:numPr>
        <w:rPr>
          <w:lang w:val="en-IN"/>
        </w:rPr>
      </w:pPr>
      <w:r w:rsidRPr="00D2600E">
        <w:rPr>
          <w:b/>
          <w:bCs/>
          <w:lang w:val="en-IN"/>
        </w:rPr>
        <w:t>Option B:</w:t>
      </w:r>
      <w:r w:rsidRPr="00D2600E">
        <w:rPr>
          <w:lang w:val="en-IN"/>
        </w:rPr>
        <w:t xml:space="preserve"> PI = 1 + (791.7 / 1000) = </w:t>
      </w:r>
      <w:r w:rsidRPr="00D2600E">
        <w:rPr>
          <w:b/>
          <w:bCs/>
          <w:lang w:val="en-IN"/>
        </w:rPr>
        <w:t>1.792</w:t>
      </w:r>
    </w:p>
    <w:p w14:paraId="2C76389F" w14:textId="77777777" w:rsidR="00D2600E" w:rsidRPr="00D2600E" w:rsidRDefault="00D2600E" w:rsidP="00D2600E">
      <w:pPr>
        <w:numPr>
          <w:ilvl w:val="0"/>
          <w:numId w:val="43"/>
        </w:numPr>
        <w:rPr>
          <w:lang w:val="en-IN"/>
        </w:rPr>
      </w:pPr>
      <w:r w:rsidRPr="00D2600E">
        <w:rPr>
          <w:b/>
          <w:bCs/>
          <w:lang w:val="en-IN"/>
        </w:rPr>
        <w:t>Option C:</w:t>
      </w:r>
      <w:r w:rsidRPr="00D2600E">
        <w:rPr>
          <w:lang w:val="en-IN"/>
        </w:rPr>
        <w:t xml:space="preserve"> PI = 1 + (742.6 / 1600) = </w:t>
      </w:r>
      <w:r w:rsidRPr="00D2600E">
        <w:rPr>
          <w:b/>
          <w:bCs/>
          <w:lang w:val="en-IN"/>
        </w:rPr>
        <w:t>1.464</w:t>
      </w:r>
    </w:p>
    <w:p w14:paraId="4E66F3D8" w14:textId="77777777" w:rsidR="00D2600E" w:rsidRPr="00D2600E" w:rsidRDefault="00D2600E" w:rsidP="00D2600E">
      <w:pPr>
        <w:rPr>
          <w:lang w:val="en-IN"/>
        </w:rPr>
      </w:pPr>
      <w:r w:rsidRPr="00D2600E">
        <w:rPr>
          <w:lang w:val="en-IN"/>
        </w:rPr>
        <w:t>This gives the ranking:</w:t>
      </w:r>
    </w:p>
    <w:p w14:paraId="5EA57544" w14:textId="77777777" w:rsidR="00D2600E" w:rsidRPr="00D2600E" w:rsidRDefault="00D2600E" w:rsidP="00D2600E">
      <w:pPr>
        <w:rPr>
          <w:lang w:val="en-IN"/>
        </w:rPr>
      </w:pPr>
      <w:r w:rsidRPr="00D2600E">
        <w:rPr>
          <w:b/>
          <w:bCs/>
          <w:lang w:val="en-IN"/>
        </w:rPr>
        <w:t>A (highest PI) → B → C</w:t>
      </w:r>
    </w:p>
    <w:p w14:paraId="0C909CB4" w14:textId="77777777" w:rsidR="00D2600E" w:rsidRPr="00D2600E" w:rsidRDefault="00D2600E" w:rsidP="00D2600E">
      <w:pPr>
        <w:rPr>
          <w:b/>
          <w:bCs/>
          <w:lang w:val="en-IN"/>
        </w:rPr>
      </w:pPr>
      <w:r w:rsidRPr="00D2600E">
        <w:rPr>
          <w:b/>
          <w:bCs/>
          <w:lang w:val="en-IN"/>
        </w:rPr>
        <w:t>Optimal investment allocation</w:t>
      </w:r>
    </w:p>
    <w:p w14:paraId="22D8678E" w14:textId="77777777" w:rsidR="00D2600E" w:rsidRPr="00D2600E" w:rsidRDefault="00D2600E" w:rsidP="00D2600E">
      <w:pPr>
        <w:numPr>
          <w:ilvl w:val="0"/>
          <w:numId w:val="44"/>
        </w:numPr>
        <w:rPr>
          <w:lang w:val="en-IN"/>
        </w:rPr>
      </w:pPr>
      <w:r w:rsidRPr="00D2600E">
        <w:rPr>
          <w:lang w:val="en-IN"/>
        </w:rPr>
        <w:t xml:space="preserve">Invest fully in </w:t>
      </w:r>
      <w:r w:rsidRPr="00D2600E">
        <w:rPr>
          <w:b/>
          <w:bCs/>
          <w:lang w:val="en-IN"/>
        </w:rPr>
        <w:t>Option A (£0.6m)</w:t>
      </w:r>
      <w:r w:rsidRPr="00D2600E">
        <w:rPr>
          <w:lang w:val="en-IN"/>
        </w:rPr>
        <w:t xml:space="preserve"> → remaining </w:t>
      </w:r>
      <w:r w:rsidRPr="00D2600E">
        <w:rPr>
          <w:b/>
          <w:bCs/>
          <w:lang w:val="en-IN"/>
        </w:rPr>
        <w:t>£1.9m</w:t>
      </w:r>
    </w:p>
    <w:p w14:paraId="630974F8" w14:textId="77777777" w:rsidR="00D2600E" w:rsidRPr="00D2600E" w:rsidRDefault="00D2600E" w:rsidP="00D2600E">
      <w:pPr>
        <w:numPr>
          <w:ilvl w:val="0"/>
          <w:numId w:val="44"/>
        </w:numPr>
        <w:rPr>
          <w:lang w:val="en-IN"/>
        </w:rPr>
      </w:pPr>
      <w:r w:rsidRPr="00D2600E">
        <w:rPr>
          <w:lang w:val="en-IN"/>
        </w:rPr>
        <w:t xml:space="preserve">Invest fully in </w:t>
      </w:r>
      <w:r w:rsidRPr="00D2600E">
        <w:rPr>
          <w:b/>
          <w:bCs/>
          <w:lang w:val="en-IN"/>
        </w:rPr>
        <w:t>Option B (£1.0m)</w:t>
      </w:r>
      <w:r w:rsidRPr="00D2600E">
        <w:rPr>
          <w:lang w:val="en-IN"/>
        </w:rPr>
        <w:t xml:space="preserve"> → remaining </w:t>
      </w:r>
      <w:r w:rsidRPr="00D2600E">
        <w:rPr>
          <w:b/>
          <w:bCs/>
          <w:lang w:val="en-IN"/>
        </w:rPr>
        <w:t>£0.9m</w:t>
      </w:r>
    </w:p>
    <w:p w14:paraId="7CD94BBF" w14:textId="77777777" w:rsidR="00D2600E" w:rsidRPr="00D2600E" w:rsidRDefault="00D2600E" w:rsidP="00D2600E">
      <w:pPr>
        <w:numPr>
          <w:ilvl w:val="0"/>
          <w:numId w:val="44"/>
        </w:numPr>
        <w:rPr>
          <w:lang w:val="en-IN"/>
        </w:rPr>
      </w:pPr>
      <w:r w:rsidRPr="00D2600E">
        <w:rPr>
          <w:lang w:val="en-IN"/>
        </w:rPr>
        <w:t xml:space="preserve">Invest the remaining </w:t>
      </w:r>
      <w:r w:rsidRPr="00D2600E">
        <w:rPr>
          <w:b/>
          <w:bCs/>
          <w:lang w:val="en-IN"/>
        </w:rPr>
        <w:t>£0.9m</w:t>
      </w:r>
      <w:r w:rsidRPr="00D2600E">
        <w:rPr>
          <w:lang w:val="en-IN"/>
        </w:rPr>
        <w:t xml:space="preserve"> into </w:t>
      </w:r>
      <w:r w:rsidRPr="00D2600E">
        <w:rPr>
          <w:b/>
          <w:bCs/>
          <w:lang w:val="en-IN"/>
        </w:rPr>
        <w:t>Option C</w:t>
      </w:r>
      <w:r w:rsidRPr="00D2600E">
        <w:rPr>
          <w:lang w:val="en-IN"/>
        </w:rPr>
        <w:t>:</w:t>
      </w:r>
    </w:p>
    <w:p w14:paraId="373BCFAE" w14:textId="4A28E905" w:rsidR="00D2600E" w:rsidRPr="00D2600E" w:rsidRDefault="00000000" w:rsidP="00D2600E">
      <w:pPr>
        <w:rPr>
          <w:lang w:val="en-IN"/>
        </w:rPr>
      </w:pPr>
      <m:oMathPara>
        <m:oMath>
          <m:f>
            <m:fPr>
              <m:ctrlPr>
                <w:rPr>
                  <w:rFonts w:ascii="Cambria Math" w:hAnsi="Cambria Math"/>
                  <w:lang w:val="en-IN"/>
                </w:rPr>
              </m:ctrlPr>
            </m:fPr>
            <m:num>
              <m:r>
                <w:rPr>
                  <w:rFonts w:ascii="Cambria Math" w:hAnsi="Cambria Math"/>
                  <w:lang w:val="en-IN"/>
                </w:rPr>
                <m:t>0.9</m:t>
              </m:r>
            </m:num>
            <m:den>
              <m:r>
                <w:rPr>
                  <w:rFonts w:ascii="Cambria Math" w:hAnsi="Cambria Math"/>
                  <w:lang w:val="en-IN"/>
                </w:rPr>
                <m:t>1.6</m:t>
              </m:r>
            </m:den>
          </m:f>
          <m:r>
            <w:rPr>
              <w:rFonts w:ascii="Cambria Math" w:hAnsi="Cambria Math"/>
              <w:lang w:val="en-IN"/>
            </w:rPr>
            <m:t>=56.25</m:t>
          </m:r>
          <m:r>
            <m:rPr>
              <m:sty m:val="p"/>
            </m:rPr>
            <w:rPr>
              <w:rFonts w:ascii="Cambria Math" w:hAnsi="Cambria Math"/>
              <w:lang w:val="en-IN"/>
            </w:rPr>
            <m:t>%</m:t>
          </m:r>
          <m:r>
            <m:rPr>
              <m:sty m:val="p"/>
            </m:rPr>
            <w:rPr>
              <w:lang w:val="en-IN"/>
            </w:rPr>
            <w:br/>
          </m:r>
        </m:oMath>
      </m:oMathPara>
    </w:p>
    <w:p w14:paraId="0C9B1244" w14:textId="77777777" w:rsidR="00D2600E" w:rsidRPr="00D2600E" w:rsidRDefault="00D2600E" w:rsidP="00D2600E">
      <w:pPr>
        <w:rPr>
          <w:lang w:val="en-IN"/>
        </w:rPr>
      </w:pPr>
      <w:r w:rsidRPr="00D2600E">
        <w:rPr>
          <w:lang w:val="en-IN"/>
        </w:rPr>
        <w:t>Fractional NPV from C:</w:t>
      </w:r>
    </w:p>
    <w:p w14:paraId="34187C31" w14:textId="5D6B7825" w:rsidR="00D2600E" w:rsidRPr="00D2600E" w:rsidRDefault="00D2600E" w:rsidP="00D2600E">
      <w:pPr>
        <w:rPr>
          <w:lang w:val="en-IN"/>
        </w:rPr>
      </w:pPr>
      <m:oMathPara>
        <m:oMath>
          <m:r>
            <w:rPr>
              <w:rFonts w:ascii="Cambria Math" w:hAnsi="Cambria Math"/>
              <w:lang w:val="en-IN"/>
            </w:rPr>
            <m:t>0.5625×742.6=417.2k</m:t>
          </m:r>
          <m:r>
            <w:rPr>
              <w:lang w:val="en-IN"/>
            </w:rPr>
            <w:br/>
          </m:r>
        </m:oMath>
      </m:oMathPara>
    </w:p>
    <w:p w14:paraId="2A613433" w14:textId="77777777" w:rsidR="00D2600E" w:rsidRPr="00D2600E" w:rsidRDefault="00D2600E" w:rsidP="00D2600E">
      <w:pPr>
        <w:rPr>
          <w:lang w:val="en-IN"/>
        </w:rPr>
      </w:pPr>
      <w:r w:rsidRPr="00D2600E">
        <w:rPr>
          <w:lang w:val="en-IN"/>
        </w:rPr>
        <w:t xml:space="preserve">Total NPV = 643.2 + 791.7 + 417.2 = </w:t>
      </w:r>
      <w:r w:rsidRPr="00D2600E">
        <w:rPr>
          <w:b/>
          <w:bCs/>
          <w:lang w:val="en-IN"/>
        </w:rPr>
        <w:t>£1,852.1k</w:t>
      </w:r>
    </w:p>
    <w:p w14:paraId="6E1C5E8B" w14:textId="042C6577" w:rsidR="00D2600E" w:rsidRPr="00D2600E" w:rsidRDefault="00D2600E" w:rsidP="00D2600E">
      <w:pPr>
        <w:rPr>
          <w:lang w:val="en-IN"/>
        </w:rPr>
      </w:pPr>
      <w:r w:rsidRPr="00D2600E">
        <w:rPr>
          <w:lang w:val="en-IN"/>
        </w:rPr>
        <w:t xml:space="preserve">Therefore, the optimal policy is </w:t>
      </w:r>
      <w:r w:rsidRPr="00D2600E">
        <w:rPr>
          <w:b/>
          <w:bCs/>
          <w:lang w:val="en-IN"/>
        </w:rPr>
        <w:t>A + B + 56.25% of C</w:t>
      </w:r>
      <w:r w:rsidRPr="00D2600E">
        <w:rPr>
          <w:lang w:val="en-IN"/>
        </w:rPr>
        <w:t>, maximising value within the £2.5m budget.</w:t>
      </w:r>
    </w:p>
    <w:p w14:paraId="006A86AC" w14:textId="77777777" w:rsidR="00D2600E" w:rsidRPr="00D2600E" w:rsidRDefault="00D2600E" w:rsidP="00D2600E">
      <w:pPr>
        <w:rPr>
          <w:lang w:val="en-IN"/>
        </w:rPr>
      </w:pPr>
    </w:p>
    <w:p w14:paraId="487453E7" w14:textId="224F3C30" w:rsidR="00F040A6" w:rsidRDefault="00000000" w:rsidP="00D2600E">
      <w:pPr>
        <w:pStyle w:val="Heading1"/>
        <w:numPr>
          <w:ilvl w:val="0"/>
          <w:numId w:val="32"/>
        </w:numPr>
      </w:pPr>
      <w:bookmarkStart w:id="45" w:name="_Toc219036430"/>
      <w:r>
        <w:t xml:space="preserve">Financing the Investment </w:t>
      </w:r>
      <w:proofErr w:type="spellStart"/>
      <w:r>
        <w:t>Programme</w:t>
      </w:r>
      <w:proofErr w:type="spellEnd"/>
      <w:r>
        <w:t>: Sources of Finance and Evaluation</w:t>
      </w:r>
      <w:bookmarkEnd w:id="45"/>
    </w:p>
    <w:p w14:paraId="17A48875" w14:textId="77777777" w:rsidR="00D2600E" w:rsidRPr="00D2600E" w:rsidRDefault="00D2600E" w:rsidP="00D2600E">
      <w:pPr>
        <w:rPr>
          <w:lang w:val="en-IN"/>
        </w:rPr>
      </w:pPr>
      <w:r w:rsidRPr="00D2600E">
        <w:rPr>
          <w:lang w:val="en-IN"/>
        </w:rPr>
        <w:t>Once Westward Plc decides to proceed with the recommended investment programme, the Directors must determine the most appropriate financing strategy. The optimal funding approach should balance cost, risk, flexibility, and the impact on shareholder control. The main finance sources available include debt finance, equity finance, leasing, and external funding support such as grants.</w:t>
      </w:r>
    </w:p>
    <w:p w14:paraId="6FD2A949" w14:textId="448E1D5C" w:rsidR="00D2600E" w:rsidRPr="00D2600E" w:rsidRDefault="0069287F" w:rsidP="0069287F">
      <w:pPr>
        <w:pStyle w:val="Heading3"/>
        <w:numPr>
          <w:ilvl w:val="1"/>
          <w:numId w:val="52"/>
        </w:numPr>
        <w:rPr>
          <w:lang w:val="en-IN"/>
        </w:rPr>
      </w:pPr>
      <w:r>
        <w:rPr>
          <w:lang w:val="en-IN"/>
        </w:rPr>
        <w:lastRenderedPageBreak/>
        <w:t xml:space="preserve">  </w:t>
      </w:r>
      <w:bookmarkStart w:id="46" w:name="_Toc219036431"/>
      <w:r w:rsidR="00D2600E" w:rsidRPr="00D2600E">
        <w:rPr>
          <w:lang w:val="en-IN"/>
        </w:rPr>
        <w:t>Debt Finance (Bank Loans / Corporate Borrowing)</w:t>
      </w:r>
      <w:bookmarkEnd w:id="46"/>
    </w:p>
    <w:p w14:paraId="733BBDB5" w14:textId="77777777" w:rsidR="00D2600E" w:rsidRPr="00D2600E" w:rsidRDefault="00D2600E" w:rsidP="00D2600E">
      <w:pPr>
        <w:rPr>
          <w:lang w:val="en-IN"/>
        </w:rPr>
      </w:pPr>
      <w:r w:rsidRPr="00D2600E">
        <w:rPr>
          <w:lang w:val="en-IN"/>
        </w:rPr>
        <w:t>Debt is a common funding source for established firms due to its lower cost relative to equity and the tax advantage of interest deductibility.</w:t>
      </w:r>
      <w:r w:rsidRPr="00D2600E">
        <w:rPr>
          <w:lang w:val="en-IN"/>
        </w:rPr>
        <w:br/>
      </w:r>
      <w:r w:rsidRPr="00D2600E">
        <w:rPr>
          <w:b/>
          <w:bCs/>
          <w:lang w:val="en-IN"/>
        </w:rPr>
        <w:t>Advantages:</w:t>
      </w:r>
    </w:p>
    <w:p w14:paraId="55E9AB0F" w14:textId="77777777" w:rsidR="00D2600E" w:rsidRPr="00D2600E" w:rsidRDefault="00D2600E" w:rsidP="00D2600E">
      <w:pPr>
        <w:numPr>
          <w:ilvl w:val="0"/>
          <w:numId w:val="45"/>
        </w:numPr>
        <w:rPr>
          <w:lang w:val="en-IN"/>
        </w:rPr>
      </w:pPr>
      <w:r w:rsidRPr="00D2600E">
        <w:rPr>
          <w:lang w:val="en-IN"/>
        </w:rPr>
        <w:t>interest is tax deductible (reduces effective cost),</w:t>
      </w:r>
    </w:p>
    <w:p w14:paraId="00544448" w14:textId="77777777" w:rsidR="00D2600E" w:rsidRPr="00D2600E" w:rsidRDefault="00D2600E" w:rsidP="00D2600E">
      <w:pPr>
        <w:numPr>
          <w:ilvl w:val="0"/>
          <w:numId w:val="45"/>
        </w:numPr>
        <w:rPr>
          <w:lang w:val="en-IN"/>
        </w:rPr>
      </w:pPr>
      <w:r w:rsidRPr="00D2600E">
        <w:rPr>
          <w:lang w:val="en-IN"/>
        </w:rPr>
        <w:t>retains shareholder ownership and control,</w:t>
      </w:r>
    </w:p>
    <w:p w14:paraId="3BCC2BDD" w14:textId="77777777" w:rsidR="00D2600E" w:rsidRPr="00D2600E" w:rsidRDefault="00D2600E" w:rsidP="00D2600E">
      <w:pPr>
        <w:numPr>
          <w:ilvl w:val="0"/>
          <w:numId w:val="45"/>
        </w:numPr>
        <w:rPr>
          <w:lang w:val="en-IN"/>
        </w:rPr>
      </w:pPr>
      <w:r w:rsidRPr="00D2600E">
        <w:rPr>
          <w:lang w:val="en-IN"/>
        </w:rPr>
        <w:t>predictable repayments simplify budgeting.</w:t>
      </w:r>
      <w:r w:rsidRPr="00D2600E">
        <w:rPr>
          <w:lang w:val="en-IN"/>
        </w:rPr>
        <w:br/>
      </w:r>
      <w:r w:rsidRPr="00D2600E">
        <w:rPr>
          <w:b/>
          <w:bCs/>
          <w:lang w:val="en-IN"/>
        </w:rPr>
        <w:t>Disadvantages:</w:t>
      </w:r>
    </w:p>
    <w:p w14:paraId="22BB8F7C" w14:textId="77777777" w:rsidR="00D2600E" w:rsidRPr="00D2600E" w:rsidRDefault="00D2600E" w:rsidP="00D2600E">
      <w:pPr>
        <w:numPr>
          <w:ilvl w:val="0"/>
          <w:numId w:val="45"/>
        </w:numPr>
        <w:rPr>
          <w:lang w:val="en-IN"/>
        </w:rPr>
      </w:pPr>
      <w:r w:rsidRPr="00D2600E">
        <w:rPr>
          <w:lang w:val="en-IN"/>
        </w:rPr>
        <w:t>increases gearing and financial risk,</w:t>
      </w:r>
    </w:p>
    <w:p w14:paraId="107C53E1" w14:textId="77777777" w:rsidR="00D2600E" w:rsidRPr="00D2600E" w:rsidRDefault="00D2600E" w:rsidP="00D2600E">
      <w:pPr>
        <w:numPr>
          <w:ilvl w:val="0"/>
          <w:numId w:val="45"/>
        </w:numPr>
        <w:rPr>
          <w:lang w:val="en-IN"/>
        </w:rPr>
      </w:pPr>
      <w:r w:rsidRPr="00D2600E">
        <w:rPr>
          <w:lang w:val="en-IN"/>
        </w:rPr>
        <w:t>fixed repayments reduce flexibility during low sales periods,</w:t>
      </w:r>
    </w:p>
    <w:p w14:paraId="0CAA8B53" w14:textId="77777777" w:rsidR="00D2600E" w:rsidRPr="00D2600E" w:rsidRDefault="00D2600E" w:rsidP="00D2600E">
      <w:pPr>
        <w:numPr>
          <w:ilvl w:val="0"/>
          <w:numId w:val="45"/>
        </w:numPr>
        <w:rPr>
          <w:lang w:val="en-IN"/>
        </w:rPr>
      </w:pPr>
      <w:r w:rsidRPr="00D2600E">
        <w:rPr>
          <w:lang w:val="en-IN"/>
        </w:rPr>
        <w:t>exposure to interest rate volatility (especially if borrowing is variable-rate).</w:t>
      </w:r>
      <w:r w:rsidRPr="00D2600E">
        <w:rPr>
          <w:lang w:val="en-IN"/>
        </w:rPr>
        <w:br/>
        <w:t>Debt may be appropriate for Option A or part of Option B due to stable expected cash flows.</w:t>
      </w:r>
    </w:p>
    <w:p w14:paraId="203B4B9F" w14:textId="6A9159B0" w:rsidR="00D2600E" w:rsidRPr="00D2600E" w:rsidRDefault="00D2600E" w:rsidP="0069287F">
      <w:pPr>
        <w:pStyle w:val="Heading3"/>
        <w:numPr>
          <w:ilvl w:val="1"/>
          <w:numId w:val="32"/>
        </w:numPr>
        <w:rPr>
          <w:lang w:val="en-IN"/>
        </w:rPr>
      </w:pPr>
      <w:bookmarkStart w:id="47" w:name="_Toc219036432"/>
      <w:r w:rsidRPr="00D2600E">
        <w:rPr>
          <w:lang w:val="en-IN"/>
        </w:rPr>
        <w:t>Equity Finance (Issuing Shares / Bringing in Investors)</w:t>
      </w:r>
      <w:bookmarkEnd w:id="47"/>
    </w:p>
    <w:p w14:paraId="3E6EE71E" w14:textId="77777777" w:rsidR="00D2600E" w:rsidRPr="00D2600E" w:rsidRDefault="00D2600E" w:rsidP="00D2600E">
      <w:pPr>
        <w:rPr>
          <w:lang w:val="en-IN"/>
        </w:rPr>
      </w:pPr>
      <w:r w:rsidRPr="00D2600E">
        <w:rPr>
          <w:lang w:val="en-IN"/>
        </w:rPr>
        <w:t>Equity provides permanent capital with no mandatory repayments.</w:t>
      </w:r>
      <w:r w:rsidRPr="00D2600E">
        <w:rPr>
          <w:lang w:val="en-IN"/>
        </w:rPr>
        <w:br/>
      </w:r>
      <w:r w:rsidRPr="00D2600E">
        <w:rPr>
          <w:b/>
          <w:bCs/>
          <w:lang w:val="en-IN"/>
        </w:rPr>
        <w:t>Advantages:</w:t>
      </w:r>
    </w:p>
    <w:p w14:paraId="3FA53C05" w14:textId="77777777" w:rsidR="00D2600E" w:rsidRPr="00D2600E" w:rsidRDefault="00D2600E" w:rsidP="00D2600E">
      <w:pPr>
        <w:numPr>
          <w:ilvl w:val="0"/>
          <w:numId w:val="46"/>
        </w:numPr>
        <w:rPr>
          <w:lang w:val="en-IN"/>
        </w:rPr>
      </w:pPr>
      <w:r w:rsidRPr="00D2600E">
        <w:rPr>
          <w:lang w:val="en-IN"/>
        </w:rPr>
        <w:t>reduces bankruptcy risk (no fixed repayment obligations),</w:t>
      </w:r>
    </w:p>
    <w:p w14:paraId="40FC68A7" w14:textId="77777777" w:rsidR="00D2600E" w:rsidRPr="00D2600E" w:rsidRDefault="00D2600E" w:rsidP="00D2600E">
      <w:pPr>
        <w:numPr>
          <w:ilvl w:val="0"/>
          <w:numId w:val="46"/>
        </w:numPr>
        <w:rPr>
          <w:lang w:val="en-IN"/>
        </w:rPr>
      </w:pPr>
      <w:r w:rsidRPr="00D2600E">
        <w:rPr>
          <w:lang w:val="en-IN"/>
        </w:rPr>
        <w:t>improves solvency and financial resilience,</w:t>
      </w:r>
    </w:p>
    <w:p w14:paraId="2E47AA88" w14:textId="77777777" w:rsidR="00D2600E" w:rsidRPr="00D2600E" w:rsidRDefault="00D2600E" w:rsidP="00D2600E">
      <w:pPr>
        <w:numPr>
          <w:ilvl w:val="0"/>
          <w:numId w:val="46"/>
        </w:numPr>
        <w:rPr>
          <w:lang w:val="en-IN"/>
        </w:rPr>
      </w:pPr>
      <w:r w:rsidRPr="00D2600E">
        <w:rPr>
          <w:lang w:val="en-IN"/>
        </w:rPr>
        <w:t>suitable for long-term strategic projects.</w:t>
      </w:r>
      <w:r w:rsidRPr="00D2600E">
        <w:rPr>
          <w:lang w:val="en-IN"/>
        </w:rPr>
        <w:br/>
      </w:r>
      <w:r w:rsidRPr="00D2600E">
        <w:rPr>
          <w:b/>
          <w:bCs/>
          <w:lang w:val="en-IN"/>
        </w:rPr>
        <w:t>Disadvantages:</w:t>
      </w:r>
    </w:p>
    <w:p w14:paraId="0E65F169" w14:textId="77777777" w:rsidR="00D2600E" w:rsidRPr="00D2600E" w:rsidRDefault="00D2600E" w:rsidP="00D2600E">
      <w:pPr>
        <w:numPr>
          <w:ilvl w:val="0"/>
          <w:numId w:val="46"/>
        </w:numPr>
        <w:rPr>
          <w:lang w:val="en-IN"/>
        </w:rPr>
      </w:pPr>
      <w:r w:rsidRPr="00D2600E">
        <w:rPr>
          <w:lang w:val="en-IN"/>
        </w:rPr>
        <w:t>dilution of ownership and control,</w:t>
      </w:r>
    </w:p>
    <w:p w14:paraId="77EAFFFD" w14:textId="77777777" w:rsidR="00D2600E" w:rsidRPr="00D2600E" w:rsidRDefault="00D2600E" w:rsidP="00D2600E">
      <w:pPr>
        <w:numPr>
          <w:ilvl w:val="0"/>
          <w:numId w:val="46"/>
        </w:numPr>
        <w:rPr>
          <w:lang w:val="en-IN"/>
        </w:rPr>
      </w:pPr>
      <w:r w:rsidRPr="00D2600E">
        <w:rPr>
          <w:lang w:val="en-IN"/>
        </w:rPr>
        <w:t>usually more expensive than debt due to higher investor return expectations,</w:t>
      </w:r>
    </w:p>
    <w:p w14:paraId="0D6B8B9E" w14:textId="77777777" w:rsidR="00D2600E" w:rsidRPr="00D2600E" w:rsidRDefault="00D2600E" w:rsidP="00D2600E">
      <w:pPr>
        <w:numPr>
          <w:ilvl w:val="0"/>
          <w:numId w:val="46"/>
        </w:numPr>
        <w:rPr>
          <w:lang w:val="en-IN"/>
        </w:rPr>
      </w:pPr>
      <w:r w:rsidRPr="00D2600E">
        <w:rPr>
          <w:lang w:val="en-IN"/>
        </w:rPr>
        <w:t>may create pressure for dividend growth.</w:t>
      </w:r>
      <w:r w:rsidRPr="00D2600E">
        <w:rPr>
          <w:lang w:val="en-IN"/>
        </w:rPr>
        <w:br/>
        <w:t>Equity could be justified for Option C due to higher investment scale and risk, but Directors must consider control implications.</w:t>
      </w:r>
    </w:p>
    <w:p w14:paraId="64D45C75" w14:textId="2AD7903B" w:rsidR="00D2600E" w:rsidRPr="00D2600E" w:rsidRDefault="00D2600E" w:rsidP="0069287F">
      <w:pPr>
        <w:pStyle w:val="Heading3"/>
        <w:numPr>
          <w:ilvl w:val="1"/>
          <w:numId w:val="32"/>
        </w:numPr>
        <w:rPr>
          <w:lang w:val="en-IN"/>
        </w:rPr>
      </w:pPr>
      <w:bookmarkStart w:id="48" w:name="_Toc219036433"/>
      <w:r w:rsidRPr="00D2600E">
        <w:rPr>
          <w:lang w:val="en-IN"/>
        </w:rPr>
        <w:t>Leasing (Asset-Based Finance)</w:t>
      </w:r>
      <w:bookmarkEnd w:id="48"/>
    </w:p>
    <w:p w14:paraId="029A5BB4" w14:textId="77777777" w:rsidR="00D2600E" w:rsidRPr="00D2600E" w:rsidRDefault="00D2600E" w:rsidP="00D2600E">
      <w:pPr>
        <w:rPr>
          <w:lang w:val="en-IN"/>
        </w:rPr>
      </w:pPr>
      <w:r w:rsidRPr="00D2600E">
        <w:rPr>
          <w:lang w:val="en-IN"/>
        </w:rPr>
        <w:t>Leasing is especially relevant if new equipment is required (e.g., for blind production).</w:t>
      </w:r>
      <w:r w:rsidRPr="00D2600E">
        <w:rPr>
          <w:lang w:val="en-IN"/>
        </w:rPr>
        <w:br/>
      </w:r>
      <w:r w:rsidRPr="00D2600E">
        <w:rPr>
          <w:b/>
          <w:bCs/>
          <w:lang w:val="en-IN"/>
        </w:rPr>
        <w:t>Advantages:</w:t>
      </w:r>
    </w:p>
    <w:p w14:paraId="76BCCB26" w14:textId="77777777" w:rsidR="00D2600E" w:rsidRPr="00D2600E" w:rsidRDefault="00D2600E" w:rsidP="00D2600E">
      <w:pPr>
        <w:numPr>
          <w:ilvl w:val="0"/>
          <w:numId w:val="47"/>
        </w:numPr>
        <w:rPr>
          <w:lang w:val="en-IN"/>
        </w:rPr>
      </w:pPr>
      <w:r w:rsidRPr="00D2600E">
        <w:rPr>
          <w:lang w:val="en-IN"/>
        </w:rPr>
        <w:t>avoids large upfront cash outflow,</w:t>
      </w:r>
    </w:p>
    <w:p w14:paraId="43CA6AF1" w14:textId="77777777" w:rsidR="00D2600E" w:rsidRPr="00D2600E" w:rsidRDefault="00D2600E" w:rsidP="00D2600E">
      <w:pPr>
        <w:numPr>
          <w:ilvl w:val="0"/>
          <w:numId w:val="47"/>
        </w:numPr>
        <w:rPr>
          <w:lang w:val="en-IN"/>
        </w:rPr>
      </w:pPr>
      <w:r w:rsidRPr="00D2600E">
        <w:rPr>
          <w:lang w:val="en-IN"/>
        </w:rPr>
        <w:t>improves short-term liquidity,</w:t>
      </w:r>
    </w:p>
    <w:p w14:paraId="47756CF4" w14:textId="77777777" w:rsidR="00D2600E" w:rsidRPr="00D2600E" w:rsidRDefault="00D2600E" w:rsidP="00D2600E">
      <w:pPr>
        <w:numPr>
          <w:ilvl w:val="0"/>
          <w:numId w:val="47"/>
        </w:numPr>
        <w:rPr>
          <w:lang w:val="en-IN"/>
        </w:rPr>
      </w:pPr>
      <w:r w:rsidRPr="00D2600E">
        <w:rPr>
          <w:lang w:val="en-IN"/>
        </w:rPr>
        <w:t>reduces risk of equipment obsolescence.</w:t>
      </w:r>
      <w:r w:rsidRPr="00D2600E">
        <w:rPr>
          <w:lang w:val="en-IN"/>
        </w:rPr>
        <w:br/>
      </w:r>
      <w:r w:rsidRPr="00D2600E">
        <w:rPr>
          <w:b/>
          <w:bCs/>
          <w:lang w:val="en-IN"/>
        </w:rPr>
        <w:t>Disadvantages:</w:t>
      </w:r>
    </w:p>
    <w:p w14:paraId="7EE19877" w14:textId="77777777" w:rsidR="00D2600E" w:rsidRPr="00D2600E" w:rsidRDefault="00D2600E" w:rsidP="00D2600E">
      <w:pPr>
        <w:numPr>
          <w:ilvl w:val="0"/>
          <w:numId w:val="47"/>
        </w:numPr>
        <w:rPr>
          <w:lang w:val="en-IN"/>
        </w:rPr>
      </w:pPr>
      <w:r w:rsidRPr="00D2600E">
        <w:rPr>
          <w:lang w:val="en-IN"/>
        </w:rPr>
        <w:lastRenderedPageBreak/>
        <w:t>higher long-term cost versus purchasing,</w:t>
      </w:r>
    </w:p>
    <w:p w14:paraId="2FA3068A" w14:textId="77777777" w:rsidR="00D2600E" w:rsidRPr="00D2600E" w:rsidRDefault="00D2600E" w:rsidP="00D2600E">
      <w:pPr>
        <w:numPr>
          <w:ilvl w:val="0"/>
          <w:numId w:val="47"/>
        </w:numPr>
        <w:rPr>
          <w:lang w:val="en-IN"/>
        </w:rPr>
      </w:pPr>
      <w:r w:rsidRPr="00D2600E">
        <w:rPr>
          <w:lang w:val="en-IN"/>
        </w:rPr>
        <w:t>creates long-term contractual obligations,</w:t>
      </w:r>
    </w:p>
    <w:p w14:paraId="1C3EB8F9" w14:textId="77777777" w:rsidR="00D2600E" w:rsidRPr="00D2600E" w:rsidRDefault="00D2600E" w:rsidP="00D2600E">
      <w:pPr>
        <w:numPr>
          <w:ilvl w:val="0"/>
          <w:numId w:val="47"/>
        </w:numPr>
        <w:rPr>
          <w:lang w:val="en-IN"/>
        </w:rPr>
      </w:pPr>
      <w:r w:rsidRPr="00D2600E">
        <w:rPr>
          <w:lang w:val="en-IN"/>
        </w:rPr>
        <w:t>may limit future financial flexibility.</w:t>
      </w:r>
    </w:p>
    <w:p w14:paraId="52883FBD" w14:textId="04EAF95A" w:rsidR="00D2600E" w:rsidRPr="00D2600E" w:rsidRDefault="00D2600E" w:rsidP="0069287F">
      <w:pPr>
        <w:pStyle w:val="Heading3"/>
        <w:numPr>
          <w:ilvl w:val="1"/>
          <w:numId w:val="32"/>
        </w:numPr>
        <w:rPr>
          <w:lang w:val="en-IN"/>
        </w:rPr>
      </w:pPr>
      <w:bookmarkStart w:id="49" w:name="_Toc219036434"/>
      <w:r w:rsidRPr="00D2600E">
        <w:rPr>
          <w:lang w:val="en-IN"/>
        </w:rPr>
        <w:t>Government Grants / Green Funding</w:t>
      </w:r>
      <w:bookmarkEnd w:id="49"/>
    </w:p>
    <w:p w14:paraId="2C31CE01" w14:textId="77777777" w:rsidR="00D2600E" w:rsidRPr="00D2600E" w:rsidRDefault="00D2600E" w:rsidP="00D2600E">
      <w:pPr>
        <w:rPr>
          <w:lang w:val="en-IN"/>
        </w:rPr>
      </w:pPr>
      <w:r w:rsidRPr="00D2600E">
        <w:rPr>
          <w:lang w:val="en-IN"/>
        </w:rPr>
        <w:t>If Westward Plc adopts sustainability practices (e.g., responsibly sourced wood), it may qualify for support.</w:t>
      </w:r>
      <w:r w:rsidRPr="00D2600E">
        <w:rPr>
          <w:lang w:val="en-IN"/>
        </w:rPr>
        <w:br/>
      </w:r>
      <w:r w:rsidRPr="00D2600E">
        <w:rPr>
          <w:b/>
          <w:bCs/>
          <w:lang w:val="en-IN"/>
        </w:rPr>
        <w:t>Advantages:</w:t>
      </w:r>
      <w:r w:rsidRPr="00D2600E">
        <w:rPr>
          <w:lang w:val="en-IN"/>
        </w:rPr>
        <w:t xml:space="preserve"> non-repayable funding, reduces project cost.</w:t>
      </w:r>
      <w:r w:rsidRPr="00D2600E">
        <w:rPr>
          <w:lang w:val="en-IN"/>
        </w:rPr>
        <w:br/>
      </w:r>
      <w:r w:rsidRPr="00D2600E">
        <w:rPr>
          <w:b/>
          <w:bCs/>
          <w:lang w:val="en-IN"/>
        </w:rPr>
        <w:t>Disadvantages:</w:t>
      </w:r>
      <w:r w:rsidRPr="00D2600E">
        <w:rPr>
          <w:lang w:val="en-IN"/>
        </w:rPr>
        <w:t xml:space="preserve"> strict criteria and long approval process.</w:t>
      </w:r>
    </w:p>
    <w:p w14:paraId="0DB8D994" w14:textId="77777777" w:rsidR="00D2600E" w:rsidRPr="00D2600E" w:rsidRDefault="00D2600E" w:rsidP="00D2600E">
      <w:pPr>
        <w:pStyle w:val="Heading3"/>
        <w:rPr>
          <w:lang w:val="en-IN"/>
        </w:rPr>
      </w:pPr>
      <w:bookmarkStart w:id="50" w:name="_Toc219036435"/>
      <w:r w:rsidRPr="00D2600E">
        <w:rPr>
          <w:lang w:val="en-IN"/>
        </w:rPr>
        <w:t>Recommendation</w:t>
      </w:r>
      <w:bookmarkEnd w:id="50"/>
    </w:p>
    <w:p w14:paraId="077FB4BF" w14:textId="77777777" w:rsidR="00D2600E" w:rsidRPr="00D2600E" w:rsidRDefault="00D2600E" w:rsidP="00D2600E">
      <w:pPr>
        <w:rPr>
          <w:lang w:val="en-IN"/>
        </w:rPr>
      </w:pPr>
      <w:r w:rsidRPr="00D2600E">
        <w:rPr>
          <w:lang w:val="en-IN"/>
        </w:rPr>
        <w:t xml:space="preserve">A balanced approach is recommended: use </w:t>
      </w:r>
      <w:r w:rsidRPr="00D2600E">
        <w:rPr>
          <w:b/>
          <w:bCs/>
          <w:lang w:val="en-IN"/>
        </w:rPr>
        <w:t>moderate debt funding</w:t>
      </w:r>
      <w:r w:rsidRPr="00D2600E">
        <w:rPr>
          <w:lang w:val="en-IN"/>
        </w:rPr>
        <w:t xml:space="preserve"> supported by </w:t>
      </w:r>
      <w:r w:rsidRPr="00D2600E">
        <w:rPr>
          <w:b/>
          <w:bCs/>
          <w:lang w:val="en-IN"/>
        </w:rPr>
        <w:t>leasing</w:t>
      </w:r>
      <w:r w:rsidRPr="00D2600E">
        <w:rPr>
          <w:lang w:val="en-IN"/>
        </w:rPr>
        <w:t xml:space="preserve"> for operational assets, while keeping equity as a strategic option only if risk or gearing becomes excessive. This minimises financing costs while protecting solvency and flexibility.</w:t>
      </w:r>
    </w:p>
    <w:p w14:paraId="4D787C8E" w14:textId="77777777" w:rsidR="00D2600E" w:rsidRPr="00D2600E" w:rsidRDefault="00D2600E" w:rsidP="00D2600E">
      <w:pPr>
        <w:rPr>
          <w:lang w:val="en-IN"/>
        </w:rPr>
      </w:pPr>
    </w:p>
    <w:p w14:paraId="31C3B28A" w14:textId="6B690D68" w:rsidR="00F040A6" w:rsidRDefault="00000000" w:rsidP="00D2600E">
      <w:pPr>
        <w:pStyle w:val="Heading1"/>
        <w:numPr>
          <w:ilvl w:val="0"/>
          <w:numId w:val="32"/>
        </w:numPr>
      </w:pPr>
      <w:bookmarkStart w:id="51" w:name="_Toc219036436"/>
      <w:r>
        <w:t>Conclusion</w:t>
      </w:r>
      <w:bookmarkEnd w:id="51"/>
    </w:p>
    <w:p w14:paraId="166ACF10" w14:textId="47BA12D4" w:rsidR="00F040A6" w:rsidRDefault="00D2600E"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 xml:space="preserve">This report evaluated three investment options available to Westward Plc using discounted cash flow techniques, applying corporation tax and capital allowance adjustments to determine value created over a four-year period. The NPV results show that all options generate positive returns; however, </w:t>
      </w:r>
      <w:r w:rsidRPr="00D2600E">
        <w:rPr>
          <w:rFonts w:ascii="Times New Roman" w:eastAsia="Times New Roman" w:hAnsi="Times New Roman" w:cs="Times New Roman"/>
          <w:b/>
          <w:bCs/>
          <w:sz w:val="24"/>
          <w:szCs w:val="24"/>
          <w:lang w:val="en-IN" w:eastAsia="en-IN"/>
        </w:rPr>
        <w:t>Option B (internet sales development)</w:t>
      </w:r>
      <w:r w:rsidRPr="00D2600E">
        <w:rPr>
          <w:rFonts w:ascii="Times New Roman" w:eastAsia="Times New Roman" w:hAnsi="Times New Roman" w:cs="Times New Roman"/>
          <w:sz w:val="24"/>
          <w:szCs w:val="24"/>
          <w:lang w:val="en-IN" w:eastAsia="en-IN"/>
        </w:rPr>
        <w:t xml:space="preserve"> delivers the highest NPV (£791.7k) and is therefore recommended as the best single project, supported by an approximate IRR of </w:t>
      </w:r>
      <w:r w:rsidRPr="00D2600E">
        <w:rPr>
          <w:rFonts w:ascii="Times New Roman" w:eastAsia="Times New Roman" w:hAnsi="Times New Roman" w:cs="Times New Roman"/>
          <w:b/>
          <w:bCs/>
          <w:sz w:val="24"/>
          <w:szCs w:val="24"/>
          <w:lang w:val="en-IN" w:eastAsia="en-IN"/>
        </w:rPr>
        <w:t>22%</w:t>
      </w:r>
      <w:r w:rsidRPr="00D2600E">
        <w:rPr>
          <w:rFonts w:ascii="Times New Roman" w:eastAsia="Times New Roman" w:hAnsi="Times New Roman" w:cs="Times New Roman"/>
          <w:sz w:val="24"/>
          <w:szCs w:val="24"/>
          <w:lang w:val="en-IN" w:eastAsia="en-IN"/>
        </w:rPr>
        <w:t xml:space="preserve">, significantly above the 6% cost of capital. Under capital rationing, the optimal investment policy is to invest fully in </w:t>
      </w:r>
      <w:r w:rsidRPr="00D2600E">
        <w:rPr>
          <w:rFonts w:ascii="Times New Roman" w:eastAsia="Times New Roman" w:hAnsi="Times New Roman" w:cs="Times New Roman"/>
          <w:b/>
          <w:bCs/>
          <w:sz w:val="24"/>
          <w:szCs w:val="24"/>
          <w:lang w:val="en-IN" w:eastAsia="en-IN"/>
        </w:rPr>
        <w:t>A and B</w:t>
      </w:r>
      <w:r w:rsidRPr="00D2600E">
        <w:rPr>
          <w:rFonts w:ascii="Times New Roman" w:eastAsia="Times New Roman" w:hAnsi="Times New Roman" w:cs="Times New Roman"/>
          <w:sz w:val="24"/>
          <w:szCs w:val="24"/>
          <w:lang w:val="en-IN" w:eastAsia="en-IN"/>
        </w:rPr>
        <w:t xml:space="preserve">, and invest </w:t>
      </w:r>
      <w:r w:rsidRPr="00D2600E">
        <w:rPr>
          <w:rFonts w:ascii="Times New Roman" w:eastAsia="Times New Roman" w:hAnsi="Times New Roman" w:cs="Times New Roman"/>
          <w:b/>
          <w:bCs/>
          <w:sz w:val="24"/>
          <w:szCs w:val="24"/>
          <w:lang w:val="en-IN" w:eastAsia="en-IN"/>
        </w:rPr>
        <w:t>56.25% of C</w:t>
      </w:r>
      <w:r w:rsidRPr="00D2600E">
        <w:rPr>
          <w:rFonts w:ascii="Times New Roman" w:eastAsia="Times New Roman" w:hAnsi="Times New Roman" w:cs="Times New Roman"/>
          <w:sz w:val="24"/>
          <w:szCs w:val="24"/>
          <w:lang w:val="en-IN" w:eastAsia="en-IN"/>
        </w:rPr>
        <w:t xml:space="preserve">, producing a maximised total NPV of </w:t>
      </w:r>
      <w:r w:rsidRPr="00D2600E">
        <w:rPr>
          <w:rFonts w:ascii="Times New Roman" w:eastAsia="Times New Roman" w:hAnsi="Times New Roman" w:cs="Times New Roman"/>
          <w:b/>
          <w:bCs/>
          <w:sz w:val="24"/>
          <w:szCs w:val="24"/>
          <w:lang w:val="en-IN" w:eastAsia="en-IN"/>
        </w:rPr>
        <w:t>£1,852.1k</w:t>
      </w:r>
      <w:r w:rsidRPr="00D2600E">
        <w:rPr>
          <w:rFonts w:ascii="Times New Roman" w:eastAsia="Times New Roman" w:hAnsi="Times New Roman" w:cs="Times New Roman"/>
          <w:sz w:val="24"/>
          <w:szCs w:val="24"/>
          <w:lang w:val="en-IN" w:eastAsia="en-IN"/>
        </w:rPr>
        <w:t>. The Board should adopt a balanced financing strategy using controlled debt and leasing to fund growth while maintaining financial stability.</w:t>
      </w:r>
    </w:p>
    <w:p w14:paraId="363C621F" w14:textId="77777777" w:rsid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
    <w:p w14:paraId="6D588B71" w14:textId="748F51CE" w:rsidR="00461F07" w:rsidRPr="00461F07" w:rsidRDefault="00461F07" w:rsidP="00461F07">
      <w:pPr>
        <w:pStyle w:val="Heading1"/>
        <w:rPr>
          <w:lang w:val="en-IN" w:eastAsia="en-IN"/>
        </w:rPr>
      </w:pPr>
      <w:bookmarkStart w:id="52" w:name="_Toc219036437"/>
      <w:r w:rsidRPr="00461F07">
        <w:rPr>
          <w:lang w:val="en-IN" w:eastAsia="en-IN"/>
        </w:rPr>
        <w:t>References</w:t>
      </w:r>
      <w:bookmarkEnd w:id="52"/>
    </w:p>
    <w:p w14:paraId="78EA58D2"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Arnold, G. (2019) </w:t>
      </w:r>
      <w:r w:rsidRPr="00461F07">
        <w:rPr>
          <w:rFonts w:ascii="Times New Roman" w:eastAsia="Times New Roman" w:hAnsi="Times New Roman" w:cs="Times New Roman"/>
          <w:i/>
          <w:iCs/>
          <w:sz w:val="24"/>
          <w:szCs w:val="24"/>
          <w:lang w:val="en-IN" w:eastAsia="en-IN"/>
        </w:rPr>
        <w:t>Corporate Financial Management</w:t>
      </w:r>
      <w:r w:rsidRPr="00461F07">
        <w:rPr>
          <w:rFonts w:ascii="Times New Roman" w:eastAsia="Times New Roman" w:hAnsi="Times New Roman" w:cs="Times New Roman"/>
          <w:sz w:val="24"/>
          <w:szCs w:val="24"/>
          <w:lang w:val="en-IN" w:eastAsia="en-IN"/>
        </w:rPr>
        <w:t xml:space="preserve">. 6th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w:t>
      </w:r>
    </w:p>
    <w:p w14:paraId="515E6A59"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461F07">
        <w:rPr>
          <w:rFonts w:ascii="Times New Roman" w:eastAsia="Times New Roman" w:hAnsi="Times New Roman" w:cs="Times New Roman"/>
          <w:sz w:val="24"/>
          <w:szCs w:val="24"/>
          <w:lang w:val="en-IN" w:eastAsia="en-IN"/>
        </w:rPr>
        <w:t>Atrill</w:t>
      </w:r>
      <w:proofErr w:type="spellEnd"/>
      <w:r w:rsidRPr="00461F07">
        <w:rPr>
          <w:rFonts w:ascii="Times New Roman" w:eastAsia="Times New Roman" w:hAnsi="Times New Roman" w:cs="Times New Roman"/>
          <w:sz w:val="24"/>
          <w:szCs w:val="24"/>
          <w:lang w:val="en-IN" w:eastAsia="en-IN"/>
        </w:rPr>
        <w:t xml:space="preserve">, P. and McLaney, E. (2019) </w:t>
      </w:r>
      <w:r w:rsidRPr="00461F07">
        <w:rPr>
          <w:rFonts w:ascii="Times New Roman" w:eastAsia="Times New Roman" w:hAnsi="Times New Roman" w:cs="Times New Roman"/>
          <w:i/>
          <w:iCs/>
          <w:sz w:val="24"/>
          <w:szCs w:val="24"/>
          <w:lang w:val="en-IN" w:eastAsia="en-IN"/>
        </w:rPr>
        <w:t>Financial Management for Decision Makers</w:t>
      </w:r>
      <w:r w:rsidRPr="00461F07">
        <w:rPr>
          <w:rFonts w:ascii="Times New Roman" w:eastAsia="Times New Roman" w:hAnsi="Times New Roman" w:cs="Times New Roman"/>
          <w:sz w:val="24"/>
          <w:szCs w:val="24"/>
          <w:lang w:val="en-IN" w:eastAsia="en-IN"/>
        </w:rPr>
        <w:t xml:space="preserve">. 9th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 Education Limited.</w:t>
      </w:r>
    </w:p>
    <w:p w14:paraId="2E22AE20"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Brealey, R.A., Myers, S.C. and Allen, F. (2020) </w:t>
      </w:r>
      <w:r w:rsidRPr="00461F07">
        <w:rPr>
          <w:rFonts w:ascii="Times New Roman" w:eastAsia="Times New Roman" w:hAnsi="Times New Roman" w:cs="Times New Roman"/>
          <w:i/>
          <w:iCs/>
          <w:sz w:val="24"/>
          <w:szCs w:val="24"/>
          <w:lang w:val="en-IN" w:eastAsia="en-IN"/>
        </w:rPr>
        <w:t>Principles of Corporate Finance</w:t>
      </w:r>
      <w:r w:rsidRPr="00461F07">
        <w:rPr>
          <w:rFonts w:ascii="Times New Roman" w:eastAsia="Times New Roman" w:hAnsi="Times New Roman" w:cs="Times New Roman"/>
          <w:sz w:val="24"/>
          <w:szCs w:val="24"/>
          <w:lang w:val="en-IN" w:eastAsia="en-IN"/>
        </w:rPr>
        <w:t xml:space="preserve">. 13th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York: McGraw-Hill Education.</w:t>
      </w:r>
    </w:p>
    <w:p w14:paraId="037EDAA5"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lastRenderedPageBreak/>
        <w:t xml:space="preserve">Brigham, E.F. and Houston, J.F. (2022) </w:t>
      </w:r>
      <w:r w:rsidRPr="00461F07">
        <w:rPr>
          <w:rFonts w:ascii="Times New Roman" w:eastAsia="Times New Roman" w:hAnsi="Times New Roman" w:cs="Times New Roman"/>
          <w:i/>
          <w:iCs/>
          <w:sz w:val="24"/>
          <w:szCs w:val="24"/>
          <w:lang w:val="en-IN" w:eastAsia="en-IN"/>
        </w:rPr>
        <w:t>Fundamentals of Financial Management</w:t>
      </w:r>
      <w:r w:rsidRPr="00461F07">
        <w:rPr>
          <w:rFonts w:ascii="Times New Roman" w:eastAsia="Times New Roman" w:hAnsi="Times New Roman" w:cs="Times New Roman"/>
          <w:sz w:val="24"/>
          <w:szCs w:val="24"/>
          <w:lang w:val="en-IN" w:eastAsia="en-IN"/>
        </w:rPr>
        <w:t xml:space="preserve">. 16th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Boston: Cengage Learning.</w:t>
      </w:r>
    </w:p>
    <w:p w14:paraId="3496975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Damodaran, A. (2015) </w:t>
      </w:r>
      <w:r w:rsidRPr="00461F07">
        <w:rPr>
          <w:rFonts w:ascii="Times New Roman" w:eastAsia="Times New Roman" w:hAnsi="Times New Roman" w:cs="Times New Roman"/>
          <w:i/>
          <w:iCs/>
          <w:sz w:val="24"/>
          <w:szCs w:val="24"/>
          <w:lang w:val="en-IN" w:eastAsia="en-IN"/>
        </w:rPr>
        <w:t>Applied Corporate Finance</w:t>
      </w:r>
      <w:r w:rsidRPr="00461F07">
        <w:rPr>
          <w:rFonts w:ascii="Times New Roman" w:eastAsia="Times New Roman" w:hAnsi="Times New Roman" w:cs="Times New Roman"/>
          <w:sz w:val="24"/>
          <w:szCs w:val="24"/>
          <w:lang w:val="en-IN" w:eastAsia="en-IN"/>
        </w:rPr>
        <w:t xml:space="preserve">. 4th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Hoboken: Wiley.</w:t>
      </w:r>
    </w:p>
    <w:p w14:paraId="10382B8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ICAEW (2021) </w:t>
      </w:r>
      <w:r w:rsidRPr="00461F07">
        <w:rPr>
          <w:rFonts w:ascii="Times New Roman" w:eastAsia="Times New Roman" w:hAnsi="Times New Roman" w:cs="Times New Roman"/>
          <w:i/>
          <w:iCs/>
          <w:sz w:val="24"/>
          <w:szCs w:val="24"/>
          <w:lang w:val="en-IN" w:eastAsia="en-IN"/>
        </w:rPr>
        <w:t>Investment Appraisal</w:t>
      </w:r>
      <w:r w:rsidRPr="00461F07">
        <w:rPr>
          <w:rFonts w:ascii="Times New Roman" w:eastAsia="Times New Roman" w:hAnsi="Times New Roman" w:cs="Times New Roman"/>
          <w:sz w:val="24"/>
          <w:szCs w:val="24"/>
          <w:lang w:val="en-IN" w:eastAsia="en-IN"/>
        </w:rPr>
        <w:t xml:space="preserve">. Available at: </w:t>
      </w:r>
      <w:hyperlink r:id="rId6" w:tgtFrame="_new" w:history="1">
        <w:r w:rsidRPr="00461F07">
          <w:rPr>
            <w:rStyle w:val="Hyperlink"/>
            <w:rFonts w:ascii="Times New Roman" w:eastAsia="Times New Roman" w:hAnsi="Times New Roman" w:cs="Times New Roman"/>
            <w:sz w:val="24"/>
            <w:szCs w:val="24"/>
            <w:lang w:val="en-IN" w:eastAsia="en-IN"/>
          </w:rPr>
          <w:t>https://www.icaew.com/</w:t>
        </w:r>
      </w:hyperlink>
      <w:r w:rsidRPr="00461F07">
        <w:rPr>
          <w:rFonts w:ascii="Times New Roman" w:eastAsia="Times New Roman" w:hAnsi="Times New Roman" w:cs="Times New Roman"/>
          <w:sz w:val="24"/>
          <w:szCs w:val="24"/>
          <w:lang w:val="en-IN" w:eastAsia="en-IN"/>
        </w:rPr>
        <w:t xml:space="preserve"> (Accessed: 11 January 2026).</w:t>
      </w:r>
    </w:p>
    <w:p w14:paraId="55EA0AB1"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Khan, M.Y. and Jain, P.K. (2018) </w:t>
      </w:r>
      <w:r w:rsidRPr="00461F07">
        <w:rPr>
          <w:rFonts w:ascii="Times New Roman" w:eastAsia="Times New Roman" w:hAnsi="Times New Roman" w:cs="Times New Roman"/>
          <w:i/>
          <w:iCs/>
          <w:sz w:val="24"/>
          <w:szCs w:val="24"/>
          <w:lang w:val="en-IN" w:eastAsia="en-IN"/>
        </w:rPr>
        <w:t>Financial Management: Text, Problems and Cases</w:t>
      </w:r>
      <w:r w:rsidRPr="00461F07">
        <w:rPr>
          <w:rFonts w:ascii="Times New Roman" w:eastAsia="Times New Roman" w:hAnsi="Times New Roman" w:cs="Times New Roman"/>
          <w:sz w:val="24"/>
          <w:szCs w:val="24"/>
          <w:lang w:val="en-IN" w:eastAsia="en-IN"/>
        </w:rPr>
        <w:t xml:space="preserve">. 8th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Delhi: McGraw-Hill Education.</w:t>
      </w:r>
    </w:p>
    <w:p w14:paraId="0EA91ACB"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Lasher, W.R. (2020) </w:t>
      </w:r>
      <w:r w:rsidRPr="00461F07">
        <w:rPr>
          <w:rFonts w:ascii="Times New Roman" w:eastAsia="Times New Roman" w:hAnsi="Times New Roman" w:cs="Times New Roman"/>
          <w:i/>
          <w:iCs/>
          <w:sz w:val="24"/>
          <w:szCs w:val="24"/>
          <w:lang w:val="en-IN" w:eastAsia="en-IN"/>
        </w:rPr>
        <w:t>Practical Financial Management</w:t>
      </w:r>
      <w:r w:rsidRPr="00461F07">
        <w:rPr>
          <w:rFonts w:ascii="Times New Roman" w:eastAsia="Times New Roman" w:hAnsi="Times New Roman" w:cs="Times New Roman"/>
          <w:sz w:val="24"/>
          <w:szCs w:val="24"/>
          <w:lang w:val="en-IN" w:eastAsia="en-IN"/>
        </w:rPr>
        <w:t xml:space="preserve">. 9th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Boston: Cengage Learning.</w:t>
      </w:r>
    </w:p>
    <w:p w14:paraId="0875A635"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Lumby, S. and Jones, C. (2003) </w:t>
      </w:r>
      <w:r w:rsidRPr="00461F07">
        <w:rPr>
          <w:rFonts w:ascii="Times New Roman" w:eastAsia="Times New Roman" w:hAnsi="Times New Roman" w:cs="Times New Roman"/>
          <w:i/>
          <w:iCs/>
          <w:sz w:val="24"/>
          <w:szCs w:val="24"/>
          <w:lang w:val="en-IN" w:eastAsia="en-IN"/>
        </w:rPr>
        <w:t>Investment Appraisal and Financial Decisions</w:t>
      </w:r>
      <w:r w:rsidRPr="00461F07">
        <w:rPr>
          <w:rFonts w:ascii="Times New Roman" w:eastAsia="Times New Roman" w:hAnsi="Times New Roman" w:cs="Times New Roman"/>
          <w:sz w:val="24"/>
          <w:szCs w:val="24"/>
          <w:lang w:val="en-IN" w:eastAsia="en-IN"/>
        </w:rPr>
        <w:t xml:space="preserve">. 7th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London: Cengage Learning.</w:t>
      </w:r>
    </w:p>
    <w:p w14:paraId="2475E52B"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Palepu, K.G., Healy, P.M. and Peek, E. (2016) </w:t>
      </w:r>
      <w:r w:rsidRPr="00461F07">
        <w:rPr>
          <w:rFonts w:ascii="Times New Roman" w:eastAsia="Times New Roman" w:hAnsi="Times New Roman" w:cs="Times New Roman"/>
          <w:i/>
          <w:iCs/>
          <w:sz w:val="24"/>
          <w:szCs w:val="24"/>
          <w:lang w:val="en-IN" w:eastAsia="en-IN"/>
        </w:rPr>
        <w:t>Business Analysis and Valuation: IFRS Edition</w:t>
      </w:r>
      <w:r w:rsidRPr="00461F07">
        <w:rPr>
          <w:rFonts w:ascii="Times New Roman" w:eastAsia="Times New Roman" w:hAnsi="Times New Roman" w:cs="Times New Roman"/>
          <w:sz w:val="24"/>
          <w:szCs w:val="24"/>
          <w:lang w:val="en-IN" w:eastAsia="en-IN"/>
        </w:rPr>
        <w:t xml:space="preserve">. 4th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Andover: Cengage Learning.</w:t>
      </w:r>
    </w:p>
    <w:p w14:paraId="59E5790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Ross, S.A., Westerfield, R. and Jordan, B.D. (2019) </w:t>
      </w:r>
      <w:r w:rsidRPr="00461F07">
        <w:rPr>
          <w:rFonts w:ascii="Times New Roman" w:eastAsia="Times New Roman" w:hAnsi="Times New Roman" w:cs="Times New Roman"/>
          <w:i/>
          <w:iCs/>
          <w:sz w:val="24"/>
          <w:szCs w:val="24"/>
          <w:lang w:val="en-IN" w:eastAsia="en-IN"/>
        </w:rPr>
        <w:t>Fundamentals of Corporate Finance</w:t>
      </w:r>
      <w:r w:rsidRPr="00461F07">
        <w:rPr>
          <w:rFonts w:ascii="Times New Roman" w:eastAsia="Times New Roman" w:hAnsi="Times New Roman" w:cs="Times New Roman"/>
          <w:sz w:val="24"/>
          <w:szCs w:val="24"/>
          <w:lang w:val="en-IN" w:eastAsia="en-IN"/>
        </w:rPr>
        <w:t xml:space="preserve">. 12th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York: McGraw-Hill Education.</w:t>
      </w:r>
    </w:p>
    <w:p w14:paraId="5360527D"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Tesco plc (2023) </w:t>
      </w:r>
      <w:r w:rsidRPr="00461F07">
        <w:rPr>
          <w:rFonts w:ascii="Times New Roman" w:eastAsia="Times New Roman" w:hAnsi="Times New Roman" w:cs="Times New Roman"/>
          <w:i/>
          <w:iCs/>
          <w:sz w:val="24"/>
          <w:szCs w:val="24"/>
          <w:lang w:val="en-IN" w:eastAsia="en-IN"/>
        </w:rPr>
        <w:t>Annual Report and Financial Statements 2023</w:t>
      </w:r>
      <w:r w:rsidRPr="00461F07">
        <w:rPr>
          <w:rFonts w:ascii="Times New Roman" w:eastAsia="Times New Roman" w:hAnsi="Times New Roman" w:cs="Times New Roman"/>
          <w:sz w:val="24"/>
          <w:szCs w:val="24"/>
          <w:lang w:val="en-IN" w:eastAsia="en-IN"/>
        </w:rPr>
        <w:t xml:space="preserve">. Welwyn Garden City: Tesco plc. Available at: </w:t>
      </w:r>
      <w:hyperlink r:id="rId7" w:tgtFrame="_new" w:history="1">
        <w:r w:rsidRPr="00461F07">
          <w:rPr>
            <w:rStyle w:val="Hyperlink"/>
            <w:rFonts w:ascii="Times New Roman" w:eastAsia="Times New Roman" w:hAnsi="Times New Roman" w:cs="Times New Roman"/>
            <w:sz w:val="24"/>
            <w:szCs w:val="24"/>
            <w:lang w:val="en-IN" w:eastAsia="en-IN"/>
          </w:rPr>
          <w:t>https://www.tescoplc.com/investors/reports-results-and-presentations/</w:t>
        </w:r>
      </w:hyperlink>
      <w:r w:rsidRPr="00461F07">
        <w:rPr>
          <w:rFonts w:ascii="Times New Roman" w:eastAsia="Times New Roman" w:hAnsi="Times New Roman" w:cs="Times New Roman"/>
          <w:sz w:val="24"/>
          <w:szCs w:val="24"/>
          <w:lang w:val="en-IN" w:eastAsia="en-IN"/>
        </w:rPr>
        <w:t xml:space="preserve"> (Accessed: 11 January 2026).</w:t>
      </w:r>
    </w:p>
    <w:p w14:paraId="31495C8E"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Tesco plc (2024) </w:t>
      </w:r>
      <w:r w:rsidRPr="00461F07">
        <w:rPr>
          <w:rFonts w:ascii="Times New Roman" w:eastAsia="Times New Roman" w:hAnsi="Times New Roman" w:cs="Times New Roman"/>
          <w:i/>
          <w:iCs/>
          <w:sz w:val="24"/>
          <w:szCs w:val="24"/>
          <w:lang w:val="en-IN" w:eastAsia="en-IN"/>
        </w:rPr>
        <w:t>Annual Report and Financial Statements 2024</w:t>
      </w:r>
      <w:r w:rsidRPr="00461F07">
        <w:rPr>
          <w:rFonts w:ascii="Times New Roman" w:eastAsia="Times New Roman" w:hAnsi="Times New Roman" w:cs="Times New Roman"/>
          <w:sz w:val="24"/>
          <w:szCs w:val="24"/>
          <w:lang w:val="en-IN" w:eastAsia="en-IN"/>
        </w:rPr>
        <w:t xml:space="preserve">. Welwyn Garden City: Tesco plc. Available at: </w:t>
      </w:r>
      <w:hyperlink r:id="rId8" w:tgtFrame="_new" w:history="1">
        <w:r w:rsidRPr="00461F07">
          <w:rPr>
            <w:rStyle w:val="Hyperlink"/>
            <w:rFonts w:ascii="Times New Roman" w:eastAsia="Times New Roman" w:hAnsi="Times New Roman" w:cs="Times New Roman"/>
            <w:sz w:val="24"/>
            <w:szCs w:val="24"/>
            <w:lang w:val="en-IN" w:eastAsia="en-IN"/>
          </w:rPr>
          <w:t>https://www.tescoplc.com/investors/reports-results-and-presentations/</w:t>
        </w:r>
      </w:hyperlink>
      <w:r w:rsidRPr="00461F07">
        <w:rPr>
          <w:rFonts w:ascii="Times New Roman" w:eastAsia="Times New Roman" w:hAnsi="Times New Roman" w:cs="Times New Roman"/>
          <w:sz w:val="24"/>
          <w:szCs w:val="24"/>
          <w:lang w:val="en-IN" w:eastAsia="en-IN"/>
        </w:rPr>
        <w:t xml:space="preserve"> (Accessed: 11 January 2026).</w:t>
      </w:r>
    </w:p>
    <w:p w14:paraId="6670709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Watson, D. and Head, A. (2020) </w:t>
      </w:r>
      <w:r w:rsidRPr="00461F07">
        <w:rPr>
          <w:rFonts w:ascii="Times New Roman" w:eastAsia="Times New Roman" w:hAnsi="Times New Roman" w:cs="Times New Roman"/>
          <w:i/>
          <w:iCs/>
          <w:sz w:val="24"/>
          <w:szCs w:val="24"/>
          <w:lang w:val="en-IN" w:eastAsia="en-IN"/>
        </w:rPr>
        <w:t>Corporate Finance: Principles and Practice</w:t>
      </w:r>
      <w:r w:rsidRPr="00461F07">
        <w:rPr>
          <w:rFonts w:ascii="Times New Roman" w:eastAsia="Times New Roman" w:hAnsi="Times New Roman" w:cs="Times New Roman"/>
          <w:sz w:val="24"/>
          <w:szCs w:val="24"/>
          <w:lang w:val="en-IN" w:eastAsia="en-IN"/>
        </w:rPr>
        <w:t xml:space="preserve">. 8th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w:t>
      </w:r>
    </w:p>
    <w:p w14:paraId="510BABFD"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
    <w:sectPr w:rsidR="00461F07" w:rsidRPr="00461F0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041AAEA4"/>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16AAA0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5503C9"/>
    <w:multiLevelType w:val="hybridMultilevel"/>
    <w:tmpl w:val="EF6EF0A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07736C10"/>
    <w:multiLevelType w:val="hybridMultilevel"/>
    <w:tmpl w:val="BEAE8E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F9B6C7D"/>
    <w:multiLevelType w:val="hybridMultilevel"/>
    <w:tmpl w:val="85BAB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0F248C2"/>
    <w:multiLevelType w:val="hybridMultilevel"/>
    <w:tmpl w:val="359C16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14C3EE3"/>
    <w:multiLevelType w:val="multilevel"/>
    <w:tmpl w:val="7BF4B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FC4D60"/>
    <w:multiLevelType w:val="multilevel"/>
    <w:tmpl w:val="54C4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296C04"/>
    <w:multiLevelType w:val="hybridMultilevel"/>
    <w:tmpl w:val="B8F299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1B6E13C4"/>
    <w:multiLevelType w:val="hybridMultilevel"/>
    <w:tmpl w:val="F86AB8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1E351064"/>
    <w:multiLevelType w:val="multilevel"/>
    <w:tmpl w:val="E9D4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3E6F9F"/>
    <w:multiLevelType w:val="multilevel"/>
    <w:tmpl w:val="F716926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2246ABD"/>
    <w:multiLevelType w:val="multilevel"/>
    <w:tmpl w:val="4A44846E"/>
    <w:lvl w:ilvl="0">
      <w:start w:val="8"/>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26651BC0"/>
    <w:multiLevelType w:val="multilevel"/>
    <w:tmpl w:val="9860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D13B35"/>
    <w:multiLevelType w:val="multilevel"/>
    <w:tmpl w:val="1ACE9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375A87"/>
    <w:multiLevelType w:val="hybridMultilevel"/>
    <w:tmpl w:val="4738C6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0771446"/>
    <w:multiLevelType w:val="hybridMultilevel"/>
    <w:tmpl w:val="DD2C97A0"/>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4" w15:restartNumberingAfterBreak="0">
    <w:nsid w:val="310541D2"/>
    <w:multiLevelType w:val="multilevel"/>
    <w:tmpl w:val="9DD8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1A0283"/>
    <w:multiLevelType w:val="hybridMultilevel"/>
    <w:tmpl w:val="9DE00E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34AC56C6"/>
    <w:multiLevelType w:val="hybridMultilevel"/>
    <w:tmpl w:val="3F0866FC"/>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7" w15:restartNumberingAfterBreak="0">
    <w:nsid w:val="376A225E"/>
    <w:multiLevelType w:val="multilevel"/>
    <w:tmpl w:val="4CB2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AB425A"/>
    <w:multiLevelType w:val="hybridMultilevel"/>
    <w:tmpl w:val="8E1A0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3D8D1470"/>
    <w:multiLevelType w:val="hybridMultilevel"/>
    <w:tmpl w:val="5CDCB8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46D7758C"/>
    <w:multiLevelType w:val="multilevel"/>
    <w:tmpl w:val="786EB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4669C5"/>
    <w:multiLevelType w:val="multilevel"/>
    <w:tmpl w:val="1604E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EB7B58"/>
    <w:multiLevelType w:val="hybridMultilevel"/>
    <w:tmpl w:val="4A5E6D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2C76F80"/>
    <w:multiLevelType w:val="multilevel"/>
    <w:tmpl w:val="B8B8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F021CB"/>
    <w:multiLevelType w:val="multilevel"/>
    <w:tmpl w:val="3BD0F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EC1A6D"/>
    <w:multiLevelType w:val="multilevel"/>
    <w:tmpl w:val="1B12E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F021D4"/>
    <w:multiLevelType w:val="hybridMultilevel"/>
    <w:tmpl w:val="E662CE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E715596"/>
    <w:multiLevelType w:val="hybridMultilevel"/>
    <w:tmpl w:val="5CE8C22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8" w15:restartNumberingAfterBreak="0">
    <w:nsid w:val="6445753B"/>
    <w:multiLevelType w:val="hybridMultilevel"/>
    <w:tmpl w:val="DF9AB5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4D81138"/>
    <w:multiLevelType w:val="hybridMultilevel"/>
    <w:tmpl w:val="7CA8C0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64EE45C8"/>
    <w:multiLevelType w:val="multilevel"/>
    <w:tmpl w:val="851E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554637"/>
    <w:multiLevelType w:val="multilevel"/>
    <w:tmpl w:val="E2207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B22C3D"/>
    <w:multiLevelType w:val="multilevel"/>
    <w:tmpl w:val="C898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1842A6"/>
    <w:multiLevelType w:val="multilevel"/>
    <w:tmpl w:val="47F63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D3476E"/>
    <w:multiLevelType w:val="multilevel"/>
    <w:tmpl w:val="E114361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5" w15:restartNumberingAfterBreak="0">
    <w:nsid w:val="743A352C"/>
    <w:multiLevelType w:val="hybridMultilevel"/>
    <w:tmpl w:val="1B68EA9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6" w15:restartNumberingAfterBreak="0">
    <w:nsid w:val="74A7081A"/>
    <w:multiLevelType w:val="multilevel"/>
    <w:tmpl w:val="E3188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C57E8B"/>
    <w:multiLevelType w:val="multilevel"/>
    <w:tmpl w:val="01D2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C32432"/>
    <w:multiLevelType w:val="hybridMultilevel"/>
    <w:tmpl w:val="B192D2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86238937">
    <w:abstractNumId w:val="8"/>
  </w:num>
  <w:num w:numId="2" w16cid:durableId="618266849">
    <w:abstractNumId w:val="6"/>
  </w:num>
  <w:num w:numId="3" w16cid:durableId="2063018514">
    <w:abstractNumId w:val="5"/>
  </w:num>
  <w:num w:numId="4" w16cid:durableId="1911841674">
    <w:abstractNumId w:val="4"/>
  </w:num>
  <w:num w:numId="5" w16cid:durableId="416825284">
    <w:abstractNumId w:val="7"/>
  </w:num>
  <w:num w:numId="6" w16cid:durableId="1113597488">
    <w:abstractNumId w:val="3"/>
  </w:num>
  <w:num w:numId="7" w16cid:durableId="659772485">
    <w:abstractNumId w:val="2"/>
  </w:num>
  <w:num w:numId="8" w16cid:durableId="1168129001">
    <w:abstractNumId w:val="1"/>
  </w:num>
  <w:num w:numId="9" w16cid:durableId="2019624461">
    <w:abstractNumId w:val="0"/>
  </w:num>
  <w:num w:numId="10" w16cid:durableId="163739080">
    <w:abstractNumId w:val="32"/>
  </w:num>
  <w:num w:numId="11" w16cid:durableId="1968856843">
    <w:abstractNumId w:val="16"/>
  </w:num>
  <w:num w:numId="12" w16cid:durableId="998582320">
    <w:abstractNumId w:val="45"/>
  </w:num>
  <w:num w:numId="13" w16cid:durableId="88936159">
    <w:abstractNumId w:val="26"/>
  </w:num>
  <w:num w:numId="14" w16cid:durableId="1812399538">
    <w:abstractNumId w:val="23"/>
  </w:num>
  <w:num w:numId="15" w16cid:durableId="1433629496">
    <w:abstractNumId w:val="36"/>
  </w:num>
  <w:num w:numId="16" w16cid:durableId="666254127">
    <w:abstractNumId w:val="39"/>
  </w:num>
  <w:num w:numId="17" w16cid:durableId="1090080863">
    <w:abstractNumId w:val="44"/>
  </w:num>
  <w:num w:numId="18" w16cid:durableId="2120761522">
    <w:abstractNumId w:val="22"/>
  </w:num>
  <w:num w:numId="19" w16cid:durableId="195119995">
    <w:abstractNumId w:val="17"/>
  </w:num>
  <w:num w:numId="20" w16cid:durableId="1426727182">
    <w:abstractNumId w:val="37"/>
  </w:num>
  <w:num w:numId="21" w16cid:durableId="1043675771">
    <w:abstractNumId w:val="29"/>
  </w:num>
  <w:num w:numId="22" w16cid:durableId="1160270214">
    <w:abstractNumId w:val="41"/>
  </w:num>
  <w:num w:numId="23" w16cid:durableId="1311055648">
    <w:abstractNumId w:val="27"/>
  </w:num>
  <w:num w:numId="24" w16cid:durableId="482356979">
    <w:abstractNumId w:val="33"/>
  </w:num>
  <w:num w:numId="25" w16cid:durableId="738794117">
    <w:abstractNumId w:val="10"/>
  </w:num>
  <w:num w:numId="26" w16cid:durableId="1183125497">
    <w:abstractNumId w:val="9"/>
  </w:num>
  <w:num w:numId="27" w16cid:durableId="1616906820">
    <w:abstractNumId w:val="11"/>
  </w:num>
  <w:num w:numId="28" w16cid:durableId="122235919">
    <w:abstractNumId w:val="48"/>
  </w:num>
  <w:num w:numId="29" w16cid:durableId="1235974664">
    <w:abstractNumId w:val="25"/>
  </w:num>
  <w:num w:numId="30" w16cid:durableId="92559462">
    <w:abstractNumId w:val="12"/>
  </w:num>
  <w:num w:numId="31" w16cid:durableId="690910945">
    <w:abstractNumId w:val="38"/>
  </w:num>
  <w:num w:numId="32" w16cid:durableId="1431318529">
    <w:abstractNumId w:val="18"/>
  </w:num>
  <w:num w:numId="33" w16cid:durableId="1597009986">
    <w:abstractNumId w:val="43"/>
  </w:num>
  <w:num w:numId="34" w16cid:durableId="1383215428">
    <w:abstractNumId w:val="46"/>
  </w:num>
  <w:num w:numId="35" w16cid:durableId="1419444769">
    <w:abstractNumId w:val="47"/>
  </w:num>
  <w:num w:numId="36" w16cid:durableId="409430364">
    <w:abstractNumId w:val="28"/>
  </w:num>
  <w:num w:numId="37" w16cid:durableId="1566840598">
    <w:abstractNumId w:val="14"/>
  </w:num>
  <w:num w:numId="38" w16cid:durableId="954487694">
    <w:abstractNumId w:val="40"/>
  </w:num>
  <w:num w:numId="39" w16cid:durableId="1075856229">
    <w:abstractNumId w:val="20"/>
  </w:num>
  <w:num w:numId="40" w16cid:durableId="1886601170">
    <w:abstractNumId w:val="24"/>
  </w:num>
  <w:num w:numId="41" w16cid:durableId="1110971837">
    <w:abstractNumId w:val="30"/>
  </w:num>
  <w:num w:numId="42" w16cid:durableId="541985534">
    <w:abstractNumId w:val="21"/>
  </w:num>
  <w:num w:numId="43" w16cid:durableId="1387874330">
    <w:abstractNumId w:val="31"/>
  </w:num>
  <w:num w:numId="44" w16cid:durableId="2042826851">
    <w:abstractNumId w:val="34"/>
  </w:num>
  <w:num w:numId="45" w16cid:durableId="1101679229">
    <w:abstractNumId w:val="13"/>
  </w:num>
  <w:num w:numId="46" w16cid:durableId="1925920490">
    <w:abstractNumId w:val="42"/>
  </w:num>
  <w:num w:numId="47" w16cid:durableId="2122069454">
    <w:abstractNumId w:val="35"/>
  </w:num>
  <w:num w:numId="48" w16cid:durableId="288510269">
    <w:abstractNumId w:val="15"/>
  </w:num>
  <w:num w:numId="49" w16cid:durableId="1929345067">
    <w:abstractNumId w:val="7"/>
  </w:num>
  <w:num w:numId="50" w16cid:durableId="510534268">
    <w:abstractNumId w:val="7"/>
  </w:num>
  <w:num w:numId="51" w16cid:durableId="136411890">
    <w:abstractNumId w:val="7"/>
  </w:num>
  <w:num w:numId="52" w16cid:durableId="1833594082">
    <w:abstractNumId w:val="19"/>
  </w:num>
  <w:num w:numId="53" w16cid:durableId="4084263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361F"/>
    <w:rsid w:val="001A1525"/>
    <w:rsid w:val="0029639D"/>
    <w:rsid w:val="00326F90"/>
    <w:rsid w:val="003B1155"/>
    <w:rsid w:val="00402381"/>
    <w:rsid w:val="00423781"/>
    <w:rsid w:val="00461F07"/>
    <w:rsid w:val="0069287F"/>
    <w:rsid w:val="00815BB6"/>
    <w:rsid w:val="00893A1F"/>
    <w:rsid w:val="00A22383"/>
    <w:rsid w:val="00AA1D8D"/>
    <w:rsid w:val="00B47730"/>
    <w:rsid w:val="00C84313"/>
    <w:rsid w:val="00CB0664"/>
    <w:rsid w:val="00D2600E"/>
    <w:rsid w:val="00E3346D"/>
    <w:rsid w:val="00E824B8"/>
    <w:rsid w:val="00F0298C"/>
    <w:rsid w:val="00F040A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A1A63E"/>
  <w14:defaultImageDpi w14:val="300"/>
  <w15:docId w15:val="{720AC577-EF08-4DD3-99A6-8EB639CE4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402381"/>
    <w:rPr>
      <w:rFonts w:ascii="Times New Roman" w:hAnsi="Times New Roman" w:cs="Times New Roman"/>
      <w:sz w:val="24"/>
      <w:szCs w:val="24"/>
    </w:rPr>
  </w:style>
  <w:style w:type="character" w:styleId="Hyperlink">
    <w:name w:val="Hyperlink"/>
    <w:basedOn w:val="DefaultParagraphFont"/>
    <w:uiPriority w:val="99"/>
    <w:unhideWhenUsed/>
    <w:rsid w:val="00461F07"/>
    <w:rPr>
      <w:color w:val="0000FF" w:themeColor="hyperlink"/>
      <w:u w:val="single"/>
    </w:rPr>
  </w:style>
  <w:style w:type="character" w:styleId="UnresolvedMention">
    <w:name w:val="Unresolved Mention"/>
    <w:basedOn w:val="DefaultParagraphFont"/>
    <w:uiPriority w:val="99"/>
    <w:semiHidden/>
    <w:unhideWhenUsed/>
    <w:rsid w:val="00461F07"/>
    <w:rPr>
      <w:color w:val="605E5C"/>
      <w:shd w:val="clear" w:color="auto" w:fill="E1DFDD"/>
    </w:rPr>
  </w:style>
  <w:style w:type="paragraph" w:styleId="TOC1">
    <w:name w:val="toc 1"/>
    <w:basedOn w:val="Normal"/>
    <w:next w:val="Normal"/>
    <w:autoRedefine/>
    <w:uiPriority w:val="39"/>
    <w:unhideWhenUsed/>
    <w:rsid w:val="00C84313"/>
    <w:pPr>
      <w:spacing w:after="100"/>
    </w:pPr>
  </w:style>
  <w:style w:type="paragraph" w:styleId="TOC2">
    <w:name w:val="toc 2"/>
    <w:basedOn w:val="Normal"/>
    <w:next w:val="Normal"/>
    <w:autoRedefine/>
    <w:uiPriority w:val="39"/>
    <w:unhideWhenUsed/>
    <w:rsid w:val="00C84313"/>
    <w:pPr>
      <w:spacing w:after="100"/>
      <w:ind w:left="220"/>
    </w:pPr>
  </w:style>
  <w:style w:type="paragraph" w:styleId="TOC3">
    <w:name w:val="toc 3"/>
    <w:basedOn w:val="Normal"/>
    <w:next w:val="Normal"/>
    <w:autoRedefine/>
    <w:uiPriority w:val="39"/>
    <w:unhideWhenUsed/>
    <w:rsid w:val="00C843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investors/reports-results-and-presentations/" TargetMode="External"/><Relationship Id="rId3" Type="http://schemas.openxmlformats.org/officeDocument/2006/relationships/styles" Target="styles.xml"/><Relationship Id="rId7" Type="http://schemas.openxmlformats.org/officeDocument/2006/relationships/hyperlink" Target="https://www.tescoplc.com/investors/reports-results-and-present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caew.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25</Pages>
  <Words>7994</Words>
  <Characters>45572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53460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amans@indevqaonworkspot.onmicrosoft.com</cp:lastModifiedBy>
  <cp:revision>8</cp:revision>
  <dcterms:created xsi:type="dcterms:W3CDTF">2013-12-23T23:15:00Z</dcterms:created>
  <dcterms:modified xsi:type="dcterms:W3CDTF">2026-01-11T09:36:00Z</dcterms:modified>
  <cp:category/>
</cp:coreProperties>
</file>