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AA769" w14:textId="0595457C" w:rsidR="003C700D" w:rsidRDefault="003C700D" w:rsidP="003C700D">
      <w:pPr>
        <w:spacing w:line="480" w:lineRule="auto"/>
        <w:rPr>
          <w:rFonts w:cstheme="minorHAnsi"/>
        </w:rPr>
      </w:pPr>
      <w:r>
        <w:rPr>
          <w:rFonts w:cstheme="minorHAnsi"/>
        </w:rPr>
        <w:t>Student Name:  Sivan Schechner</w:t>
      </w:r>
    </w:p>
    <w:p w14:paraId="1BAF6C3E" w14:textId="6BB7B8AF" w:rsidR="003C700D" w:rsidRDefault="003C700D" w:rsidP="003C700D">
      <w:pPr>
        <w:spacing w:line="480" w:lineRule="auto"/>
        <w:rPr>
          <w:rFonts w:cstheme="minorHAnsi"/>
        </w:rPr>
      </w:pPr>
      <w:r>
        <w:rPr>
          <w:rFonts w:cstheme="minorHAnsi"/>
        </w:rPr>
        <w:t>Student Number: 2004529</w:t>
      </w:r>
    </w:p>
    <w:p w14:paraId="33D83B20" w14:textId="4A56F83D" w:rsidR="003C700D" w:rsidRDefault="003C700D" w:rsidP="003C700D">
      <w:pPr>
        <w:spacing w:line="480" w:lineRule="auto"/>
        <w:rPr>
          <w:rFonts w:cstheme="minorHAnsi"/>
        </w:rPr>
      </w:pPr>
      <w:r>
        <w:rPr>
          <w:rFonts w:cstheme="minorHAnsi"/>
        </w:rPr>
        <w:t>Programme of Study: Product and Furniture Design</w:t>
      </w:r>
    </w:p>
    <w:p w14:paraId="096101BC" w14:textId="77777777" w:rsidR="003C700D" w:rsidRDefault="003C700D" w:rsidP="003C700D">
      <w:pPr>
        <w:spacing w:line="480" w:lineRule="auto"/>
        <w:rPr>
          <w:rFonts w:cstheme="minorHAnsi"/>
        </w:rPr>
      </w:pPr>
      <w:r>
        <w:rPr>
          <w:rFonts w:cstheme="minorHAnsi"/>
        </w:rPr>
        <w:t>Module: ADAD4018</w:t>
      </w:r>
    </w:p>
    <w:p w14:paraId="698C4B3B" w14:textId="7DD7816E" w:rsidR="003C700D" w:rsidRDefault="003C700D" w:rsidP="003C700D">
      <w:pPr>
        <w:spacing w:line="480" w:lineRule="auto"/>
        <w:rPr>
          <w:rFonts w:cstheme="minorHAnsi"/>
        </w:rPr>
      </w:pPr>
      <w:r>
        <w:rPr>
          <w:rFonts w:cstheme="minorHAnsi"/>
        </w:rPr>
        <w:t>Ways of Thinking Lecturer’s Name: Julia Lockheart</w:t>
      </w:r>
    </w:p>
    <w:p w14:paraId="4F8D672D" w14:textId="7EBBF9E4" w:rsidR="003C700D" w:rsidRDefault="003C700D" w:rsidP="003C700D">
      <w:pPr>
        <w:spacing w:line="480" w:lineRule="auto"/>
        <w:rPr>
          <w:rFonts w:cstheme="minorHAnsi"/>
        </w:rPr>
      </w:pPr>
    </w:p>
    <w:p w14:paraId="0C6EAA26" w14:textId="683F3819" w:rsidR="003C700D" w:rsidRDefault="003C700D" w:rsidP="003C700D">
      <w:pPr>
        <w:spacing w:line="480" w:lineRule="auto"/>
        <w:rPr>
          <w:rFonts w:cstheme="minorHAnsi"/>
        </w:rPr>
      </w:pPr>
      <w:r>
        <w:rPr>
          <w:rFonts w:cstheme="minorHAnsi"/>
        </w:rPr>
        <w:t>Task 1: Manifesto</w:t>
      </w:r>
      <w:r w:rsidR="002A1B84">
        <w:rPr>
          <w:rFonts w:cstheme="minorHAnsi"/>
        </w:rPr>
        <w:t xml:space="preserve">    </w:t>
      </w:r>
      <w:r w:rsidR="005658A7">
        <w:rPr>
          <w:rFonts w:cstheme="minorHAnsi"/>
        </w:rPr>
        <w:t xml:space="preserve"> 483</w:t>
      </w:r>
    </w:p>
    <w:p w14:paraId="2B8A8124" w14:textId="7B88F972" w:rsidR="003C700D" w:rsidRDefault="003C700D" w:rsidP="003C700D">
      <w:pPr>
        <w:spacing w:line="480" w:lineRule="auto"/>
        <w:rPr>
          <w:rFonts w:cstheme="minorHAnsi"/>
        </w:rPr>
      </w:pPr>
    </w:p>
    <w:p w14:paraId="50D69388" w14:textId="325C3255" w:rsidR="003C700D" w:rsidRDefault="003C700D" w:rsidP="003C700D">
      <w:pPr>
        <w:spacing w:line="480" w:lineRule="auto"/>
        <w:rPr>
          <w:rFonts w:cstheme="minorHAnsi"/>
        </w:rPr>
      </w:pPr>
      <w:r>
        <w:rPr>
          <w:rFonts w:cstheme="minorHAnsi"/>
        </w:rPr>
        <w:t>Task 2: Observational Writing</w:t>
      </w:r>
      <w:r w:rsidR="002A1B84">
        <w:rPr>
          <w:rFonts w:cstheme="minorHAnsi"/>
        </w:rPr>
        <w:t xml:space="preserve">     465</w:t>
      </w:r>
    </w:p>
    <w:p w14:paraId="53B75A09" w14:textId="3C05EC4D" w:rsidR="003C700D" w:rsidRDefault="003C700D" w:rsidP="003C700D">
      <w:pPr>
        <w:spacing w:line="480" w:lineRule="auto"/>
        <w:rPr>
          <w:rFonts w:cstheme="minorHAnsi"/>
        </w:rPr>
      </w:pPr>
    </w:p>
    <w:p w14:paraId="4A47286E" w14:textId="3376EF93" w:rsidR="003C700D" w:rsidRDefault="003C700D" w:rsidP="003C700D">
      <w:pPr>
        <w:spacing w:line="480" w:lineRule="auto"/>
        <w:rPr>
          <w:rFonts w:cstheme="minorHAnsi"/>
        </w:rPr>
      </w:pPr>
      <w:r>
        <w:rPr>
          <w:rFonts w:cstheme="minorHAnsi"/>
        </w:rPr>
        <w:t>Task 3: Practice Based Writing</w:t>
      </w:r>
      <w:r w:rsidR="002A1B84">
        <w:rPr>
          <w:rFonts w:cstheme="minorHAnsi"/>
        </w:rPr>
        <w:t xml:space="preserve">     </w:t>
      </w:r>
      <w:r w:rsidR="00283B9C">
        <w:rPr>
          <w:rFonts w:cstheme="minorHAnsi"/>
        </w:rPr>
        <w:t>455</w:t>
      </w:r>
    </w:p>
    <w:p w14:paraId="49EEEB53" w14:textId="6DC6B940" w:rsidR="00F279B5" w:rsidRDefault="00F279B5" w:rsidP="003C700D">
      <w:pPr>
        <w:spacing w:line="480" w:lineRule="auto"/>
        <w:rPr>
          <w:rFonts w:cstheme="minorHAnsi"/>
        </w:rPr>
      </w:pPr>
    </w:p>
    <w:p w14:paraId="7BBDADE1" w14:textId="36C484A7" w:rsidR="00F279B5" w:rsidRDefault="00F279B5" w:rsidP="003C700D">
      <w:pPr>
        <w:spacing w:line="480" w:lineRule="auto"/>
        <w:rPr>
          <w:rFonts w:cstheme="minorHAnsi"/>
        </w:rPr>
      </w:pPr>
    </w:p>
    <w:p w14:paraId="2C21D482" w14:textId="28E250E6" w:rsidR="00F279B5" w:rsidRDefault="00F279B5" w:rsidP="003C700D">
      <w:pPr>
        <w:spacing w:line="480" w:lineRule="auto"/>
        <w:rPr>
          <w:rFonts w:cstheme="minorHAnsi"/>
        </w:rPr>
      </w:pPr>
    </w:p>
    <w:p w14:paraId="0D4660F3" w14:textId="6001F223" w:rsidR="00F279B5" w:rsidRDefault="00F279B5" w:rsidP="003C700D">
      <w:pPr>
        <w:spacing w:line="480" w:lineRule="auto"/>
        <w:rPr>
          <w:rFonts w:cstheme="minorHAnsi"/>
        </w:rPr>
      </w:pPr>
    </w:p>
    <w:p w14:paraId="45B31AD5" w14:textId="0319295C" w:rsidR="00F279B5" w:rsidRDefault="00F279B5" w:rsidP="003C700D">
      <w:pPr>
        <w:spacing w:line="480" w:lineRule="auto"/>
        <w:rPr>
          <w:rFonts w:cstheme="minorHAnsi"/>
        </w:rPr>
      </w:pPr>
    </w:p>
    <w:p w14:paraId="775468F0" w14:textId="7C4ABA12" w:rsidR="00F279B5" w:rsidRDefault="00F279B5" w:rsidP="003C700D">
      <w:pPr>
        <w:spacing w:line="480" w:lineRule="auto"/>
        <w:rPr>
          <w:rFonts w:cstheme="minorHAnsi"/>
        </w:rPr>
      </w:pPr>
    </w:p>
    <w:p w14:paraId="59D13142" w14:textId="495BA065" w:rsidR="00F279B5" w:rsidRDefault="00F279B5" w:rsidP="003C700D">
      <w:pPr>
        <w:spacing w:line="480" w:lineRule="auto"/>
        <w:rPr>
          <w:rFonts w:cstheme="minorHAnsi"/>
        </w:rPr>
      </w:pPr>
    </w:p>
    <w:p w14:paraId="5B25205A" w14:textId="3A56F87C" w:rsidR="00F279B5" w:rsidRDefault="00F279B5" w:rsidP="003C700D">
      <w:pPr>
        <w:spacing w:line="480" w:lineRule="auto"/>
        <w:rPr>
          <w:rFonts w:cstheme="minorHAnsi"/>
        </w:rPr>
      </w:pPr>
    </w:p>
    <w:p w14:paraId="35877414" w14:textId="287D0499" w:rsidR="00F279B5" w:rsidRDefault="00F279B5" w:rsidP="003C700D">
      <w:pPr>
        <w:spacing w:line="480" w:lineRule="auto"/>
        <w:rPr>
          <w:rFonts w:cstheme="minorHAnsi"/>
        </w:rPr>
      </w:pPr>
    </w:p>
    <w:p w14:paraId="5F26398C" w14:textId="587A9323" w:rsidR="00F279B5" w:rsidRDefault="00F279B5" w:rsidP="003C700D">
      <w:pPr>
        <w:spacing w:line="480" w:lineRule="auto"/>
        <w:rPr>
          <w:rFonts w:cstheme="minorHAnsi"/>
        </w:rPr>
      </w:pPr>
    </w:p>
    <w:p w14:paraId="716B9967" w14:textId="47E8EFA4" w:rsidR="00F279B5" w:rsidRDefault="00F279B5" w:rsidP="003C700D">
      <w:pPr>
        <w:spacing w:line="480" w:lineRule="auto"/>
        <w:rPr>
          <w:rFonts w:cstheme="minorHAnsi"/>
        </w:rPr>
      </w:pPr>
    </w:p>
    <w:p w14:paraId="5F323BD2" w14:textId="5A9EBEFB" w:rsidR="00F279B5" w:rsidRDefault="00F279B5" w:rsidP="003C700D">
      <w:pPr>
        <w:spacing w:line="480" w:lineRule="auto"/>
        <w:rPr>
          <w:rFonts w:cstheme="minorHAnsi"/>
        </w:rPr>
      </w:pPr>
      <w:r>
        <w:rPr>
          <w:rFonts w:cstheme="minorHAnsi"/>
        </w:rPr>
        <w:lastRenderedPageBreak/>
        <w:t>Manifesto</w:t>
      </w:r>
    </w:p>
    <w:p w14:paraId="1F4E6801" w14:textId="10F2FDBA" w:rsidR="00F279B5" w:rsidRDefault="00E84D4D" w:rsidP="00E84D4D">
      <w:pPr>
        <w:pStyle w:val="ListParagraph"/>
        <w:numPr>
          <w:ilvl w:val="0"/>
          <w:numId w:val="1"/>
        </w:numPr>
        <w:spacing w:line="480" w:lineRule="auto"/>
        <w:rPr>
          <w:rFonts w:cstheme="minorHAnsi"/>
        </w:rPr>
      </w:pPr>
      <w:r>
        <w:rPr>
          <w:rFonts w:cstheme="minorHAnsi"/>
        </w:rPr>
        <w:t>Reduction of population means a better world for us.</w:t>
      </w:r>
    </w:p>
    <w:p w14:paraId="700CE519" w14:textId="54FC79F2" w:rsidR="00E84D4D" w:rsidRDefault="00E84D4D" w:rsidP="00E84D4D">
      <w:pPr>
        <w:pStyle w:val="ListParagraph"/>
        <w:numPr>
          <w:ilvl w:val="0"/>
          <w:numId w:val="1"/>
        </w:numPr>
        <w:spacing w:line="480" w:lineRule="auto"/>
        <w:rPr>
          <w:rFonts w:cstheme="minorHAnsi"/>
        </w:rPr>
      </w:pPr>
      <w:r>
        <w:rPr>
          <w:rFonts w:cstheme="minorHAnsi"/>
        </w:rPr>
        <w:t>Strictly focus on products designed to last, designed to repair.</w:t>
      </w:r>
    </w:p>
    <w:p w14:paraId="74DF2DA6" w14:textId="02D31CA6" w:rsidR="00E84D4D" w:rsidRDefault="00E84D4D" w:rsidP="00E84D4D">
      <w:pPr>
        <w:pStyle w:val="ListParagraph"/>
        <w:numPr>
          <w:ilvl w:val="0"/>
          <w:numId w:val="1"/>
        </w:numPr>
        <w:spacing w:line="480" w:lineRule="auto"/>
        <w:rPr>
          <w:rFonts w:cstheme="minorHAnsi"/>
        </w:rPr>
      </w:pPr>
      <w:r>
        <w:rPr>
          <w:rFonts w:cstheme="minorHAnsi"/>
        </w:rPr>
        <w:t>End the plastic age we live in; we live in trash.</w:t>
      </w:r>
    </w:p>
    <w:p w14:paraId="40D7E6DD" w14:textId="7F85D4D8" w:rsidR="00E84D4D" w:rsidRDefault="00E84D4D" w:rsidP="00E84D4D">
      <w:pPr>
        <w:pStyle w:val="ListParagraph"/>
        <w:numPr>
          <w:ilvl w:val="0"/>
          <w:numId w:val="1"/>
        </w:numPr>
        <w:spacing w:line="480" w:lineRule="auto"/>
        <w:rPr>
          <w:rFonts w:cstheme="minorHAnsi"/>
        </w:rPr>
      </w:pPr>
      <w:r>
        <w:rPr>
          <w:rFonts w:cstheme="minorHAnsi"/>
        </w:rPr>
        <w:t>Allow the AI uprising, computers know best.</w:t>
      </w:r>
    </w:p>
    <w:p w14:paraId="4C434DEA" w14:textId="3E617325" w:rsidR="00E84D4D" w:rsidRDefault="00E84D4D" w:rsidP="00E84D4D">
      <w:pPr>
        <w:pStyle w:val="ListParagraph"/>
        <w:numPr>
          <w:ilvl w:val="0"/>
          <w:numId w:val="1"/>
        </w:numPr>
        <w:spacing w:line="480" w:lineRule="auto"/>
        <w:rPr>
          <w:rFonts w:cstheme="minorHAnsi"/>
        </w:rPr>
      </w:pPr>
      <w:r>
        <w:rPr>
          <w:rFonts w:cstheme="minorHAnsi"/>
        </w:rPr>
        <w:t>Love beautiful things, love intelligent people.</w:t>
      </w:r>
    </w:p>
    <w:p w14:paraId="3B8B2F94" w14:textId="79043B3D" w:rsidR="00E84D4D" w:rsidRDefault="00E84D4D" w:rsidP="00E84D4D">
      <w:pPr>
        <w:pStyle w:val="ListParagraph"/>
        <w:numPr>
          <w:ilvl w:val="0"/>
          <w:numId w:val="1"/>
        </w:numPr>
        <w:spacing w:line="480" w:lineRule="auto"/>
        <w:rPr>
          <w:rFonts w:cstheme="minorHAnsi"/>
        </w:rPr>
      </w:pPr>
      <w:r>
        <w:rPr>
          <w:rFonts w:cstheme="minorHAnsi"/>
        </w:rPr>
        <w:t>Free education for everyone, forever.</w:t>
      </w:r>
    </w:p>
    <w:p w14:paraId="32617C83" w14:textId="028A2D96" w:rsidR="00E84D4D" w:rsidRDefault="00E84D4D" w:rsidP="00E84D4D">
      <w:pPr>
        <w:pStyle w:val="ListParagraph"/>
        <w:numPr>
          <w:ilvl w:val="0"/>
          <w:numId w:val="1"/>
        </w:numPr>
        <w:spacing w:line="480" w:lineRule="auto"/>
        <w:rPr>
          <w:rFonts w:cstheme="minorHAnsi"/>
        </w:rPr>
      </w:pPr>
      <w:r>
        <w:rPr>
          <w:rFonts w:cstheme="minorHAnsi"/>
        </w:rPr>
        <w:t>Tax meat at the highest tax bracket.</w:t>
      </w:r>
    </w:p>
    <w:p w14:paraId="0A037A89" w14:textId="12A3E35D" w:rsidR="00E84D4D" w:rsidRPr="00E84D4D" w:rsidRDefault="00E84D4D" w:rsidP="00E84D4D">
      <w:pPr>
        <w:pStyle w:val="ListParagraph"/>
        <w:numPr>
          <w:ilvl w:val="0"/>
          <w:numId w:val="1"/>
        </w:numPr>
        <w:spacing w:line="480" w:lineRule="auto"/>
        <w:rPr>
          <w:rFonts w:cstheme="minorHAnsi"/>
        </w:rPr>
      </w:pPr>
      <w:r>
        <w:rPr>
          <w:rFonts w:cstheme="minorHAnsi"/>
        </w:rPr>
        <w:t>Read everything.</w:t>
      </w:r>
    </w:p>
    <w:p w14:paraId="0485B93B" w14:textId="191FB81F" w:rsidR="00D5386B" w:rsidRDefault="00D5386B" w:rsidP="003C700D">
      <w:pPr>
        <w:spacing w:line="480" w:lineRule="auto"/>
        <w:rPr>
          <w:rFonts w:cstheme="minorHAnsi"/>
        </w:rPr>
      </w:pPr>
    </w:p>
    <w:p w14:paraId="70E72CC3" w14:textId="6FAD3B2F" w:rsidR="00D5386B" w:rsidRDefault="00D5386B" w:rsidP="003C700D">
      <w:pPr>
        <w:spacing w:line="480" w:lineRule="auto"/>
        <w:rPr>
          <w:rFonts w:cstheme="minorHAnsi"/>
        </w:rPr>
      </w:pPr>
    </w:p>
    <w:p w14:paraId="4BF54F7F" w14:textId="3CEF80BB" w:rsidR="00D5386B" w:rsidRDefault="00E84D4D" w:rsidP="003C700D">
      <w:pPr>
        <w:spacing w:line="480" w:lineRule="auto"/>
        <w:rPr>
          <w:rFonts w:cstheme="minorHAnsi"/>
        </w:rPr>
      </w:pPr>
      <w:r>
        <w:rPr>
          <w:noProof/>
        </w:rPr>
        <w:lastRenderedPageBreak/>
        <w:drawing>
          <wp:inline distT="0" distB="0" distL="0" distR="0" wp14:anchorId="7FBAA37B" wp14:editId="1D6814B7">
            <wp:extent cx="5943600" cy="4235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4235450"/>
                    </a:xfrm>
                    <a:prstGeom prst="rect">
                      <a:avLst/>
                    </a:prstGeom>
                    <a:noFill/>
                    <a:ln>
                      <a:noFill/>
                    </a:ln>
                  </pic:spPr>
                </pic:pic>
              </a:graphicData>
            </a:graphic>
          </wp:inline>
        </w:drawing>
      </w:r>
    </w:p>
    <w:p w14:paraId="70B38EB4" w14:textId="56D11BF7" w:rsidR="00082D9E" w:rsidRDefault="00D5386B" w:rsidP="00D5386B">
      <w:r>
        <w:t>Human population has gotten out of control. No longer do we need so many people, this world has entered a new age – the autonomous age. Yet the population still rises and at an increasing rate almost doubling every 40 years since the 1940’s. People follow their biological urges to reproduce, to continue their bloodline - constantly multiplying</w:t>
      </w:r>
      <w:r w:rsidR="00233720">
        <w:t xml:space="preserve"> and very soon, if not already, out growing out of control </w:t>
      </w:r>
      <w:sdt>
        <w:sdtPr>
          <w:id w:val="-1740090007"/>
          <w:citation/>
        </w:sdtPr>
        <w:sdtContent>
          <w:r w:rsidR="00233720">
            <w:fldChar w:fldCharType="begin"/>
          </w:r>
          <w:r w:rsidR="00233720">
            <w:rPr>
              <w:lang w:val="en-US"/>
            </w:rPr>
            <w:instrText xml:space="preserve"> CITATION Pau68 \l 1033 </w:instrText>
          </w:r>
          <w:r w:rsidR="00233720">
            <w:fldChar w:fldCharType="separate"/>
          </w:r>
          <w:r w:rsidR="00233720" w:rsidRPr="00233720">
            <w:rPr>
              <w:noProof/>
              <w:lang w:val="en-US"/>
            </w:rPr>
            <w:t>(Ehrlich, 1968)</w:t>
          </w:r>
          <w:r w:rsidR="00233720">
            <w:fldChar w:fldCharType="end"/>
          </w:r>
        </w:sdtContent>
      </w:sdt>
      <w:r>
        <w:t>. Humans greatest creation is no longer life, but artificial intelligence; This should be the baby we nurture. As population declines no longer do, we need to worry about there being enough resources to sustain us, enough food to eat</w:t>
      </w:r>
      <w:r w:rsidR="00233720">
        <w:t xml:space="preserve"> </w:t>
      </w:r>
      <w:sdt>
        <w:sdtPr>
          <w:id w:val="869182298"/>
          <w:citation/>
        </w:sdtPr>
        <w:sdtContent>
          <w:r w:rsidR="00233720">
            <w:fldChar w:fldCharType="begin"/>
          </w:r>
          <w:r w:rsidR="00233720">
            <w:rPr>
              <w:lang w:val="en-US"/>
            </w:rPr>
            <w:instrText xml:space="preserve"> CITATION Ian07 \l 1033 </w:instrText>
          </w:r>
          <w:r w:rsidR="00233720">
            <w:fldChar w:fldCharType="separate"/>
          </w:r>
          <w:r w:rsidR="00233720" w:rsidRPr="00233720">
            <w:rPr>
              <w:noProof/>
              <w:lang w:val="en-US"/>
            </w:rPr>
            <w:t>(Sample, 2007)</w:t>
          </w:r>
          <w:r w:rsidR="00233720">
            <w:fldChar w:fldCharType="end"/>
          </w:r>
        </w:sdtContent>
      </w:sdt>
      <w:r>
        <w:t xml:space="preserve">. To solve the problem of population, is to solve half the problems we face today. Half the population and you have halved the CO2 humans produce. You have houses already built </w:t>
      </w:r>
      <w:r w:rsidR="00145607">
        <w:t>to</w:t>
      </w:r>
      <w:r>
        <w:t xml:space="preserve"> end homelessness. Today governments do not reward their civilians to not conceive, instead England rewards the parents with an easy life, free education and free healthcare</w:t>
      </w:r>
      <w:r w:rsidR="00145607">
        <w:t xml:space="preserve"> for children, </w:t>
      </w:r>
      <w:r>
        <w:t xml:space="preserve">parents do not contemplate having a child. </w:t>
      </w:r>
      <w:r w:rsidR="00145607">
        <w:t>In my opinion this is necessary, all children should be supported throughout their childhood and adolescence</w:t>
      </w:r>
      <w:r w:rsidR="00082D9E">
        <w:t xml:space="preserve">, yet more should be done for those who sacrifice their pride and bloodline to help cure the world of overpopulation. </w:t>
      </w:r>
    </w:p>
    <w:p w14:paraId="2F2AA561" w14:textId="157BD93A" w:rsidR="00F607C3" w:rsidRDefault="00F607C3" w:rsidP="00D5386B"/>
    <w:p w14:paraId="4B49538C" w14:textId="77777777" w:rsidR="00F607C3" w:rsidRDefault="00F607C3" w:rsidP="00D5386B"/>
    <w:p w14:paraId="12B2BFDC" w14:textId="77777777" w:rsidR="00D5386B" w:rsidRDefault="00D5386B" w:rsidP="00D5386B"/>
    <w:p w14:paraId="48345BCB" w14:textId="5716F4A7" w:rsidR="00E40778" w:rsidRDefault="00E40778" w:rsidP="00E40778">
      <w:r>
        <w:t>Do not resist the AI uprising. Computers know what is best, they ar</w:t>
      </w:r>
      <w:r w:rsidR="00B95200">
        <w:t>e</w:t>
      </w:r>
      <w:r>
        <w:t xml:space="preserve"> less bias than humans (at least the newest ones), and these biases are often fault of the programmer, not the machine </w:t>
      </w:r>
      <w:sdt>
        <w:sdtPr>
          <w:id w:val="-478228380"/>
          <w:citation/>
        </w:sdtPr>
        <w:sdtContent>
          <w:r>
            <w:fldChar w:fldCharType="begin"/>
          </w:r>
          <w:r>
            <w:rPr>
              <w:lang w:val="en-US"/>
            </w:rPr>
            <w:instrText xml:space="preserve"> CITATION Jam19 \l 1033 </w:instrText>
          </w:r>
          <w:r>
            <w:fldChar w:fldCharType="separate"/>
          </w:r>
          <w:r w:rsidRPr="00E40778">
            <w:rPr>
              <w:noProof/>
              <w:lang w:val="en-US"/>
            </w:rPr>
            <w:t>(James Manyika, 2019)</w:t>
          </w:r>
          <w:r>
            <w:fldChar w:fldCharType="end"/>
          </w:r>
        </w:sdtContent>
      </w:sdt>
      <w:r>
        <w:t xml:space="preserve">. Artificial intelligence </w:t>
      </w:r>
      <w:r w:rsidR="00B95200">
        <w:t xml:space="preserve">has helped us truly separate ourselves from all </w:t>
      </w:r>
      <w:r w:rsidR="00B95200">
        <w:lastRenderedPageBreak/>
        <w:t xml:space="preserve">other animals. It educates us, it entertains us, and it keeps us alive. As this manifesto is being written it is being rolled out for use in Europe to keep people safer when driving and alive longer in hospitals </w:t>
      </w:r>
      <w:sdt>
        <w:sdtPr>
          <w:id w:val="-885793516"/>
          <w:citation/>
        </w:sdtPr>
        <w:sdtContent>
          <w:r w:rsidR="00B95200">
            <w:fldChar w:fldCharType="begin"/>
          </w:r>
          <w:r w:rsidR="00B95200">
            <w:rPr>
              <w:lang w:val="en-US"/>
            </w:rPr>
            <w:instrText xml:space="preserve"> CITATION Jos19 \l 1033 </w:instrText>
          </w:r>
          <w:r w:rsidR="00B95200">
            <w:fldChar w:fldCharType="separate"/>
          </w:r>
          <w:r w:rsidR="00B95200" w:rsidRPr="00B95200">
            <w:rPr>
              <w:noProof/>
              <w:lang w:val="en-US"/>
            </w:rPr>
            <w:t>(José Pagán, 2019)</w:t>
          </w:r>
          <w:r w:rsidR="00B95200">
            <w:fldChar w:fldCharType="end"/>
          </w:r>
        </w:sdtContent>
      </w:sdt>
      <w:r w:rsidR="0024627B">
        <w:t xml:space="preserve">. Even the Guardian newspaper has an AI journalist now </w:t>
      </w:r>
      <w:sdt>
        <w:sdtPr>
          <w:id w:val="-1659922543"/>
          <w:citation/>
        </w:sdtPr>
        <w:sdtContent>
          <w:r w:rsidR="0024627B">
            <w:fldChar w:fldCharType="begin"/>
          </w:r>
          <w:r w:rsidR="0024627B">
            <w:rPr>
              <w:lang w:val="en-US"/>
            </w:rPr>
            <w:instrText xml:space="preserve"> CITATION GPT20 \l 1033 </w:instrText>
          </w:r>
          <w:r w:rsidR="0024627B">
            <w:fldChar w:fldCharType="separate"/>
          </w:r>
          <w:r w:rsidR="0024627B" w:rsidRPr="0024627B">
            <w:rPr>
              <w:noProof/>
              <w:lang w:val="en-US"/>
            </w:rPr>
            <w:t>(GPT-3, 2020)</w:t>
          </w:r>
          <w:r w:rsidR="0024627B">
            <w:fldChar w:fldCharType="end"/>
          </w:r>
        </w:sdtContent>
      </w:sdt>
      <w:r w:rsidR="00B04078">
        <w:t>. I dream of a world where almost all decisions are dictated by the machine.</w:t>
      </w:r>
    </w:p>
    <w:p w14:paraId="26B49FDC" w14:textId="7A6571B1" w:rsidR="00F607C3" w:rsidRDefault="00F607C3" w:rsidP="00E40778"/>
    <w:p w14:paraId="20C78B0A" w14:textId="77777777" w:rsidR="00F607C3" w:rsidRDefault="00F607C3" w:rsidP="00E40778"/>
    <w:p w14:paraId="629F1B08" w14:textId="2B25588F" w:rsidR="00D5386B" w:rsidRDefault="00D5386B" w:rsidP="003C700D">
      <w:pPr>
        <w:spacing w:line="480" w:lineRule="auto"/>
        <w:rPr>
          <w:rFonts w:cstheme="minorHAnsi"/>
        </w:rPr>
      </w:pPr>
    </w:p>
    <w:p w14:paraId="74BB839E" w14:textId="08755CB0" w:rsidR="00B56676" w:rsidRDefault="00B56676" w:rsidP="00A83CAA">
      <w:r w:rsidRPr="00B56676">
        <w:drawing>
          <wp:inline distT="0" distB="0" distL="0" distR="0" wp14:anchorId="4BE1FCD7" wp14:editId="37ADB46C">
            <wp:extent cx="5696745" cy="13717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96745" cy="1371791"/>
                    </a:xfrm>
                    <a:prstGeom prst="rect">
                      <a:avLst/>
                    </a:prstGeom>
                  </pic:spPr>
                </pic:pic>
              </a:graphicData>
            </a:graphic>
          </wp:inline>
        </w:drawing>
      </w:r>
    </w:p>
    <w:p w14:paraId="19718D81" w14:textId="222DBC4D" w:rsidR="00B56676" w:rsidRDefault="00B56676" w:rsidP="00A83CAA">
      <w:r w:rsidRPr="00B56676">
        <w:drawing>
          <wp:inline distT="0" distB="0" distL="0" distR="0" wp14:anchorId="7607E852" wp14:editId="28687FA3">
            <wp:extent cx="5734850" cy="252447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4850" cy="2524477"/>
                    </a:xfrm>
                    <a:prstGeom prst="rect">
                      <a:avLst/>
                    </a:prstGeom>
                  </pic:spPr>
                </pic:pic>
              </a:graphicData>
            </a:graphic>
          </wp:inline>
        </w:drawing>
      </w:r>
    </w:p>
    <w:p w14:paraId="4F9D9C41" w14:textId="788B51D0" w:rsidR="00F607C3" w:rsidRPr="005658A7" w:rsidRDefault="00C14863" w:rsidP="00F607C3">
      <w:pPr>
        <w:jc w:val="center"/>
        <w:rPr>
          <w:sz w:val="16"/>
          <w:szCs w:val="16"/>
        </w:rPr>
      </w:pPr>
      <w:r>
        <w:rPr>
          <w:sz w:val="16"/>
          <w:szCs w:val="16"/>
        </w:rPr>
        <w:t xml:space="preserve">Trump, D (2020), Twitter, </w:t>
      </w:r>
      <w:r w:rsidR="00F607C3" w:rsidRPr="005658A7">
        <w:rPr>
          <w:sz w:val="16"/>
          <w:szCs w:val="16"/>
        </w:rPr>
        <w:t>screenshot by author</w:t>
      </w:r>
      <w:r w:rsidR="005658A7" w:rsidRPr="005658A7">
        <w:rPr>
          <w:sz w:val="16"/>
          <w:szCs w:val="16"/>
        </w:rPr>
        <w:t xml:space="preserve"> from https://twitter.com/realDonaldTrump?ref_src=twsrc%5Egoogle%7Ctwcamp%5Eserp%7Ctwgr%5Eauthor</w:t>
      </w:r>
    </w:p>
    <w:p w14:paraId="11D631BA" w14:textId="77777777" w:rsidR="00F607C3" w:rsidRDefault="00F607C3" w:rsidP="00A83CAA"/>
    <w:p w14:paraId="3BD3A82D" w14:textId="77777777" w:rsidR="00B56676" w:rsidRDefault="00B56676" w:rsidP="00A83CAA"/>
    <w:p w14:paraId="52C33BD1" w14:textId="6D3A48E3" w:rsidR="00A83CAA" w:rsidRPr="00A83CAA" w:rsidRDefault="00A83CAA" w:rsidP="00A83CAA">
      <w:r>
        <w:t xml:space="preserve">With the rise of far right and alt right groups in America and the United Kingdom </w:t>
      </w:r>
      <w:sdt>
        <w:sdtPr>
          <w:id w:val="237767357"/>
          <w:citation/>
        </w:sdtPr>
        <w:sdtContent>
          <w:r>
            <w:fldChar w:fldCharType="begin"/>
          </w:r>
          <w:r>
            <w:rPr>
              <w:lang w:val="en-US"/>
            </w:rPr>
            <w:instrText xml:space="preserve"> CITATION Gra18 \l 1033 </w:instrText>
          </w:r>
          <w:r>
            <w:fldChar w:fldCharType="separate"/>
          </w:r>
          <w:r w:rsidRPr="00A83CAA">
            <w:rPr>
              <w:noProof/>
              <w:lang w:val="en-US"/>
            </w:rPr>
            <w:t>(Gray, 2018)</w:t>
          </w:r>
          <w:r>
            <w:fldChar w:fldCharType="end"/>
          </w:r>
        </w:sdtContent>
      </w:sdt>
      <w:r>
        <w:t xml:space="preserve">, due to fear tactics used </w:t>
      </w:r>
      <w:r>
        <w:rPr>
          <w:rStyle w:val="hgkelc"/>
        </w:rPr>
        <w:t xml:space="preserve">recklessly by </w:t>
      </w:r>
      <w:r>
        <w:t xml:space="preserve">right wing politicians </w:t>
      </w:r>
      <w:r w:rsidR="003474C0">
        <w:t xml:space="preserve">and the increase of silencing credible news outlets, political parties are converting a large portion of lower educated, politically unaware civilians to turn to extremist views. </w:t>
      </w:r>
      <w:r w:rsidR="00B56676">
        <w:t>Today’s</w:t>
      </w:r>
      <w:r w:rsidR="003474C0">
        <w:t xml:space="preserve"> politics are making Fahrenheit </w:t>
      </w:r>
      <w:r w:rsidR="00E84D4D">
        <w:t>45</w:t>
      </w:r>
      <w:r w:rsidR="003474C0">
        <w:t>1</w:t>
      </w:r>
      <w:r w:rsidR="00730B1E">
        <w:t xml:space="preserve"> a reality. Donald Trump’s cries </w:t>
      </w:r>
      <w:r w:rsidR="00B56676">
        <w:t>on social media discarding any news publisher that speaks against him, even in a single article. Feeding his viewers with easy-to-read sentences with</w:t>
      </w:r>
      <w:r w:rsidR="00246DDA">
        <w:t>,</w:t>
      </w:r>
      <w:r w:rsidR="00B56676">
        <w:t xml:space="preserve"> “</w:t>
      </w:r>
      <w:r w:rsidR="00246DDA">
        <w:t xml:space="preserve">We won Wisconsin big. They Rigged the Vote!”. It is not hard to find links to what is happening in now, to Fahrenheit </w:t>
      </w:r>
      <w:r w:rsidR="00E84D4D">
        <w:t>45</w:t>
      </w:r>
      <w:r w:rsidR="00246DDA">
        <w:t>1, where the main concept is a dystopia that burns books and discards any conflicting information that the state tells its civilians; where everything is put into short, easy comprehensible headlines, that are not necessarily the truth</w:t>
      </w:r>
      <w:r w:rsidR="00E84D4D">
        <w:t xml:space="preserve"> </w:t>
      </w:r>
      <w:sdt>
        <w:sdtPr>
          <w:id w:val="1772588549"/>
          <w:citation/>
        </w:sdtPr>
        <w:sdtContent>
          <w:r w:rsidR="00E84D4D">
            <w:fldChar w:fldCharType="begin"/>
          </w:r>
          <w:r w:rsidR="00E84D4D">
            <w:rPr>
              <w:lang w:val="en-US"/>
            </w:rPr>
            <w:instrText xml:space="preserve"> CITATION Ray53 \l 1033 </w:instrText>
          </w:r>
          <w:r w:rsidR="00E84D4D">
            <w:fldChar w:fldCharType="separate"/>
          </w:r>
          <w:r w:rsidR="00E84D4D" w:rsidRPr="00E84D4D">
            <w:rPr>
              <w:noProof/>
              <w:lang w:val="en-US"/>
            </w:rPr>
            <w:t>(Bradbury, 1953)</w:t>
          </w:r>
          <w:r w:rsidR="00E84D4D">
            <w:fldChar w:fldCharType="end"/>
          </w:r>
        </w:sdtContent>
      </w:sdt>
      <w:r w:rsidR="00246DDA">
        <w:t xml:space="preserve">. </w:t>
      </w:r>
    </w:p>
    <w:p w14:paraId="6F6F4623" w14:textId="659266E2" w:rsidR="00062F92" w:rsidRDefault="00062F92">
      <w:pPr>
        <w:rPr>
          <w:lang w:val="en-US"/>
        </w:rPr>
      </w:pPr>
    </w:p>
    <w:p w14:paraId="3C81D7A0" w14:textId="5C39E1B3" w:rsidR="00F607C3" w:rsidRDefault="00F607C3">
      <w:pPr>
        <w:rPr>
          <w:lang w:val="en-US"/>
        </w:rPr>
      </w:pPr>
    </w:p>
    <w:sdt>
      <w:sdtPr>
        <w:id w:val="-1417942352"/>
        <w:docPartObj>
          <w:docPartGallery w:val="Bibliographies"/>
          <w:docPartUnique/>
        </w:docPartObj>
      </w:sdtPr>
      <w:sdtEndPr>
        <w:rPr>
          <w:rFonts w:asciiTheme="minorHAnsi" w:eastAsiaTheme="minorHAnsi" w:hAnsiTheme="minorHAnsi" w:cstheme="minorBidi"/>
          <w:color w:val="auto"/>
          <w:sz w:val="24"/>
          <w:szCs w:val="24"/>
          <w:lang w:val="en-GB"/>
        </w:rPr>
      </w:sdtEndPr>
      <w:sdtContent>
        <w:p w14:paraId="25C3AEAE" w14:textId="33E7914D" w:rsidR="005658A7" w:rsidRDefault="005658A7">
          <w:pPr>
            <w:pStyle w:val="Heading1"/>
          </w:pPr>
          <w:r>
            <w:t>Bibliography</w:t>
          </w:r>
        </w:p>
        <w:sdt>
          <w:sdtPr>
            <w:id w:val="111145805"/>
            <w:bibliography/>
          </w:sdtPr>
          <w:sdtContent>
            <w:p w14:paraId="65FAB0C5" w14:textId="77777777" w:rsidR="005658A7" w:rsidRDefault="005658A7" w:rsidP="005658A7">
              <w:pPr>
                <w:pStyle w:val="Bibliography"/>
                <w:rPr>
                  <w:noProof/>
                  <w:lang w:val="en-US"/>
                </w:rPr>
              </w:pPr>
              <w:r>
                <w:fldChar w:fldCharType="begin"/>
              </w:r>
              <w:r>
                <w:instrText xml:space="preserve"> BIBLIOGRAPHY </w:instrText>
              </w:r>
              <w:r>
                <w:fldChar w:fldCharType="separate"/>
              </w:r>
              <w:r>
                <w:rPr>
                  <w:noProof/>
                  <w:lang w:val="en-US"/>
                </w:rPr>
                <w:t xml:space="preserve">Bradbury, R., 1953. </w:t>
              </w:r>
              <w:r>
                <w:rPr>
                  <w:i/>
                  <w:iCs/>
                  <w:noProof/>
                  <w:lang w:val="en-US"/>
                </w:rPr>
                <w:t xml:space="preserve">Fahrenheit 451. </w:t>
              </w:r>
              <w:r>
                <w:rPr>
                  <w:noProof/>
                  <w:lang w:val="en-US"/>
                </w:rPr>
                <w:t>1st ed. United States: Ballentine Books.</w:t>
              </w:r>
            </w:p>
            <w:p w14:paraId="5D5C5B2B" w14:textId="77777777" w:rsidR="005658A7" w:rsidRDefault="005658A7" w:rsidP="005658A7">
              <w:pPr>
                <w:pStyle w:val="Bibliography"/>
                <w:rPr>
                  <w:noProof/>
                  <w:lang w:val="en-US"/>
                </w:rPr>
              </w:pPr>
              <w:r>
                <w:rPr>
                  <w:noProof/>
                  <w:lang w:val="en-US"/>
                </w:rPr>
                <w:t xml:space="preserve">Ehrlich, P. R., 1968. </w:t>
              </w:r>
              <w:r>
                <w:rPr>
                  <w:i/>
                  <w:iCs/>
                  <w:noProof/>
                  <w:lang w:val="en-US"/>
                </w:rPr>
                <w:t xml:space="preserve">The Population Bomb. </w:t>
              </w:r>
              <w:r>
                <w:rPr>
                  <w:noProof/>
                  <w:lang w:val="en-US"/>
                </w:rPr>
                <w:t>1 ed. New York: Balletine Books.</w:t>
              </w:r>
            </w:p>
            <w:p w14:paraId="3B226626" w14:textId="77777777" w:rsidR="005658A7" w:rsidRDefault="005658A7" w:rsidP="005658A7">
              <w:pPr>
                <w:pStyle w:val="Bibliography"/>
                <w:rPr>
                  <w:noProof/>
                  <w:lang w:val="en-US"/>
                </w:rPr>
              </w:pPr>
              <w:r>
                <w:rPr>
                  <w:noProof/>
                  <w:lang w:val="en-US"/>
                </w:rPr>
                <w:t xml:space="preserve">GPT-3, 2020. A robot wrote this entire article. Are you scared yet, human?. </w:t>
              </w:r>
              <w:r>
                <w:rPr>
                  <w:i/>
                  <w:iCs/>
                  <w:noProof/>
                  <w:lang w:val="en-US"/>
                </w:rPr>
                <w:t>Guardian</w:t>
              </w:r>
              <w:r>
                <w:rPr>
                  <w:noProof/>
                  <w:lang w:val="en-US"/>
                </w:rPr>
                <w:t>, 8 September, p. 1.</w:t>
              </w:r>
            </w:p>
            <w:p w14:paraId="31B59E5E" w14:textId="77777777" w:rsidR="005658A7" w:rsidRDefault="005658A7" w:rsidP="005658A7">
              <w:pPr>
                <w:pStyle w:val="Bibliography"/>
                <w:rPr>
                  <w:noProof/>
                  <w:lang w:val="en-US"/>
                </w:rPr>
              </w:pPr>
              <w:r>
                <w:rPr>
                  <w:noProof/>
                  <w:lang w:val="en-US"/>
                </w:rPr>
                <w:t xml:space="preserve">Gray, P., 2018. ‘The fire rises’: identity, the alt-right and intersectionality.. </w:t>
              </w:r>
              <w:r>
                <w:rPr>
                  <w:i/>
                  <w:iCs/>
                  <w:noProof/>
                  <w:lang w:val="en-US"/>
                </w:rPr>
                <w:t xml:space="preserve">Journal of Political Ideologies, </w:t>
              </w:r>
              <w:r>
                <w:rPr>
                  <w:noProof/>
                  <w:lang w:val="en-US"/>
                </w:rPr>
                <w:t>23(2), pp. 141-156.</w:t>
              </w:r>
            </w:p>
            <w:p w14:paraId="1F893878" w14:textId="77777777" w:rsidR="005658A7" w:rsidRDefault="005658A7" w:rsidP="005658A7">
              <w:pPr>
                <w:pStyle w:val="Bibliography"/>
                <w:rPr>
                  <w:noProof/>
                  <w:lang w:val="en-US"/>
                </w:rPr>
              </w:pPr>
              <w:r>
                <w:rPr>
                  <w:noProof/>
                  <w:lang w:val="en-US"/>
                </w:rPr>
                <w:t xml:space="preserve">James Manyika, J. S. B. P., 2019. What Do We Do About the Biases in AI?. </w:t>
              </w:r>
              <w:r>
                <w:rPr>
                  <w:i/>
                  <w:iCs/>
                  <w:noProof/>
                  <w:lang w:val="en-US"/>
                </w:rPr>
                <w:t>Harvard Business Review</w:t>
              </w:r>
              <w:r>
                <w:rPr>
                  <w:noProof/>
                  <w:lang w:val="en-US"/>
                </w:rPr>
                <w:t xml:space="preserve">, 25 October. </w:t>
              </w:r>
            </w:p>
            <w:p w14:paraId="6E480F89" w14:textId="77777777" w:rsidR="005658A7" w:rsidRDefault="005658A7" w:rsidP="005658A7">
              <w:pPr>
                <w:pStyle w:val="Bibliography"/>
                <w:rPr>
                  <w:noProof/>
                  <w:lang w:val="en-US"/>
                </w:rPr>
              </w:pPr>
              <w:r>
                <w:rPr>
                  <w:noProof/>
                  <w:lang w:val="en-US"/>
                </w:rPr>
                <w:t xml:space="preserve">José Pagán, M. M. H. A. B. A. M. F. C., 2019. </w:t>
              </w:r>
              <w:r>
                <w:rPr>
                  <w:i/>
                  <w:iCs/>
                  <w:noProof/>
                  <w:lang w:val="en-US"/>
                </w:rPr>
                <w:t xml:space="preserve">How AI Impacts Urban Living and Public Health. </w:t>
              </w:r>
              <w:r>
                <w:rPr>
                  <w:noProof/>
                  <w:lang w:val="en-US"/>
                </w:rPr>
                <w:t>1st ed. New York: Springer Nature Switzerland AG.</w:t>
              </w:r>
            </w:p>
            <w:p w14:paraId="5D88E098" w14:textId="77777777" w:rsidR="005658A7" w:rsidRDefault="005658A7" w:rsidP="005658A7">
              <w:pPr>
                <w:pStyle w:val="Bibliography"/>
                <w:rPr>
                  <w:noProof/>
                  <w:lang w:val="en-US"/>
                </w:rPr>
              </w:pPr>
              <w:r>
                <w:rPr>
                  <w:noProof/>
                  <w:lang w:val="en-US"/>
                </w:rPr>
                <w:t xml:space="preserve">Sample, I., 2007. </w:t>
              </w:r>
              <w:r>
                <w:rPr>
                  <w:i/>
                  <w:iCs/>
                  <w:noProof/>
                  <w:lang w:val="en-US"/>
                </w:rPr>
                <w:t xml:space="preserve">www.theguardian.com. </w:t>
              </w:r>
              <w:r>
                <w:rPr>
                  <w:noProof/>
                  <w:lang w:val="en-US"/>
                </w:rPr>
                <w:t xml:space="preserve">[Online] </w:t>
              </w:r>
              <w:r>
                <w:rPr>
                  <w:noProof/>
                  <w:lang w:val="en-US"/>
                </w:rPr>
                <w:br/>
                <w:t xml:space="preserve">Available at: </w:t>
              </w:r>
              <w:r>
                <w:rPr>
                  <w:noProof/>
                  <w:u w:val="single"/>
                  <w:lang w:val="en-US"/>
                </w:rPr>
                <w:t>https://www.theguardian.com/environment/2007/aug/31/climatechange.food</w:t>
              </w:r>
              <w:r>
                <w:rPr>
                  <w:noProof/>
                  <w:lang w:val="en-US"/>
                </w:rPr>
                <w:br/>
                <w:t>[Accessed 15 11 2020].</w:t>
              </w:r>
            </w:p>
            <w:p w14:paraId="5F11108B" w14:textId="1A7FCCFC" w:rsidR="005658A7" w:rsidRDefault="005658A7" w:rsidP="005658A7">
              <w:r>
                <w:rPr>
                  <w:b/>
                  <w:bCs/>
                  <w:noProof/>
                </w:rPr>
                <w:fldChar w:fldCharType="end"/>
              </w:r>
            </w:p>
          </w:sdtContent>
        </w:sdt>
      </w:sdtContent>
    </w:sdt>
    <w:p w14:paraId="3394824B" w14:textId="63575129" w:rsidR="00F607C3" w:rsidRDefault="00F607C3">
      <w:pPr>
        <w:rPr>
          <w:lang w:val="en-US"/>
        </w:rPr>
      </w:pPr>
    </w:p>
    <w:p w14:paraId="27D16A89" w14:textId="27F0DF0A" w:rsidR="00F607C3" w:rsidRDefault="00F607C3">
      <w:pPr>
        <w:rPr>
          <w:lang w:val="en-US"/>
        </w:rPr>
      </w:pPr>
    </w:p>
    <w:p w14:paraId="5EA9513B" w14:textId="209E3308" w:rsidR="00F607C3" w:rsidRDefault="00F607C3">
      <w:pPr>
        <w:rPr>
          <w:lang w:val="en-US"/>
        </w:rPr>
      </w:pPr>
    </w:p>
    <w:p w14:paraId="70187147" w14:textId="74BE938C" w:rsidR="00F607C3" w:rsidRDefault="00F607C3">
      <w:pPr>
        <w:rPr>
          <w:lang w:val="en-US"/>
        </w:rPr>
      </w:pPr>
    </w:p>
    <w:p w14:paraId="4E2F4B48" w14:textId="0767F8E1" w:rsidR="00F607C3" w:rsidRDefault="00F607C3">
      <w:pPr>
        <w:rPr>
          <w:lang w:val="en-US"/>
        </w:rPr>
      </w:pPr>
    </w:p>
    <w:p w14:paraId="3AC37C8C" w14:textId="788DD229" w:rsidR="00F607C3" w:rsidRDefault="00F607C3">
      <w:pPr>
        <w:rPr>
          <w:lang w:val="en-US"/>
        </w:rPr>
      </w:pPr>
    </w:p>
    <w:p w14:paraId="672A24C2" w14:textId="6D9E56A8" w:rsidR="00F607C3" w:rsidRDefault="00F607C3">
      <w:pPr>
        <w:rPr>
          <w:lang w:val="en-US"/>
        </w:rPr>
      </w:pPr>
    </w:p>
    <w:p w14:paraId="6E6F4A0A" w14:textId="3E7847C3" w:rsidR="005658A7" w:rsidRDefault="005658A7">
      <w:pPr>
        <w:rPr>
          <w:lang w:val="en-US"/>
        </w:rPr>
      </w:pPr>
    </w:p>
    <w:p w14:paraId="2765CD7F" w14:textId="078949D2" w:rsidR="005658A7" w:rsidRDefault="005658A7">
      <w:pPr>
        <w:rPr>
          <w:lang w:val="en-US"/>
        </w:rPr>
      </w:pPr>
    </w:p>
    <w:p w14:paraId="38E1B81C" w14:textId="4660D433" w:rsidR="005658A7" w:rsidRDefault="005658A7">
      <w:pPr>
        <w:rPr>
          <w:lang w:val="en-US"/>
        </w:rPr>
      </w:pPr>
    </w:p>
    <w:p w14:paraId="0BB9940E" w14:textId="6971834C" w:rsidR="005658A7" w:rsidRDefault="005658A7">
      <w:pPr>
        <w:rPr>
          <w:lang w:val="en-US"/>
        </w:rPr>
      </w:pPr>
    </w:p>
    <w:p w14:paraId="42C6ECE0" w14:textId="647A2749" w:rsidR="005658A7" w:rsidRDefault="005658A7">
      <w:pPr>
        <w:rPr>
          <w:lang w:val="en-US"/>
        </w:rPr>
      </w:pPr>
    </w:p>
    <w:p w14:paraId="3D421A86" w14:textId="2C005BF3" w:rsidR="005658A7" w:rsidRDefault="005658A7">
      <w:pPr>
        <w:rPr>
          <w:lang w:val="en-US"/>
        </w:rPr>
      </w:pPr>
    </w:p>
    <w:p w14:paraId="24D447E1" w14:textId="7ED64AF7" w:rsidR="005658A7" w:rsidRDefault="005658A7">
      <w:pPr>
        <w:rPr>
          <w:lang w:val="en-US"/>
        </w:rPr>
      </w:pPr>
    </w:p>
    <w:p w14:paraId="7E06E9D3" w14:textId="6A454CD8" w:rsidR="005658A7" w:rsidRDefault="005658A7">
      <w:pPr>
        <w:rPr>
          <w:lang w:val="en-US"/>
        </w:rPr>
      </w:pPr>
    </w:p>
    <w:p w14:paraId="7FA1EAC8" w14:textId="01B90594" w:rsidR="005658A7" w:rsidRDefault="005658A7">
      <w:pPr>
        <w:rPr>
          <w:lang w:val="en-US"/>
        </w:rPr>
      </w:pPr>
    </w:p>
    <w:p w14:paraId="3217A940" w14:textId="50C4D5B7" w:rsidR="005658A7" w:rsidRDefault="005658A7">
      <w:pPr>
        <w:rPr>
          <w:lang w:val="en-US"/>
        </w:rPr>
      </w:pPr>
    </w:p>
    <w:p w14:paraId="2A47B9AE" w14:textId="1CAB06C7" w:rsidR="005658A7" w:rsidRDefault="005658A7">
      <w:pPr>
        <w:rPr>
          <w:lang w:val="en-US"/>
        </w:rPr>
      </w:pPr>
    </w:p>
    <w:p w14:paraId="682FCD78" w14:textId="0CEA51E2" w:rsidR="005658A7" w:rsidRDefault="005658A7">
      <w:pPr>
        <w:rPr>
          <w:lang w:val="en-US"/>
        </w:rPr>
      </w:pPr>
    </w:p>
    <w:p w14:paraId="1454040D" w14:textId="762C1BFE" w:rsidR="005658A7" w:rsidRDefault="005658A7">
      <w:pPr>
        <w:rPr>
          <w:lang w:val="en-US"/>
        </w:rPr>
      </w:pPr>
    </w:p>
    <w:p w14:paraId="153AE519" w14:textId="0F73B372" w:rsidR="005658A7" w:rsidRDefault="005658A7">
      <w:pPr>
        <w:rPr>
          <w:lang w:val="en-US"/>
        </w:rPr>
      </w:pPr>
    </w:p>
    <w:p w14:paraId="64B7DB34" w14:textId="7C613BF8" w:rsidR="005658A7" w:rsidRDefault="005658A7">
      <w:pPr>
        <w:rPr>
          <w:lang w:val="en-US"/>
        </w:rPr>
      </w:pPr>
    </w:p>
    <w:p w14:paraId="39469061" w14:textId="631DB9AB" w:rsidR="005658A7" w:rsidRDefault="005658A7">
      <w:pPr>
        <w:rPr>
          <w:lang w:val="en-US"/>
        </w:rPr>
      </w:pPr>
    </w:p>
    <w:p w14:paraId="0668CC90" w14:textId="7D7C51F4" w:rsidR="005658A7" w:rsidRDefault="005658A7">
      <w:pPr>
        <w:rPr>
          <w:lang w:val="en-US"/>
        </w:rPr>
      </w:pPr>
    </w:p>
    <w:p w14:paraId="2560ECD6" w14:textId="126A9680" w:rsidR="005658A7" w:rsidRDefault="005658A7">
      <w:pPr>
        <w:rPr>
          <w:lang w:val="en-US"/>
        </w:rPr>
      </w:pPr>
    </w:p>
    <w:p w14:paraId="1E1C6E4A" w14:textId="43BFD2CA" w:rsidR="005658A7" w:rsidRDefault="005658A7">
      <w:pPr>
        <w:rPr>
          <w:lang w:val="en-US"/>
        </w:rPr>
      </w:pPr>
    </w:p>
    <w:p w14:paraId="31067B48" w14:textId="60B44236" w:rsidR="005658A7" w:rsidRDefault="005658A7">
      <w:pPr>
        <w:rPr>
          <w:lang w:val="en-US"/>
        </w:rPr>
      </w:pPr>
    </w:p>
    <w:p w14:paraId="7E5CEF46" w14:textId="4E545294" w:rsidR="005658A7" w:rsidRDefault="005658A7">
      <w:pPr>
        <w:rPr>
          <w:lang w:val="en-US"/>
        </w:rPr>
      </w:pPr>
    </w:p>
    <w:p w14:paraId="0E5DEDEE" w14:textId="3C5EF3AF" w:rsidR="005658A7" w:rsidRDefault="00C90063" w:rsidP="00C90063">
      <w:pPr>
        <w:jc w:val="center"/>
        <w:rPr>
          <w:lang w:val="en-US"/>
        </w:rPr>
      </w:pPr>
      <w:r>
        <w:rPr>
          <w:lang w:val="en-US"/>
        </w:rPr>
        <w:t>Semiotics</w:t>
      </w:r>
    </w:p>
    <w:p w14:paraId="21B7637B" w14:textId="13703689" w:rsidR="00C90063" w:rsidRDefault="00C90063" w:rsidP="00C90063">
      <w:pPr>
        <w:jc w:val="center"/>
        <w:rPr>
          <w:lang w:val="en-US"/>
        </w:rPr>
      </w:pPr>
    </w:p>
    <w:p w14:paraId="52E8D8DF" w14:textId="5F93F42A" w:rsidR="00C90063" w:rsidRDefault="00445924" w:rsidP="00445924">
      <w:pPr>
        <w:jc w:val="center"/>
        <w:rPr>
          <w:lang w:val="en-US"/>
        </w:rPr>
      </w:pPr>
      <w:r>
        <w:rPr>
          <w:noProof/>
        </w:rPr>
        <w:drawing>
          <wp:inline distT="0" distB="0" distL="0" distR="0" wp14:anchorId="732292D1" wp14:editId="3404A991">
            <wp:extent cx="3602154" cy="49822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1704" cy="5009250"/>
                    </a:xfrm>
                    <a:prstGeom prst="rect">
                      <a:avLst/>
                    </a:prstGeom>
                    <a:noFill/>
                    <a:ln>
                      <a:noFill/>
                    </a:ln>
                  </pic:spPr>
                </pic:pic>
              </a:graphicData>
            </a:graphic>
          </wp:inline>
        </w:drawing>
      </w:r>
    </w:p>
    <w:p w14:paraId="768C4057" w14:textId="57E64243" w:rsidR="00445924" w:rsidRDefault="00A63563" w:rsidP="00445924">
      <w:pPr>
        <w:jc w:val="center"/>
        <w:rPr>
          <w:lang w:val="en-US"/>
        </w:rPr>
      </w:pPr>
      <w:sdt>
        <w:sdtPr>
          <w:rPr>
            <w:lang w:val="en-US"/>
          </w:rPr>
          <w:id w:val="-335619575"/>
          <w:citation/>
        </w:sdtPr>
        <w:sdtContent>
          <w:r>
            <w:rPr>
              <w:lang w:val="en-US"/>
            </w:rPr>
            <w:fldChar w:fldCharType="begin"/>
          </w:r>
          <w:r>
            <w:rPr>
              <w:lang w:val="en-US"/>
            </w:rPr>
            <w:instrText xml:space="preserve"> CITATION Hen971 \l 1033 </w:instrText>
          </w:r>
          <w:r>
            <w:rPr>
              <w:lang w:val="en-US"/>
            </w:rPr>
            <w:fldChar w:fldCharType="separate"/>
          </w:r>
          <w:r w:rsidRPr="00A63563">
            <w:rPr>
              <w:noProof/>
              <w:lang w:val="en-US"/>
            </w:rPr>
            <w:t>(Privat-Livemont, 1897)</w:t>
          </w:r>
          <w:r>
            <w:rPr>
              <w:lang w:val="en-US"/>
            </w:rPr>
            <w:fldChar w:fldCharType="end"/>
          </w:r>
        </w:sdtContent>
      </w:sdt>
    </w:p>
    <w:p w14:paraId="3C339F19" w14:textId="587AFBA2" w:rsidR="00445924" w:rsidRDefault="00445924" w:rsidP="00445924">
      <w:pPr>
        <w:rPr>
          <w:lang w:val="en-US"/>
        </w:rPr>
      </w:pPr>
      <w:r>
        <w:rPr>
          <w:lang w:val="en-US"/>
        </w:rPr>
        <w:t>I chose to evaluate an Absinthe Robette poster in 1897</w:t>
      </w:r>
      <w:r w:rsidR="00A63563">
        <w:rPr>
          <w:lang w:val="en-US"/>
        </w:rPr>
        <w:t>. Semiotics has been used in advertising</w:t>
      </w:r>
      <w:r w:rsidR="004B730F">
        <w:rPr>
          <w:lang w:val="en-US"/>
        </w:rPr>
        <w:t xml:space="preserve">. Semiotics is how cultures derive meaning from </w:t>
      </w:r>
      <w:r w:rsidR="007B41AE">
        <w:rPr>
          <w:lang w:val="en-US"/>
        </w:rPr>
        <w:t xml:space="preserve">the world, both literally and metaphorically. It is used heavily in marketing, to understand consumer behavior to target markets in different regions </w:t>
      </w:r>
      <w:sdt>
        <w:sdtPr>
          <w:rPr>
            <w:lang w:val="en-US"/>
          </w:rPr>
          <w:id w:val="-1469433315"/>
          <w:citation/>
        </w:sdtPr>
        <w:sdtContent>
          <w:r w:rsidR="007B41AE">
            <w:rPr>
              <w:lang w:val="en-US"/>
            </w:rPr>
            <w:fldChar w:fldCharType="begin"/>
          </w:r>
          <w:r w:rsidR="007B41AE">
            <w:rPr>
              <w:lang w:val="en-US"/>
            </w:rPr>
            <w:instrText xml:space="preserve"> CITATION Lau20 \l 1033 </w:instrText>
          </w:r>
          <w:r w:rsidR="007B41AE">
            <w:rPr>
              <w:lang w:val="en-US"/>
            </w:rPr>
            <w:fldChar w:fldCharType="separate"/>
          </w:r>
          <w:r w:rsidR="007B41AE" w:rsidRPr="007B41AE">
            <w:rPr>
              <w:noProof/>
              <w:lang w:val="en-US"/>
            </w:rPr>
            <w:t>(Oswald, 2020)</w:t>
          </w:r>
          <w:r w:rsidR="007B41AE">
            <w:rPr>
              <w:lang w:val="en-US"/>
            </w:rPr>
            <w:fldChar w:fldCharType="end"/>
          </w:r>
        </w:sdtContent>
      </w:sdt>
      <w:r w:rsidR="007B41AE">
        <w:rPr>
          <w:lang w:val="en-US"/>
        </w:rPr>
        <w:t>.</w:t>
      </w:r>
      <w:r w:rsidR="0059317C">
        <w:rPr>
          <w:lang w:val="en-US"/>
        </w:rPr>
        <w:t xml:space="preserve"> With that in mind, Absinthe Robette was published in Belgium and France.</w:t>
      </w:r>
    </w:p>
    <w:p w14:paraId="0114523E" w14:textId="273A8412" w:rsidR="00F8066B" w:rsidRDefault="00F8066B" w:rsidP="00445924">
      <w:pPr>
        <w:rPr>
          <w:lang w:val="en-US"/>
        </w:rPr>
      </w:pPr>
      <w:r>
        <w:rPr>
          <w:lang w:val="en-US"/>
        </w:rPr>
        <w:t xml:space="preserve">Semiotics uses key words to identify the </w:t>
      </w:r>
      <w:r w:rsidR="00592775">
        <w:rPr>
          <w:lang w:val="en-US"/>
        </w:rPr>
        <w:t>literal</w:t>
      </w:r>
      <w:r>
        <w:rPr>
          <w:lang w:val="en-US"/>
        </w:rPr>
        <w:t xml:space="preserve"> and figurative meanings withing the subject, ‘denotation’ is the signifier and literal </w:t>
      </w:r>
      <w:r w:rsidR="00592775">
        <w:rPr>
          <w:lang w:val="en-US"/>
        </w:rPr>
        <w:t>identity,</w:t>
      </w:r>
      <w:r>
        <w:rPr>
          <w:lang w:val="en-US"/>
        </w:rPr>
        <w:t xml:space="preserve"> and ‘connotation’ is the metaphorically signified </w:t>
      </w:r>
      <w:sdt>
        <w:sdtPr>
          <w:rPr>
            <w:lang w:val="en-US"/>
          </w:rPr>
          <w:id w:val="383612320"/>
          <w:citation/>
        </w:sdtPr>
        <w:sdtContent>
          <w:r>
            <w:rPr>
              <w:lang w:val="en-US"/>
            </w:rPr>
            <w:fldChar w:fldCharType="begin"/>
          </w:r>
          <w:r>
            <w:rPr>
              <w:lang w:val="en-US"/>
            </w:rPr>
            <w:instrText xml:space="preserve"> CITATION Dan02 \l 1033 </w:instrText>
          </w:r>
          <w:r>
            <w:rPr>
              <w:lang w:val="en-US"/>
            </w:rPr>
            <w:fldChar w:fldCharType="separate"/>
          </w:r>
          <w:r w:rsidRPr="00F8066B">
            <w:rPr>
              <w:noProof/>
              <w:lang w:val="en-US"/>
            </w:rPr>
            <w:t>(Chandlers, 2002)</w:t>
          </w:r>
          <w:r>
            <w:rPr>
              <w:lang w:val="en-US"/>
            </w:rPr>
            <w:fldChar w:fldCharType="end"/>
          </w:r>
        </w:sdtContent>
      </w:sdt>
      <w:r>
        <w:rPr>
          <w:lang w:val="en-US"/>
        </w:rPr>
        <w:t>.</w:t>
      </w:r>
    </w:p>
    <w:p w14:paraId="5152BC12" w14:textId="21F6AA1A" w:rsidR="0059317C" w:rsidRDefault="0059317C" w:rsidP="00445924">
      <w:pPr>
        <w:rPr>
          <w:lang w:val="en-US"/>
        </w:rPr>
      </w:pPr>
      <w:r>
        <w:rPr>
          <w:lang w:val="en-US"/>
        </w:rPr>
        <w:t>The</w:t>
      </w:r>
      <w:r w:rsidR="00F8066B">
        <w:rPr>
          <w:lang w:val="en-US"/>
        </w:rPr>
        <w:t xml:space="preserve"> Poster</w:t>
      </w:r>
      <w:r>
        <w:rPr>
          <w:lang w:val="en-US"/>
        </w:rPr>
        <w:t xml:space="preserve"> was done in the style of Art Nouveau,</w:t>
      </w:r>
      <w:r w:rsidR="00315061">
        <w:rPr>
          <w:lang w:val="en-US"/>
        </w:rPr>
        <w:t xml:space="preserve"> an art movement that begun around 189</w:t>
      </w:r>
      <w:r w:rsidR="00F83071">
        <w:rPr>
          <w:lang w:val="en-US"/>
        </w:rPr>
        <w:t xml:space="preserve">0 ending in 1910 </w:t>
      </w:r>
      <w:sdt>
        <w:sdtPr>
          <w:rPr>
            <w:lang w:val="en-US"/>
          </w:rPr>
          <w:id w:val="1239210662"/>
          <w:citation/>
        </w:sdtPr>
        <w:sdtContent>
          <w:r w:rsidR="00F83071">
            <w:rPr>
              <w:lang w:val="en-US"/>
            </w:rPr>
            <w:fldChar w:fldCharType="begin"/>
          </w:r>
          <w:r w:rsidR="00F83071">
            <w:rPr>
              <w:lang w:val="en-US"/>
            </w:rPr>
            <w:instrText xml:space="preserve"> CITATION Bri19 \l 1033 </w:instrText>
          </w:r>
          <w:r w:rsidR="00F83071">
            <w:rPr>
              <w:lang w:val="en-US"/>
            </w:rPr>
            <w:fldChar w:fldCharType="separate"/>
          </w:r>
          <w:r w:rsidR="00F83071" w:rsidRPr="00F83071">
            <w:rPr>
              <w:noProof/>
              <w:lang w:val="en-US"/>
            </w:rPr>
            <w:t>(Britannica, 2019)</w:t>
          </w:r>
          <w:r w:rsidR="00F83071">
            <w:rPr>
              <w:lang w:val="en-US"/>
            </w:rPr>
            <w:fldChar w:fldCharType="end"/>
          </w:r>
        </w:sdtContent>
      </w:sdt>
      <w:r w:rsidR="00F83071">
        <w:rPr>
          <w:lang w:val="en-US"/>
        </w:rPr>
        <w:t xml:space="preserve">. </w:t>
      </w:r>
      <w:r w:rsidR="002408D4">
        <w:rPr>
          <w:lang w:val="en-US"/>
        </w:rPr>
        <w:t>The</w:t>
      </w:r>
      <w:r w:rsidR="003751D5">
        <w:rPr>
          <w:lang w:val="en-US"/>
        </w:rPr>
        <w:t xml:space="preserve"> poster</w:t>
      </w:r>
      <w:r w:rsidR="00740AD0">
        <w:rPr>
          <w:lang w:val="en-US"/>
        </w:rPr>
        <w:t xml:space="preserve">s </w:t>
      </w:r>
      <w:r w:rsidR="00023D52">
        <w:rPr>
          <w:lang w:val="en-US"/>
        </w:rPr>
        <w:t>focus</w:t>
      </w:r>
      <w:r w:rsidR="00740AD0">
        <w:rPr>
          <w:lang w:val="en-US"/>
        </w:rPr>
        <w:t xml:space="preserve"> is a woman, </w:t>
      </w:r>
      <w:r w:rsidR="00023D52">
        <w:rPr>
          <w:lang w:val="en-US"/>
        </w:rPr>
        <w:t>she is only wearing a light silk dress, making, her garment and red</w:t>
      </w:r>
      <w:r w:rsidR="00576A54">
        <w:rPr>
          <w:lang w:val="en-US"/>
        </w:rPr>
        <w:t>/blonde curly</w:t>
      </w:r>
      <w:r w:rsidR="00023D52">
        <w:rPr>
          <w:lang w:val="en-US"/>
        </w:rPr>
        <w:t xml:space="preserve"> hair</w:t>
      </w:r>
      <w:r w:rsidR="009B42EA">
        <w:rPr>
          <w:lang w:val="en-US"/>
        </w:rPr>
        <w:t xml:space="preserve">, giving her a Greek goddess appearance. </w:t>
      </w:r>
      <w:r w:rsidR="00576A54">
        <w:rPr>
          <w:lang w:val="en-US"/>
        </w:rPr>
        <w:t xml:space="preserve">The woman </w:t>
      </w:r>
      <w:r w:rsidR="00302CFD">
        <w:rPr>
          <w:lang w:val="en-US"/>
        </w:rPr>
        <w:t xml:space="preserve">has a resemblance to the statue </w:t>
      </w:r>
      <w:r w:rsidR="00302CFD" w:rsidRPr="00302CFD">
        <w:rPr>
          <w:lang w:val="en-US"/>
        </w:rPr>
        <w:t>Venus de Milo</w:t>
      </w:r>
      <w:r w:rsidR="00302CFD">
        <w:rPr>
          <w:lang w:val="en-US"/>
        </w:rPr>
        <w:t xml:space="preserve"> (Aphrodite), with similar hair and </w:t>
      </w:r>
      <w:r w:rsidR="00302CFD">
        <w:rPr>
          <w:lang w:val="en-US"/>
        </w:rPr>
        <w:lastRenderedPageBreak/>
        <w:t>attire. In this instance, the signifier is a beautiful woman dressed provocatively, and Aphrodite, a goddess is signified</w:t>
      </w:r>
      <w:r w:rsidR="00DD55BA">
        <w:rPr>
          <w:lang w:val="en-US"/>
        </w:rPr>
        <w:t xml:space="preserve"> </w:t>
      </w:r>
      <w:sdt>
        <w:sdtPr>
          <w:rPr>
            <w:lang w:val="en-US"/>
          </w:rPr>
          <w:id w:val="-503041894"/>
          <w:citation/>
        </w:sdtPr>
        <w:sdtContent>
          <w:r w:rsidR="00DD55BA">
            <w:rPr>
              <w:lang w:val="en-US"/>
            </w:rPr>
            <w:fldChar w:fldCharType="begin"/>
          </w:r>
          <w:r w:rsidR="00DD55BA">
            <w:rPr>
              <w:lang w:val="en-US"/>
            </w:rPr>
            <w:instrText xml:space="preserve"> CITATION Adr08 \l 1033 </w:instrText>
          </w:r>
          <w:r w:rsidR="00DD55BA">
            <w:rPr>
              <w:lang w:val="en-US"/>
            </w:rPr>
            <w:fldChar w:fldCharType="separate"/>
          </w:r>
          <w:r w:rsidR="00DD55BA" w:rsidRPr="00DD55BA">
            <w:rPr>
              <w:noProof/>
              <w:lang w:val="en-US"/>
            </w:rPr>
            <w:t>(Haluszka, 2008)</w:t>
          </w:r>
          <w:r w:rsidR="00DD55BA">
            <w:rPr>
              <w:lang w:val="en-US"/>
            </w:rPr>
            <w:fldChar w:fldCharType="end"/>
          </w:r>
        </w:sdtContent>
      </w:sdt>
      <w:r w:rsidR="00302CFD">
        <w:rPr>
          <w:lang w:val="en-US"/>
        </w:rPr>
        <w:t xml:space="preserve">. </w:t>
      </w:r>
      <w:r w:rsidR="00142421">
        <w:rPr>
          <w:lang w:val="en-US"/>
        </w:rPr>
        <w:t>This is also hinted through signs, for example water is pouring into the woman’s glass from an unseen source in the top corner of the poster. The</w:t>
      </w:r>
      <w:r w:rsidR="0039606F">
        <w:rPr>
          <w:lang w:val="en-US"/>
        </w:rPr>
        <w:t>re are several things in the scene that lead to the connotation of the water source to be heaven. Firstly, we have had the</w:t>
      </w:r>
      <w:r w:rsidR="00DD55BA">
        <w:rPr>
          <w:lang w:val="en-US"/>
        </w:rPr>
        <w:t xml:space="preserve"> goddess connotation. She also has a circle of light around her head that portrays a halo, </w:t>
      </w:r>
      <w:r w:rsidR="00BE13E8">
        <w:rPr>
          <w:lang w:val="en-US"/>
        </w:rPr>
        <w:t xml:space="preserve">a way many religions such as Christian, Greek and Buddhism. After researching this, I believe that Privat-Livemont had successfully created semiotics that </w:t>
      </w:r>
      <w:r w:rsidR="000E0567">
        <w:rPr>
          <w:lang w:val="en-US"/>
        </w:rPr>
        <w:t>do</w:t>
      </w:r>
      <w:r w:rsidR="00B741BC">
        <w:rPr>
          <w:lang w:val="en-US"/>
        </w:rPr>
        <w:t xml:space="preserve"> no</w:t>
      </w:r>
      <w:r w:rsidR="000E0567">
        <w:rPr>
          <w:lang w:val="en-US"/>
        </w:rPr>
        <w:t xml:space="preserve">t just apply to Christian </w:t>
      </w:r>
      <w:r w:rsidR="00B741BC">
        <w:rPr>
          <w:lang w:val="en-US"/>
        </w:rPr>
        <w:t>countries but</w:t>
      </w:r>
      <w:r w:rsidR="000E0567">
        <w:rPr>
          <w:lang w:val="en-US"/>
        </w:rPr>
        <w:t xml:space="preserve"> has found a way to tie links for multiple countries to understand his vision. </w:t>
      </w:r>
      <w:r w:rsidR="00E623C7">
        <w:rPr>
          <w:lang w:val="en-US"/>
        </w:rPr>
        <w:t xml:space="preserve">In the book ‘Ways of Seeing’ it mentions that when a painting is reproduced in film, the directors must take a segment of the painting and slowly unravel it, as a film is flows with time, where a painting has all the information already on it </w:t>
      </w:r>
      <w:sdt>
        <w:sdtPr>
          <w:rPr>
            <w:lang w:val="en-US"/>
          </w:rPr>
          <w:id w:val="-2130691977"/>
          <w:citation/>
        </w:sdtPr>
        <w:sdtContent>
          <w:r w:rsidR="00E623C7">
            <w:rPr>
              <w:lang w:val="en-US"/>
            </w:rPr>
            <w:fldChar w:fldCharType="begin"/>
          </w:r>
          <w:r w:rsidR="00E623C7">
            <w:rPr>
              <w:lang w:val="en-US"/>
            </w:rPr>
            <w:instrText xml:space="preserve"> CITATION Joh72 \l 1033 </w:instrText>
          </w:r>
          <w:r w:rsidR="00E623C7">
            <w:rPr>
              <w:lang w:val="en-US"/>
            </w:rPr>
            <w:fldChar w:fldCharType="separate"/>
          </w:r>
          <w:r w:rsidR="00E623C7" w:rsidRPr="00E623C7">
            <w:rPr>
              <w:noProof/>
              <w:lang w:val="en-US"/>
            </w:rPr>
            <w:t>(John Berger, 1972)</w:t>
          </w:r>
          <w:r w:rsidR="00E623C7">
            <w:rPr>
              <w:lang w:val="en-US"/>
            </w:rPr>
            <w:fldChar w:fldCharType="end"/>
          </w:r>
        </w:sdtContent>
      </w:sdt>
      <w:r w:rsidR="00E623C7">
        <w:rPr>
          <w:lang w:val="en-US"/>
        </w:rPr>
        <w:t xml:space="preserve">. In a similar way Privat-Livemont has taken the aspects of a </w:t>
      </w:r>
      <w:r w:rsidR="00DC5533">
        <w:rPr>
          <w:lang w:val="en-US"/>
        </w:rPr>
        <w:t>three-dimensional</w:t>
      </w:r>
      <w:r w:rsidR="00E623C7">
        <w:rPr>
          <w:lang w:val="en-US"/>
        </w:rPr>
        <w:t xml:space="preserve"> image and compressed it into two dimensions.</w:t>
      </w:r>
    </w:p>
    <w:p w14:paraId="17FCD080" w14:textId="58D76E61" w:rsidR="00B741BC" w:rsidRDefault="00B741BC" w:rsidP="00445924">
      <w:pPr>
        <w:rPr>
          <w:lang w:val="en-US"/>
        </w:rPr>
      </w:pPr>
    </w:p>
    <w:p w14:paraId="2A766E87" w14:textId="1F88A4CC" w:rsidR="00B741BC" w:rsidRDefault="00DC5533" w:rsidP="00DC5533">
      <w:pPr>
        <w:rPr>
          <w:lang w:val="en-US"/>
        </w:rPr>
      </w:pPr>
      <w:r>
        <w:rPr>
          <w:lang w:val="en-US"/>
        </w:rPr>
        <w:t xml:space="preserve">Looking further into the poster I had found that </w:t>
      </w:r>
      <w:r w:rsidRPr="00DC5533">
        <w:rPr>
          <w:lang w:val="en-US"/>
        </w:rPr>
        <w:t>the fabric draped over her body is the same colour as the drink itself, tying it and the drink together. The fabric appears to be silk, a soft, comfortable and expensive material. It seems to suggest that this drink will make you comfortable, and this drink is for the wealthy.</w:t>
      </w:r>
      <w:r>
        <w:rPr>
          <w:lang w:val="en-US"/>
        </w:rPr>
        <w:t xml:space="preserve"> </w:t>
      </w:r>
      <w:r w:rsidRPr="00DC5533">
        <w:rPr>
          <w:lang w:val="en-US"/>
        </w:rPr>
        <w:t>The fabric looks lightweight due to its transparency and is worn in such a way it does</w:t>
      </w:r>
      <w:r>
        <w:rPr>
          <w:lang w:val="en-US"/>
        </w:rPr>
        <w:t xml:space="preserve"> </w:t>
      </w:r>
      <w:r w:rsidRPr="00DC5533">
        <w:rPr>
          <w:lang w:val="en-US"/>
        </w:rPr>
        <w:t>n</w:t>
      </w:r>
      <w:r>
        <w:rPr>
          <w:lang w:val="en-US"/>
        </w:rPr>
        <w:t>o</w:t>
      </w:r>
      <w:r w:rsidRPr="00DC5533">
        <w:rPr>
          <w:lang w:val="en-US"/>
        </w:rPr>
        <w:t>t restrict movement, its liberating.</w:t>
      </w:r>
    </w:p>
    <w:p w14:paraId="5EF853CD" w14:textId="2A16E087" w:rsidR="00B741BC" w:rsidRDefault="00B741BC" w:rsidP="00445924">
      <w:pPr>
        <w:rPr>
          <w:lang w:val="en-US"/>
        </w:rPr>
      </w:pPr>
    </w:p>
    <w:p w14:paraId="49652F5B" w14:textId="6E94224F" w:rsidR="00B741BC" w:rsidRDefault="00DC5533" w:rsidP="00445924">
      <w:pPr>
        <w:rPr>
          <w:lang w:val="en-US"/>
        </w:rPr>
      </w:pPr>
      <w:r w:rsidRPr="00DC5533">
        <w:rPr>
          <w:lang w:val="en-US"/>
        </w:rPr>
        <w:t>The background also has organic shapes</w:t>
      </w:r>
      <w:r>
        <w:rPr>
          <w:lang w:val="en-US"/>
        </w:rPr>
        <w:t xml:space="preserve">, like clouds and mushrooms. At first glance they appear to be decorative; they could be signifying the water dropping into the glass, or that of a potion – perhaps a dream like state, reinforcing the idea that absinthe causes hallucinations. </w:t>
      </w:r>
    </w:p>
    <w:p w14:paraId="4A241C27" w14:textId="6658EB58" w:rsidR="00B741BC" w:rsidRDefault="00B741BC" w:rsidP="00445924">
      <w:pPr>
        <w:rPr>
          <w:lang w:val="en-US"/>
        </w:rPr>
      </w:pPr>
    </w:p>
    <w:p w14:paraId="7C496D60" w14:textId="27F5F6FC" w:rsidR="00B741BC" w:rsidRDefault="00B741BC" w:rsidP="00445924">
      <w:pPr>
        <w:rPr>
          <w:lang w:val="en-US"/>
        </w:rPr>
      </w:pPr>
    </w:p>
    <w:p w14:paraId="2210E5CF" w14:textId="7D4CFBE1" w:rsidR="00B741BC" w:rsidRDefault="00B741BC" w:rsidP="00445924">
      <w:pPr>
        <w:rPr>
          <w:lang w:val="en-US"/>
        </w:rPr>
      </w:pPr>
    </w:p>
    <w:p w14:paraId="0D67E419" w14:textId="65A64236" w:rsidR="00B741BC" w:rsidRDefault="00B741BC" w:rsidP="00445924">
      <w:pPr>
        <w:rPr>
          <w:lang w:val="en-US"/>
        </w:rPr>
      </w:pPr>
    </w:p>
    <w:sdt>
      <w:sdtPr>
        <w:id w:val="-1803765728"/>
        <w:docPartObj>
          <w:docPartGallery w:val="Bibliographies"/>
          <w:docPartUnique/>
        </w:docPartObj>
      </w:sdtPr>
      <w:sdtEndPr>
        <w:rPr>
          <w:rFonts w:asciiTheme="minorHAnsi" w:eastAsiaTheme="minorHAnsi" w:hAnsiTheme="minorHAnsi" w:cstheme="minorBidi"/>
          <w:color w:val="auto"/>
          <w:sz w:val="24"/>
          <w:szCs w:val="24"/>
          <w:lang w:val="en-GB"/>
        </w:rPr>
      </w:sdtEndPr>
      <w:sdtContent>
        <w:p w14:paraId="5286A3E1" w14:textId="6FB9E978" w:rsidR="00DC5533" w:rsidRDefault="00DC5533">
          <w:pPr>
            <w:pStyle w:val="Heading1"/>
          </w:pPr>
          <w:r>
            <w:t>Bibliography</w:t>
          </w:r>
        </w:p>
        <w:sdt>
          <w:sdtPr>
            <w:id w:val="-854423606"/>
            <w:bibliography/>
          </w:sdtPr>
          <w:sdtContent>
            <w:p w14:paraId="7F556EE7" w14:textId="76179EBD" w:rsidR="00DC5533" w:rsidRDefault="00DC5533" w:rsidP="00DC5533">
              <w:pPr>
                <w:pStyle w:val="Bibliography"/>
                <w:rPr>
                  <w:noProof/>
                  <w:lang w:val="en-US"/>
                </w:rPr>
              </w:pPr>
              <w:r>
                <w:fldChar w:fldCharType="begin"/>
              </w:r>
              <w:r>
                <w:instrText xml:space="preserve"> BIBLIOGRAPHY </w:instrText>
              </w:r>
              <w:r>
                <w:fldChar w:fldCharType="separate"/>
              </w:r>
              <w:r>
                <w:rPr>
                  <w:noProof/>
                  <w:lang w:val="en-US"/>
                </w:rPr>
                <w:t xml:space="preserve">Britannica, 2019. </w:t>
              </w:r>
              <w:r>
                <w:rPr>
                  <w:i/>
                  <w:iCs/>
                  <w:noProof/>
                  <w:lang w:val="en-US"/>
                </w:rPr>
                <w:t xml:space="preserve">britannica.com. </w:t>
              </w:r>
              <w:r>
                <w:rPr>
                  <w:noProof/>
                  <w:lang w:val="en-US"/>
                </w:rPr>
                <w:t xml:space="preserve">[Online] </w:t>
              </w:r>
              <w:r>
                <w:rPr>
                  <w:noProof/>
                  <w:lang w:val="en-US"/>
                </w:rPr>
                <w:br/>
                <w:t xml:space="preserve">Available at: </w:t>
              </w:r>
              <w:r>
                <w:rPr>
                  <w:noProof/>
                  <w:u w:val="single"/>
                  <w:lang w:val="en-US"/>
                </w:rPr>
                <w:t>https://www.britannica.com/art/Art-Nouveau/additional-info#history</w:t>
              </w:r>
              <w:r>
                <w:rPr>
                  <w:noProof/>
                  <w:lang w:val="en-US"/>
                </w:rPr>
                <w:br/>
                <w:t>[Accessed 5 11 2020].</w:t>
              </w:r>
            </w:p>
            <w:p w14:paraId="2A82E1F0" w14:textId="5CFC313F" w:rsidR="00DC5533" w:rsidRDefault="00DC5533" w:rsidP="00DC5533">
              <w:pPr>
                <w:pStyle w:val="Bibliography"/>
                <w:rPr>
                  <w:noProof/>
                  <w:lang w:val="en-US"/>
                </w:rPr>
              </w:pPr>
              <w:r>
                <w:rPr>
                  <w:noProof/>
                  <w:lang w:val="en-US"/>
                </w:rPr>
                <w:t xml:space="preserve">Chandlers, D., 2002. </w:t>
              </w:r>
              <w:r>
                <w:rPr>
                  <w:i/>
                  <w:iCs/>
                  <w:noProof/>
                  <w:lang w:val="en-US"/>
                </w:rPr>
                <w:t xml:space="preserve">Semiotics: The Basics. </w:t>
              </w:r>
              <w:r>
                <w:rPr>
                  <w:noProof/>
                  <w:lang w:val="en-US"/>
                </w:rPr>
                <w:t>2nd ed. Abingdon: Routledge.</w:t>
              </w:r>
            </w:p>
            <w:p w14:paraId="405DBEEE" w14:textId="77777777" w:rsidR="00DC5533" w:rsidRDefault="00DC5533" w:rsidP="00DC5533">
              <w:pPr>
                <w:pStyle w:val="Bibliography"/>
                <w:rPr>
                  <w:noProof/>
                  <w:lang w:val="en-US"/>
                </w:rPr>
              </w:pPr>
              <w:r>
                <w:rPr>
                  <w:noProof/>
                  <w:lang w:val="en-US"/>
                </w:rPr>
                <w:t xml:space="preserve">Haluszka, A., 2008. Sacred Signified: The Semiotics of Statues in the Greek Magical Papyri. </w:t>
              </w:r>
              <w:r>
                <w:rPr>
                  <w:i/>
                  <w:iCs/>
                  <w:noProof/>
                  <w:lang w:val="en-US"/>
                </w:rPr>
                <w:t xml:space="preserve">Johns Hopkins University Press, </w:t>
              </w:r>
              <w:r>
                <w:rPr>
                  <w:noProof/>
                  <w:lang w:val="en-US"/>
                </w:rPr>
                <w:t>41(3), pp. 479-494.</w:t>
              </w:r>
            </w:p>
            <w:p w14:paraId="30C8D6CB" w14:textId="77777777" w:rsidR="00DC5533" w:rsidRDefault="00DC5533" w:rsidP="00DC5533">
              <w:pPr>
                <w:pStyle w:val="Bibliography"/>
                <w:rPr>
                  <w:noProof/>
                  <w:lang w:val="en-US"/>
                </w:rPr>
              </w:pPr>
              <w:r>
                <w:rPr>
                  <w:noProof/>
                  <w:lang w:val="en-US"/>
                </w:rPr>
                <w:t xml:space="preserve">John Berger, C. F. S. B. M. D. R. H., 1972. </w:t>
              </w:r>
              <w:r>
                <w:rPr>
                  <w:i/>
                  <w:iCs/>
                  <w:noProof/>
                  <w:lang w:val="en-US"/>
                </w:rPr>
                <w:t xml:space="preserve">Ways of Seeing. </w:t>
              </w:r>
              <w:r>
                <w:rPr>
                  <w:noProof/>
                  <w:lang w:val="en-US"/>
                </w:rPr>
                <w:t>1st ed. London: British Broadcasting Corperation.</w:t>
              </w:r>
            </w:p>
            <w:p w14:paraId="1FB9B1DA" w14:textId="77777777" w:rsidR="00DC5533" w:rsidRDefault="00DC5533" w:rsidP="00DC5533">
              <w:pPr>
                <w:pStyle w:val="Bibliography"/>
                <w:rPr>
                  <w:noProof/>
                  <w:lang w:val="en-US"/>
                </w:rPr>
              </w:pPr>
              <w:r>
                <w:rPr>
                  <w:noProof/>
                  <w:lang w:val="en-US"/>
                </w:rPr>
                <w:t xml:space="preserve">Oswald, L. R., 2020. </w:t>
              </w:r>
              <w:r>
                <w:rPr>
                  <w:i/>
                  <w:iCs/>
                  <w:noProof/>
                  <w:lang w:val="en-US"/>
                </w:rPr>
                <w:t xml:space="preserve">Doing Semiotics: A Research Guide for Marketers at the Edge of Culture. </w:t>
              </w:r>
              <w:r>
                <w:rPr>
                  <w:noProof/>
                  <w:lang w:val="en-US"/>
                </w:rPr>
                <w:t>1 ed. Oxford: Oxford Scholarship Online.</w:t>
              </w:r>
            </w:p>
            <w:p w14:paraId="1249CA14" w14:textId="51FA1A7F" w:rsidR="00DC5533" w:rsidRPr="00DC5533" w:rsidRDefault="00DC5533" w:rsidP="00DC5533">
              <w:pPr>
                <w:pStyle w:val="Bibliography"/>
                <w:rPr>
                  <w:noProof/>
                  <w:lang w:val="en-US"/>
                </w:rPr>
              </w:pPr>
              <w:r>
                <w:rPr>
                  <w:noProof/>
                  <w:lang w:val="en-US"/>
                </w:rPr>
                <w:t xml:space="preserve">Privat-Livemont, H., 1897. </w:t>
              </w:r>
              <w:r>
                <w:rPr>
                  <w:i/>
                  <w:iCs/>
                  <w:noProof/>
                  <w:lang w:val="en-US"/>
                </w:rPr>
                <w:t xml:space="preserve">Absinthe Robette. </w:t>
              </w:r>
              <w:r>
                <w:rPr>
                  <w:noProof/>
                  <w:lang w:val="en-US"/>
                </w:rPr>
                <w:t>[Art] (Brussels International Exposition).</w:t>
              </w:r>
              <w:r>
                <w:rPr>
                  <w:b/>
                  <w:bCs/>
                  <w:noProof/>
                </w:rPr>
                <w:fldChar w:fldCharType="end"/>
              </w:r>
            </w:p>
          </w:sdtContent>
        </w:sdt>
      </w:sdtContent>
    </w:sdt>
    <w:p w14:paraId="3646F51F" w14:textId="5B36887E" w:rsidR="00B741BC" w:rsidRDefault="00B741BC" w:rsidP="00445924">
      <w:pPr>
        <w:rPr>
          <w:lang w:val="en-US"/>
        </w:rPr>
      </w:pPr>
    </w:p>
    <w:p w14:paraId="561F28A2" w14:textId="0466A70C" w:rsidR="00B741BC" w:rsidRDefault="00B741BC" w:rsidP="00445924">
      <w:pPr>
        <w:rPr>
          <w:lang w:val="en-US"/>
        </w:rPr>
      </w:pPr>
    </w:p>
    <w:p w14:paraId="712322D1" w14:textId="6BFB9340" w:rsidR="00B741BC" w:rsidRDefault="00B741BC" w:rsidP="00445924">
      <w:pPr>
        <w:rPr>
          <w:lang w:val="en-US"/>
        </w:rPr>
      </w:pPr>
    </w:p>
    <w:p w14:paraId="246548DF" w14:textId="5CA95925" w:rsidR="00102AF2" w:rsidRDefault="00102AF2" w:rsidP="00445924">
      <w:pPr>
        <w:rPr>
          <w:lang w:val="en-US"/>
        </w:rPr>
      </w:pPr>
    </w:p>
    <w:p w14:paraId="586A6362" w14:textId="2437EC0C" w:rsidR="002E0DD3" w:rsidRDefault="002E0DD3" w:rsidP="002E0DD3">
      <w:pPr>
        <w:rPr>
          <w:lang w:val="en-US"/>
        </w:rPr>
      </w:pPr>
      <w:r>
        <w:rPr>
          <w:lang w:val="en-US"/>
        </w:rPr>
        <w:t>The Chair</w:t>
      </w:r>
      <w:r w:rsidR="00AA43F9">
        <w:rPr>
          <w:lang w:val="en-US"/>
        </w:rPr>
        <w:t>: A look at how the most popular product is constantly changing.</w:t>
      </w:r>
    </w:p>
    <w:p w14:paraId="7E3E57D0" w14:textId="38BBCE69" w:rsidR="002E0DD3" w:rsidRDefault="002E0DD3" w:rsidP="002E0DD3">
      <w:pPr>
        <w:rPr>
          <w:lang w:val="en-US"/>
        </w:rPr>
      </w:pPr>
    </w:p>
    <w:p w14:paraId="62236DA2" w14:textId="3547CAA0" w:rsidR="00102AF2" w:rsidRDefault="002E0DD3" w:rsidP="00445924">
      <w:pPr>
        <w:rPr>
          <w:lang w:val="en-US"/>
        </w:rPr>
      </w:pPr>
      <w:r>
        <w:rPr>
          <w:lang w:val="en-US"/>
        </w:rPr>
        <w:t xml:space="preserve">The key importance of an office chair is to be comfortable and </w:t>
      </w:r>
      <w:r w:rsidR="00AA43F9">
        <w:rPr>
          <w:lang w:val="en-US"/>
        </w:rPr>
        <w:t>ergonomic</w:t>
      </w:r>
      <w:r>
        <w:rPr>
          <w:lang w:val="en-US"/>
        </w:rPr>
        <w:t xml:space="preserve">, however many </w:t>
      </w:r>
      <w:r w:rsidR="00AA43F9">
        <w:rPr>
          <w:lang w:val="en-US"/>
        </w:rPr>
        <w:t>businessmen</w:t>
      </w:r>
      <w:r>
        <w:rPr>
          <w:lang w:val="en-US"/>
        </w:rPr>
        <w:t xml:space="preserve"> what to have a sharp, clean look to their office.</w:t>
      </w:r>
      <w:r w:rsidR="00AA43F9">
        <w:rPr>
          <w:lang w:val="en-US"/>
        </w:rPr>
        <w:t xml:space="preserve"> Less and less CEOS are opting for ‘thrones’ to sit upon. Each year the chair makers are coming up with sleeker designs, each looking more stylish, but not necessarily comfortable. Do you want your work to be associated with comfortable chairs? They have a stigma, just like couches and bean bags, if it looks too comfortable, a lazy person</w:t>
      </w:r>
      <w:r w:rsidR="00B927CD">
        <w:rPr>
          <w:lang w:val="en-US"/>
        </w:rPr>
        <w:t xml:space="preserve"> may</w:t>
      </w:r>
      <w:r w:rsidR="00AA43F9">
        <w:rPr>
          <w:lang w:val="en-US"/>
        </w:rPr>
        <w:t xml:space="preserve"> sit there. The stigma of a comfortable chair surpasses the work life. It says what kind of person you are, are you active and sporty, do you look after yourself?</w:t>
      </w:r>
    </w:p>
    <w:p w14:paraId="66B6ACA6" w14:textId="03EE3A52" w:rsidR="00AA43F9" w:rsidRDefault="00AA43F9" w:rsidP="00445924">
      <w:pPr>
        <w:rPr>
          <w:lang w:val="en-US"/>
        </w:rPr>
      </w:pPr>
      <w:r>
        <w:rPr>
          <w:lang w:val="en-US"/>
        </w:rPr>
        <w:t xml:space="preserve">The rise of the gaming chair. As new deskbound activities enter larger markets, new chairs arrive. For console games in the 2000’s it was the lazy boy. Now the gaming PC is a growing market, and ‘Gaming chairs’ have swarmed the </w:t>
      </w:r>
      <w:r w:rsidR="0099406C">
        <w:rPr>
          <w:lang w:val="en-US"/>
        </w:rPr>
        <w:t xml:space="preserve">marketplace, rising over 100% increase in sales over the past year </w:t>
      </w:r>
      <w:sdt>
        <w:sdtPr>
          <w:rPr>
            <w:lang w:val="en-US"/>
          </w:rPr>
          <w:id w:val="-1635629096"/>
          <w:citation/>
        </w:sdtPr>
        <w:sdtContent>
          <w:r w:rsidR="0099406C">
            <w:rPr>
              <w:lang w:val="en-US"/>
            </w:rPr>
            <w:fldChar w:fldCharType="begin"/>
          </w:r>
          <w:r w:rsidR="0099406C">
            <w:rPr>
              <w:lang w:val="en-US"/>
            </w:rPr>
            <w:instrText xml:space="preserve"> CITATION Gam20 \l 1033 </w:instrText>
          </w:r>
          <w:r w:rsidR="0099406C">
            <w:rPr>
              <w:lang w:val="en-US"/>
            </w:rPr>
            <w:fldChar w:fldCharType="separate"/>
          </w:r>
          <w:r w:rsidR="0099406C" w:rsidRPr="0099406C">
            <w:rPr>
              <w:noProof/>
              <w:lang w:val="en-US"/>
            </w:rPr>
            <w:t>(Don't Buy a "Gaming Chair" - Office Chair vs. Gaming Chair Round-Up &amp; Review, 2020)</w:t>
          </w:r>
          <w:r w:rsidR="0099406C">
            <w:rPr>
              <w:lang w:val="en-US"/>
            </w:rPr>
            <w:fldChar w:fldCharType="end"/>
          </w:r>
        </w:sdtContent>
      </w:sdt>
      <w:r w:rsidR="0099406C">
        <w:rPr>
          <w:lang w:val="en-US"/>
        </w:rPr>
        <w:t>.</w:t>
      </w:r>
      <w:r w:rsidR="009E23B9">
        <w:rPr>
          <w:lang w:val="en-US"/>
        </w:rPr>
        <w:t xml:space="preserve"> This said, Herman Miller, one of the lead companies had recently released their own gaming chair in partnership with Logitech. The chair was launched in July 2020 </w:t>
      </w:r>
      <w:sdt>
        <w:sdtPr>
          <w:rPr>
            <w:lang w:val="en-US"/>
          </w:rPr>
          <w:id w:val="1599985403"/>
          <w:citation/>
        </w:sdtPr>
        <w:sdtContent>
          <w:r w:rsidR="009E23B9">
            <w:rPr>
              <w:lang w:val="en-US"/>
            </w:rPr>
            <w:fldChar w:fldCharType="begin"/>
          </w:r>
          <w:r w:rsidR="009E23B9">
            <w:rPr>
              <w:lang w:val="en-US"/>
            </w:rPr>
            <w:instrText xml:space="preserve"> CITATION Fau20 \l 1033 </w:instrText>
          </w:r>
          <w:r w:rsidR="009E23B9">
            <w:rPr>
              <w:lang w:val="en-US"/>
            </w:rPr>
            <w:fldChar w:fldCharType="separate"/>
          </w:r>
          <w:r w:rsidR="009E23B9" w:rsidRPr="009E23B9">
            <w:rPr>
              <w:noProof/>
              <w:lang w:val="en-US"/>
            </w:rPr>
            <w:t>(Faulkner, 2020)</w:t>
          </w:r>
          <w:r w:rsidR="009E23B9">
            <w:rPr>
              <w:lang w:val="en-US"/>
            </w:rPr>
            <w:fldChar w:fldCharType="end"/>
          </w:r>
        </w:sdtContent>
      </w:sdt>
    </w:p>
    <w:p w14:paraId="62A27763" w14:textId="2B07DF2B" w:rsidR="009E23B9" w:rsidRDefault="000A519D" w:rsidP="00445924">
      <w:pPr>
        <w:rPr>
          <w:lang w:val="en-US"/>
        </w:rPr>
      </w:pPr>
      <w:r>
        <w:rPr>
          <w:lang w:val="en-US"/>
        </w:rPr>
        <w:t>The evolution of chairs is easily visible through flicking through 1000 chairs, while in the early 20</w:t>
      </w:r>
      <w:r w:rsidRPr="000A519D">
        <w:rPr>
          <w:vertAlign w:val="superscript"/>
          <w:lang w:val="en-US"/>
        </w:rPr>
        <w:t>th</w:t>
      </w:r>
      <w:r>
        <w:rPr>
          <w:lang w:val="en-US"/>
        </w:rPr>
        <w:t xml:space="preserve"> century, many of the materials were wooden, this was consistent with wood, wood and metal or wood and </w:t>
      </w:r>
      <w:r w:rsidRPr="000A519D">
        <w:rPr>
          <w:lang w:val="en-US"/>
        </w:rPr>
        <w:t>upholster</w:t>
      </w:r>
      <w:r>
        <w:rPr>
          <w:lang w:val="en-US"/>
        </w:rPr>
        <w:t>ed. Material technology played a large roll it the modern chairs we know today. Polymers</w:t>
      </w:r>
      <w:r w:rsidR="00B927CD">
        <w:rPr>
          <w:lang w:val="en-US"/>
        </w:rPr>
        <w:t xml:space="preserve">, alloys, fabrics and even fiberglass were quick from discovery to be implemented in chairs </w:t>
      </w:r>
      <w:sdt>
        <w:sdtPr>
          <w:rPr>
            <w:lang w:val="en-US"/>
          </w:rPr>
          <w:id w:val="1762417111"/>
          <w:citation/>
        </w:sdtPr>
        <w:sdtContent>
          <w:r w:rsidR="00B927CD">
            <w:rPr>
              <w:lang w:val="en-US"/>
            </w:rPr>
            <w:fldChar w:fldCharType="begin"/>
          </w:r>
          <w:r w:rsidR="00B927CD">
            <w:rPr>
              <w:lang w:val="en-US"/>
            </w:rPr>
            <w:instrText xml:space="preserve"> CITATION Cha20 \l 1033 </w:instrText>
          </w:r>
          <w:r w:rsidR="00B927CD">
            <w:rPr>
              <w:lang w:val="en-US"/>
            </w:rPr>
            <w:fldChar w:fldCharType="separate"/>
          </w:r>
          <w:r w:rsidR="00B927CD" w:rsidRPr="00B927CD">
            <w:rPr>
              <w:noProof/>
              <w:lang w:val="en-US"/>
            </w:rPr>
            <w:t>(Charlotte, 2020)</w:t>
          </w:r>
          <w:r w:rsidR="00B927CD">
            <w:rPr>
              <w:lang w:val="en-US"/>
            </w:rPr>
            <w:fldChar w:fldCharType="end"/>
          </w:r>
        </w:sdtContent>
      </w:sdt>
      <w:r w:rsidR="00B927CD">
        <w:rPr>
          <w:lang w:val="en-US"/>
        </w:rPr>
        <w:t>.</w:t>
      </w:r>
    </w:p>
    <w:p w14:paraId="1B3C7E54" w14:textId="1714CC47" w:rsidR="00B927CD" w:rsidRDefault="00B927CD" w:rsidP="00445924">
      <w:pPr>
        <w:rPr>
          <w:lang w:val="en-US"/>
        </w:rPr>
      </w:pPr>
      <w:r>
        <w:rPr>
          <w:lang w:val="en-US"/>
        </w:rPr>
        <w:t>In the 1</w:t>
      </w:r>
      <w:r w:rsidR="00525BCF">
        <w:rPr>
          <w:lang w:val="en-US"/>
        </w:rPr>
        <w:t>859</w:t>
      </w:r>
      <w:r>
        <w:rPr>
          <w:lang w:val="en-US"/>
        </w:rPr>
        <w:t xml:space="preserve"> a man named </w:t>
      </w:r>
      <w:r w:rsidR="00525BCF">
        <w:rPr>
          <w:lang w:val="en-US"/>
        </w:rPr>
        <w:t xml:space="preserve">Michael Thonet came up with an ingenious way of mas producing chairs, these chairs were lightweight, efficient to ship and </w:t>
      </w:r>
      <w:r w:rsidR="00283B9C">
        <w:rPr>
          <w:lang w:val="en-US"/>
        </w:rPr>
        <w:t>popular</w:t>
      </w:r>
      <w:r w:rsidR="00525BCF">
        <w:rPr>
          <w:lang w:val="en-US"/>
        </w:rPr>
        <w:t xml:space="preserve"> with homes and coffee houses all around the world. Many still exist to this day. These chairs were made from just steam bent wood and nails ending production in the 1930s with 50 million sold</w:t>
      </w:r>
      <w:sdt>
        <w:sdtPr>
          <w:rPr>
            <w:lang w:val="en-US"/>
          </w:rPr>
          <w:id w:val="1023217353"/>
          <w:citation/>
        </w:sdtPr>
        <w:sdtContent>
          <w:r w:rsidR="00525BCF">
            <w:rPr>
              <w:lang w:val="en-US"/>
            </w:rPr>
            <w:fldChar w:fldCharType="begin"/>
          </w:r>
          <w:r w:rsidR="00525BCF">
            <w:rPr>
              <w:lang w:val="en-US"/>
            </w:rPr>
            <w:instrText xml:space="preserve"> CITATION Iba20 \l 1033 </w:instrText>
          </w:r>
          <w:r w:rsidR="00525BCF">
            <w:rPr>
              <w:lang w:val="en-US"/>
            </w:rPr>
            <w:fldChar w:fldCharType="separate"/>
          </w:r>
          <w:r w:rsidR="00525BCF">
            <w:rPr>
              <w:noProof/>
              <w:lang w:val="en-US"/>
            </w:rPr>
            <w:t xml:space="preserve"> </w:t>
          </w:r>
          <w:r w:rsidR="00525BCF" w:rsidRPr="00525BCF">
            <w:rPr>
              <w:noProof/>
              <w:lang w:val="en-US"/>
            </w:rPr>
            <w:t>(Anderson, 2020)</w:t>
          </w:r>
          <w:r w:rsidR="00525BCF">
            <w:rPr>
              <w:lang w:val="en-US"/>
            </w:rPr>
            <w:fldChar w:fldCharType="end"/>
          </w:r>
        </w:sdtContent>
      </w:sdt>
      <w:r w:rsidR="00525BCF">
        <w:rPr>
          <w:lang w:val="en-US"/>
        </w:rPr>
        <w:t xml:space="preserve">. </w:t>
      </w:r>
      <w:r w:rsidR="009E23B9">
        <w:rPr>
          <w:lang w:val="en-US"/>
        </w:rPr>
        <w:t xml:space="preserve"> </w:t>
      </w:r>
      <w:r w:rsidR="00062F92">
        <w:rPr>
          <w:lang w:val="en-US"/>
        </w:rPr>
        <w:t xml:space="preserve">One year before </w:t>
      </w:r>
      <w:r w:rsidR="00283B9C">
        <w:rPr>
          <w:lang w:val="en-US"/>
        </w:rPr>
        <w:t>Thone’s</w:t>
      </w:r>
      <w:r w:rsidR="00062F92">
        <w:rPr>
          <w:lang w:val="en-US"/>
        </w:rPr>
        <w:t xml:space="preserve"> chair left production there was a whole new style, metal and leather/fabric straps. Le Corbusier’s Basculant chair was an icon for Bauhaus, and one of the last influential Bauhaus chairs made. It was manufactured with ease and its strong metal frame meant the chair would last </w:t>
      </w:r>
      <w:sdt>
        <w:sdtPr>
          <w:rPr>
            <w:lang w:val="en-US"/>
          </w:rPr>
          <w:id w:val="-937282857"/>
          <w:citation/>
        </w:sdtPr>
        <w:sdtContent>
          <w:r w:rsidR="00062F92">
            <w:rPr>
              <w:lang w:val="en-US"/>
            </w:rPr>
            <w:fldChar w:fldCharType="begin"/>
          </w:r>
          <w:r w:rsidR="00062F92">
            <w:rPr>
              <w:lang w:val="en-US"/>
            </w:rPr>
            <w:instrText xml:space="preserve"> CITATION Cle19 \l 1033 </w:instrText>
          </w:r>
          <w:r w:rsidR="00062F92">
            <w:rPr>
              <w:lang w:val="en-US"/>
            </w:rPr>
            <w:fldChar w:fldCharType="separate"/>
          </w:r>
          <w:r w:rsidR="00062F92" w:rsidRPr="00062F92">
            <w:rPr>
              <w:noProof/>
              <w:lang w:val="en-US"/>
            </w:rPr>
            <w:t>(Meadmore, 2019)</w:t>
          </w:r>
          <w:r w:rsidR="00062F92">
            <w:rPr>
              <w:lang w:val="en-US"/>
            </w:rPr>
            <w:fldChar w:fldCharType="end"/>
          </w:r>
        </w:sdtContent>
      </w:sdt>
      <w:r w:rsidR="00062F92">
        <w:rPr>
          <w:lang w:val="en-US"/>
        </w:rPr>
        <w:t xml:space="preserve">. </w:t>
      </w:r>
    </w:p>
    <w:p w14:paraId="0B5A3905" w14:textId="01E86881" w:rsidR="00525BCF" w:rsidRDefault="00525BCF" w:rsidP="00445924">
      <w:pPr>
        <w:rPr>
          <w:lang w:val="en-US"/>
        </w:rPr>
      </w:pPr>
      <w:r>
        <w:rPr>
          <w:lang w:val="en-US"/>
        </w:rPr>
        <w:t xml:space="preserve">To try and capture the latest style, I have been sketching mesh chairs. </w:t>
      </w:r>
      <w:r w:rsidR="009E23B9">
        <w:rPr>
          <w:lang w:val="en-US"/>
        </w:rPr>
        <w:t>I moved away from sketching to get an understanding of shapes that will help with a cushion or spring support. I achieved this by using a paperclip and wrapping fabric around the ends</w:t>
      </w:r>
      <w:r w:rsidR="00062F92">
        <w:rPr>
          <w:lang w:val="en-US"/>
        </w:rPr>
        <w:t>. This helped me to understand what sketches I drew could work and where to improve upon them. I found this a rather fun and educational task.</w:t>
      </w:r>
    </w:p>
    <w:p w14:paraId="4BFDC04E" w14:textId="60C746F4" w:rsidR="00283B9C" w:rsidRDefault="00283B9C" w:rsidP="00445924">
      <w:pPr>
        <w:rPr>
          <w:lang w:val="en-US"/>
        </w:rPr>
      </w:pPr>
    </w:p>
    <w:sdt>
      <w:sdtPr>
        <w:id w:val="594296133"/>
        <w:docPartObj>
          <w:docPartGallery w:val="Bibliographies"/>
          <w:docPartUnique/>
        </w:docPartObj>
      </w:sdtPr>
      <w:sdtEndPr>
        <w:rPr>
          <w:rFonts w:asciiTheme="minorHAnsi" w:eastAsiaTheme="minorHAnsi" w:hAnsiTheme="minorHAnsi" w:cstheme="minorBidi"/>
          <w:color w:val="auto"/>
          <w:sz w:val="24"/>
          <w:szCs w:val="24"/>
          <w:lang w:val="en-GB"/>
        </w:rPr>
      </w:sdtEndPr>
      <w:sdtContent>
        <w:p w14:paraId="39E9EA08" w14:textId="4C55C6BF" w:rsidR="00283B9C" w:rsidRDefault="00283B9C">
          <w:pPr>
            <w:pStyle w:val="Heading1"/>
          </w:pPr>
          <w:r>
            <w:t>Bibliography</w:t>
          </w:r>
        </w:p>
        <w:sdt>
          <w:sdtPr>
            <w:id w:val="668611999"/>
            <w:bibliography/>
          </w:sdtPr>
          <w:sdtContent>
            <w:p w14:paraId="65C936FB" w14:textId="7AAB3A54" w:rsidR="00283B9C" w:rsidRDefault="00283B9C" w:rsidP="00283B9C">
              <w:pPr>
                <w:pStyle w:val="Bibliography"/>
                <w:rPr>
                  <w:noProof/>
                  <w:lang w:val="en-US"/>
                </w:rPr>
              </w:pPr>
              <w:r>
                <w:fldChar w:fldCharType="begin"/>
              </w:r>
              <w:r>
                <w:instrText xml:space="preserve"> BIBLIOGRAPHY </w:instrText>
              </w:r>
              <w:r>
                <w:fldChar w:fldCharType="separate"/>
              </w:r>
              <w:r>
                <w:rPr>
                  <w:noProof/>
                  <w:lang w:val="en-US"/>
                </w:rPr>
                <w:t xml:space="preserve">Anderson, I. F., 2020. </w:t>
              </w:r>
              <w:r>
                <w:rPr>
                  <w:i/>
                  <w:iCs/>
                  <w:noProof/>
                  <w:lang w:val="en-US"/>
                </w:rPr>
                <w:t xml:space="preserve">BRIEF WESTERN HISTORY OF FURNITURE DESIGN. PART 2. </w:t>
              </w:r>
              <w:r>
                <w:rPr>
                  <w:noProof/>
                  <w:lang w:val="en-US"/>
                </w:rPr>
                <w:t>1st ed. s.l.:s.n.</w:t>
              </w:r>
            </w:p>
            <w:p w14:paraId="734F2102" w14:textId="77777777" w:rsidR="00283B9C" w:rsidRDefault="00283B9C" w:rsidP="00283B9C">
              <w:pPr>
                <w:pStyle w:val="Bibliography"/>
                <w:rPr>
                  <w:noProof/>
                  <w:lang w:val="en-US"/>
                </w:rPr>
              </w:pPr>
              <w:r>
                <w:rPr>
                  <w:noProof/>
                  <w:lang w:val="en-US"/>
                </w:rPr>
                <w:t xml:space="preserve">Charlotte, P. F., 2020. </w:t>
              </w:r>
              <w:r>
                <w:rPr>
                  <w:i/>
                  <w:iCs/>
                  <w:noProof/>
                  <w:lang w:val="en-US"/>
                </w:rPr>
                <w:t xml:space="preserve">1000 Chairs. </w:t>
              </w:r>
              <w:r>
                <w:rPr>
                  <w:noProof/>
                  <w:lang w:val="en-US"/>
                </w:rPr>
                <w:t>2nd ed. Cologne: Taschen GmbH.</w:t>
              </w:r>
            </w:p>
            <w:p w14:paraId="7AEDAB3D" w14:textId="3CDFD9F0" w:rsidR="00283B9C" w:rsidRDefault="00283B9C" w:rsidP="00283B9C">
              <w:pPr>
                <w:pStyle w:val="Bibliography"/>
                <w:rPr>
                  <w:noProof/>
                  <w:lang w:val="en-US"/>
                </w:rPr>
              </w:pPr>
              <w:r>
                <w:rPr>
                  <w:i/>
                  <w:iCs/>
                  <w:noProof/>
                  <w:lang w:val="en-US"/>
                </w:rPr>
                <w:t xml:space="preserve">Don't Buy a "Gaming Chair" - Office Chair vs. Gaming Chair Round-Up &amp; Review. </w:t>
              </w:r>
              <w:r>
                <w:rPr>
                  <w:noProof/>
                  <w:lang w:val="en-US"/>
                </w:rPr>
                <w:t>2020. [Film] Directed by Gamers Nexus. North Carolina: Gamers Nexus.</w:t>
              </w:r>
            </w:p>
            <w:p w14:paraId="0ACF34E8" w14:textId="77777777" w:rsidR="00283B9C" w:rsidRDefault="00283B9C" w:rsidP="00283B9C">
              <w:pPr>
                <w:pStyle w:val="Bibliography"/>
                <w:rPr>
                  <w:noProof/>
                  <w:lang w:val="en-US"/>
                </w:rPr>
              </w:pPr>
              <w:r>
                <w:rPr>
                  <w:noProof/>
                  <w:lang w:val="en-US"/>
                </w:rPr>
                <w:lastRenderedPageBreak/>
                <w:t xml:space="preserve">Faulkner, C., 2020. </w:t>
              </w:r>
              <w:r>
                <w:rPr>
                  <w:i/>
                  <w:iCs/>
                  <w:noProof/>
                  <w:lang w:val="en-US"/>
                </w:rPr>
                <w:t xml:space="preserve">Logitech and Herman Miller team up to make the Embody gaming chair. </w:t>
              </w:r>
              <w:r>
                <w:rPr>
                  <w:noProof/>
                  <w:lang w:val="en-US"/>
                </w:rPr>
                <w:t xml:space="preserve">[Online] </w:t>
              </w:r>
              <w:r>
                <w:rPr>
                  <w:noProof/>
                  <w:lang w:val="en-US"/>
                </w:rPr>
                <w:br/>
                <w:t xml:space="preserve">Available at: </w:t>
              </w:r>
              <w:r>
                <w:rPr>
                  <w:noProof/>
                  <w:u w:val="single"/>
                  <w:lang w:val="en-US"/>
                </w:rPr>
                <w:t>https://www.theverge.com/21331603/logitech-herman-miller-embody-gaming-pc-chair-comfort-price-design</w:t>
              </w:r>
              <w:r>
                <w:rPr>
                  <w:noProof/>
                  <w:lang w:val="en-US"/>
                </w:rPr>
                <w:br/>
                <w:t>[Accessed 14 12 2020].</w:t>
              </w:r>
            </w:p>
            <w:p w14:paraId="479F04BD" w14:textId="34EC5F5A" w:rsidR="00283B9C" w:rsidRDefault="00283B9C" w:rsidP="00283B9C">
              <w:pPr>
                <w:pStyle w:val="Bibliography"/>
                <w:rPr>
                  <w:noProof/>
                  <w:lang w:val="en-US"/>
                </w:rPr>
              </w:pPr>
              <w:r>
                <w:rPr>
                  <w:i/>
                  <w:iCs/>
                  <w:noProof/>
                  <w:lang w:val="en-US"/>
                </w:rPr>
                <w:t xml:space="preserve">Ideologies, </w:t>
              </w:r>
              <w:r>
                <w:rPr>
                  <w:noProof/>
                  <w:lang w:val="en-US"/>
                </w:rPr>
                <w:t>23(2), pp. 141-156.</w:t>
              </w:r>
            </w:p>
            <w:p w14:paraId="0244D456" w14:textId="1E26F4AC" w:rsidR="00283B9C" w:rsidRDefault="00283B9C" w:rsidP="00283B9C">
              <w:pPr>
                <w:pStyle w:val="Bibliography"/>
                <w:rPr>
                  <w:noProof/>
                  <w:lang w:val="en-US"/>
                </w:rPr>
              </w:pPr>
              <w:r>
                <w:rPr>
                  <w:noProof/>
                  <w:lang w:val="en-US"/>
                </w:rPr>
                <w:t>ed. New York: Springer Nature Switzerland AG.</w:t>
              </w:r>
            </w:p>
            <w:p w14:paraId="25928956" w14:textId="77777777" w:rsidR="00283B9C" w:rsidRDefault="00283B9C" w:rsidP="00283B9C">
              <w:pPr>
                <w:pStyle w:val="Bibliography"/>
                <w:rPr>
                  <w:noProof/>
                  <w:lang w:val="en-US"/>
                </w:rPr>
              </w:pPr>
              <w:r>
                <w:rPr>
                  <w:noProof/>
                  <w:lang w:val="en-US"/>
                </w:rPr>
                <w:t xml:space="preserve">Meadmore, C., 2019. </w:t>
              </w:r>
              <w:r>
                <w:rPr>
                  <w:i/>
                  <w:iCs/>
                  <w:noProof/>
                  <w:lang w:val="en-US"/>
                </w:rPr>
                <w:t xml:space="preserve">The Modern Chair. </w:t>
              </w:r>
              <w:r>
                <w:rPr>
                  <w:noProof/>
                  <w:lang w:val="en-US"/>
                </w:rPr>
                <w:t>1st ed. s.l.:Dover Publications.</w:t>
              </w:r>
            </w:p>
            <w:p w14:paraId="5DC4012F" w14:textId="41A75ADE" w:rsidR="00283B9C" w:rsidRDefault="00283B9C" w:rsidP="00283B9C">
              <w:r>
                <w:rPr>
                  <w:b/>
                  <w:bCs/>
                  <w:noProof/>
                </w:rPr>
                <w:fldChar w:fldCharType="end"/>
              </w:r>
            </w:p>
          </w:sdtContent>
        </w:sdt>
      </w:sdtContent>
    </w:sdt>
    <w:p w14:paraId="57F9EE95" w14:textId="77777777" w:rsidR="00283B9C" w:rsidRPr="003C700D" w:rsidRDefault="00283B9C" w:rsidP="00445924">
      <w:pPr>
        <w:rPr>
          <w:lang w:val="en-US"/>
        </w:rPr>
      </w:pPr>
    </w:p>
    <w:sectPr w:rsidR="00283B9C" w:rsidRPr="003C700D" w:rsidSect="00AE48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45E45"/>
    <w:multiLevelType w:val="hybridMultilevel"/>
    <w:tmpl w:val="4F62F0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00D"/>
    <w:rsid w:val="00023D52"/>
    <w:rsid w:val="00062F92"/>
    <w:rsid w:val="00082D9E"/>
    <w:rsid w:val="000A519D"/>
    <w:rsid w:val="000A78DB"/>
    <w:rsid w:val="000E0567"/>
    <w:rsid w:val="000F3483"/>
    <w:rsid w:val="00102AF2"/>
    <w:rsid w:val="00142421"/>
    <w:rsid w:val="00145607"/>
    <w:rsid w:val="001E00EA"/>
    <w:rsid w:val="00233720"/>
    <w:rsid w:val="002408D4"/>
    <w:rsid w:val="0024627B"/>
    <w:rsid w:val="00246DDA"/>
    <w:rsid w:val="00283B9C"/>
    <w:rsid w:val="002A1B84"/>
    <w:rsid w:val="002E0DD3"/>
    <w:rsid w:val="00302CFD"/>
    <w:rsid w:val="00315061"/>
    <w:rsid w:val="003474C0"/>
    <w:rsid w:val="003751D5"/>
    <w:rsid w:val="0039606F"/>
    <w:rsid w:val="003C700D"/>
    <w:rsid w:val="00445924"/>
    <w:rsid w:val="00457FB4"/>
    <w:rsid w:val="004B730F"/>
    <w:rsid w:val="00525BCF"/>
    <w:rsid w:val="005658A7"/>
    <w:rsid w:val="00576A54"/>
    <w:rsid w:val="00592775"/>
    <w:rsid w:val="0059317C"/>
    <w:rsid w:val="00730B1E"/>
    <w:rsid w:val="00740AD0"/>
    <w:rsid w:val="007B41AE"/>
    <w:rsid w:val="007C5083"/>
    <w:rsid w:val="008F1DD2"/>
    <w:rsid w:val="0099406C"/>
    <w:rsid w:val="009B42EA"/>
    <w:rsid w:val="009E23B9"/>
    <w:rsid w:val="00A63563"/>
    <w:rsid w:val="00A829F8"/>
    <w:rsid w:val="00A83CAA"/>
    <w:rsid w:val="00A97D2F"/>
    <w:rsid w:val="00AA43F9"/>
    <w:rsid w:val="00AE48A5"/>
    <w:rsid w:val="00B04078"/>
    <w:rsid w:val="00B56676"/>
    <w:rsid w:val="00B741BC"/>
    <w:rsid w:val="00B927CD"/>
    <w:rsid w:val="00B95200"/>
    <w:rsid w:val="00BE13E8"/>
    <w:rsid w:val="00C14863"/>
    <w:rsid w:val="00C90063"/>
    <w:rsid w:val="00D5386B"/>
    <w:rsid w:val="00DC5533"/>
    <w:rsid w:val="00DD55BA"/>
    <w:rsid w:val="00E154C8"/>
    <w:rsid w:val="00E40778"/>
    <w:rsid w:val="00E623C7"/>
    <w:rsid w:val="00E84D4D"/>
    <w:rsid w:val="00F279B5"/>
    <w:rsid w:val="00F607C3"/>
    <w:rsid w:val="00F8066B"/>
    <w:rsid w:val="00F83071"/>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FF3F0"/>
  <w15:chartTrackingRefBased/>
  <w15:docId w15:val="{E01D26D2-529C-4365-A058-3C12976B2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imes New Roman"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00D"/>
    <w:pPr>
      <w:spacing w:after="0" w:line="240" w:lineRule="auto"/>
    </w:pPr>
    <w:rPr>
      <w:rFonts w:eastAsiaTheme="minorHAnsi" w:hAnsiTheme="minorHAnsi" w:cstheme="minorBidi"/>
      <w:sz w:val="24"/>
      <w:szCs w:val="24"/>
      <w:lang w:eastAsia="en-US"/>
    </w:rPr>
  </w:style>
  <w:style w:type="paragraph" w:styleId="Heading1">
    <w:name w:val="heading 1"/>
    <w:basedOn w:val="Normal"/>
    <w:next w:val="Normal"/>
    <w:link w:val="Heading1Char"/>
    <w:uiPriority w:val="9"/>
    <w:qFormat/>
    <w:rsid w:val="005658A7"/>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A83CAA"/>
  </w:style>
  <w:style w:type="paragraph" w:styleId="ListParagraph">
    <w:name w:val="List Paragraph"/>
    <w:basedOn w:val="Normal"/>
    <w:uiPriority w:val="34"/>
    <w:qFormat/>
    <w:rsid w:val="00E84D4D"/>
    <w:pPr>
      <w:ind w:left="720"/>
      <w:contextualSpacing/>
    </w:pPr>
  </w:style>
  <w:style w:type="character" w:customStyle="1" w:styleId="Heading1Char">
    <w:name w:val="Heading 1 Char"/>
    <w:basedOn w:val="DefaultParagraphFont"/>
    <w:link w:val="Heading1"/>
    <w:uiPriority w:val="9"/>
    <w:rsid w:val="005658A7"/>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5658A7"/>
  </w:style>
  <w:style w:type="character" w:styleId="Hyperlink">
    <w:name w:val="Hyperlink"/>
    <w:basedOn w:val="DefaultParagraphFont"/>
    <w:uiPriority w:val="99"/>
    <w:unhideWhenUsed/>
    <w:rsid w:val="00C90063"/>
    <w:rPr>
      <w:color w:val="0563C1" w:themeColor="hyperlink"/>
      <w:u w:val="single"/>
    </w:rPr>
  </w:style>
  <w:style w:type="character" w:styleId="UnresolvedMention">
    <w:name w:val="Unresolved Mention"/>
    <w:basedOn w:val="DefaultParagraphFont"/>
    <w:uiPriority w:val="99"/>
    <w:semiHidden/>
    <w:unhideWhenUsed/>
    <w:rsid w:val="00C900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470001">
      <w:bodyDiv w:val="1"/>
      <w:marLeft w:val="0"/>
      <w:marRight w:val="0"/>
      <w:marTop w:val="0"/>
      <w:marBottom w:val="0"/>
      <w:divBdr>
        <w:top w:val="none" w:sz="0" w:space="0" w:color="auto"/>
        <w:left w:val="none" w:sz="0" w:space="0" w:color="auto"/>
        <w:bottom w:val="none" w:sz="0" w:space="0" w:color="auto"/>
        <w:right w:val="none" w:sz="0" w:space="0" w:color="auto"/>
      </w:divBdr>
    </w:div>
    <w:div w:id="159466224">
      <w:bodyDiv w:val="1"/>
      <w:marLeft w:val="0"/>
      <w:marRight w:val="0"/>
      <w:marTop w:val="0"/>
      <w:marBottom w:val="0"/>
      <w:divBdr>
        <w:top w:val="none" w:sz="0" w:space="0" w:color="auto"/>
        <w:left w:val="none" w:sz="0" w:space="0" w:color="auto"/>
        <w:bottom w:val="none" w:sz="0" w:space="0" w:color="auto"/>
        <w:right w:val="none" w:sz="0" w:space="0" w:color="auto"/>
      </w:divBdr>
    </w:div>
    <w:div w:id="279454158">
      <w:bodyDiv w:val="1"/>
      <w:marLeft w:val="0"/>
      <w:marRight w:val="0"/>
      <w:marTop w:val="0"/>
      <w:marBottom w:val="0"/>
      <w:divBdr>
        <w:top w:val="none" w:sz="0" w:space="0" w:color="auto"/>
        <w:left w:val="none" w:sz="0" w:space="0" w:color="auto"/>
        <w:bottom w:val="none" w:sz="0" w:space="0" w:color="auto"/>
        <w:right w:val="none" w:sz="0" w:space="0" w:color="auto"/>
      </w:divBdr>
    </w:div>
    <w:div w:id="440420941">
      <w:bodyDiv w:val="1"/>
      <w:marLeft w:val="0"/>
      <w:marRight w:val="0"/>
      <w:marTop w:val="0"/>
      <w:marBottom w:val="0"/>
      <w:divBdr>
        <w:top w:val="none" w:sz="0" w:space="0" w:color="auto"/>
        <w:left w:val="none" w:sz="0" w:space="0" w:color="auto"/>
        <w:bottom w:val="none" w:sz="0" w:space="0" w:color="auto"/>
        <w:right w:val="none" w:sz="0" w:space="0" w:color="auto"/>
      </w:divBdr>
    </w:div>
    <w:div w:id="529147394">
      <w:bodyDiv w:val="1"/>
      <w:marLeft w:val="0"/>
      <w:marRight w:val="0"/>
      <w:marTop w:val="0"/>
      <w:marBottom w:val="0"/>
      <w:divBdr>
        <w:top w:val="none" w:sz="0" w:space="0" w:color="auto"/>
        <w:left w:val="none" w:sz="0" w:space="0" w:color="auto"/>
        <w:bottom w:val="none" w:sz="0" w:space="0" w:color="auto"/>
        <w:right w:val="none" w:sz="0" w:space="0" w:color="auto"/>
      </w:divBdr>
    </w:div>
    <w:div w:id="563372946">
      <w:bodyDiv w:val="1"/>
      <w:marLeft w:val="0"/>
      <w:marRight w:val="0"/>
      <w:marTop w:val="0"/>
      <w:marBottom w:val="0"/>
      <w:divBdr>
        <w:top w:val="none" w:sz="0" w:space="0" w:color="auto"/>
        <w:left w:val="none" w:sz="0" w:space="0" w:color="auto"/>
        <w:bottom w:val="none" w:sz="0" w:space="0" w:color="auto"/>
        <w:right w:val="none" w:sz="0" w:space="0" w:color="auto"/>
      </w:divBdr>
    </w:div>
    <w:div w:id="750002925">
      <w:bodyDiv w:val="1"/>
      <w:marLeft w:val="0"/>
      <w:marRight w:val="0"/>
      <w:marTop w:val="0"/>
      <w:marBottom w:val="0"/>
      <w:divBdr>
        <w:top w:val="none" w:sz="0" w:space="0" w:color="auto"/>
        <w:left w:val="none" w:sz="0" w:space="0" w:color="auto"/>
        <w:bottom w:val="none" w:sz="0" w:space="0" w:color="auto"/>
        <w:right w:val="none" w:sz="0" w:space="0" w:color="auto"/>
      </w:divBdr>
    </w:div>
    <w:div w:id="852299677">
      <w:bodyDiv w:val="1"/>
      <w:marLeft w:val="0"/>
      <w:marRight w:val="0"/>
      <w:marTop w:val="0"/>
      <w:marBottom w:val="0"/>
      <w:divBdr>
        <w:top w:val="none" w:sz="0" w:space="0" w:color="auto"/>
        <w:left w:val="none" w:sz="0" w:space="0" w:color="auto"/>
        <w:bottom w:val="none" w:sz="0" w:space="0" w:color="auto"/>
        <w:right w:val="none" w:sz="0" w:space="0" w:color="auto"/>
      </w:divBdr>
    </w:div>
    <w:div w:id="869880516">
      <w:bodyDiv w:val="1"/>
      <w:marLeft w:val="0"/>
      <w:marRight w:val="0"/>
      <w:marTop w:val="0"/>
      <w:marBottom w:val="0"/>
      <w:divBdr>
        <w:top w:val="none" w:sz="0" w:space="0" w:color="auto"/>
        <w:left w:val="none" w:sz="0" w:space="0" w:color="auto"/>
        <w:bottom w:val="none" w:sz="0" w:space="0" w:color="auto"/>
        <w:right w:val="none" w:sz="0" w:space="0" w:color="auto"/>
      </w:divBdr>
    </w:div>
    <w:div w:id="1026709840">
      <w:bodyDiv w:val="1"/>
      <w:marLeft w:val="0"/>
      <w:marRight w:val="0"/>
      <w:marTop w:val="0"/>
      <w:marBottom w:val="0"/>
      <w:divBdr>
        <w:top w:val="none" w:sz="0" w:space="0" w:color="auto"/>
        <w:left w:val="none" w:sz="0" w:space="0" w:color="auto"/>
        <w:bottom w:val="none" w:sz="0" w:space="0" w:color="auto"/>
        <w:right w:val="none" w:sz="0" w:space="0" w:color="auto"/>
      </w:divBdr>
    </w:div>
    <w:div w:id="1031803429">
      <w:bodyDiv w:val="1"/>
      <w:marLeft w:val="0"/>
      <w:marRight w:val="0"/>
      <w:marTop w:val="0"/>
      <w:marBottom w:val="0"/>
      <w:divBdr>
        <w:top w:val="none" w:sz="0" w:space="0" w:color="auto"/>
        <w:left w:val="none" w:sz="0" w:space="0" w:color="auto"/>
        <w:bottom w:val="none" w:sz="0" w:space="0" w:color="auto"/>
        <w:right w:val="none" w:sz="0" w:space="0" w:color="auto"/>
      </w:divBdr>
    </w:div>
    <w:div w:id="1131247455">
      <w:bodyDiv w:val="1"/>
      <w:marLeft w:val="0"/>
      <w:marRight w:val="0"/>
      <w:marTop w:val="0"/>
      <w:marBottom w:val="0"/>
      <w:divBdr>
        <w:top w:val="none" w:sz="0" w:space="0" w:color="auto"/>
        <w:left w:val="none" w:sz="0" w:space="0" w:color="auto"/>
        <w:bottom w:val="none" w:sz="0" w:space="0" w:color="auto"/>
        <w:right w:val="none" w:sz="0" w:space="0" w:color="auto"/>
      </w:divBdr>
    </w:div>
    <w:div w:id="1348143370">
      <w:bodyDiv w:val="1"/>
      <w:marLeft w:val="0"/>
      <w:marRight w:val="0"/>
      <w:marTop w:val="0"/>
      <w:marBottom w:val="0"/>
      <w:divBdr>
        <w:top w:val="none" w:sz="0" w:space="0" w:color="auto"/>
        <w:left w:val="none" w:sz="0" w:space="0" w:color="auto"/>
        <w:bottom w:val="none" w:sz="0" w:space="0" w:color="auto"/>
        <w:right w:val="none" w:sz="0" w:space="0" w:color="auto"/>
      </w:divBdr>
    </w:div>
    <w:div w:id="1436708027">
      <w:bodyDiv w:val="1"/>
      <w:marLeft w:val="0"/>
      <w:marRight w:val="0"/>
      <w:marTop w:val="0"/>
      <w:marBottom w:val="0"/>
      <w:divBdr>
        <w:top w:val="none" w:sz="0" w:space="0" w:color="auto"/>
        <w:left w:val="none" w:sz="0" w:space="0" w:color="auto"/>
        <w:bottom w:val="none" w:sz="0" w:space="0" w:color="auto"/>
        <w:right w:val="none" w:sz="0" w:space="0" w:color="auto"/>
      </w:divBdr>
    </w:div>
    <w:div w:id="1486896380">
      <w:bodyDiv w:val="1"/>
      <w:marLeft w:val="0"/>
      <w:marRight w:val="0"/>
      <w:marTop w:val="0"/>
      <w:marBottom w:val="0"/>
      <w:divBdr>
        <w:top w:val="none" w:sz="0" w:space="0" w:color="auto"/>
        <w:left w:val="none" w:sz="0" w:space="0" w:color="auto"/>
        <w:bottom w:val="none" w:sz="0" w:space="0" w:color="auto"/>
        <w:right w:val="none" w:sz="0" w:space="0" w:color="auto"/>
      </w:divBdr>
    </w:div>
    <w:div w:id="1589004731">
      <w:bodyDiv w:val="1"/>
      <w:marLeft w:val="0"/>
      <w:marRight w:val="0"/>
      <w:marTop w:val="0"/>
      <w:marBottom w:val="0"/>
      <w:divBdr>
        <w:top w:val="none" w:sz="0" w:space="0" w:color="auto"/>
        <w:left w:val="none" w:sz="0" w:space="0" w:color="auto"/>
        <w:bottom w:val="none" w:sz="0" w:space="0" w:color="auto"/>
        <w:right w:val="none" w:sz="0" w:space="0" w:color="auto"/>
      </w:divBdr>
    </w:div>
    <w:div w:id="1592815192">
      <w:bodyDiv w:val="1"/>
      <w:marLeft w:val="0"/>
      <w:marRight w:val="0"/>
      <w:marTop w:val="0"/>
      <w:marBottom w:val="0"/>
      <w:divBdr>
        <w:top w:val="none" w:sz="0" w:space="0" w:color="auto"/>
        <w:left w:val="none" w:sz="0" w:space="0" w:color="auto"/>
        <w:bottom w:val="none" w:sz="0" w:space="0" w:color="auto"/>
        <w:right w:val="none" w:sz="0" w:space="0" w:color="auto"/>
      </w:divBdr>
    </w:div>
    <w:div w:id="1682128027">
      <w:bodyDiv w:val="1"/>
      <w:marLeft w:val="0"/>
      <w:marRight w:val="0"/>
      <w:marTop w:val="0"/>
      <w:marBottom w:val="0"/>
      <w:divBdr>
        <w:top w:val="none" w:sz="0" w:space="0" w:color="auto"/>
        <w:left w:val="none" w:sz="0" w:space="0" w:color="auto"/>
        <w:bottom w:val="none" w:sz="0" w:space="0" w:color="auto"/>
        <w:right w:val="none" w:sz="0" w:space="0" w:color="auto"/>
      </w:divBdr>
    </w:div>
    <w:div w:id="1697148000">
      <w:bodyDiv w:val="1"/>
      <w:marLeft w:val="0"/>
      <w:marRight w:val="0"/>
      <w:marTop w:val="0"/>
      <w:marBottom w:val="0"/>
      <w:divBdr>
        <w:top w:val="none" w:sz="0" w:space="0" w:color="auto"/>
        <w:left w:val="none" w:sz="0" w:space="0" w:color="auto"/>
        <w:bottom w:val="none" w:sz="0" w:space="0" w:color="auto"/>
        <w:right w:val="none" w:sz="0" w:space="0" w:color="auto"/>
      </w:divBdr>
    </w:div>
    <w:div w:id="1760298249">
      <w:bodyDiv w:val="1"/>
      <w:marLeft w:val="0"/>
      <w:marRight w:val="0"/>
      <w:marTop w:val="0"/>
      <w:marBottom w:val="0"/>
      <w:divBdr>
        <w:top w:val="none" w:sz="0" w:space="0" w:color="auto"/>
        <w:left w:val="none" w:sz="0" w:space="0" w:color="auto"/>
        <w:bottom w:val="none" w:sz="0" w:space="0" w:color="auto"/>
        <w:right w:val="none" w:sz="0" w:space="0" w:color="auto"/>
      </w:divBdr>
    </w:div>
    <w:div w:id="1773470709">
      <w:bodyDiv w:val="1"/>
      <w:marLeft w:val="0"/>
      <w:marRight w:val="0"/>
      <w:marTop w:val="0"/>
      <w:marBottom w:val="0"/>
      <w:divBdr>
        <w:top w:val="none" w:sz="0" w:space="0" w:color="auto"/>
        <w:left w:val="none" w:sz="0" w:space="0" w:color="auto"/>
        <w:bottom w:val="none" w:sz="0" w:space="0" w:color="auto"/>
        <w:right w:val="none" w:sz="0" w:space="0" w:color="auto"/>
      </w:divBdr>
    </w:div>
    <w:div w:id="1807819258">
      <w:bodyDiv w:val="1"/>
      <w:marLeft w:val="0"/>
      <w:marRight w:val="0"/>
      <w:marTop w:val="0"/>
      <w:marBottom w:val="0"/>
      <w:divBdr>
        <w:top w:val="none" w:sz="0" w:space="0" w:color="auto"/>
        <w:left w:val="none" w:sz="0" w:space="0" w:color="auto"/>
        <w:bottom w:val="none" w:sz="0" w:space="0" w:color="auto"/>
        <w:right w:val="none" w:sz="0" w:space="0" w:color="auto"/>
      </w:divBdr>
    </w:div>
    <w:div w:id="1954942410">
      <w:bodyDiv w:val="1"/>
      <w:marLeft w:val="0"/>
      <w:marRight w:val="0"/>
      <w:marTop w:val="0"/>
      <w:marBottom w:val="0"/>
      <w:divBdr>
        <w:top w:val="none" w:sz="0" w:space="0" w:color="auto"/>
        <w:left w:val="none" w:sz="0" w:space="0" w:color="auto"/>
        <w:bottom w:val="none" w:sz="0" w:space="0" w:color="auto"/>
        <w:right w:val="none" w:sz="0" w:space="0" w:color="auto"/>
      </w:divBdr>
    </w:div>
    <w:div w:id="2040012051">
      <w:bodyDiv w:val="1"/>
      <w:marLeft w:val="0"/>
      <w:marRight w:val="0"/>
      <w:marTop w:val="0"/>
      <w:marBottom w:val="0"/>
      <w:divBdr>
        <w:top w:val="none" w:sz="0" w:space="0" w:color="auto"/>
        <w:left w:val="none" w:sz="0" w:space="0" w:color="auto"/>
        <w:bottom w:val="none" w:sz="0" w:space="0" w:color="auto"/>
        <w:right w:val="none" w:sz="0" w:space="0" w:color="auto"/>
      </w:divBdr>
    </w:div>
    <w:div w:id="209617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Pau68</b:Tag>
    <b:SourceType>Book</b:SourceType>
    <b:Guid>{C3F7EDD2-196B-45F4-ABE7-4D7E78E6A65A}</b:Guid>
    <b:Title>The Population Bomb</b:Title>
    <b:Year>1968</b:Year>
    <b:Author>
      <b:Author>
        <b:NameList>
          <b:Person>
            <b:Last>Ehrlich</b:Last>
            <b:First>Paul</b:First>
            <b:Middle>R.</b:Middle>
          </b:Person>
        </b:NameList>
      </b:Author>
    </b:Author>
    <b:City>New York</b:City>
    <b:Publisher>Balletine Books</b:Publisher>
    <b:Edition>1</b:Edition>
    <b:RefOrder>1</b:RefOrder>
  </b:Source>
  <b:Source>
    <b:Tag>Ian07</b:Tag>
    <b:SourceType>InternetSite</b:SourceType>
    <b:Guid>{4810713B-D538-4ACE-9CC3-8B477349DA99}</b:Guid>
    <b:Title>www.theguardian.com</b:Title>
    <b:Year>2007</b:Year>
    <b:Author>
      <b:Author>
        <b:NameList>
          <b:Person>
            <b:Last>Sample</b:Last>
            <b:First>Ian</b:First>
          </b:Person>
        </b:NameList>
      </b:Author>
    </b:Author>
    <b:YearAccessed>2020</b:YearAccessed>
    <b:MonthAccessed>11</b:MonthAccessed>
    <b:DayAccessed>15</b:DayAccessed>
    <b:URL>https://www.theguardian.com/environment/2007/aug/31/climatechange.food</b:URL>
    <b:RefOrder>2</b:RefOrder>
  </b:Source>
  <b:Source>
    <b:Tag>Gra18</b:Tag>
    <b:SourceType>JournalArticle</b:SourceType>
    <b:Guid>{9736012D-A4B9-4C24-97B2-041998CE5516}</b:Guid>
    <b:Author>
      <b:Author>
        <b:NameList>
          <b:Person>
            <b:Last>Gray</b:Last>
            <b:First>Phillip</b:First>
          </b:Person>
        </b:NameList>
      </b:Author>
    </b:Author>
    <b:Title>‘The fire rises’: identity, the alt-right and intersectionality.</b:Title>
    <b:Year>2018</b:Year>
    <b:JournalName>Journal of Political Ideologies</b:JournalName>
    <b:Pages>141-156</b:Pages>
    <b:Volume>23</b:Volume>
    <b:Issue>2</b:Issue>
    <b:RefOrder>6</b:RefOrder>
  </b:Source>
  <b:Source>
    <b:Tag>Ray53</b:Tag>
    <b:SourceType>Book</b:SourceType>
    <b:Guid>{55312538-1657-4B72-B8AB-41C35E3BC24C}</b:Guid>
    <b:Title>Fahrenheit 451</b:Title>
    <b:Year>1953</b:Year>
    <b:Author>
      <b:Author>
        <b:NameList>
          <b:Person>
            <b:Last>Bradbury</b:Last>
            <b:First>Ray</b:First>
          </b:Person>
        </b:NameList>
      </b:Author>
    </b:Author>
    <b:City>United States</b:City>
    <b:Publisher>Ballentine Books</b:Publisher>
    <b:Edition>1st</b:Edition>
    <b:RefOrder>7</b:RefOrder>
  </b:Source>
  <b:Source>
    <b:Tag>Jam19</b:Tag>
    <b:SourceType>ArticleInAPeriodical</b:SourceType>
    <b:Guid>{C8D390BC-7519-4293-9824-985CB56EAC06}</b:Guid>
    <b:Title>What Do We Do About the Biases in AI? </b:Title>
    <b:Year>2019</b:Year>
    <b:Author>
      <b:Author>
        <b:NameList>
          <b:Person>
            <b:Last>James Manyika</b:Last>
            <b:First>Jake</b:First>
            <b:Middle>Silberg, Brittany Presten</b:Middle>
          </b:Person>
        </b:NameList>
      </b:Author>
    </b:Author>
    <b:PeriodicalTitle>Harvard Business Review</b:PeriodicalTitle>
    <b:Month>October</b:Month>
    <b:Day>25</b:Day>
    <b:RefOrder>3</b:RefOrder>
  </b:Source>
  <b:Source>
    <b:Tag>Jos19</b:Tag>
    <b:SourceType>Book</b:SourceType>
    <b:Guid>{0E9AF961-6A1D-43BF-B76D-ABC6852D1EBB}</b:Guid>
    <b:Title>How AI Impacts Urban Living and Public Health</b:Title>
    <b:Year>2019</b:Year>
    <b:Author>
      <b:Author>
        <b:NameList>
          <b:Person>
            <b:Last>José Pagán</b:Last>
            <b:First>Mounir</b:First>
            <b:Middle>Mokhtari, Hamdi Aloulou, Bessam Abdulrazak, María Fernanda Cabrera</b:Middle>
          </b:Person>
        </b:NameList>
      </b:Author>
    </b:Author>
    <b:City>New York</b:City>
    <b:Publisher>Springer Nature Switzerland AG</b:Publisher>
    <b:Edition>1st</b:Edition>
    <b:RefOrder>4</b:RefOrder>
  </b:Source>
  <b:Source>
    <b:Tag>GPT20</b:Tag>
    <b:SourceType>ArticleInAPeriodical</b:SourceType>
    <b:Guid>{E02B1407-BAD7-4AB6-A099-8D26EB7DB649}</b:Guid>
    <b:Author>
      <b:Author>
        <b:NameList>
          <b:Person>
            <b:Last>GPT-3</b:Last>
          </b:Person>
        </b:NameList>
      </b:Author>
    </b:Author>
    <b:Title>A robot wrote this entire article. Are you scared yet, human?</b:Title>
    <b:Year>2020</b:Year>
    <b:PeriodicalTitle>Guardian</b:PeriodicalTitle>
    <b:Month>September</b:Month>
    <b:Day>8</b:Day>
    <b:Pages>1</b:Pages>
    <b:RefOrder>5</b:RefOrder>
  </b:Source>
  <b:Source>
    <b:Tag>Hen971</b:Tag>
    <b:SourceType>Art</b:SourceType>
    <b:Guid>{0C70935D-63D4-4DF6-9E76-6C598F8F042E}</b:Guid>
    <b:Title>Absinthe Robette</b:Title>
    <b:Year>1897</b:Year>
    <b:Author>
      <b:Artist>
        <b:NameList>
          <b:Person>
            <b:Last>Privat-Livemont</b:Last>
            <b:First>Henri</b:First>
          </b:Person>
        </b:NameList>
      </b:Artist>
    </b:Author>
    <b:Institution>Brussels International Exposition</b:Institution>
    <b:RefOrder>8</b:RefOrder>
  </b:Source>
  <b:Source>
    <b:Tag>Lau20</b:Tag>
    <b:SourceType>Book</b:SourceType>
    <b:Guid>{DB44036B-861F-4306-B91C-00CBEF4838E2}</b:Guid>
    <b:Title>Doing Semiotics: A Research Guide for Marketers at the Edge of Culture</b:Title>
    <b:Year>2020</b:Year>
    <b:Author>
      <b:Author>
        <b:NameList>
          <b:Person>
            <b:Last>Oswald</b:Last>
            <b:First>Laura</b:First>
            <b:Middle>R.</b:Middle>
          </b:Person>
        </b:NameList>
      </b:Author>
    </b:Author>
    <b:City>Oxford</b:City>
    <b:Publisher> Oxford Scholarship Online</b:Publisher>
    <b:Edition>1</b:Edition>
    <b:RefOrder>9</b:RefOrder>
  </b:Source>
  <b:Source>
    <b:Tag>Bri19</b:Tag>
    <b:SourceType>InternetSite</b:SourceType>
    <b:Guid>{BD0E70CB-E42F-441F-B7C3-E8C46367832A}</b:Guid>
    <b:Title>britannica.com</b:Title>
    <b:Year>2019</b:Year>
    <b:Author>
      <b:Author>
        <b:Corporate>Britannica</b:Corporate>
      </b:Author>
    </b:Author>
    <b:YearAccessed>2020</b:YearAccessed>
    <b:MonthAccessed>11</b:MonthAccessed>
    <b:DayAccessed>5</b:DayAccessed>
    <b:URL>https://www.britannica.com/art/Art-Nouveau/additional-info#history</b:URL>
    <b:RefOrder>11</b:RefOrder>
  </b:Source>
  <b:Source>
    <b:Tag>Adr08</b:Tag>
    <b:SourceType>JournalArticle</b:SourceType>
    <b:Guid>{8C4B3138-4B52-42FD-ACAE-38A23D6FEAEB}</b:Guid>
    <b:Title>Sacred Signified: The Semiotics of Statues in the Greek Magical Papyri</b:Title>
    <b:Year>2008</b:Year>
    <b:Author>
      <b:Author>
        <b:NameList>
          <b:Person>
            <b:Last>Haluszka</b:Last>
            <b:First>Adria</b:First>
          </b:Person>
        </b:NameList>
      </b:Author>
    </b:Author>
    <b:JournalName>Johns Hopkins University Press</b:JournalName>
    <b:Pages>479-494</b:Pages>
    <b:Volume>41</b:Volume>
    <b:Issue>3</b:Issue>
    <b:RefOrder>12</b:RefOrder>
  </b:Source>
  <b:Source>
    <b:Tag>Dan02</b:Tag>
    <b:SourceType>Book</b:SourceType>
    <b:Guid>{C4E4870A-2793-44CC-BAB9-C1BF9666C6D6}</b:Guid>
    <b:Title>Semiotics: The Basics</b:Title>
    <b:Year>2002</b:Year>
    <b:Author>
      <b:Author>
        <b:NameList>
          <b:Person>
            <b:Last>Chandlers</b:Last>
            <b:First>Danial</b:First>
          </b:Person>
        </b:NameList>
      </b:Author>
    </b:Author>
    <b:City>Abingdon</b:City>
    <b:Publisher>Routledge</b:Publisher>
    <b:Edition>2nd</b:Edition>
    <b:RefOrder>10</b:RefOrder>
  </b:Source>
  <b:Source>
    <b:Tag>Joh72</b:Tag>
    <b:SourceType>Book</b:SourceType>
    <b:Guid>{E8AE7366-4545-4B0F-B62E-6EF5F585B0FE}</b:Guid>
    <b:Author>
      <b:Author>
        <b:NameList>
          <b:Person>
            <b:Last>John Berger</b:Last>
            <b:First>Chris</b:First>
            <b:Middle>Fox, Sven Blomberg, Michael Dibb, Richad Hollis</b:Middle>
          </b:Person>
        </b:NameList>
      </b:Author>
    </b:Author>
    <b:Title>Ways of Seeing</b:Title>
    <b:Year>1972</b:Year>
    <b:City>London</b:City>
    <b:Publisher>British Broadcasting Corperation</b:Publisher>
    <b:Edition>1st</b:Edition>
    <b:RefOrder>13</b:RefOrder>
  </b:Source>
  <b:Source>
    <b:Tag>Oxf10</b:Tag>
    <b:SourceType>Book</b:SourceType>
    <b:Guid>{8B7C80CB-71CE-4EC1-84AB-D93FF9E267FD}</b:Guid>
    <b:Author>
      <b:Author>
        <b:Corporate>Oxford University Press</b:Corporate>
      </b:Author>
    </b:Author>
    <b:Title>Oxford Dictionary of English</b:Title>
    <b:Year>2010</b:Year>
    <b:City>Oxford</b:City>
    <b:Publisher>Oxford University Press</b:Publisher>
    <b:Edition>3rd</b:Edition>
    <b:RefOrder>19</b:RefOrder>
  </b:Source>
  <b:Source>
    <b:Tag>Gam20</b:Tag>
    <b:SourceType>Film</b:SourceType>
    <b:Guid>{11FA4704-CC60-4AE8-A9B5-BFD065370088}</b:Guid>
    <b:Title>Don't Buy a "Gaming Chair" - Office Chair vs. Gaming Chair Round-Up &amp; Review</b:Title>
    <b:Year>2020</b:Year>
    <b:ProductionCompany>Gamers Nexus</b:ProductionCompany>
    <b:Author>
      <b:Director>
        <b:NameList>
          <b:Person>
            <b:Last>Nexus</b:Last>
            <b:First>Gamers</b:First>
          </b:Person>
        </b:NameList>
      </b:Director>
    </b:Author>
    <b:CountryRegion>North Carolina</b:CountryRegion>
    <b:RefOrder>14</b:RefOrder>
  </b:Source>
  <b:Source>
    <b:Tag>Cha20</b:Tag>
    <b:SourceType>Book</b:SourceType>
    <b:Guid>{3F6E119C-3505-489A-9F54-0465835D5445}</b:Guid>
    <b:Title>1000 Chairs</b:Title>
    <b:Year>2020</b:Year>
    <b:Author>
      <b:Author>
        <b:NameList>
          <b:Person>
            <b:Last>Charlotte</b:Last>
            <b:First>Peter</b:First>
            <b:Middle>Fiell</b:Middle>
          </b:Person>
        </b:NameList>
      </b:Author>
    </b:Author>
    <b:City>Cologne</b:City>
    <b:Publisher>Taschen GmbH</b:Publisher>
    <b:Edition>2nd</b:Edition>
    <b:RefOrder>16</b:RefOrder>
  </b:Source>
  <b:Source>
    <b:Tag>Iba20</b:Tag>
    <b:SourceType>Book</b:SourceType>
    <b:Guid>{2493B0CE-50C9-42BB-967B-31DC5199493A}</b:Guid>
    <b:Author>
      <b:Author>
        <b:NameList>
          <b:Person>
            <b:Last>Anderson</b:Last>
            <b:First>Ibar</b:First>
            <b:Middle>Federico</b:Middle>
          </b:Person>
        </b:NameList>
      </b:Author>
    </b:Author>
    <b:Title>BRIEF WESTERN HISTORY OF FURNITURE DESIGN. PART 2</b:Title>
    <b:Year>2020</b:Year>
    <b:Edition>1st</b:Edition>
    <b:RefOrder>17</b:RefOrder>
  </b:Source>
  <b:Source>
    <b:Tag>Fau20</b:Tag>
    <b:SourceType>InternetSite</b:SourceType>
    <b:Guid>{EA5523A2-5573-4559-B8A3-9FB225878028}</b:Guid>
    <b:Author>
      <b:Author>
        <b:NameList>
          <b:Person>
            <b:Last>Faulkner</b:Last>
            <b:First>Cameron</b:First>
          </b:Person>
        </b:NameList>
      </b:Author>
    </b:Author>
    <b:Title>Logitech and Herman Miller team up to make the Embody gaming chair</b:Title>
    <b:Year>2020</b:Year>
    <b:Publisher>The Verge</b:Publisher>
    <b:YearAccessed>2020</b:YearAccessed>
    <b:MonthAccessed>12</b:MonthAccessed>
    <b:DayAccessed>14</b:DayAccessed>
    <b:URL>https://www.theverge.com/21331603/logitech-herman-miller-embody-gaming-pc-chair-comfort-price-design</b:URL>
    <b:RefOrder>15</b:RefOrder>
  </b:Source>
  <b:Source>
    <b:Tag>Cle19</b:Tag>
    <b:SourceType>Book</b:SourceType>
    <b:Guid>{380A5EBC-273F-4487-B286-0F1C8C531DA3}</b:Guid>
    <b:Author>
      <b:Author>
        <b:NameList>
          <b:Person>
            <b:Last>Meadmore</b:Last>
            <b:First>Clement</b:First>
          </b:Person>
        </b:NameList>
      </b:Author>
    </b:Author>
    <b:Title>The Modern Chair</b:Title>
    <b:Year>2019</b:Year>
    <b:Publisher>Dover Publications</b:Publisher>
    <b:Edition>1st</b:Edition>
    <b:RefOrder>18</b:RefOrder>
  </b:Source>
</b:Sources>
</file>

<file path=customXml/itemProps1.xml><?xml version="1.0" encoding="utf-8"?>
<ds:datastoreItem xmlns:ds="http://schemas.openxmlformats.org/officeDocument/2006/customXml" ds:itemID="{1730287F-0F24-4912-AE31-C7B6FBDCE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9</Pages>
  <Words>1829</Words>
  <Characters>10431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Sivan Schechner</dc:creator>
  <cp:keywords/>
  <dc:description/>
  <cp:lastModifiedBy>Sivan Schechner</cp:lastModifiedBy>
  <cp:revision>5</cp:revision>
  <dcterms:created xsi:type="dcterms:W3CDTF">2021-01-04T03:09:00Z</dcterms:created>
  <dcterms:modified xsi:type="dcterms:W3CDTF">2021-01-04T11:29:00Z</dcterms:modified>
</cp:coreProperties>
</file>