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0C5E5" w14:textId="2A58AAA6" w:rsidR="00BC5CC7" w:rsidRPr="00BC5CC7" w:rsidRDefault="00BC5CC7" w:rsidP="00BC5CC7">
      <w:pPr>
        <w:spacing w:after="160" w:line="259" w:lineRule="auto"/>
        <w:jc w:val="center"/>
        <w:rPr>
          <w:sz w:val="40"/>
          <w:szCs w:val="40"/>
        </w:rPr>
      </w:pPr>
      <w:r w:rsidRPr="00BC5CC7">
        <w:rPr>
          <w:rFonts w:ascii="Calibri" w:hAnsi="Calibri" w:cs="Calibri"/>
          <w:sz w:val="40"/>
          <w:szCs w:val="40"/>
        </w:rPr>
        <w:t>A report focussing on:</w:t>
      </w:r>
    </w:p>
    <w:p w14:paraId="25A4D296" w14:textId="77777777" w:rsidR="00BC5CC7" w:rsidRPr="00411CB8" w:rsidRDefault="00BC5CC7" w:rsidP="00BC5CC7">
      <w:pPr>
        <w:rPr>
          <w:rFonts w:ascii="Calibri" w:hAnsi="Calibri" w:cs="Calibri"/>
        </w:rPr>
      </w:pPr>
    </w:p>
    <w:p w14:paraId="3F2F89A7" w14:textId="77777777" w:rsidR="00BC5CC7" w:rsidRPr="00411CB8" w:rsidRDefault="00BC5CC7" w:rsidP="00BC5CC7">
      <w:pPr>
        <w:spacing w:after="240"/>
        <w:jc w:val="center"/>
        <w:rPr>
          <w:rFonts w:ascii="Calibri" w:hAnsi="Calibri" w:cs="Calibri"/>
          <w:color w:val="000000"/>
          <w:sz w:val="28"/>
          <w:szCs w:val="28"/>
        </w:rPr>
      </w:pPr>
    </w:p>
    <w:p w14:paraId="009D74CB" w14:textId="44D39C09" w:rsidR="00BC5CC7" w:rsidRDefault="00BC5CC7" w:rsidP="00BC5CC7">
      <w:pPr>
        <w:spacing w:after="240"/>
        <w:jc w:val="center"/>
        <w:rPr>
          <w:rFonts w:ascii="Calibri" w:hAnsi="Calibri" w:cs="Calibri"/>
          <w:color w:val="000000" w:themeColor="text1"/>
          <w:sz w:val="40"/>
          <w:szCs w:val="40"/>
        </w:rPr>
      </w:pPr>
      <w:r>
        <w:rPr>
          <w:rFonts w:ascii="Calibri" w:hAnsi="Calibri" w:cs="Calibri"/>
          <w:color w:val="000000" w:themeColor="text1"/>
          <w:sz w:val="40"/>
          <w:szCs w:val="40"/>
        </w:rPr>
        <w:t>Negligence in Construction</w:t>
      </w:r>
    </w:p>
    <w:p w14:paraId="0515F19F" w14:textId="77777777" w:rsidR="00BC5CC7" w:rsidRPr="00411CB8" w:rsidRDefault="00BC5CC7" w:rsidP="00BC5CC7">
      <w:pPr>
        <w:spacing w:after="240"/>
        <w:jc w:val="center"/>
        <w:rPr>
          <w:rFonts w:ascii="Calibri" w:hAnsi="Calibri" w:cs="Calibri"/>
          <w:b/>
          <w:bCs/>
          <w:color w:val="000000" w:themeColor="text1"/>
          <w:sz w:val="40"/>
          <w:szCs w:val="40"/>
        </w:rPr>
      </w:pPr>
    </w:p>
    <w:p w14:paraId="3396434C" w14:textId="77777777" w:rsidR="00BC5CC7" w:rsidRPr="00411CB8" w:rsidRDefault="00BC5CC7" w:rsidP="00BC5CC7">
      <w:pPr>
        <w:spacing w:after="240"/>
        <w:jc w:val="center"/>
        <w:rPr>
          <w:rFonts w:ascii="Calibri" w:hAnsi="Calibri" w:cs="Calibri"/>
          <w:b/>
          <w:bCs/>
          <w:color w:val="000000" w:themeColor="text1"/>
          <w:sz w:val="40"/>
          <w:szCs w:val="40"/>
        </w:rPr>
      </w:pPr>
      <w:r w:rsidRPr="00411CB8">
        <w:rPr>
          <w:rFonts w:ascii="Calibri" w:hAnsi="Calibri" w:cs="Calibri"/>
          <w:b/>
          <w:bCs/>
          <w:color w:val="000000" w:themeColor="text1"/>
          <w:sz w:val="40"/>
          <w:szCs w:val="40"/>
        </w:rPr>
        <w:t>Student Number</w:t>
      </w:r>
    </w:p>
    <w:p w14:paraId="26A09341" w14:textId="77777777" w:rsidR="00BC5CC7" w:rsidRPr="00411CB8" w:rsidRDefault="00BC5CC7" w:rsidP="00BC5CC7">
      <w:pPr>
        <w:spacing w:after="240"/>
        <w:jc w:val="center"/>
        <w:rPr>
          <w:rFonts w:ascii="Calibri" w:hAnsi="Calibri" w:cs="Calibri"/>
          <w:b/>
          <w:bCs/>
          <w:color w:val="000000" w:themeColor="text1"/>
          <w:sz w:val="40"/>
          <w:szCs w:val="40"/>
        </w:rPr>
      </w:pPr>
      <w:r w:rsidRPr="00411CB8">
        <w:rPr>
          <w:rFonts w:ascii="Calibri" w:hAnsi="Calibri" w:cs="Calibri"/>
          <w:color w:val="000000" w:themeColor="text1"/>
          <w:sz w:val="40"/>
          <w:szCs w:val="40"/>
        </w:rPr>
        <w:t>2114726</w:t>
      </w:r>
    </w:p>
    <w:p w14:paraId="793DDF04" w14:textId="77777777" w:rsidR="00BC5CC7" w:rsidRPr="00411CB8" w:rsidRDefault="00BC5CC7" w:rsidP="00BC5CC7">
      <w:pPr>
        <w:spacing w:after="240"/>
        <w:jc w:val="center"/>
        <w:rPr>
          <w:rFonts w:ascii="Calibri" w:hAnsi="Calibri" w:cs="Calibri"/>
          <w:color w:val="000000"/>
          <w:sz w:val="28"/>
          <w:szCs w:val="28"/>
        </w:rPr>
      </w:pPr>
    </w:p>
    <w:p w14:paraId="55A1A010" w14:textId="77777777" w:rsidR="00BC5CC7" w:rsidRPr="00411CB8" w:rsidRDefault="00BC5CC7" w:rsidP="00BC5CC7">
      <w:pPr>
        <w:spacing w:after="240"/>
        <w:rPr>
          <w:rFonts w:ascii="Calibri" w:hAnsi="Calibri" w:cs="Calibri"/>
          <w:color w:val="000000"/>
          <w:sz w:val="28"/>
          <w:szCs w:val="28"/>
        </w:rPr>
      </w:pPr>
    </w:p>
    <w:p w14:paraId="348674EF" w14:textId="77777777" w:rsidR="00BC5CC7" w:rsidRPr="00411CB8" w:rsidRDefault="00BC5CC7" w:rsidP="00BC5CC7">
      <w:pPr>
        <w:spacing w:after="240"/>
        <w:jc w:val="center"/>
        <w:rPr>
          <w:rFonts w:ascii="Calibri" w:hAnsi="Calibri" w:cs="Calibri"/>
          <w:color w:val="000000"/>
          <w:sz w:val="28"/>
          <w:szCs w:val="28"/>
        </w:rPr>
      </w:pPr>
    </w:p>
    <w:p w14:paraId="2540B69D" w14:textId="77777777" w:rsidR="00BC5CC7" w:rsidRPr="00411CB8" w:rsidRDefault="00BC5CC7" w:rsidP="00BC5CC7">
      <w:pPr>
        <w:spacing w:after="240"/>
        <w:jc w:val="center"/>
        <w:rPr>
          <w:rFonts w:ascii="Calibri" w:hAnsi="Calibri" w:cs="Calibri"/>
          <w:color w:val="000000"/>
          <w:sz w:val="28"/>
          <w:szCs w:val="28"/>
        </w:rPr>
      </w:pPr>
      <w:r w:rsidRPr="00411CB8">
        <w:rPr>
          <w:rFonts w:ascii="Calibri" w:hAnsi="Calibri" w:cs="Calibri"/>
          <w:color w:val="000000"/>
          <w:sz w:val="28"/>
          <w:szCs w:val="28"/>
        </w:rPr>
        <w:t>Prepared for:</w:t>
      </w:r>
    </w:p>
    <w:p w14:paraId="3EAA6AF2" w14:textId="77777777" w:rsidR="00BC5CC7" w:rsidRPr="00411CB8" w:rsidRDefault="00BC5CC7" w:rsidP="00BC5CC7">
      <w:pPr>
        <w:spacing w:after="240"/>
        <w:jc w:val="center"/>
        <w:rPr>
          <w:rFonts w:ascii="Calibri" w:hAnsi="Calibri" w:cs="Calibri"/>
          <w:color w:val="000000"/>
          <w:sz w:val="28"/>
          <w:szCs w:val="28"/>
        </w:rPr>
      </w:pPr>
    </w:p>
    <w:p w14:paraId="2AD58B73" w14:textId="13916291" w:rsidR="00BC5CC7" w:rsidRPr="00411CB8" w:rsidRDefault="00BC5CC7" w:rsidP="00BC5CC7">
      <w:pPr>
        <w:spacing w:after="240"/>
        <w:jc w:val="center"/>
        <w:rPr>
          <w:rFonts w:ascii="Calibri" w:hAnsi="Calibri" w:cs="Calibri"/>
          <w:color w:val="000000"/>
          <w:sz w:val="44"/>
          <w:szCs w:val="44"/>
        </w:rPr>
      </w:pPr>
      <w:r>
        <w:rPr>
          <w:rFonts w:ascii="Calibri" w:hAnsi="Calibri" w:cs="Calibri"/>
          <w:color w:val="000000" w:themeColor="text1"/>
          <w:sz w:val="44"/>
          <w:szCs w:val="44"/>
        </w:rPr>
        <w:t>Lara Hopkinson</w:t>
      </w:r>
    </w:p>
    <w:p w14:paraId="5D5383D5" w14:textId="77777777" w:rsidR="00BC5CC7" w:rsidRPr="00411CB8" w:rsidRDefault="00BC5CC7" w:rsidP="00BC5CC7">
      <w:pPr>
        <w:spacing w:after="240"/>
        <w:jc w:val="center"/>
        <w:rPr>
          <w:rFonts w:ascii="Calibri" w:hAnsi="Calibri" w:cs="Calibri"/>
          <w:color w:val="000000"/>
          <w:sz w:val="28"/>
          <w:szCs w:val="28"/>
        </w:rPr>
      </w:pPr>
    </w:p>
    <w:p w14:paraId="67F5600A" w14:textId="77777777" w:rsidR="00BC5CC7" w:rsidRPr="00411CB8" w:rsidRDefault="00BC5CC7" w:rsidP="00BC5CC7">
      <w:pPr>
        <w:spacing w:after="240"/>
        <w:jc w:val="center"/>
        <w:rPr>
          <w:rFonts w:ascii="Calibri" w:hAnsi="Calibri" w:cs="Calibri"/>
          <w:color w:val="000000"/>
          <w:sz w:val="28"/>
          <w:szCs w:val="28"/>
        </w:rPr>
      </w:pPr>
    </w:p>
    <w:p w14:paraId="4B723B6B" w14:textId="77777777" w:rsidR="00BC5CC7" w:rsidRPr="00411CB8" w:rsidRDefault="00BC5CC7" w:rsidP="00BC5CC7">
      <w:pPr>
        <w:spacing w:after="240"/>
        <w:jc w:val="center"/>
        <w:rPr>
          <w:rFonts w:ascii="Calibri" w:hAnsi="Calibri" w:cs="Calibri"/>
          <w:color w:val="000000"/>
          <w:sz w:val="28"/>
          <w:szCs w:val="28"/>
        </w:rPr>
      </w:pPr>
    </w:p>
    <w:p w14:paraId="785E6543" w14:textId="77777777" w:rsidR="00BC5CC7" w:rsidRPr="00411CB8" w:rsidRDefault="00BC5CC7" w:rsidP="00BC5CC7">
      <w:pPr>
        <w:spacing w:after="240"/>
        <w:jc w:val="center"/>
        <w:rPr>
          <w:rFonts w:ascii="Calibri" w:hAnsi="Calibri" w:cs="Calibri"/>
          <w:color w:val="000000"/>
          <w:sz w:val="28"/>
          <w:szCs w:val="28"/>
        </w:rPr>
      </w:pPr>
      <w:r w:rsidRPr="00411CB8">
        <w:rPr>
          <w:rFonts w:ascii="Calibri" w:hAnsi="Calibri" w:cs="Calibri"/>
          <w:color w:val="000000"/>
          <w:sz w:val="28"/>
          <w:szCs w:val="28"/>
        </w:rPr>
        <w:t>Created by:</w:t>
      </w:r>
    </w:p>
    <w:p w14:paraId="585FC309" w14:textId="77777777" w:rsidR="00BC5CC7" w:rsidRPr="00411CB8" w:rsidRDefault="00BC5CC7" w:rsidP="00BC5CC7">
      <w:pPr>
        <w:spacing w:after="240"/>
        <w:jc w:val="center"/>
        <w:rPr>
          <w:rFonts w:ascii="Calibri" w:hAnsi="Calibri" w:cs="Calibri"/>
          <w:color w:val="000000"/>
          <w:sz w:val="36"/>
          <w:szCs w:val="36"/>
        </w:rPr>
      </w:pPr>
      <w:r w:rsidRPr="00411CB8">
        <w:rPr>
          <w:rFonts w:ascii="Calibri" w:hAnsi="Calibri" w:cs="Calibri"/>
          <w:color w:val="000000" w:themeColor="text1"/>
          <w:sz w:val="36"/>
          <w:szCs w:val="36"/>
        </w:rPr>
        <w:t>Harrison Davies</w:t>
      </w:r>
    </w:p>
    <w:p w14:paraId="6CCA084F" w14:textId="77777777" w:rsidR="00BC5CC7" w:rsidRPr="00411CB8" w:rsidRDefault="00BC5CC7" w:rsidP="00BC5CC7">
      <w:pPr>
        <w:spacing w:after="240"/>
        <w:jc w:val="center"/>
        <w:rPr>
          <w:rFonts w:ascii="Calibri" w:hAnsi="Calibri" w:cs="Calibri"/>
          <w:color w:val="000000"/>
          <w:sz w:val="28"/>
          <w:szCs w:val="28"/>
        </w:rPr>
      </w:pPr>
    </w:p>
    <w:p w14:paraId="1DADA8F3" w14:textId="77777777" w:rsidR="00BC5CC7" w:rsidRPr="00411CB8" w:rsidRDefault="00BC5CC7" w:rsidP="00BC5CC7">
      <w:pPr>
        <w:spacing w:after="240"/>
        <w:rPr>
          <w:rFonts w:ascii="Calibri" w:hAnsi="Calibri" w:cs="Calibri"/>
          <w:color w:val="000000"/>
          <w:sz w:val="28"/>
          <w:szCs w:val="28"/>
        </w:rPr>
      </w:pPr>
    </w:p>
    <w:p w14:paraId="2A373BA2" w14:textId="77777777" w:rsidR="00BC5CC7" w:rsidRPr="00411CB8" w:rsidRDefault="00BC5CC7" w:rsidP="00BC5CC7">
      <w:pPr>
        <w:spacing w:after="240"/>
        <w:jc w:val="center"/>
        <w:rPr>
          <w:rFonts w:ascii="Calibri" w:hAnsi="Calibri" w:cs="Calibri"/>
          <w:color w:val="000000"/>
          <w:sz w:val="28"/>
          <w:szCs w:val="28"/>
        </w:rPr>
      </w:pPr>
      <w:r w:rsidRPr="00411CB8">
        <w:rPr>
          <w:rFonts w:ascii="Calibri" w:hAnsi="Calibri" w:cs="Calibri"/>
          <w:color w:val="000000" w:themeColor="text1"/>
          <w:sz w:val="28"/>
          <w:szCs w:val="28"/>
        </w:rPr>
        <w:t>Date accomplished:</w:t>
      </w:r>
    </w:p>
    <w:p w14:paraId="23F78906" w14:textId="50A434FC" w:rsidR="00BC5CC7" w:rsidRPr="00411CB8" w:rsidRDefault="00DE4004" w:rsidP="00BC5CC7">
      <w:pPr>
        <w:spacing w:after="240" w:line="259" w:lineRule="auto"/>
        <w:jc w:val="center"/>
        <w:rPr>
          <w:rFonts w:ascii="Calibri" w:hAnsi="Calibri" w:cs="Calibri"/>
        </w:rPr>
      </w:pPr>
      <w:r>
        <w:rPr>
          <w:rFonts w:ascii="Calibri" w:hAnsi="Calibri" w:cs="Calibri"/>
          <w:color w:val="000000" w:themeColor="text1"/>
          <w:sz w:val="28"/>
          <w:szCs w:val="28"/>
        </w:rPr>
        <w:t>24</w:t>
      </w:r>
      <w:r w:rsidR="00BC5CC7" w:rsidRPr="00411CB8">
        <w:rPr>
          <w:rFonts w:ascii="Calibri" w:hAnsi="Calibri" w:cs="Calibri"/>
          <w:color w:val="000000" w:themeColor="text1"/>
          <w:sz w:val="28"/>
          <w:szCs w:val="28"/>
        </w:rPr>
        <w:t>/1</w:t>
      </w:r>
      <w:r>
        <w:rPr>
          <w:rFonts w:ascii="Calibri" w:hAnsi="Calibri" w:cs="Calibri"/>
          <w:color w:val="000000" w:themeColor="text1"/>
          <w:sz w:val="28"/>
          <w:szCs w:val="28"/>
        </w:rPr>
        <w:t>1</w:t>
      </w:r>
      <w:r w:rsidR="00BC5CC7" w:rsidRPr="00411CB8">
        <w:rPr>
          <w:rFonts w:ascii="Calibri" w:hAnsi="Calibri" w:cs="Calibri"/>
          <w:color w:val="000000" w:themeColor="text1"/>
          <w:sz w:val="28"/>
          <w:szCs w:val="28"/>
        </w:rPr>
        <w:t>/2022</w:t>
      </w:r>
    </w:p>
    <w:p w14:paraId="6F19DCE1" w14:textId="77777777" w:rsidR="00BC5CC7" w:rsidRDefault="00BC5CC7" w:rsidP="00BC5CC7">
      <w:pPr>
        <w:spacing w:after="240" w:line="360" w:lineRule="auto"/>
        <w:rPr>
          <w:rFonts w:ascii="Calibri" w:hAnsi="Calibri" w:cs="Calibri"/>
          <w:b/>
          <w:color w:val="000000"/>
          <w:u w:val="single"/>
        </w:rPr>
      </w:pPr>
    </w:p>
    <w:p w14:paraId="6A50767B" w14:textId="1F5A87D6" w:rsidR="00BC5CC7" w:rsidRPr="00411CB8" w:rsidRDefault="00BC5CC7" w:rsidP="00BC5CC7">
      <w:pPr>
        <w:spacing w:after="240" w:line="360" w:lineRule="auto"/>
        <w:rPr>
          <w:rFonts w:ascii="Calibri" w:hAnsi="Calibri" w:cs="Calibri"/>
          <w:b/>
          <w:color w:val="000000"/>
        </w:rPr>
      </w:pPr>
      <w:r w:rsidRPr="00411CB8">
        <w:rPr>
          <w:rFonts w:ascii="Calibri" w:hAnsi="Calibri" w:cs="Calibri"/>
          <w:b/>
          <w:color w:val="000000"/>
          <w:u w:val="single"/>
        </w:rPr>
        <w:t>Table of Contents</w:t>
      </w:r>
      <w:r w:rsidRPr="00411CB8">
        <w:rPr>
          <w:rFonts w:ascii="Calibri" w:hAnsi="Calibri" w:cs="Calibri"/>
          <w:b/>
          <w:color w:val="000000"/>
        </w:rPr>
        <w:tab/>
      </w:r>
    </w:p>
    <w:p w14:paraId="2BDE3B94" w14:textId="1808F93F" w:rsidR="00BC5CC7" w:rsidRPr="00411CB8" w:rsidRDefault="00BC5CC7" w:rsidP="00BC5CC7">
      <w:pPr>
        <w:spacing w:after="240" w:line="360" w:lineRule="auto"/>
        <w:rPr>
          <w:rFonts w:ascii="Calibri" w:hAnsi="Calibri" w:cs="Calibri"/>
          <w:b/>
          <w:color w:val="000000"/>
        </w:rPr>
      </w:pP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p>
    <w:p w14:paraId="07A07004" w14:textId="2B4EB454" w:rsidR="00BC5CC7" w:rsidRPr="00411CB8" w:rsidRDefault="00BC5CC7" w:rsidP="00BC5CC7">
      <w:pPr>
        <w:spacing w:after="240" w:line="360" w:lineRule="auto"/>
        <w:rPr>
          <w:rFonts w:ascii="Calibri" w:hAnsi="Calibri" w:cs="Calibri"/>
          <w:b/>
          <w:bCs/>
          <w:color w:val="000000"/>
        </w:rPr>
      </w:pPr>
      <w:r w:rsidRPr="00411CB8">
        <w:rPr>
          <w:rFonts w:ascii="Calibri" w:hAnsi="Calibri" w:cs="Calibri"/>
          <w:b/>
          <w:bCs/>
          <w:color w:val="000000" w:themeColor="text1"/>
        </w:rPr>
        <w:t>1.0</w:t>
      </w:r>
      <w:r w:rsidRPr="00411CB8">
        <w:rPr>
          <w:rFonts w:ascii="Calibri" w:hAnsi="Calibri" w:cs="Calibri"/>
        </w:rPr>
        <w:tab/>
      </w:r>
      <w:r w:rsidRPr="00411CB8">
        <w:rPr>
          <w:rFonts w:ascii="Calibri" w:hAnsi="Calibri" w:cs="Calibri"/>
          <w:b/>
          <w:bCs/>
          <w:color w:val="000000" w:themeColor="text1"/>
        </w:rPr>
        <w:t>Executive Summary</w:t>
      </w:r>
      <w:r w:rsidRPr="00411CB8">
        <w:rPr>
          <w:rFonts w:ascii="Calibri" w:hAnsi="Calibri" w:cs="Calibri"/>
        </w:rPr>
        <w:tab/>
      </w:r>
      <w:r w:rsidRPr="00411CB8">
        <w:rPr>
          <w:rFonts w:ascii="Calibri" w:hAnsi="Calibri" w:cs="Calibri"/>
        </w:rPr>
        <w:tab/>
      </w:r>
      <w:r w:rsidRPr="00411CB8">
        <w:rPr>
          <w:rFonts w:ascii="Calibri" w:hAnsi="Calibri" w:cs="Calibri"/>
        </w:rPr>
        <w:tab/>
      </w:r>
      <w:r w:rsidRPr="00411CB8">
        <w:rPr>
          <w:rFonts w:ascii="Calibri" w:hAnsi="Calibri" w:cs="Calibri"/>
        </w:rPr>
        <w:tab/>
      </w:r>
      <w:r w:rsidRPr="00411CB8">
        <w:rPr>
          <w:rFonts w:ascii="Calibri" w:hAnsi="Calibri" w:cs="Calibri"/>
        </w:rPr>
        <w:tab/>
      </w:r>
      <w:r w:rsidRPr="00411CB8">
        <w:rPr>
          <w:rFonts w:ascii="Calibri" w:hAnsi="Calibri" w:cs="Calibri"/>
        </w:rPr>
        <w:tab/>
      </w:r>
    </w:p>
    <w:p w14:paraId="30F5F55D" w14:textId="20641748" w:rsidR="00BC5CC7" w:rsidRPr="00411CB8" w:rsidRDefault="00BC5CC7" w:rsidP="00BC5CC7">
      <w:pPr>
        <w:spacing w:after="240" w:line="360" w:lineRule="auto"/>
        <w:rPr>
          <w:rFonts w:ascii="Calibri" w:hAnsi="Calibri" w:cs="Calibri"/>
          <w:b/>
          <w:bCs/>
          <w:color w:val="000000"/>
        </w:rPr>
      </w:pPr>
      <w:r w:rsidRPr="00411CB8">
        <w:rPr>
          <w:rFonts w:ascii="Calibri" w:hAnsi="Calibri" w:cs="Calibri"/>
          <w:b/>
          <w:bCs/>
          <w:color w:val="000000" w:themeColor="text1"/>
        </w:rPr>
        <w:t>2.0</w:t>
      </w:r>
      <w:r w:rsidRPr="00411CB8">
        <w:rPr>
          <w:rFonts w:ascii="Calibri" w:hAnsi="Calibri" w:cs="Calibri"/>
        </w:rPr>
        <w:tab/>
      </w:r>
      <w:r w:rsidRPr="00411CB8">
        <w:rPr>
          <w:rFonts w:ascii="Calibri" w:hAnsi="Calibri" w:cs="Calibri"/>
          <w:b/>
          <w:bCs/>
          <w:color w:val="000000" w:themeColor="text1"/>
        </w:rPr>
        <w:t>Terms of reference</w:t>
      </w:r>
      <w:r w:rsidRPr="00411CB8">
        <w:rPr>
          <w:rFonts w:ascii="Calibri" w:hAnsi="Calibri" w:cs="Calibri"/>
        </w:rPr>
        <w:tab/>
      </w:r>
      <w:r w:rsidRPr="00411CB8">
        <w:rPr>
          <w:rFonts w:ascii="Calibri" w:hAnsi="Calibri" w:cs="Calibri"/>
        </w:rPr>
        <w:tab/>
      </w:r>
      <w:r w:rsidRPr="00411CB8">
        <w:rPr>
          <w:rFonts w:ascii="Calibri" w:hAnsi="Calibri" w:cs="Calibri"/>
        </w:rPr>
        <w:tab/>
      </w:r>
      <w:r w:rsidRPr="00411CB8">
        <w:rPr>
          <w:rFonts w:ascii="Calibri" w:hAnsi="Calibri" w:cs="Calibri"/>
        </w:rPr>
        <w:tab/>
      </w:r>
      <w:r w:rsidRPr="00411CB8">
        <w:rPr>
          <w:rFonts w:ascii="Calibri" w:hAnsi="Calibri" w:cs="Calibri"/>
        </w:rPr>
        <w:tab/>
      </w:r>
      <w:r w:rsidRPr="00411CB8">
        <w:rPr>
          <w:rFonts w:ascii="Calibri" w:hAnsi="Calibri" w:cs="Calibri"/>
          <w:b/>
          <w:bCs/>
          <w:color w:val="000000" w:themeColor="text1"/>
        </w:rPr>
        <w:t xml:space="preserve">           </w:t>
      </w:r>
      <w:r>
        <w:rPr>
          <w:rFonts w:ascii="Calibri" w:hAnsi="Calibri" w:cs="Calibri"/>
          <w:b/>
          <w:bCs/>
          <w:color w:val="000000" w:themeColor="text1"/>
        </w:rPr>
        <w:t xml:space="preserve">              </w:t>
      </w:r>
    </w:p>
    <w:p w14:paraId="66D2B531" w14:textId="6366AA71" w:rsidR="00BC5CC7" w:rsidRPr="00411CB8" w:rsidRDefault="00BC5CC7" w:rsidP="00BC5CC7">
      <w:pPr>
        <w:spacing w:after="240" w:line="360" w:lineRule="auto"/>
        <w:rPr>
          <w:rFonts w:ascii="Calibri" w:hAnsi="Calibri" w:cs="Calibri"/>
          <w:b/>
          <w:color w:val="000000"/>
        </w:rPr>
      </w:pPr>
      <w:r w:rsidRPr="00411CB8">
        <w:rPr>
          <w:rFonts w:ascii="Calibri" w:hAnsi="Calibri" w:cs="Calibri"/>
          <w:b/>
          <w:color w:val="000000"/>
        </w:rPr>
        <w:t>3.0</w:t>
      </w:r>
      <w:r w:rsidRPr="00411CB8">
        <w:rPr>
          <w:rFonts w:ascii="Calibri" w:hAnsi="Calibri" w:cs="Calibri"/>
          <w:b/>
          <w:color w:val="000000"/>
        </w:rPr>
        <w:tab/>
        <w:t>Procedure</w:t>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r w:rsidRPr="00411CB8">
        <w:rPr>
          <w:rFonts w:ascii="Calibri" w:hAnsi="Calibri" w:cs="Calibri"/>
          <w:b/>
          <w:color w:val="000000"/>
        </w:rPr>
        <w:tab/>
      </w:r>
    </w:p>
    <w:p w14:paraId="3C7E12C9" w14:textId="74A5ACD4" w:rsidR="00BC5CC7" w:rsidRPr="00D6081F" w:rsidRDefault="00D6081F" w:rsidP="00D6081F">
      <w:pPr>
        <w:pStyle w:val="ListParagraph"/>
        <w:numPr>
          <w:ilvl w:val="0"/>
          <w:numId w:val="3"/>
        </w:numPr>
        <w:spacing w:after="240" w:line="360" w:lineRule="auto"/>
        <w:rPr>
          <w:rFonts w:ascii="Calibri" w:hAnsi="Calibri" w:cs="Calibri"/>
          <w:b/>
          <w:color w:val="000000"/>
        </w:rPr>
      </w:pPr>
      <w:r>
        <w:rPr>
          <w:rFonts w:ascii="Calibri" w:hAnsi="Calibri" w:cs="Calibri"/>
          <w:b/>
          <w:color w:val="000000"/>
        </w:rPr>
        <w:t xml:space="preserve">       </w:t>
      </w:r>
      <w:r w:rsidRPr="00D6081F">
        <w:rPr>
          <w:rFonts w:ascii="Calibri" w:hAnsi="Calibri" w:cs="Calibri"/>
          <w:b/>
          <w:color w:val="000000"/>
        </w:rPr>
        <w:t>Tort Law</w:t>
      </w:r>
      <w:r w:rsidR="00BC5CC7" w:rsidRPr="00D6081F">
        <w:rPr>
          <w:rFonts w:ascii="Calibri" w:hAnsi="Calibri" w:cs="Calibri"/>
          <w:b/>
          <w:color w:val="000000"/>
        </w:rPr>
        <w:tab/>
      </w:r>
      <w:r w:rsidR="00BC5CC7" w:rsidRPr="00D6081F">
        <w:rPr>
          <w:rFonts w:ascii="Calibri" w:hAnsi="Calibri" w:cs="Calibri"/>
          <w:b/>
          <w:color w:val="000000"/>
        </w:rPr>
        <w:tab/>
      </w:r>
      <w:r w:rsidR="00BC5CC7" w:rsidRPr="00D6081F">
        <w:rPr>
          <w:rFonts w:ascii="Calibri" w:hAnsi="Calibri" w:cs="Calibri"/>
          <w:b/>
          <w:color w:val="000000"/>
        </w:rPr>
        <w:tab/>
      </w:r>
      <w:r w:rsidR="00BC5CC7" w:rsidRPr="00D6081F">
        <w:rPr>
          <w:rFonts w:ascii="Calibri" w:hAnsi="Calibri" w:cs="Calibri"/>
          <w:b/>
          <w:color w:val="000000"/>
        </w:rPr>
        <w:tab/>
      </w:r>
      <w:r w:rsidR="00BC5CC7" w:rsidRPr="00D6081F">
        <w:rPr>
          <w:rFonts w:ascii="Calibri" w:hAnsi="Calibri" w:cs="Calibri"/>
          <w:b/>
          <w:color w:val="000000"/>
        </w:rPr>
        <w:tab/>
      </w:r>
      <w:r w:rsidR="00BC5CC7" w:rsidRPr="00D6081F">
        <w:rPr>
          <w:rFonts w:ascii="Calibri" w:hAnsi="Calibri" w:cs="Calibri"/>
          <w:b/>
          <w:color w:val="000000"/>
        </w:rPr>
        <w:tab/>
      </w:r>
      <w:r w:rsidR="00BC5CC7" w:rsidRPr="00D6081F">
        <w:rPr>
          <w:rFonts w:ascii="Calibri" w:hAnsi="Calibri" w:cs="Calibri"/>
          <w:b/>
          <w:color w:val="000000"/>
        </w:rPr>
        <w:tab/>
      </w:r>
      <w:r w:rsidR="00BC5CC7" w:rsidRPr="00D6081F">
        <w:rPr>
          <w:rFonts w:ascii="Calibri" w:hAnsi="Calibri" w:cs="Calibri"/>
          <w:b/>
          <w:color w:val="000000"/>
        </w:rPr>
        <w:tab/>
      </w:r>
      <w:r w:rsidR="00BC5CC7" w:rsidRPr="00D6081F">
        <w:rPr>
          <w:rFonts w:ascii="Calibri" w:hAnsi="Calibri" w:cs="Calibri"/>
          <w:b/>
          <w:color w:val="000000"/>
        </w:rPr>
        <w:tab/>
      </w:r>
    </w:p>
    <w:p w14:paraId="71E3DDC6" w14:textId="020D9F6A" w:rsidR="00D6081F" w:rsidRDefault="00D6081F" w:rsidP="00D6081F">
      <w:pPr>
        <w:spacing w:after="240" w:line="360" w:lineRule="auto"/>
        <w:rPr>
          <w:rFonts w:ascii="Calibri" w:hAnsi="Calibri" w:cs="Calibri"/>
          <w:b/>
          <w:color w:val="000000"/>
        </w:rPr>
      </w:pPr>
      <w:r>
        <w:rPr>
          <w:rFonts w:ascii="Calibri" w:hAnsi="Calibri" w:cs="Calibri"/>
          <w:b/>
          <w:color w:val="000000"/>
        </w:rPr>
        <w:t>5.0</w:t>
      </w:r>
      <w:r w:rsidR="00DE4004" w:rsidRPr="00D6081F">
        <w:rPr>
          <w:rFonts w:ascii="Calibri" w:hAnsi="Calibri" w:cs="Calibri"/>
          <w:b/>
          <w:color w:val="000000"/>
        </w:rPr>
        <w:t xml:space="preserve">       </w:t>
      </w:r>
      <w:r>
        <w:rPr>
          <w:rFonts w:ascii="Calibri" w:hAnsi="Calibri" w:cs="Calibri"/>
          <w:b/>
          <w:color w:val="000000"/>
        </w:rPr>
        <w:t>Liability in Tort</w:t>
      </w:r>
    </w:p>
    <w:p w14:paraId="3BA695B8" w14:textId="310FB001" w:rsidR="00D6081F" w:rsidRDefault="00D6081F" w:rsidP="00D6081F">
      <w:pPr>
        <w:spacing w:after="240" w:line="360" w:lineRule="auto"/>
        <w:rPr>
          <w:rFonts w:ascii="Calibri" w:hAnsi="Calibri" w:cs="Calibri"/>
          <w:b/>
          <w:color w:val="000000"/>
        </w:rPr>
      </w:pPr>
      <w:r>
        <w:rPr>
          <w:rFonts w:ascii="Calibri" w:hAnsi="Calibri" w:cs="Calibri"/>
          <w:b/>
          <w:color w:val="000000"/>
        </w:rPr>
        <w:t>6</w:t>
      </w:r>
      <w:r>
        <w:rPr>
          <w:rFonts w:ascii="Calibri" w:hAnsi="Calibri" w:cs="Calibri"/>
          <w:b/>
          <w:color w:val="000000"/>
        </w:rPr>
        <w:t>.0</w:t>
      </w:r>
      <w:r w:rsidRPr="00D6081F">
        <w:rPr>
          <w:rFonts w:ascii="Calibri" w:hAnsi="Calibri" w:cs="Calibri"/>
          <w:b/>
          <w:color w:val="000000"/>
        </w:rPr>
        <w:t xml:space="preserve">       </w:t>
      </w:r>
      <w:r>
        <w:rPr>
          <w:rFonts w:ascii="Calibri" w:hAnsi="Calibri" w:cs="Calibri"/>
          <w:b/>
          <w:color w:val="000000"/>
        </w:rPr>
        <w:t>C</w:t>
      </w:r>
      <w:r w:rsidRPr="00D6081F">
        <w:rPr>
          <w:rFonts w:ascii="Calibri" w:hAnsi="Calibri" w:cs="Calibri"/>
          <w:b/>
          <w:color w:val="000000"/>
        </w:rPr>
        <w:t>ivil Liability (Contribution) Act 1978</w:t>
      </w:r>
    </w:p>
    <w:p w14:paraId="00CA9913" w14:textId="055FEC19" w:rsidR="00D6081F" w:rsidRDefault="00D6081F" w:rsidP="00D6081F">
      <w:pPr>
        <w:spacing w:after="240" w:line="360" w:lineRule="auto"/>
        <w:rPr>
          <w:rFonts w:ascii="Calibri" w:hAnsi="Calibri" w:cs="Calibri"/>
          <w:b/>
          <w:color w:val="000000"/>
        </w:rPr>
      </w:pPr>
      <w:r>
        <w:rPr>
          <w:rFonts w:ascii="Calibri" w:hAnsi="Calibri" w:cs="Calibri"/>
          <w:b/>
          <w:color w:val="000000"/>
        </w:rPr>
        <w:t>7</w:t>
      </w:r>
      <w:r>
        <w:rPr>
          <w:rFonts w:ascii="Calibri" w:hAnsi="Calibri" w:cs="Calibri"/>
          <w:b/>
          <w:color w:val="000000"/>
        </w:rPr>
        <w:t>.0</w:t>
      </w:r>
      <w:r w:rsidRPr="00D6081F">
        <w:rPr>
          <w:rFonts w:ascii="Calibri" w:hAnsi="Calibri" w:cs="Calibri"/>
          <w:b/>
          <w:color w:val="000000"/>
        </w:rPr>
        <w:t xml:space="preserve">       </w:t>
      </w:r>
      <w:r>
        <w:rPr>
          <w:rFonts w:ascii="Calibri" w:hAnsi="Calibri" w:cs="Calibri"/>
          <w:b/>
          <w:color w:val="000000"/>
        </w:rPr>
        <w:t>Negligence</w:t>
      </w:r>
    </w:p>
    <w:p w14:paraId="4BF12F15" w14:textId="55BC6BDD" w:rsidR="00D6081F" w:rsidRDefault="00D6081F" w:rsidP="00D6081F">
      <w:pPr>
        <w:spacing w:after="240" w:line="360" w:lineRule="auto"/>
        <w:rPr>
          <w:rFonts w:ascii="Calibri" w:hAnsi="Calibri" w:cs="Calibri"/>
          <w:b/>
          <w:color w:val="000000"/>
        </w:rPr>
      </w:pPr>
      <w:r>
        <w:rPr>
          <w:rFonts w:ascii="Calibri" w:hAnsi="Calibri" w:cs="Calibri"/>
          <w:b/>
          <w:color w:val="000000"/>
        </w:rPr>
        <w:t xml:space="preserve">10.0   </w:t>
      </w:r>
      <w:proofErr w:type="spellStart"/>
      <w:r w:rsidRPr="00D6081F">
        <w:rPr>
          <w:rFonts w:ascii="Calibri" w:hAnsi="Calibri" w:cs="Calibri"/>
          <w:b/>
          <w:color w:val="000000"/>
        </w:rPr>
        <w:t>Beumer</w:t>
      </w:r>
      <w:proofErr w:type="spellEnd"/>
      <w:r w:rsidRPr="00D6081F">
        <w:rPr>
          <w:rFonts w:ascii="Calibri" w:hAnsi="Calibri" w:cs="Calibri"/>
          <w:b/>
          <w:color w:val="000000"/>
        </w:rPr>
        <w:t xml:space="preserve"> Group UK Limited v Vinci Construction UK Limited</w:t>
      </w:r>
    </w:p>
    <w:p w14:paraId="4453ED7A" w14:textId="77777777" w:rsidR="00D6081F" w:rsidRDefault="00D6081F" w:rsidP="00D6081F">
      <w:pPr>
        <w:spacing w:after="240" w:line="360" w:lineRule="auto"/>
        <w:rPr>
          <w:rFonts w:ascii="Calibri" w:hAnsi="Calibri" w:cs="Calibri"/>
          <w:b/>
          <w:color w:val="000000"/>
        </w:rPr>
      </w:pPr>
    </w:p>
    <w:p w14:paraId="351EB891" w14:textId="77777777" w:rsidR="00D6081F" w:rsidRDefault="00D6081F" w:rsidP="00D6081F">
      <w:pPr>
        <w:spacing w:after="240" w:line="360" w:lineRule="auto"/>
        <w:rPr>
          <w:rFonts w:ascii="Calibri" w:hAnsi="Calibri" w:cs="Calibri"/>
          <w:b/>
          <w:color w:val="000000"/>
        </w:rPr>
      </w:pPr>
    </w:p>
    <w:p w14:paraId="593696BC" w14:textId="5A0E4E6F" w:rsidR="00BC5CC7" w:rsidRPr="00D6081F" w:rsidRDefault="00BC5CC7" w:rsidP="00D6081F">
      <w:pPr>
        <w:spacing w:after="240" w:line="360" w:lineRule="auto"/>
        <w:rPr>
          <w:rFonts w:ascii="Calibri" w:hAnsi="Calibri" w:cs="Calibri"/>
          <w:b/>
          <w:color w:val="000000"/>
        </w:rPr>
      </w:pPr>
      <w:r w:rsidRPr="00D6081F">
        <w:rPr>
          <w:rFonts w:ascii="Calibri" w:hAnsi="Calibri" w:cs="Calibri"/>
          <w:b/>
          <w:color w:val="000000"/>
        </w:rPr>
        <w:tab/>
      </w:r>
      <w:r w:rsidRPr="00D6081F">
        <w:rPr>
          <w:rFonts w:ascii="Calibri" w:hAnsi="Calibri" w:cs="Calibri"/>
          <w:b/>
          <w:color w:val="000000"/>
        </w:rPr>
        <w:tab/>
      </w:r>
      <w:r w:rsidRPr="00D6081F">
        <w:rPr>
          <w:rFonts w:ascii="Calibri" w:hAnsi="Calibri" w:cs="Calibri"/>
          <w:b/>
          <w:color w:val="000000"/>
        </w:rPr>
        <w:tab/>
      </w:r>
      <w:r w:rsidRPr="00D6081F">
        <w:rPr>
          <w:rFonts w:ascii="Calibri" w:hAnsi="Calibri" w:cs="Calibri"/>
          <w:b/>
          <w:color w:val="000000"/>
        </w:rPr>
        <w:tab/>
      </w:r>
      <w:r w:rsidRPr="00D6081F">
        <w:rPr>
          <w:rFonts w:ascii="Calibri" w:hAnsi="Calibri" w:cs="Calibri"/>
          <w:b/>
          <w:color w:val="000000"/>
        </w:rPr>
        <w:tab/>
      </w:r>
      <w:r w:rsidRPr="00D6081F">
        <w:rPr>
          <w:rFonts w:ascii="Calibri" w:hAnsi="Calibri" w:cs="Calibri"/>
          <w:b/>
          <w:color w:val="000000"/>
        </w:rPr>
        <w:tab/>
      </w:r>
      <w:r w:rsidRPr="00D6081F">
        <w:rPr>
          <w:rFonts w:ascii="Calibri" w:hAnsi="Calibri" w:cs="Calibri"/>
          <w:b/>
          <w:color w:val="000000"/>
        </w:rPr>
        <w:tab/>
      </w:r>
    </w:p>
    <w:p w14:paraId="1E417FCB" w14:textId="77777777" w:rsidR="00BC5CC7" w:rsidRPr="00411CB8" w:rsidRDefault="00BC5CC7" w:rsidP="00BC5CC7">
      <w:pPr>
        <w:spacing w:after="240" w:line="360" w:lineRule="auto"/>
        <w:rPr>
          <w:rFonts w:ascii="Calibri" w:hAnsi="Calibri" w:cs="Calibri"/>
          <w:color w:val="000000"/>
        </w:rPr>
      </w:pPr>
    </w:p>
    <w:p w14:paraId="51D04BE3" w14:textId="77777777" w:rsidR="00BC5CC7" w:rsidRPr="00411CB8" w:rsidRDefault="00BC5CC7" w:rsidP="00BC5CC7">
      <w:pPr>
        <w:spacing w:line="360" w:lineRule="auto"/>
        <w:jc w:val="center"/>
        <w:rPr>
          <w:rFonts w:ascii="Calibri" w:hAnsi="Calibri" w:cs="Calibri"/>
        </w:rPr>
      </w:pPr>
    </w:p>
    <w:p w14:paraId="3EFC25B2" w14:textId="77777777" w:rsidR="00BC5CC7" w:rsidRPr="00411CB8" w:rsidRDefault="00BC5CC7" w:rsidP="00BC5CC7">
      <w:pPr>
        <w:spacing w:line="360" w:lineRule="auto"/>
        <w:jc w:val="center"/>
        <w:rPr>
          <w:rFonts w:ascii="Calibri" w:hAnsi="Calibri" w:cs="Calibri"/>
        </w:rPr>
      </w:pPr>
    </w:p>
    <w:p w14:paraId="55A5D2CD" w14:textId="77777777" w:rsidR="00BC5CC7" w:rsidRDefault="00BC5CC7" w:rsidP="00BC5CC7">
      <w:pPr>
        <w:numPr>
          <w:ilvl w:val="0"/>
          <w:numId w:val="1"/>
        </w:numPr>
        <w:spacing w:after="240" w:line="360" w:lineRule="auto"/>
        <w:rPr>
          <w:rFonts w:ascii="Calibri" w:hAnsi="Calibri" w:cs="Calibri"/>
          <w:b/>
          <w:u w:val="single"/>
        </w:rPr>
      </w:pPr>
      <w:r w:rsidRPr="00411CB8">
        <w:rPr>
          <w:rFonts w:ascii="Calibri" w:hAnsi="Calibri" w:cs="Calibri"/>
        </w:rPr>
        <w:br w:type="page"/>
      </w:r>
      <w:r w:rsidRPr="00411CB8">
        <w:rPr>
          <w:rFonts w:ascii="Calibri" w:hAnsi="Calibri" w:cs="Calibri"/>
          <w:b/>
          <w:u w:val="single"/>
        </w:rPr>
        <w:t>Executive Summary</w:t>
      </w:r>
    </w:p>
    <w:p w14:paraId="4266902F" w14:textId="2C3DB07D" w:rsidR="00BC5CC7" w:rsidRPr="00DE4004" w:rsidRDefault="00BC5CC7" w:rsidP="00DE4004">
      <w:pPr>
        <w:numPr>
          <w:ilvl w:val="1"/>
          <w:numId w:val="1"/>
        </w:numPr>
        <w:spacing w:after="240" w:line="360" w:lineRule="auto"/>
        <w:rPr>
          <w:rFonts w:ascii="Calibri" w:hAnsi="Calibri" w:cs="Calibri"/>
          <w:b/>
          <w:u w:val="single"/>
        </w:rPr>
      </w:pPr>
      <w:r>
        <w:t xml:space="preserve">In this assignment my aim is to provide a detailed report on the tort of negligence and its specific elements. But before this I must firstly explain Tort Law and why it has an impact on construction and the built environment. I will also be using case law to outline the importance of it in construction and how it can impact a projects progression. I will use the case of </w:t>
      </w:r>
      <w:r w:rsidRPr="00BC5CC7">
        <w:t xml:space="preserve">Vinci Construction UK Ltd v </w:t>
      </w:r>
      <w:proofErr w:type="spellStart"/>
      <w:r w:rsidRPr="00BC5CC7">
        <w:t>Beumer</w:t>
      </w:r>
      <w:proofErr w:type="spellEnd"/>
      <w:r w:rsidRPr="00BC5CC7">
        <w:t xml:space="preserve"> Group UK Ltd [2018]</w:t>
      </w:r>
      <w:r>
        <w:t xml:space="preserve"> to show the effect adjudication upon deciding a dispute.</w:t>
      </w:r>
    </w:p>
    <w:p w14:paraId="48ABD4D5" w14:textId="77777777" w:rsidR="00BC5CC7" w:rsidRPr="00411CB8" w:rsidRDefault="00BC5CC7" w:rsidP="00BC5CC7">
      <w:pPr>
        <w:numPr>
          <w:ilvl w:val="0"/>
          <w:numId w:val="1"/>
        </w:numPr>
        <w:spacing w:after="240" w:line="360" w:lineRule="auto"/>
        <w:rPr>
          <w:rFonts w:ascii="Calibri" w:hAnsi="Calibri" w:cs="Calibri"/>
          <w:b/>
          <w:u w:val="single"/>
        </w:rPr>
      </w:pPr>
      <w:r w:rsidRPr="00411CB8">
        <w:rPr>
          <w:rFonts w:ascii="Calibri" w:hAnsi="Calibri" w:cs="Calibri"/>
          <w:b/>
          <w:u w:val="single"/>
        </w:rPr>
        <w:t>Terms of Reference</w:t>
      </w:r>
    </w:p>
    <w:p w14:paraId="0310D6B6" w14:textId="5FB6EDCB" w:rsidR="00BC5CC7" w:rsidRPr="00411CB8" w:rsidRDefault="00BC5CC7" w:rsidP="00BC5CC7">
      <w:pPr>
        <w:numPr>
          <w:ilvl w:val="1"/>
          <w:numId w:val="1"/>
        </w:numPr>
        <w:spacing w:after="240" w:line="360" w:lineRule="auto"/>
        <w:rPr>
          <w:rFonts w:ascii="Calibri" w:hAnsi="Calibri" w:cs="Calibri"/>
        </w:rPr>
      </w:pPr>
      <w:r w:rsidRPr="00411CB8">
        <w:rPr>
          <w:rFonts w:ascii="Calibri" w:hAnsi="Calibri" w:cs="Calibri"/>
        </w:rPr>
        <w:t xml:space="preserve">The </w:t>
      </w:r>
      <w:proofErr w:type="gramStart"/>
      <w:r w:rsidRPr="00411CB8">
        <w:rPr>
          <w:rFonts w:ascii="Calibri" w:hAnsi="Calibri" w:cs="Calibri"/>
        </w:rPr>
        <w:t>main focus</w:t>
      </w:r>
      <w:proofErr w:type="gramEnd"/>
      <w:r w:rsidR="00DE4004">
        <w:rPr>
          <w:rFonts w:ascii="Calibri" w:hAnsi="Calibri" w:cs="Calibri"/>
        </w:rPr>
        <w:t xml:space="preserve"> of</w:t>
      </w:r>
      <w:r w:rsidRPr="00411CB8">
        <w:rPr>
          <w:rFonts w:ascii="Calibri" w:hAnsi="Calibri" w:cs="Calibri"/>
        </w:rPr>
        <w:t xml:space="preserve"> </w:t>
      </w:r>
      <w:r w:rsidR="00DE4004">
        <w:rPr>
          <w:rFonts w:ascii="Calibri" w:hAnsi="Calibri" w:cs="Calibri"/>
        </w:rPr>
        <w:t xml:space="preserve">this report </w:t>
      </w:r>
      <w:r w:rsidRPr="00411CB8">
        <w:rPr>
          <w:rFonts w:ascii="Calibri" w:hAnsi="Calibri" w:cs="Calibri"/>
        </w:rPr>
        <w:t>is:</w:t>
      </w:r>
    </w:p>
    <w:p w14:paraId="3809A3BD" w14:textId="457DF670" w:rsidR="00BC5CC7" w:rsidRPr="00411CB8" w:rsidRDefault="00BC5CC7" w:rsidP="00BC5CC7">
      <w:pPr>
        <w:numPr>
          <w:ilvl w:val="2"/>
          <w:numId w:val="1"/>
        </w:numPr>
        <w:spacing w:after="240" w:line="360" w:lineRule="auto"/>
        <w:rPr>
          <w:rFonts w:ascii="Calibri" w:hAnsi="Calibri" w:cs="Calibri"/>
        </w:rPr>
      </w:pPr>
      <w:r w:rsidRPr="00411CB8">
        <w:rPr>
          <w:rFonts w:ascii="Calibri" w:hAnsi="Calibri" w:cs="Calibri"/>
        </w:rPr>
        <w:t xml:space="preserve">To </w:t>
      </w:r>
      <w:r w:rsidR="00DE4004">
        <w:rPr>
          <w:rFonts w:ascii="Calibri" w:hAnsi="Calibri" w:cs="Calibri"/>
        </w:rPr>
        <w:t>describe in detail the tort of negligence</w:t>
      </w:r>
    </w:p>
    <w:p w14:paraId="64DB562A" w14:textId="15CB9B00" w:rsidR="00BC5CC7" w:rsidRPr="00411CB8" w:rsidRDefault="00BC5CC7" w:rsidP="00BC5CC7">
      <w:pPr>
        <w:numPr>
          <w:ilvl w:val="2"/>
          <w:numId w:val="1"/>
        </w:numPr>
        <w:spacing w:after="240" w:line="360" w:lineRule="auto"/>
        <w:rPr>
          <w:rFonts w:ascii="Calibri" w:hAnsi="Calibri" w:cs="Calibri"/>
        </w:rPr>
      </w:pPr>
      <w:r w:rsidRPr="00411CB8">
        <w:rPr>
          <w:rFonts w:ascii="Calibri" w:hAnsi="Calibri" w:cs="Calibri"/>
        </w:rPr>
        <w:t>This report is expected to be due by</w:t>
      </w:r>
      <w:r w:rsidR="00DE4004">
        <w:rPr>
          <w:rFonts w:ascii="Calibri" w:hAnsi="Calibri" w:cs="Calibri"/>
        </w:rPr>
        <w:t xml:space="preserve"> 01/12/22</w:t>
      </w:r>
    </w:p>
    <w:p w14:paraId="4D856532" w14:textId="77777777" w:rsidR="00BC5CC7" w:rsidRPr="00411CB8" w:rsidRDefault="00BC5CC7" w:rsidP="00BC5CC7">
      <w:pPr>
        <w:spacing w:after="240" w:line="360" w:lineRule="auto"/>
        <w:rPr>
          <w:rFonts w:ascii="Calibri" w:hAnsi="Calibri" w:cs="Calibri"/>
        </w:rPr>
      </w:pPr>
    </w:p>
    <w:p w14:paraId="11880423" w14:textId="77777777" w:rsidR="00BC5CC7" w:rsidRPr="00411CB8" w:rsidRDefault="00BC5CC7" w:rsidP="00BC5CC7">
      <w:pPr>
        <w:numPr>
          <w:ilvl w:val="0"/>
          <w:numId w:val="1"/>
        </w:numPr>
        <w:spacing w:after="240" w:line="360" w:lineRule="auto"/>
        <w:rPr>
          <w:rFonts w:ascii="Calibri" w:hAnsi="Calibri" w:cs="Calibri"/>
          <w:b/>
          <w:bCs/>
          <w:u w:val="single"/>
        </w:rPr>
      </w:pPr>
      <w:r w:rsidRPr="00411CB8">
        <w:rPr>
          <w:rFonts w:ascii="Calibri" w:hAnsi="Calibri" w:cs="Calibri"/>
          <w:b/>
          <w:bCs/>
          <w:u w:val="single"/>
        </w:rPr>
        <w:t>Procedure</w:t>
      </w:r>
    </w:p>
    <w:p w14:paraId="2A136571" w14:textId="77777777" w:rsidR="00BC5CC7" w:rsidRPr="00411CB8" w:rsidRDefault="00BC5CC7" w:rsidP="00BC5CC7">
      <w:pPr>
        <w:spacing w:after="240" w:line="360" w:lineRule="auto"/>
        <w:ind w:left="720"/>
        <w:rPr>
          <w:rFonts w:ascii="Calibri" w:hAnsi="Calibri" w:cs="Calibri"/>
        </w:rPr>
      </w:pPr>
      <w:r w:rsidRPr="00411CB8">
        <w:rPr>
          <w:rFonts w:ascii="Calibri" w:hAnsi="Calibri" w:cs="Calibri"/>
        </w:rPr>
        <w:t>This section highlights the research sources used.</w:t>
      </w:r>
    </w:p>
    <w:p w14:paraId="452778C4" w14:textId="2E065098" w:rsidR="00BC5CC7" w:rsidRPr="00411CB8" w:rsidRDefault="00BC5CC7" w:rsidP="00BC5CC7">
      <w:pPr>
        <w:numPr>
          <w:ilvl w:val="1"/>
          <w:numId w:val="1"/>
        </w:numPr>
        <w:spacing w:after="240" w:line="360" w:lineRule="auto"/>
        <w:rPr>
          <w:rFonts w:ascii="Calibri" w:hAnsi="Calibri" w:cs="Calibri"/>
        </w:rPr>
      </w:pPr>
      <w:r w:rsidRPr="00411CB8">
        <w:rPr>
          <w:rFonts w:ascii="Calibri" w:hAnsi="Calibri" w:cs="Calibri"/>
        </w:rPr>
        <w:t xml:space="preserve">The research consists of different sources ranging from blogs, </w:t>
      </w:r>
      <w:r w:rsidR="00DE4004">
        <w:rPr>
          <w:rFonts w:ascii="Calibri" w:hAnsi="Calibri" w:cs="Calibri"/>
        </w:rPr>
        <w:t>lawsuits</w:t>
      </w:r>
      <w:r w:rsidRPr="00411CB8">
        <w:rPr>
          <w:rFonts w:ascii="Calibri" w:hAnsi="Calibri" w:cs="Calibri"/>
        </w:rPr>
        <w:t xml:space="preserve"> and websites which is all set out on the bibliography and references. </w:t>
      </w:r>
    </w:p>
    <w:p w14:paraId="1650D371" w14:textId="51A487AD" w:rsidR="00BC5CC7" w:rsidRPr="00DE4004" w:rsidRDefault="00BC5CC7" w:rsidP="00DE4004">
      <w:pPr>
        <w:numPr>
          <w:ilvl w:val="1"/>
          <w:numId w:val="1"/>
        </w:numPr>
        <w:spacing w:after="240" w:line="360" w:lineRule="auto"/>
        <w:rPr>
          <w:rFonts w:ascii="Calibri" w:hAnsi="Calibri" w:cs="Calibri"/>
        </w:rPr>
      </w:pPr>
      <w:r w:rsidRPr="00411CB8">
        <w:rPr>
          <w:rFonts w:ascii="Calibri" w:hAnsi="Calibri" w:cs="Calibri"/>
        </w:rPr>
        <w:t xml:space="preserve">Detailed notes from online </w:t>
      </w:r>
      <w:r w:rsidR="00DE4004">
        <w:rPr>
          <w:rFonts w:ascii="Calibri" w:hAnsi="Calibri" w:cs="Calibri"/>
        </w:rPr>
        <w:t>articles and library</w:t>
      </w:r>
      <w:r w:rsidR="00DE4004" w:rsidRPr="00DE4004">
        <w:rPr>
          <w:rFonts w:ascii="Calibri" w:hAnsi="Calibri" w:cs="Calibri"/>
        </w:rPr>
        <w:t xml:space="preserve"> books.</w:t>
      </w:r>
    </w:p>
    <w:p w14:paraId="35CC6088" w14:textId="77777777" w:rsidR="00BC5CC7" w:rsidRPr="00411CB8" w:rsidRDefault="00BC5CC7" w:rsidP="00BC5CC7">
      <w:pPr>
        <w:spacing w:after="240" w:line="360" w:lineRule="auto"/>
        <w:ind w:left="720"/>
        <w:rPr>
          <w:rFonts w:ascii="Calibri" w:hAnsi="Calibri" w:cs="Calibri"/>
        </w:rPr>
      </w:pPr>
    </w:p>
    <w:p w14:paraId="7CA00A02" w14:textId="77777777" w:rsidR="00BC5CC7" w:rsidRDefault="00BC5CC7" w:rsidP="00BC5CC7">
      <w:pPr>
        <w:spacing w:after="240" w:line="360" w:lineRule="auto"/>
        <w:ind w:left="720"/>
        <w:rPr>
          <w:rFonts w:ascii="Calibri" w:hAnsi="Calibri" w:cs="Calibri"/>
        </w:rPr>
      </w:pPr>
    </w:p>
    <w:p w14:paraId="22ACEF4E" w14:textId="77777777" w:rsidR="00BC5CC7" w:rsidRDefault="00BC5CC7" w:rsidP="00BC5CC7">
      <w:pPr>
        <w:spacing w:after="240" w:line="360" w:lineRule="auto"/>
        <w:ind w:left="720"/>
        <w:rPr>
          <w:rFonts w:ascii="Calibri" w:hAnsi="Calibri" w:cs="Calibri"/>
        </w:rPr>
      </w:pPr>
    </w:p>
    <w:p w14:paraId="5F65517C" w14:textId="77777777" w:rsidR="00BC5CC7" w:rsidRDefault="00BC5CC7" w:rsidP="00BC5CC7">
      <w:pPr>
        <w:spacing w:after="240" w:line="360" w:lineRule="auto"/>
        <w:ind w:left="720"/>
        <w:rPr>
          <w:rFonts w:ascii="Calibri" w:hAnsi="Calibri" w:cs="Calibri"/>
        </w:rPr>
      </w:pPr>
    </w:p>
    <w:p w14:paraId="4CF3ED32" w14:textId="77777777" w:rsidR="00BC5CC7" w:rsidRPr="00411CB8" w:rsidRDefault="00BC5CC7" w:rsidP="00BC5CC7">
      <w:pPr>
        <w:spacing w:after="240" w:line="360" w:lineRule="auto"/>
        <w:ind w:left="720"/>
        <w:rPr>
          <w:rFonts w:ascii="Calibri" w:hAnsi="Calibri" w:cs="Calibri"/>
        </w:rPr>
      </w:pPr>
    </w:p>
    <w:p w14:paraId="44DF6743" w14:textId="0AD51611" w:rsidR="00BC5CC7" w:rsidRPr="00DE4004" w:rsidRDefault="002E669A" w:rsidP="00BC5CC7">
      <w:pPr>
        <w:numPr>
          <w:ilvl w:val="0"/>
          <w:numId w:val="1"/>
        </w:numPr>
        <w:spacing w:after="240" w:line="360" w:lineRule="auto"/>
        <w:rPr>
          <w:rFonts w:ascii="Calibri" w:hAnsi="Calibri" w:cs="Calibri"/>
          <w:b/>
          <w:sz w:val="28"/>
          <w:szCs w:val="28"/>
          <w:u w:val="single"/>
        </w:rPr>
      </w:pPr>
      <w:r>
        <w:rPr>
          <w:rFonts w:ascii="Calibri" w:hAnsi="Calibri" w:cs="Calibri"/>
          <w:b/>
          <w:bCs/>
          <w:sz w:val="28"/>
          <w:szCs w:val="28"/>
          <w:u w:val="single"/>
        </w:rPr>
        <w:t>Tort Law</w:t>
      </w:r>
    </w:p>
    <w:p w14:paraId="213AC25C" w14:textId="77777777" w:rsidR="002E669A" w:rsidRPr="002E669A" w:rsidRDefault="007225EE" w:rsidP="00BE6A47">
      <w:pPr>
        <w:numPr>
          <w:ilvl w:val="1"/>
          <w:numId w:val="1"/>
        </w:numPr>
        <w:spacing w:after="240" w:line="360" w:lineRule="auto"/>
        <w:rPr>
          <w:rFonts w:ascii="Calibri" w:hAnsi="Calibri" w:cs="Calibri"/>
          <w:b/>
          <w:sz w:val="28"/>
          <w:szCs w:val="28"/>
          <w:u w:val="single"/>
        </w:rPr>
      </w:pPr>
      <w:r>
        <w:rPr>
          <w:rFonts w:ascii="Calibri" w:hAnsi="Calibri" w:cs="Calibri"/>
          <w:bCs/>
        </w:rPr>
        <w:t xml:space="preserve">A tort is a wrongful act that results in damage of another party. </w:t>
      </w:r>
      <w:r w:rsidR="00997547">
        <w:rPr>
          <w:rFonts w:ascii="Calibri" w:hAnsi="Calibri" w:cs="Calibri"/>
          <w:bCs/>
        </w:rPr>
        <w:t xml:space="preserve">The Law of torts is when a civil dispute takes place. </w:t>
      </w:r>
      <w:r>
        <w:rPr>
          <w:rFonts w:ascii="Calibri" w:hAnsi="Calibri" w:cs="Calibri"/>
          <w:bCs/>
        </w:rPr>
        <w:t>This could be</w:t>
      </w:r>
      <w:r w:rsidR="00997547">
        <w:rPr>
          <w:rFonts w:ascii="Calibri" w:hAnsi="Calibri" w:cs="Calibri"/>
          <w:bCs/>
        </w:rPr>
        <w:t xml:space="preserve">tween </w:t>
      </w:r>
      <w:r>
        <w:rPr>
          <w:rFonts w:ascii="Calibri" w:hAnsi="Calibri" w:cs="Calibri"/>
          <w:bCs/>
        </w:rPr>
        <w:t xml:space="preserve">many </w:t>
      </w:r>
      <w:r w:rsidR="00997547">
        <w:rPr>
          <w:rFonts w:ascii="Calibri" w:hAnsi="Calibri" w:cs="Calibri"/>
          <w:bCs/>
        </w:rPr>
        <w:t>people</w:t>
      </w:r>
      <w:r w:rsidR="002E669A">
        <w:rPr>
          <w:rFonts w:ascii="Calibri" w:hAnsi="Calibri" w:cs="Calibri"/>
          <w:bCs/>
        </w:rPr>
        <w:t xml:space="preserve"> </w:t>
      </w:r>
      <w:r>
        <w:rPr>
          <w:rFonts w:ascii="Calibri" w:hAnsi="Calibri" w:cs="Calibri"/>
          <w:bCs/>
        </w:rPr>
        <w:t>such as a person. For example, an injury. A property</w:t>
      </w:r>
      <w:r w:rsidR="00997547">
        <w:rPr>
          <w:rFonts w:ascii="Calibri" w:hAnsi="Calibri" w:cs="Calibri"/>
          <w:bCs/>
        </w:rPr>
        <w:t xml:space="preserve"> could be as part of a dispute</w:t>
      </w:r>
      <w:r>
        <w:rPr>
          <w:rFonts w:ascii="Calibri" w:hAnsi="Calibri" w:cs="Calibri"/>
          <w:bCs/>
        </w:rPr>
        <w:t xml:space="preserve"> as it could incur damage. Another </w:t>
      </w:r>
      <w:r w:rsidR="00997547">
        <w:rPr>
          <w:rFonts w:ascii="Calibri" w:hAnsi="Calibri" w:cs="Calibri"/>
          <w:bCs/>
        </w:rPr>
        <w:t>dispute</w:t>
      </w:r>
      <w:r>
        <w:rPr>
          <w:rFonts w:ascii="Calibri" w:hAnsi="Calibri" w:cs="Calibri"/>
          <w:bCs/>
        </w:rPr>
        <w:t xml:space="preserve"> could be</w:t>
      </w:r>
      <w:r w:rsidR="00997547">
        <w:rPr>
          <w:rFonts w:ascii="Calibri" w:hAnsi="Calibri" w:cs="Calibri"/>
          <w:bCs/>
        </w:rPr>
        <w:t xml:space="preserve"> between 2 companies </w:t>
      </w:r>
      <w:r>
        <w:rPr>
          <w:rFonts w:ascii="Calibri" w:hAnsi="Calibri" w:cs="Calibri"/>
          <w:bCs/>
        </w:rPr>
        <w:t xml:space="preserve">that </w:t>
      </w:r>
      <w:proofErr w:type="gramStart"/>
      <w:r>
        <w:rPr>
          <w:rFonts w:ascii="Calibri" w:hAnsi="Calibri" w:cs="Calibri"/>
          <w:bCs/>
        </w:rPr>
        <w:t>as a result of</w:t>
      </w:r>
      <w:proofErr w:type="gramEnd"/>
      <w:r>
        <w:rPr>
          <w:rFonts w:ascii="Calibri" w:hAnsi="Calibri" w:cs="Calibri"/>
          <w:bCs/>
        </w:rPr>
        <w:t xml:space="preserve"> the wrongful doing, the companies’ reputation has been affected. </w:t>
      </w:r>
      <w:r w:rsidR="002E669A">
        <w:rPr>
          <w:rFonts w:ascii="Calibri" w:hAnsi="Calibri" w:cs="Calibri"/>
          <w:bCs/>
        </w:rPr>
        <w:t xml:space="preserve">In a lawsuit the person(s) making the claim is known as a claimant or plaintiff and the person who commits a tort is known as a tort </w:t>
      </w:r>
      <w:proofErr w:type="spellStart"/>
      <w:r w:rsidR="002E669A">
        <w:rPr>
          <w:rFonts w:ascii="Calibri" w:hAnsi="Calibri" w:cs="Calibri"/>
          <w:bCs/>
        </w:rPr>
        <w:t>feasor</w:t>
      </w:r>
      <w:proofErr w:type="spellEnd"/>
      <w:r w:rsidR="002E669A">
        <w:rPr>
          <w:rFonts w:ascii="Calibri" w:hAnsi="Calibri" w:cs="Calibri"/>
          <w:bCs/>
        </w:rPr>
        <w:t>.</w:t>
      </w:r>
    </w:p>
    <w:p w14:paraId="19194279" w14:textId="337B3C79" w:rsidR="001275E9" w:rsidRPr="001275E9" w:rsidRDefault="002E669A" w:rsidP="00BE6A47">
      <w:pPr>
        <w:numPr>
          <w:ilvl w:val="1"/>
          <w:numId w:val="1"/>
        </w:numPr>
        <w:spacing w:after="240" w:line="360" w:lineRule="auto"/>
        <w:rPr>
          <w:rFonts w:ascii="Calibri" w:hAnsi="Calibri" w:cs="Calibri"/>
          <w:b/>
          <w:sz w:val="28"/>
          <w:szCs w:val="28"/>
          <w:u w:val="single"/>
        </w:rPr>
      </w:pPr>
      <w:r>
        <w:rPr>
          <w:rFonts w:ascii="Calibri" w:hAnsi="Calibri" w:cs="Calibri"/>
          <w:bCs/>
        </w:rPr>
        <w:t>To</w:t>
      </w:r>
      <w:r w:rsidR="007225EE">
        <w:rPr>
          <w:rFonts w:ascii="Calibri" w:hAnsi="Calibri" w:cs="Calibri"/>
          <w:bCs/>
        </w:rPr>
        <w:t>rt is known as the law of civil wrongs.</w:t>
      </w:r>
      <w:r w:rsidR="00290005">
        <w:rPr>
          <w:rFonts w:ascii="Calibri" w:hAnsi="Calibri" w:cs="Calibri"/>
          <w:bCs/>
        </w:rPr>
        <w:t xml:space="preserve"> In tort, the court applies common law </w:t>
      </w:r>
      <w:r w:rsidR="001275E9">
        <w:rPr>
          <w:rFonts w:ascii="Calibri" w:hAnsi="Calibri" w:cs="Calibri"/>
          <w:bCs/>
        </w:rPr>
        <w:t xml:space="preserve">which involves </w:t>
      </w:r>
      <w:r w:rsidR="00997547">
        <w:rPr>
          <w:rFonts w:ascii="Calibri" w:hAnsi="Calibri" w:cs="Calibri"/>
          <w:bCs/>
        </w:rPr>
        <w:t>many</w:t>
      </w:r>
      <w:r w:rsidR="001275E9">
        <w:rPr>
          <w:rFonts w:ascii="Calibri" w:hAnsi="Calibri" w:cs="Calibri"/>
          <w:bCs/>
        </w:rPr>
        <w:t xml:space="preserve"> different categories</w:t>
      </w:r>
      <w:r w:rsidR="00997547">
        <w:rPr>
          <w:rFonts w:ascii="Calibri" w:hAnsi="Calibri" w:cs="Calibri"/>
          <w:bCs/>
        </w:rPr>
        <w:t xml:space="preserve"> such as</w:t>
      </w:r>
      <w:r w:rsidR="001275E9">
        <w:rPr>
          <w:rFonts w:ascii="Calibri" w:hAnsi="Calibri" w:cs="Calibri"/>
          <w:bCs/>
        </w:rPr>
        <w:t>:</w:t>
      </w:r>
    </w:p>
    <w:p w14:paraId="25493B49" w14:textId="4BBC9C53" w:rsidR="001275E9" w:rsidRPr="001275E9" w:rsidRDefault="001275E9" w:rsidP="00B86953">
      <w:pPr>
        <w:numPr>
          <w:ilvl w:val="2"/>
          <w:numId w:val="1"/>
        </w:numPr>
        <w:spacing w:after="240"/>
        <w:rPr>
          <w:rFonts w:ascii="Calibri" w:hAnsi="Calibri" w:cs="Calibri"/>
          <w:b/>
          <w:sz w:val="28"/>
          <w:szCs w:val="28"/>
          <w:u w:val="single"/>
        </w:rPr>
      </w:pPr>
      <w:r>
        <w:rPr>
          <w:rFonts w:ascii="Calibri" w:hAnsi="Calibri" w:cs="Calibri"/>
          <w:bCs/>
        </w:rPr>
        <w:t xml:space="preserve">Negligence </w:t>
      </w:r>
    </w:p>
    <w:p w14:paraId="6EE7F97F" w14:textId="0A0B3146" w:rsidR="001275E9" w:rsidRPr="00997547" w:rsidRDefault="001275E9" w:rsidP="00B86953">
      <w:pPr>
        <w:numPr>
          <w:ilvl w:val="2"/>
          <w:numId w:val="1"/>
        </w:numPr>
        <w:spacing w:after="240"/>
        <w:rPr>
          <w:rFonts w:ascii="Calibri" w:hAnsi="Calibri" w:cs="Calibri"/>
          <w:b/>
          <w:sz w:val="28"/>
          <w:szCs w:val="28"/>
          <w:u w:val="single"/>
        </w:rPr>
      </w:pPr>
      <w:r>
        <w:rPr>
          <w:rFonts w:ascii="Calibri" w:hAnsi="Calibri" w:cs="Calibri"/>
          <w:bCs/>
        </w:rPr>
        <w:t>Nuisance</w:t>
      </w:r>
    </w:p>
    <w:p w14:paraId="6A6E0432" w14:textId="59FE750D" w:rsidR="00997547" w:rsidRPr="00997547" w:rsidRDefault="00997547" w:rsidP="00B86953">
      <w:pPr>
        <w:numPr>
          <w:ilvl w:val="2"/>
          <w:numId w:val="1"/>
        </w:numPr>
        <w:spacing w:after="240"/>
        <w:rPr>
          <w:rFonts w:ascii="Calibri" w:hAnsi="Calibri" w:cs="Calibri"/>
          <w:b/>
          <w:sz w:val="28"/>
          <w:szCs w:val="28"/>
          <w:u w:val="single"/>
        </w:rPr>
      </w:pPr>
      <w:r>
        <w:rPr>
          <w:rFonts w:ascii="Calibri" w:hAnsi="Calibri" w:cs="Calibri"/>
          <w:bCs/>
        </w:rPr>
        <w:t>Slander</w:t>
      </w:r>
    </w:p>
    <w:p w14:paraId="11DD62EB" w14:textId="2A77D396" w:rsidR="00997547" w:rsidRDefault="00997547" w:rsidP="00B86953">
      <w:pPr>
        <w:numPr>
          <w:ilvl w:val="2"/>
          <w:numId w:val="1"/>
        </w:numPr>
        <w:spacing w:after="240"/>
        <w:rPr>
          <w:rFonts w:ascii="Calibri" w:hAnsi="Calibri" w:cs="Calibri"/>
          <w:b/>
          <w:sz w:val="28"/>
          <w:szCs w:val="28"/>
          <w:u w:val="single"/>
        </w:rPr>
      </w:pPr>
      <w:r>
        <w:rPr>
          <w:rFonts w:ascii="Calibri" w:hAnsi="Calibri" w:cs="Calibri"/>
          <w:bCs/>
        </w:rPr>
        <w:t>Libel</w:t>
      </w:r>
    </w:p>
    <w:p w14:paraId="60EA18F2" w14:textId="3C0C1BE8" w:rsidR="001275E9" w:rsidRPr="001275E9" w:rsidRDefault="001275E9" w:rsidP="00B86953">
      <w:pPr>
        <w:numPr>
          <w:ilvl w:val="2"/>
          <w:numId w:val="1"/>
        </w:numPr>
        <w:spacing w:after="240"/>
        <w:rPr>
          <w:rFonts w:ascii="Calibri" w:hAnsi="Calibri" w:cs="Calibri"/>
          <w:b/>
          <w:sz w:val="28"/>
          <w:szCs w:val="28"/>
          <w:u w:val="single"/>
        </w:rPr>
      </w:pPr>
      <w:r>
        <w:rPr>
          <w:rFonts w:ascii="Calibri" w:hAnsi="Calibri" w:cs="Calibri"/>
          <w:bCs/>
        </w:rPr>
        <w:t>Trespass</w:t>
      </w:r>
    </w:p>
    <w:p w14:paraId="22A82269" w14:textId="4544B355" w:rsidR="00317132" w:rsidRPr="002E669A" w:rsidRDefault="001275E9" w:rsidP="001275E9">
      <w:pPr>
        <w:numPr>
          <w:ilvl w:val="1"/>
          <w:numId w:val="1"/>
        </w:numPr>
        <w:spacing w:after="240" w:line="360" w:lineRule="auto"/>
        <w:rPr>
          <w:rFonts w:ascii="Calibri" w:hAnsi="Calibri" w:cs="Calibri"/>
          <w:b/>
          <w:sz w:val="28"/>
          <w:szCs w:val="28"/>
          <w:u w:val="single"/>
        </w:rPr>
      </w:pPr>
      <w:r w:rsidRPr="00317132">
        <w:rPr>
          <w:rFonts w:ascii="Calibri" w:hAnsi="Calibri" w:cs="Calibri"/>
          <w:bCs/>
        </w:rPr>
        <w:t xml:space="preserve">Each tort has its own specific characteristics.  These elements determine the outcome of the lawsuit </w:t>
      </w:r>
      <w:r w:rsidR="00997547" w:rsidRPr="00317132">
        <w:rPr>
          <w:rFonts w:ascii="Calibri" w:hAnsi="Calibri" w:cs="Calibri"/>
          <w:bCs/>
        </w:rPr>
        <w:t xml:space="preserve">because one of characteristics must be referred to in the case. This </w:t>
      </w:r>
      <w:r w:rsidRPr="00317132">
        <w:rPr>
          <w:rFonts w:ascii="Calibri" w:hAnsi="Calibri" w:cs="Calibri"/>
          <w:bCs/>
        </w:rPr>
        <w:t xml:space="preserve">means </w:t>
      </w:r>
      <w:r w:rsidR="00997547" w:rsidRPr="00317132">
        <w:rPr>
          <w:rFonts w:ascii="Calibri" w:hAnsi="Calibri" w:cs="Calibri"/>
          <w:bCs/>
        </w:rPr>
        <w:t xml:space="preserve">that there is no common ground like there is in contract law or employment law for instance and </w:t>
      </w:r>
      <w:r w:rsidRPr="00317132">
        <w:rPr>
          <w:rFonts w:ascii="Calibri" w:hAnsi="Calibri" w:cs="Calibri"/>
          <w:bCs/>
        </w:rPr>
        <w:t>it is not governed by one set of rules</w:t>
      </w:r>
      <w:r w:rsidR="00997547" w:rsidRPr="00317132">
        <w:rPr>
          <w:rFonts w:ascii="Calibri" w:hAnsi="Calibri" w:cs="Calibri"/>
          <w:bCs/>
        </w:rPr>
        <w:t xml:space="preserve">. This is important as </w:t>
      </w:r>
      <w:r w:rsidR="00317132" w:rsidRPr="00317132">
        <w:rPr>
          <w:rFonts w:ascii="Calibri" w:hAnsi="Calibri" w:cs="Calibri"/>
          <w:bCs/>
        </w:rPr>
        <w:t xml:space="preserve">you need to understand the different distinction of each </w:t>
      </w:r>
      <w:proofErr w:type="gramStart"/>
      <w:r w:rsidR="00317132" w:rsidRPr="00317132">
        <w:rPr>
          <w:rFonts w:ascii="Calibri" w:hAnsi="Calibri" w:cs="Calibri"/>
          <w:bCs/>
        </w:rPr>
        <w:t>characteristics</w:t>
      </w:r>
      <w:proofErr w:type="gramEnd"/>
      <w:r w:rsidR="00317132" w:rsidRPr="00317132">
        <w:rPr>
          <w:rFonts w:ascii="Calibri" w:hAnsi="Calibri" w:cs="Calibri"/>
          <w:bCs/>
        </w:rPr>
        <w:t xml:space="preserve"> are and also the court must be able to prove that one of the elements has occurred. Not all tort law cases are taken into court. However, the ones that are relate to adjustment of losses. For </w:t>
      </w:r>
      <w:proofErr w:type="gramStart"/>
      <w:r w:rsidR="00317132" w:rsidRPr="00317132">
        <w:rPr>
          <w:rFonts w:ascii="Calibri" w:hAnsi="Calibri" w:cs="Calibri"/>
          <w:bCs/>
        </w:rPr>
        <w:t>example</w:t>
      </w:r>
      <w:proofErr w:type="gramEnd"/>
      <w:r w:rsidR="00317132" w:rsidRPr="00317132">
        <w:rPr>
          <w:rFonts w:ascii="Calibri" w:hAnsi="Calibri" w:cs="Calibri"/>
          <w:bCs/>
        </w:rPr>
        <w:t xml:space="preserve"> if you have been injured, it is against you. If a property is </w:t>
      </w:r>
      <w:proofErr w:type="gramStart"/>
      <w:r w:rsidR="00317132" w:rsidRPr="00317132">
        <w:rPr>
          <w:rFonts w:ascii="Calibri" w:hAnsi="Calibri" w:cs="Calibri"/>
          <w:bCs/>
        </w:rPr>
        <w:t>has</w:t>
      </w:r>
      <w:proofErr w:type="gramEnd"/>
      <w:r w:rsidR="00317132" w:rsidRPr="00317132">
        <w:rPr>
          <w:rFonts w:ascii="Calibri" w:hAnsi="Calibri" w:cs="Calibri"/>
          <w:bCs/>
        </w:rPr>
        <w:t xml:space="preserve"> been damaged, it is against the property. It has shown to progress right up to the high courts in some cases and if the outcome if proven liable, the duties in tort are imposed automatically. </w:t>
      </w:r>
      <w:r w:rsidR="00317132">
        <w:rPr>
          <w:rFonts w:ascii="Calibri" w:hAnsi="Calibri" w:cs="Calibri"/>
          <w:bCs/>
        </w:rPr>
        <w:t xml:space="preserve">What this mean is that once a party is found liable, the court will immediately decide what the appropriate penalty would be required against the defendant. An important point to outline is that if any stage during the court case if the requirement of the specific characteristic is broken or is not met, the defendant will not be </w:t>
      </w:r>
      <w:r w:rsidR="00736059">
        <w:rPr>
          <w:rFonts w:ascii="Calibri" w:hAnsi="Calibri" w:cs="Calibri"/>
          <w:bCs/>
        </w:rPr>
        <w:t>charged,</w:t>
      </w:r>
      <w:r w:rsidR="002E669A">
        <w:rPr>
          <w:rFonts w:ascii="Calibri" w:hAnsi="Calibri" w:cs="Calibri"/>
          <w:bCs/>
        </w:rPr>
        <w:t xml:space="preserve"> or the claimant is not recompensed for their loss.</w:t>
      </w:r>
    </w:p>
    <w:p w14:paraId="148352EC" w14:textId="0586D010" w:rsidR="002E669A" w:rsidRDefault="002E669A" w:rsidP="002E669A">
      <w:pPr>
        <w:numPr>
          <w:ilvl w:val="0"/>
          <w:numId w:val="1"/>
        </w:numPr>
        <w:spacing w:after="240" w:line="360" w:lineRule="auto"/>
        <w:rPr>
          <w:rFonts w:ascii="Calibri" w:hAnsi="Calibri" w:cs="Calibri"/>
          <w:b/>
          <w:sz w:val="28"/>
          <w:szCs w:val="28"/>
          <w:u w:val="single"/>
        </w:rPr>
      </w:pPr>
      <w:r>
        <w:rPr>
          <w:rFonts w:ascii="Calibri" w:hAnsi="Calibri" w:cs="Calibri"/>
          <w:b/>
          <w:sz w:val="28"/>
          <w:szCs w:val="28"/>
          <w:u w:val="single"/>
        </w:rPr>
        <w:t>Liability In Tort</w:t>
      </w:r>
    </w:p>
    <w:p w14:paraId="2662FC77" w14:textId="7E26E60E" w:rsidR="00793412" w:rsidRPr="00793412" w:rsidRDefault="002E669A" w:rsidP="00793412">
      <w:pPr>
        <w:numPr>
          <w:ilvl w:val="1"/>
          <w:numId w:val="1"/>
        </w:numPr>
        <w:spacing w:after="240" w:line="360" w:lineRule="auto"/>
        <w:rPr>
          <w:rFonts w:ascii="Calibri" w:hAnsi="Calibri" w:cs="Calibri"/>
          <w:b/>
          <w:sz w:val="28"/>
          <w:szCs w:val="28"/>
          <w:u w:val="single"/>
        </w:rPr>
      </w:pPr>
      <w:r>
        <w:rPr>
          <w:rFonts w:ascii="Calibri" w:hAnsi="Calibri" w:cs="Calibri"/>
          <w:bCs/>
        </w:rPr>
        <w:t>There are different types of liability in tort law</w:t>
      </w:r>
      <w:r w:rsidR="00793412">
        <w:rPr>
          <w:rFonts w:ascii="Calibri" w:hAnsi="Calibri" w:cs="Calibri"/>
          <w:bCs/>
        </w:rPr>
        <w:t xml:space="preserve"> which ultimately decides who is penalised for committing a tort.</w:t>
      </w:r>
    </w:p>
    <w:p w14:paraId="560CC131" w14:textId="6AEB4CA6" w:rsidR="00793412" w:rsidRDefault="00793412" w:rsidP="00793412">
      <w:pPr>
        <w:numPr>
          <w:ilvl w:val="1"/>
          <w:numId w:val="1"/>
        </w:numPr>
        <w:spacing w:after="240" w:line="360" w:lineRule="auto"/>
        <w:rPr>
          <w:rFonts w:ascii="Calibri" w:hAnsi="Calibri" w:cs="Calibri"/>
          <w:b/>
          <w:sz w:val="28"/>
          <w:szCs w:val="28"/>
          <w:u w:val="single"/>
        </w:rPr>
      </w:pPr>
      <w:r>
        <w:rPr>
          <w:rFonts w:ascii="Calibri" w:hAnsi="Calibri" w:cs="Calibri"/>
          <w:bCs/>
        </w:rPr>
        <w:t xml:space="preserve">Personal liability tends to relate to the person who the claim is about. This can be someone who owns a company and his committed a civil wrongdoing. Therefore, the individual(s) who owns the company is personally liable. This is not to say that the company </w:t>
      </w:r>
      <w:proofErr w:type="gramStart"/>
      <w:r>
        <w:rPr>
          <w:rFonts w:ascii="Calibri" w:hAnsi="Calibri" w:cs="Calibri"/>
          <w:bCs/>
        </w:rPr>
        <w:t>as a whole cannot</w:t>
      </w:r>
      <w:proofErr w:type="gramEnd"/>
      <w:r>
        <w:rPr>
          <w:rFonts w:ascii="Calibri" w:hAnsi="Calibri" w:cs="Calibri"/>
          <w:bCs/>
        </w:rPr>
        <w:t xml:space="preserve"> be liable as an organisation can be deemed liable for a civil wrong. An example of personal liability would be a </w:t>
      </w:r>
      <w:r w:rsidR="00736059">
        <w:rPr>
          <w:rFonts w:ascii="Calibri" w:hAnsi="Calibri" w:cs="Calibri"/>
          <w:bCs/>
        </w:rPr>
        <w:t>surgeon</w:t>
      </w:r>
      <w:r>
        <w:rPr>
          <w:rFonts w:ascii="Calibri" w:hAnsi="Calibri" w:cs="Calibri"/>
          <w:bCs/>
        </w:rPr>
        <w:t xml:space="preserve"> operating </w:t>
      </w:r>
      <w:r w:rsidR="00736059">
        <w:rPr>
          <w:rFonts w:ascii="Calibri" w:hAnsi="Calibri" w:cs="Calibri"/>
          <w:bCs/>
        </w:rPr>
        <w:t>on the wrong person or body part due to misread notes. Another example would be a misdiagnosis. The liability then goes to the surgeon as they have not fulfilled their job role as they should have.</w:t>
      </w:r>
    </w:p>
    <w:p w14:paraId="04E97605" w14:textId="1CFFB20D" w:rsidR="00793412" w:rsidRPr="006469E4" w:rsidRDefault="00736059" w:rsidP="00793412">
      <w:pPr>
        <w:numPr>
          <w:ilvl w:val="1"/>
          <w:numId w:val="1"/>
        </w:numPr>
        <w:spacing w:after="240" w:line="360" w:lineRule="auto"/>
        <w:rPr>
          <w:rFonts w:ascii="Calibri" w:hAnsi="Calibri" w:cs="Calibri"/>
          <w:b/>
          <w:sz w:val="28"/>
          <w:szCs w:val="28"/>
          <w:u w:val="single"/>
        </w:rPr>
      </w:pPr>
      <w:r>
        <w:rPr>
          <w:rFonts w:ascii="Calibri" w:hAnsi="Calibri" w:cs="Calibri"/>
          <w:bCs/>
        </w:rPr>
        <w:t xml:space="preserve">Joint liability is when 2 different people are responsible for the same civil wrong. </w:t>
      </w:r>
      <w:r w:rsidRPr="00736059">
        <w:rPr>
          <w:rFonts w:ascii="Calibri" w:hAnsi="Calibri" w:cs="Calibri"/>
          <w:bCs/>
          <w:i/>
          <w:iCs/>
        </w:rPr>
        <w:t>“Under joint and several liability, any one of the tortfeasors may be held liable for the entire damage award if the other tortfeasors are not parties in the lawsuit (say, because they have disappeared and cannot be found) or are unable to pay the judgment. Under several liability, tortfeasors are presumptively liable in equal shares, unless the court allocates the damages according to some other criterion such as relative fault. The inability to pay or the absence of some of the tortfeasors does not alter the court's allocation of responsibility for damages under several liability.”</w:t>
      </w:r>
    </w:p>
    <w:p w14:paraId="5DDC84A4" w14:textId="0DA508ED" w:rsidR="006469E4" w:rsidRPr="006469E4" w:rsidRDefault="00D6081F" w:rsidP="006469E4">
      <w:pPr>
        <w:spacing w:after="240" w:line="360" w:lineRule="auto"/>
        <w:rPr>
          <w:rFonts w:ascii="Calibri" w:hAnsi="Calibri" w:cs="Calibri"/>
          <w:b/>
          <w:u w:val="single"/>
        </w:rPr>
      </w:pPr>
      <w:sdt>
        <w:sdtPr>
          <w:rPr>
            <w:rFonts w:ascii="Calibri" w:hAnsi="Calibri" w:cs="Calibri"/>
            <w:b/>
            <w:u w:val="single"/>
          </w:rPr>
          <w:id w:val="-1928883148"/>
          <w:citation/>
        </w:sdtPr>
        <w:sdtEndPr/>
        <w:sdtContent>
          <w:r w:rsidR="006469E4" w:rsidRPr="006469E4">
            <w:rPr>
              <w:rFonts w:ascii="Calibri" w:hAnsi="Calibri" w:cs="Calibri"/>
              <w:b/>
              <w:u w:val="single"/>
            </w:rPr>
            <w:fldChar w:fldCharType="begin"/>
          </w:r>
          <w:r w:rsidR="006469E4" w:rsidRPr="006469E4">
            <w:rPr>
              <w:rFonts w:ascii="Calibri" w:hAnsi="Calibri" w:cs="Calibri"/>
              <w:b/>
              <w:u w:val="single"/>
            </w:rPr>
            <w:instrText xml:space="preserve"> CITATION Pre16 \l 2057 </w:instrText>
          </w:r>
          <w:r w:rsidR="006469E4" w:rsidRPr="006469E4">
            <w:rPr>
              <w:rFonts w:ascii="Calibri" w:hAnsi="Calibri" w:cs="Calibri"/>
              <w:b/>
              <w:u w:val="single"/>
            </w:rPr>
            <w:fldChar w:fldCharType="separate"/>
          </w:r>
          <w:r w:rsidR="003E321A" w:rsidRPr="003E321A">
            <w:rPr>
              <w:rFonts w:ascii="Calibri" w:hAnsi="Calibri" w:cs="Calibri"/>
              <w:noProof/>
            </w:rPr>
            <w:t>(Cambridge University Press, 2016)</w:t>
          </w:r>
          <w:r w:rsidR="006469E4" w:rsidRPr="006469E4">
            <w:rPr>
              <w:rFonts w:ascii="Calibri" w:hAnsi="Calibri" w:cs="Calibri"/>
              <w:b/>
              <w:u w:val="single"/>
            </w:rPr>
            <w:fldChar w:fldCharType="end"/>
          </w:r>
        </w:sdtContent>
      </w:sdt>
    </w:p>
    <w:p w14:paraId="1CBAD059" w14:textId="26E7A925" w:rsidR="006469E4" w:rsidRDefault="00B05132" w:rsidP="006469E4">
      <w:pPr>
        <w:numPr>
          <w:ilvl w:val="1"/>
          <w:numId w:val="1"/>
        </w:numPr>
        <w:spacing w:after="240" w:line="360" w:lineRule="auto"/>
        <w:rPr>
          <w:rFonts w:ascii="Calibri" w:hAnsi="Calibri" w:cs="Calibri"/>
          <w:b/>
          <w:sz w:val="28"/>
          <w:szCs w:val="28"/>
          <w:u w:val="single"/>
        </w:rPr>
      </w:pPr>
      <w:r w:rsidRPr="006469E4">
        <w:rPr>
          <w:rFonts w:ascii="Calibri" w:hAnsi="Calibri" w:cs="Calibri"/>
          <w:bCs/>
        </w:rPr>
        <w:t>An example of joint liability would be</w:t>
      </w:r>
      <w:r w:rsidR="004E6702" w:rsidRPr="006469E4">
        <w:rPr>
          <w:rFonts w:ascii="Calibri" w:hAnsi="Calibri" w:cs="Calibri"/>
          <w:bCs/>
        </w:rPr>
        <w:t xml:space="preserve"> a man was drunk driving and accidentally hit a cyclist off the road. However, upon investigation into the incident, it was found that the brakes were not working on the car and that the car had </w:t>
      </w:r>
      <w:r w:rsidR="006469E4" w:rsidRPr="006469E4">
        <w:rPr>
          <w:rFonts w:ascii="Calibri" w:hAnsi="Calibri" w:cs="Calibri"/>
          <w:bCs/>
        </w:rPr>
        <w:t>recently</w:t>
      </w:r>
      <w:r w:rsidR="004E6702" w:rsidRPr="006469E4">
        <w:rPr>
          <w:rFonts w:ascii="Calibri" w:hAnsi="Calibri" w:cs="Calibri"/>
          <w:bCs/>
        </w:rPr>
        <w:t xml:space="preserve"> been given the okay from the garage, knowingly that the cars brakes were faulty. </w:t>
      </w:r>
      <w:r w:rsidR="006469E4" w:rsidRPr="006469E4">
        <w:rPr>
          <w:rFonts w:ascii="Calibri" w:hAnsi="Calibri" w:cs="Calibri"/>
          <w:bCs/>
        </w:rPr>
        <w:t>Therefore,</w:t>
      </w:r>
      <w:r w:rsidR="004E6702" w:rsidRPr="006469E4">
        <w:rPr>
          <w:rFonts w:ascii="Calibri" w:hAnsi="Calibri" w:cs="Calibri"/>
          <w:bCs/>
        </w:rPr>
        <w:t xml:space="preserve"> as a result not only is the drunk driver liable as he was breaking the law driving but also the owner of the garage is liable as they have not fulfilled their job role correctly b</w:t>
      </w:r>
      <w:r w:rsidR="006469E4" w:rsidRPr="006469E4">
        <w:rPr>
          <w:rFonts w:ascii="Calibri" w:hAnsi="Calibri" w:cs="Calibri"/>
          <w:bCs/>
        </w:rPr>
        <w:t>y spotting the faulty brakes.</w:t>
      </w:r>
    </w:p>
    <w:p w14:paraId="2050AA83" w14:textId="2EF7A6C3" w:rsidR="006469E4" w:rsidRDefault="006469E4" w:rsidP="006469E4">
      <w:pPr>
        <w:numPr>
          <w:ilvl w:val="0"/>
          <w:numId w:val="1"/>
        </w:numPr>
        <w:spacing w:after="240" w:line="360" w:lineRule="auto"/>
        <w:rPr>
          <w:rFonts w:ascii="Calibri" w:hAnsi="Calibri" w:cs="Calibri"/>
          <w:b/>
          <w:sz w:val="28"/>
          <w:szCs w:val="28"/>
          <w:u w:val="single"/>
        </w:rPr>
      </w:pPr>
      <w:bookmarkStart w:id="0" w:name="_Hlk120803697"/>
      <w:r>
        <w:rPr>
          <w:rFonts w:ascii="Calibri" w:hAnsi="Calibri" w:cs="Calibri"/>
          <w:b/>
          <w:sz w:val="28"/>
          <w:szCs w:val="28"/>
          <w:u w:val="single"/>
        </w:rPr>
        <w:t xml:space="preserve">Civil Liability (Contribution) Act 1978 </w:t>
      </w:r>
    </w:p>
    <w:bookmarkEnd w:id="0"/>
    <w:p w14:paraId="0BFB30A8" w14:textId="3A980106" w:rsidR="006469E4" w:rsidRPr="00DE58C3" w:rsidRDefault="006469E4" w:rsidP="006469E4">
      <w:pPr>
        <w:numPr>
          <w:ilvl w:val="1"/>
          <w:numId w:val="1"/>
        </w:numPr>
        <w:spacing w:after="240" w:line="360" w:lineRule="auto"/>
        <w:rPr>
          <w:rFonts w:ascii="Calibri" w:hAnsi="Calibri" w:cs="Calibri"/>
          <w:b/>
          <w:sz w:val="28"/>
          <w:szCs w:val="28"/>
          <w:u w:val="single"/>
        </w:rPr>
      </w:pPr>
      <w:r w:rsidRPr="00DE58C3">
        <w:rPr>
          <w:rFonts w:ascii="Calibri" w:hAnsi="Calibri" w:cs="Calibri"/>
          <w:b/>
        </w:rPr>
        <w:t xml:space="preserve">McConnell V Lynch Robinson [1957] </w:t>
      </w:r>
    </w:p>
    <w:p w14:paraId="746C18BF" w14:textId="4121D01E" w:rsidR="006469E4" w:rsidRPr="00DB2E19" w:rsidRDefault="006469E4" w:rsidP="006469E4">
      <w:pPr>
        <w:numPr>
          <w:ilvl w:val="2"/>
          <w:numId w:val="1"/>
        </w:numPr>
        <w:spacing w:after="240" w:line="360" w:lineRule="auto"/>
        <w:rPr>
          <w:rFonts w:ascii="Calibri" w:hAnsi="Calibri" w:cs="Calibri"/>
          <w:b/>
          <w:sz w:val="28"/>
          <w:szCs w:val="28"/>
          <w:u w:val="single"/>
        </w:rPr>
      </w:pPr>
      <w:r>
        <w:rPr>
          <w:rFonts w:ascii="Calibri" w:hAnsi="Calibri" w:cs="Calibri"/>
          <w:bCs/>
        </w:rPr>
        <w:t>This case took place in the California Supreme court</w:t>
      </w:r>
    </w:p>
    <w:p w14:paraId="67E24D8B" w14:textId="0E8FDE86" w:rsidR="00DB2E19" w:rsidRPr="00DB2E19" w:rsidRDefault="00DB2E19" w:rsidP="00DB2E19">
      <w:pPr>
        <w:numPr>
          <w:ilvl w:val="2"/>
          <w:numId w:val="1"/>
        </w:numPr>
        <w:spacing w:after="240" w:line="360" w:lineRule="auto"/>
        <w:rPr>
          <w:rFonts w:ascii="Calibri" w:hAnsi="Calibri" w:cs="Calibri"/>
          <w:b/>
          <w:sz w:val="28"/>
          <w:szCs w:val="28"/>
          <w:u w:val="single"/>
        </w:rPr>
      </w:pPr>
      <w:r>
        <w:rPr>
          <w:rFonts w:ascii="Calibri" w:hAnsi="Calibri" w:cs="Calibri"/>
          <w:bCs/>
        </w:rPr>
        <w:t>A house had been built</w:t>
      </w:r>
      <w:r w:rsidR="009476B6">
        <w:rPr>
          <w:rFonts w:ascii="Calibri" w:hAnsi="Calibri" w:cs="Calibri"/>
          <w:bCs/>
        </w:rPr>
        <w:t xml:space="preserve"> and lots of issues were later discovered, </w:t>
      </w:r>
      <w:r>
        <w:rPr>
          <w:rFonts w:ascii="Calibri" w:hAnsi="Calibri" w:cs="Calibri"/>
          <w:bCs/>
        </w:rPr>
        <w:t xml:space="preserve">the parties in this </w:t>
      </w:r>
      <w:r w:rsidR="009476B6">
        <w:rPr>
          <w:rFonts w:ascii="Calibri" w:hAnsi="Calibri" w:cs="Calibri"/>
          <w:bCs/>
        </w:rPr>
        <w:t>dispute</w:t>
      </w:r>
      <w:r>
        <w:rPr>
          <w:rFonts w:ascii="Calibri" w:hAnsi="Calibri" w:cs="Calibri"/>
          <w:bCs/>
        </w:rPr>
        <w:t xml:space="preserve"> are the architect and the builder. There was a </w:t>
      </w:r>
      <w:r w:rsidR="009476B6">
        <w:rPr>
          <w:rFonts w:ascii="Calibri" w:hAnsi="Calibri" w:cs="Calibri"/>
          <w:bCs/>
        </w:rPr>
        <w:t>plethora</w:t>
      </w:r>
      <w:r>
        <w:rPr>
          <w:rFonts w:ascii="Calibri" w:hAnsi="Calibri" w:cs="Calibri"/>
          <w:bCs/>
        </w:rPr>
        <w:t xml:space="preserve"> of contractual issues between the 2 parties which lead to the dispute</w:t>
      </w:r>
      <w:r w:rsidRPr="00DB2E19">
        <w:rPr>
          <w:rFonts w:ascii="Calibri" w:hAnsi="Calibri" w:cs="Calibri"/>
          <w:bCs/>
        </w:rPr>
        <w:t>. The outcome</w:t>
      </w:r>
      <w:r>
        <w:rPr>
          <w:rFonts w:ascii="Calibri" w:hAnsi="Calibri" w:cs="Calibri"/>
          <w:bCs/>
        </w:rPr>
        <w:t xml:space="preserve"> was that the building damages were as result of the building design, therefore </w:t>
      </w:r>
      <w:r w:rsidRPr="00DB2E19">
        <w:rPr>
          <w:rFonts w:ascii="Calibri" w:hAnsi="Calibri" w:cs="Calibri"/>
          <w:bCs/>
        </w:rPr>
        <w:t>the architec</w:t>
      </w:r>
      <w:r>
        <w:rPr>
          <w:rFonts w:ascii="Calibri" w:hAnsi="Calibri" w:cs="Calibri"/>
          <w:bCs/>
        </w:rPr>
        <w:t>t</w:t>
      </w:r>
      <w:r w:rsidRPr="00DB2E19">
        <w:rPr>
          <w:rFonts w:ascii="Calibri" w:hAnsi="Calibri" w:cs="Calibri"/>
          <w:bCs/>
        </w:rPr>
        <w:t xml:space="preserve"> </w:t>
      </w:r>
      <w:r>
        <w:rPr>
          <w:rFonts w:ascii="Calibri" w:hAnsi="Calibri" w:cs="Calibri"/>
          <w:bCs/>
        </w:rPr>
        <w:t xml:space="preserve">was </w:t>
      </w:r>
      <w:r w:rsidRPr="00DB2E19">
        <w:rPr>
          <w:rFonts w:ascii="Calibri" w:hAnsi="Calibri" w:cs="Calibri"/>
          <w:bCs/>
        </w:rPr>
        <w:t>sued for the damages.</w:t>
      </w:r>
    </w:p>
    <w:p w14:paraId="34A9F05C" w14:textId="05C2C8B7" w:rsidR="009476B6" w:rsidRDefault="00DB2E19" w:rsidP="00DC43D3">
      <w:pPr>
        <w:pStyle w:val="ListParagraph"/>
        <w:numPr>
          <w:ilvl w:val="2"/>
          <w:numId w:val="1"/>
        </w:numPr>
        <w:spacing w:line="360" w:lineRule="auto"/>
        <w:rPr>
          <w:rFonts w:ascii="Calibri" w:hAnsi="Calibri" w:cs="Calibri"/>
          <w:bCs/>
        </w:rPr>
      </w:pPr>
      <w:r w:rsidRPr="00DB2E19">
        <w:rPr>
          <w:rFonts w:ascii="Calibri" w:hAnsi="Calibri" w:cs="Calibri"/>
          <w:bCs/>
        </w:rPr>
        <w:t xml:space="preserve">The law commission later undertook a judicial review due to their concerns which they then went on to </w:t>
      </w:r>
      <w:r w:rsidR="009476B6" w:rsidRPr="00DB2E19">
        <w:rPr>
          <w:rFonts w:ascii="Calibri" w:hAnsi="Calibri" w:cs="Calibri"/>
          <w:bCs/>
        </w:rPr>
        <w:t>update</w:t>
      </w:r>
      <w:r w:rsidRPr="00DB2E19">
        <w:rPr>
          <w:rFonts w:ascii="Calibri" w:hAnsi="Calibri" w:cs="Calibri"/>
          <w:bCs/>
        </w:rPr>
        <w:t xml:space="preserve"> a piece of legislation from 1935 to then become the Civil Liability (Contribution) Act 1978</w:t>
      </w:r>
      <w:r>
        <w:rPr>
          <w:rFonts w:ascii="Calibri" w:hAnsi="Calibri" w:cs="Calibri"/>
          <w:bCs/>
        </w:rPr>
        <w:t xml:space="preserve">. </w:t>
      </w:r>
      <w:r w:rsidR="009476B6">
        <w:rPr>
          <w:rFonts w:ascii="Calibri" w:hAnsi="Calibri" w:cs="Calibri"/>
          <w:bCs/>
        </w:rPr>
        <w:t>This allows a case to understand the contribution made by other parties to a civil wrong. By updating this legislation, the architect takes most of the hit, but the builders would also be liable for the damages because they have contributed towards the damages as well.</w:t>
      </w:r>
    </w:p>
    <w:p w14:paraId="1C9AD3CC" w14:textId="51CB87C7" w:rsidR="009476B6" w:rsidRDefault="009476B6" w:rsidP="009476B6">
      <w:pPr>
        <w:rPr>
          <w:rFonts w:ascii="Calibri" w:hAnsi="Calibri" w:cs="Calibri"/>
          <w:bCs/>
        </w:rPr>
      </w:pPr>
    </w:p>
    <w:p w14:paraId="0824C0BA" w14:textId="77777777" w:rsidR="009476B6" w:rsidRPr="009476B6" w:rsidRDefault="009476B6" w:rsidP="009476B6">
      <w:pPr>
        <w:rPr>
          <w:rFonts w:ascii="Calibri" w:hAnsi="Calibri" w:cs="Calibri"/>
          <w:bCs/>
        </w:rPr>
      </w:pPr>
    </w:p>
    <w:p w14:paraId="6D69EFCC" w14:textId="2F4D8BD2" w:rsidR="009476B6" w:rsidRPr="009476B6" w:rsidRDefault="009476B6" w:rsidP="009476B6">
      <w:pPr>
        <w:pStyle w:val="ListParagraph"/>
        <w:numPr>
          <w:ilvl w:val="0"/>
          <w:numId w:val="1"/>
        </w:numPr>
        <w:rPr>
          <w:rFonts w:ascii="Calibri" w:hAnsi="Calibri" w:cs="Calibri"/>
          <w:bCs/>
        </w:rPr>
      </w:pPr>
      <w:r w:rsidRPr="009476B6">
        <w:rPr>
          <w:rFonts w:ascii="Calibri" w:hAnsi="Calibri" w:cs="Calibri"/>
          <w:b/>
          <w:sz w:val="28"/>
          <w:szCs w:val="28"/>
          <w:u w:val="single"/>
        </w:rPr>
        <w:t>Negligenc</w:t>
      </w:r>
      <w:r>
        <w:rPr>
          <w:rFonts w:ascii="Calibri" w:hAnsi="Calibri" w:cs="Calibri"/>
          <w:b/>
          <w:sz w:val="28"/>
          <w:szCs w:val="28"/>
          <w:u w:val="single"/>
        </w:rPr>
        <w:t>e</w:t>
      </w:r>
    </w:p>
    <w:p w14:paraId="4CF9C0CB" w14:textId="213D00DD" w:rsidR="009476B6" w:rsidRDefault="009476B6" w:rsidP="009476B6">
      <w:pPr>
        <w:pStyle w:val="ListParagraph"/>
        <w:ind w:left="1440"/>
        <w:rPr>
          <w:rFonts w:ascii="Calibri" w:hAnsi="Calibri" w:cs="Calibri"/>
          <w:bCs/>
        </w:rPr>
      </w:pPr>
    </w:p>
    <w:p w14:paraId="041422B9" w14:textId="0DAACFCE" w:rsidR="0085727E" w:rsidRPr="0085727E" w:rsidRDefault="009476B6" w:rsidP="00DC43D3">
      <w:pPr>
        <w:pStyle w:val="ListParagraph"/>
        <w:numPr>
          <w:ilvl w:val="1"/>
          <w:numId w:val="1"/>
        </w:numPr>
        <w:spacing w:line="360" w:lineRule="auto"/>
        <w:rPr>
          <w:rFonts w:ascii="Calibri" w:hAnsi="Calibri" w:cs="Calibri"/>
          <w:bCs/>
        </w:rPr>
      </w:pPr>
      <w:r>
        <w:rPr>
          <w:rFonts w:ascii="Calibri" w:hAnsi="Calibri" w:cs="Calibri"/>
          <w:bCs/>
        </w:rPr>
        <w:t>Negligence is the most common law of torts.</w:t>
      </w:r>
      <w:r w:rsidR="0085727E">
        <w:rPr>
          <w:rFonts w:ascii="Calibri" w:hAnsi="Calibri" w:cs="Calibri"/>
          <w:bCs/>
        </w:rPr>
        <w:t xml:space="preserve"> </w:t>
      </w:r>
      <w:r w:rsidR="00DC43D3">
        <w:rPr>
          <w:rFonts w:ascii="Calibri" w:hAnsi="Calibri" w:cs="Calibri"/>
          <w:bCs/>
        </w:rPr>
        <w:t xml:space="preserve"> It relates to unreasonable risks or harms to persons and property. </w:t>
      </w:r>
      <w:r w:rsidR="0085727E">
        <w:rPr>
          <w:rFonts w:ascii="Calibri" w:hAnsi="Calibri" w:cs="Calibri"/>
          <w:bCs/>
        </w:rPr>
        <w:t xml:space="preserve">As with all torts, There </w:t>
      </w:r>
      <w:proofErr w:type="gramStart"/>
      <w:r w:rsidR="0085727E">
        <w:rPr>
          <w:rFonts w:ascii="Calibri" w:hAnsi="Calibri" w:cs="Calibri"/>
          <w:bCs/>
        </w:rPr>
        <w:t>are  specific</w:t>
      </w:r>
      <w:proofErr w:type="gramEnd"/>
      <w:r w:rsidR="0085727E">
        <w:rPr>
          <w:rFonts w:ascii="Calibri" w:hAnsi="Calibri" w:cs="Calibri"/>
          <w:bCs/>
        </w:rPr>
        <w:t xml:space="preserve"> elements that are involved that determine whether a case will be successful. 3 are involved in negligence which are </w:t>
      </w:r>
      <w:r w:rsidR="0085727E" w:rsidRPr="0085727E">
        <w:rPr>
          <w:rFonts w:ascii="Calibri" w:hAnsi="Calibri" w:cs="Calibri"/>
          <w:bCs/>
        </w:rPr>
        <w:t xml:space="preserve">Duty of Care, Breach of duty and damage must result due to that breach. This means that for </w:t>
      </w:r>
      <w:proofErr w:type="spellStart"/>
      <w:r w:rsidR="00DC43D3" w:rsidRPr="0085727E">
        <w:rPr>
          <w:rFonts w:ascii="Calibri" w:hAnsi="Calibri" w:cs="Calibri"/>
          <w:bCs/>
        </w:rPr>
        <w:t>for</w:t>
      </w:r>
      <w:proofErr w:type="spellEnd"/>
      <w:r w:rsidR="0085727E" w:rsidRPr="0085727E">
        <w:rPr>
          <w:rFonts w:ascii="Calibri" w:hAnsi="Calibri" w:cs="Calibri"/>
          <w:bCs/>
        </w:rPr>
        <w:t xml:space="preserve"> the claimant to succeed in court they would have to prove that the defendant</w:t>
      </w:r>
      <w:r w:rsidR="00DC43D3">
        <w:rPr>
          <w:rFonts w:ascii="Calibri" w:hAnsi="Calibri" w:cs="Calibri"/>
          <w:bCs/>
        </w:rPr>
        <w:t xml:space="preserve"> firstly</w:t>
      </w:r>
      <w:r w:rsidR="0085727E" w:rsidRPr="0085727E">
        <w:rPr>
          <w:rFonts w:ascii="Calibri" w:hAnsi="Calibri" w:cs="Calibri"/>
          <w:bCs/>
        </w:rPr>
        <w:t xml:space="preserve"> owed the claimant a duty of care, that duty of care was </w:t>
      </w:r>
      <w:r w:rsidR="00DC43D3">
        <w:rPr>
          <w:rFonts w:ascii="Calibri" w:hAnsi="Calibri" w:cs="Calibri"/>
          <w:bCs/>
        </w:rPr>
        <w:t xml:space="preserve">then </w:t>
      </w:r>
      <w:r w:rsidR="0085727E" w:rsidRPr="0085727E">
        <w:rPr>
          <w:rFonts w:ascii="Calibri" w:hAnsi="Calibri" w:cs="Calibri"/>
          <w:bCs/>
        </w:rPr>
        <w:t xml:space="preserve">breached, and </w:t>
      </w:r>
      <w:r w:rsidR="00DC43D3">
        <w:rPr>
          <w:rFonts w:ascii="Calibri" w:hAnsi="Calibri" w:cs="Calibri"/>
          <w:bCs/>
        </w:rPr>
        <w:t xml:space="preserve">finally </w:t>
      </w:r>
      <w:r w:rsidR="0085727E" w:rsidRPr="0085727E">
        <w:rPr>
          <w:rFonts w:ascii="Calibri" w:hAnsi="Calibri" w:cs="Calibri"/>
          <w:bCs/>
        </w:rPr>
        <w:t xml:space="preserve">damages occurred </w:t>
      </w:r>
      <w:proofErr w:type="gramStart"/>
      <w:r w:rsidR="0085727E" w:rsidRPr="0085727E">
        <w:rPr>
          <w:rFonts w:ascii="Calibri" w:hAnsi="Calibri" w:cs="Calibri"/>
          <w:bCs/>
        </w:rPr>
        <w:t>as a result of</w:t>
      </w:r>
      <w:proofErr w:type="gramEnd"/>
      <w:r w:rsidR="0085727E" w:rsidRPr="0085727E">
        <w:rPr>
          <w:rFonts w:ascii="Calibri" w:hAnsi="Calibri" w:cs="Calibri"/>
          <w:bCs/>
        </w:rPr>
        <w:t xml:space="preserve"> that breach.</w:t>
      </w:r>
    </w:p>
    <w:p w14:paraId="216927D2" w14:textId="0491E9EE" w:rsidR="0085727E" w:rsidRPr="0085727E" w:rsidRDefault="0085727E" w:rsidP="0085727E">
      <w:pPr>
        <w:ind w:left="720"/>
        <w:rPr>
          <w:rFonts w:ascii="Calibri" w:hAnsi="Calibri" w:cs="Calibri"/>
          <w:bCs/>
        </w:rPr>
      </w:pPr>
    </w:p>
    <w:p w14:paraId="77D42139" w14:textId="77777777" w:rsidR="00DC43D3" w:rsidRDefault="0085727E" w:rsidP="00DC43D3">
      <w:pPr>
        <w:pStyle w:val="ListParagraph"/>
        <w:numPr>
          <w:ilvl w:val="1"/>
          <w:numId w:val="1"/>
        </w:numPr>
        <w:rPr>
          <w:rFonts w:ascii="Calibri" w:hAnsi="Calibri" w:cs="Calibri"/>
          <w:b/>
          <w:sz w:val="28"/>
          <w:szCs w:val="28"/>
          <w:u w:val="single"/>
        </w:rPr>
      </w:pPr>
      <w:r w:rsidRPr="0085727E">
        <w:rPr>
          <w:rFonts w:ascii="Calibri" w:hAnsi="Calibri" w:cs="Calibri"/>
          <w:b/>
          <w:sz w:val="28"/>
          <w:szCs w:val="28"/>
          <w:u w:val="single"/>
        </w:rPr>
        <w:t>Duty of Care</w:t>
      </w:r>
    </w:p>
    <w:p w14:paraId="200B8B82" w14:textId="77777777" w:rsidR="00DC43D3" w:rsidRPr="00DC43D3" w:rsidRDefault="00DC43D3" w:rsidP="00DC43D3">
      <w:pPr>
        <w:pStyle w:val="ListParagraph"/>
        <w:rPr>
          <w:rFonts w:ascii="Calibri" w:hAnsi="Calibri" w:cs="Calibri"/>
          <w:bCs/>
        </w:rPr>
      </w:pPr>
    </w:p>
    <w:p w14:paraId="209FCFE9" w14:textId="77777777" w:rsidR="00DC43D3" w:rsidRPr="00DE58C3" w:rsidRDefault="00DC43D3" w:rsidP="00DC43D3">
      <w:pPr>
        <w:pStyle w:val="ListParagraph"/>
        <w:numPr>
          <w:ilvl w:val="1"/>
          <w:numId w:val="1"/>
        </w:numPr>
        <w:rPr>
          <w:rFonts w:ascii="Calibri" w:hAnsi="Calibri" w:cs="Calibri"/>
          <w:b/>
          <w:sz w:val="28"/>
          <w:szCs w:val="28"/>
          <w:u w:val="single"/>
        </w:rPr>
      </w:pPr>
      <w:r w:rsidRPr="00DE58C3">
        <w:rPr>
          <w:rFonts w:ascii="Calibri" w:hAnsi="Calibri" w:cs="Calibri"/>
          <w:b/>
        </w:rPr>
        <w:t>Donoghue v Stevenson [1932]</w:t>
      </w:r>
    </w:p>
    <w:p w14:paraId="2DF7D445" w14:textId="77777777" w:rsidR="00DC43D3" w:rsidRPr="00DC43D3" w:rsidRDefault="00DC43D3" w:rsidP="00DC43D3">
      <w:pPr>
        <w:pStyle w:val="ListParagraph"/>
        <w:rPr>
          <w:rFonts w:ascii="Calibri" w:hAnsi="Calibri" w:cs="Calibri"/>
          <w:bCs/>
        </w:rPr>
      </w:pPr>
    </w:p>
    <w:p w14:paraId="35D19F06" w14:textId="27E92A7F" w:rsidR="003E321A" w:rsidRPr="00C05512" w:rsidRDefault="00DC43D3" w:rsidP="00C05512">
      <w:pPr>
        <w:pStyle w:val="ListParagraph"/>
        <w:numPr>
          <w:ilvl w:val="1"/>
          <w:numId w:val="1"/>
        </w:numPr>
        <w:spacing w:line="360" w:lineRule="auto"/>
        <w:rPr>
          <w:rFonts w:ascii="Calibri" w:hAnsi="Calibri" w:cs="Calibri"/>
          <w:b/>
          <w:sz w:val="28"/>
          <w:szCs w:val="28"/>
          <w:u w:val="single"/>
        </w:rPr>
      </w:pPr>
      <w:r w:rsidRPr="00DC43D3">
        <w:rPr>
          <w:rFonts w:ascii="Calibri" w:hAnsi="Calibri" w:cs="Calibri"/>
          <w:bCs/>
        </w:rPr>
        <w:t xml:space="preserve">This case is about Mrs. Donoghue's friend purchased her a ginger beer from Paisley's </w:t>
      </w:r>
      <w:proofErr w:type="spellStart"/>
      <w:r w:rsidRPr="00DC43D3">
        <w:rPr>
          <w:rFonts w:ascii="Calibri" w:hAnsi="Calibri" w:cs="Calibri"/>
          <w:bCs/>
        </w:rPr>
        <w:t>Wellmeadow</w:t>
      </w:r>
      <w:proofErr w:type="spellEnd"/>
      <w:r w:rsidRPr="00DC43D3">
        <w:rPr>
          <w:rFonts w:ascii="Calibri" w:hAnsi="Calibri" w:cs="Calibri"/>
          <w:bCs/>
        </w:rPr>
        <w:t xml:space="preserve"> Café on August 26, 1928. She drank about half of the bottle, which was made of dark opaque glass, and poured the rest into a tumbler. The decomposed remains of a snail floated out at this point, allegedly causing her shock and acute gastroenteritis</w:t>
      </w:r>
      <w:r>
        <w:rPr>
          <w:rFonts w:ascii="Calibri" w:hAnsi="Calibri" w:cs="Calibri"/>
          <w:bCs/>
        </w:rPr>
        <w:t xml:space="preserve">. </w:t>
      </w:r>
      <w:r w:rsidR="009A387D" w:rsidRPr="009A387D">
        <w:rPr>
          <w:rFonts w:ascii="Calibri" w:hAnsi="Calibri" w:cs="Calibri"/>
          <w:bCs/>
        </w:rPr>
        <w:t>Since Mrs. Donoghue was not a party to any contracts, she was unable to pursue a claim for breach of warranty. As a result, she filed legal action against Stevenson the manufacturer, and it eventually reached the House of Lords.</w:t>
      </w:r>
      <w:r w:rsidR="009A387D">
        <w:rPr>
          <w:rFonts w:ascii="Calibri" w:hAnsi="Calibri" w:cs="Calibri"/>
          <w:bCs/>
        </w:rPr>
        <w:t xml:space="preserve"> </w:t>
      </w:r>
      <w:r w:rsidR="009A387D" w:rsidRPr="00C05512">
        <w:rPr>
          <w:rFonts w:ascii="Calibri" w:hAnsi="Calibri" w:cs="Calibri"/>
          <w:bCs/>
        </w:rPr>
        <w:t xml:space="preserve">The law of negligence at the time was </w:t>
      </w:r>
      <w:r w:rsidR="003E321A" w:rsidRPr="00C05512">
        <w:rPr>
          <w:rFonts w:ascii="Calibri" w:hAnsi="Calibri" w:cs="Calibri"/>
          <w:bCs/>
        </w:rPr>
        <w:t>limited</w:t>
      </w:r>
      <w:r w:rsidR="009A387D" w:rsidRPr="00C05512">
        <w:rPr>
          <w:rFonts w:ascii="Calibri" w:hAnsi="Calibri" w:cs="Calibri"/>
          <w:bCs/>
        </w:rPr>
        <w:t xml:space="preserve"> and could only be used if a commercial relationship had already been formed.</w:t>
      </w:r>
    </w:p>
    <w:p w14:paraId="3793D228" w14:textId="3BE8F70D" w:rsidR="00B86953" w:rsidRPr="00B86953" w:rsidRDefault="00C05512" w:rsidP="00B86953">
      <w:pPr>
        <w:pStyle w:val="ListParagraph"/>
        <w:numPr>
          <w:ilvl w:val="1"/>
          <w:numId w:val="1"/>
        </w:numPr>
        <w:spacing w:line="276" w:lineRule="auto"/>
        <w:rPr>
          <w:rFonts w:ascii="Calibri" w:hAnsi="Calibri" w:cs="Calibri"/>
          <w:bCs/>
          <w:i/>
          <w:iCs/>
        </w:rPr>
      </w:pPr>
      <w:r w:rsidRPr="00B86953">
        <w:rPr>
          <w:rFonts w:ascii="Calibri" w:hAnsi="Calibri" w:cs="Calibri"/>
          <w:bCs/>
        </w:rPr>
        <w:t>The decision of this case was decided by the judge Lord Atkin who found in favour of Mrs Donoghue as although there is no contractual relationship between the 2 parties, a duty of care is still required for customers</w:t>
      </w:r>
      <w:r w:rsidR="00B86953" w:rsidRPr="00B86953">
        <w:rPr>
          <w:rFonts w:ascii="Calibri" w:hAnsi="Calibri" w:cs="Calibri"/>
          <w:bCs/>
        </w:rPr>
        <w:t xml:space="preserve"> who intent to use their product</w:t>
      </w:r>
      <w:r w:rsidRPr="00B86953">
        <w:rPr>
          <w:rFonts w:ascii="Calibri" w:hAnsi="Calibri" w:cs="Calibri"/>
          <w:bCs/>
        </w:rPr>
        <w:t>. Lord Atkin</w:t>
      </w:r>
      <w:r w:rsidR="00B86953" w:rsidRPr="00B86953">
        <w:rPr>
          <w:rFonts w:ascii="Calibri" w:hAnsi="Calibri" w:cs="Calibri"/>
          <w:bCs/>
        </w:rPr>
        <w:t xml:space="preserve"> went on</w:t>
      </w:r>
      <w:r w:rsidRPr="00B86953">
        <w:rPr>
          <w:rFonts w:ascii="Calibri" w:hAnsi="Calibri" w:cs="Calibri"/>
          <w:bCs/>
        </w:rPr>
        <w:t xml:space="preserve"> </w:t>
      </w:r>
      <w:r w:rsidR="00B86953" w:rsidRPr="00B86953">
        <w:rPr>
          <w:rFonts w:ascii="Calibri" w:hAnsi="Calibri" w:cs="Calibri"/>
          <w:bCs/>
        </w:rPr>
        <w:t>amend the neighbour principle and went on to say</w:t>
      </w:r>
      <w:r w:rsidR="00B86953" w:rsidRPr="00B86953">
        <w:rPr>
          <w:rFonts w:ascii="Calibri" w:hAnsi="Calibri" w:cs="Calibri"/>
          <w:bCs/>
          <w:i/>
          <w:iCs/>
        </w:rPr>
        <w:t xml:space="preserve"> </w:t>
      </w:r>
      <w:r w:rsidR="00B86953">
        <w:rPr>
          <w:rFonts w:ascii="Calibri" w:hAnsi="Calibri" w:cs="Calibri"/>
          <w:bCs/>
          <w:i/>
          <w:iCs/>
        </w:rPr>
        <w:t>“</w:t>
      </w:r>
      <w:r w:rsidR="00B86953" w:rsidRPr="00B86953">
        <w:rPr>
          <w:rFonts w:ascii="Calibri" w:hAnsi="Calibri" w:cs="Calibri"/>
          <w:bCs/>
          <w:i/>
          <w:iCs/>
        </w:rPr>
        <w:t xml:space="preserve">The rule that you are to love your neighbour becomes in law, you must not injure your neighbour; and the lawyer’s question, </w:t>
      </w:r>
      <w:proofErr w:type="gramStart"/>
      <w:r w:rsidR="00B86953" w:rsidRPr="00B86953">
        <w:rPr>
          <w:rFonts w:ascii="Calibri" w:hAnsi="Calibri" w:cs="Calibri"/>
          <w:bCs/>
          <w:i/>
          <w:iCs/>
        </w:rPr>
        <w:t>Who</w:t>
      </w:r>
      <w:proofErr w:type="gramEnd"/>
      <w:r w:rsidR="00B86953" w:rsidRPr="00B86953">
        <w:rPr>
          <w:rFonts w:ascii="Calibri" w:hAnsi="Calibri" w:cs="Calibri"/>
          <w:bCs/>
          <w:i/>
          <w:iCs/>
        </w:rPr>
        <w:t xml:space="preserve"> is my neighbour? receives a restricted reply. You must take reasonable care to avoid acts or omissions which you can reasonably foresee would be likely to injure your neighbour. Who, then, in law is my neighbour? The answer seems to be – persons who are so closely and directly affected by my act that I ought reasonably to have them in contemplation as being so affected when I am directing my mind to the acts or omissions which are called in question</w:t>
      </w:r>
      <w:r w:rsidR="00B86953">
        <w:rPr>
          <w:rFonts w:ascii="Calibri" w:hAnsi="Calibri" w:cs="Calibri"/>
          <w:bCs/>
          <w:i/>
          <w:iCs/>
        </w:rPr>
        <w:t>”</w:t>
      </w:r>
    </w:p>
    <w:p w14:paraId="635FFB05" w14:textId="1D0C500F" w:rsidR="00B86953" w:rsidRDefault="00B86953" w:rsidP="00B86953">
      <w:pPr>
        <w:spacing w:line="276" w:lineRule="auto"/>
        <w:ind w:left="720"/>
        <w:rPr>
          <w:rFonts w:ascii="Calibri" w:hAnsi="Calibri" w:cs="Calibri"/>
          <w:bCs/>
          <w:i/>
          <w:iCs/>
        </w:rPr>
      </w:pPr>
    </w:p>
    <w:p w14:paraId="7C681CD9" w14:textId="3EC80ACD" w:rsidR="00B86953" w:rsidRDefault="00B86953" w:rsidP="00B86953">
      <w:pPr>
        <w:spacing w:line="276" w:lineRule="auto"/>
        <w:ind w:left="720"/>
        <w:rPr>
          <w:rFonts w:ascii="Calibri" w:hAnsi="Calibri" w:cs="Calibri"/>
          <w:bCs/>
          <w:i/>
          <w:iCs/>
        </w:rPr>
      </w:pPr>
      <w:sdt>
        <w:sdtPr>
          <w:rPr>
            <w:rFonts w:ascii="Calibri" w:hAnsi="Calibri" w:cs="Calibri"/>
            <w:bCs/>
            <w:i/>
            <w:iCs/>
          </w:rPr>
          <w:id w:val="-533651695"/>
          <w:citation/>
        </w:sdtPr>
        <w:sdtContent>
          <w:r>
            <w:rPr>
              <w:rFonts w:ascii="Calibri" w:hAnsi="Calibri" w:cs="Calibri"/>
              <w:bCs/>
              <w:i/>
              <w:iCs/>
            </w:rPr>
            <w:fldChar w:fldCharType="begin"/>
          </w:r>
          <w:r>
            <w:rPr>
              <w:rFonts w:ascii="Calibri" w:hAnsi="Calibri" w:cs="Calibri"/>
              <w:bCs/>
              <w:i/>
              <w:iCs/>
            </w:rPr>
            <w:instrText xml:space="preserve"> CITATION Law13 \l 2057 </w:instrText>
          </w:r>
          <w:r>
            <w:rPr>
              <w:rFonts w:ascii="Calibri" w:hAnsi="Calibri" w:cs="Calibri"/>
              <w:bCs/>
              <w:i/>
              <w:iCs/>
            </w:rPr>
            <w:fldChar w:fldCharType="separate"/>
          </w:r>
          <w:r w:rsidRPr="00B86953">
            <w:rPr>
              <w:rFonts w:ascii="Calibri" w:hAnsi="Calibri" w:cs="Calibri"/>
              <w:noProof/>
            </w:rPr>
            <w:t>(LawTeacher, 2013)</w:t>
          </w:r>
          <w:r>
            <w:rPr>
              <w:rFonts w:ascii="Calibri" w:hAnsi="Calibri" w:cs="Calibri"/>
              <w:bCs/>
              <w:i/>
              <w:iCs/>
            </w:rPr>
            <w:fldChar w:fldCharType="end"/>
          </w:r>
        </w:sdtContent>
      </w:sdt>
    </w:p>
    <w:p w14:paraId="28A5F021" w14:textId="77777777" w:rsidR="00B86953" w:rsidRPr="00B86953" w:rsidRDefault="00B86953" w:rsidP="00B86953">
      <w:pPr>
        <w:spacing w:line="276" w:lineRule="auto"/>
        <w:ind w:left="720"/>
        <w:rPr>
          <w:rFonts w:ascii="Calibri" w:hAnsi="Calibri" w:cs="Calibri"/>
          <w:bCs/>
          <w:i/>
          <w:iCs/>
        </w:rPr>
      </w:pPr>
    </w:p>
    <w:p w14:paraId="1651A60B" w14:textId="076C326D" w:rsidR="00E07EDE" w:rsidRDefault="00E07EDE" w:rsidP="00B86953">
      <w:pPr>
        <w:pStyle w:val="ListParagraph"/>
        <w:numPr>
          <w:ilvl w:val="1"/>
          <w:numId w:val="1"/>
        </w:numPr>
        <w:spacing w:line="276" w:lineRule="auto"/>
        <w:rPr>
          <w:rFonts w:ascii="Calibri" w:hAnsi="Calibri" w:cs="Calibri"/>
          <w:bCs/>
        </w:rPr>
      </w:pPr>
      <w:r>
        <w:rPr>
          <w:rFonts w:ascii="Calibri" w:hAnsi="Calibri" w:cs="Calibri"/>
          <w:bCs/>
        </w:rPr>
        <w:t>This is a landmark case as it has had a massive impact on tort law and how it is used today.</w:t>
      </w:r>
    </w:p>
    <w:p w14:paraId="63B2B245" w14:textId="77777777" w:rsidR="00E07EDE" w:rsidRDefault="00E07EDE" w:rsidP="00E07EDE">
      <w:pPr>
        <w:pStyle w:val="ListParagraph"/>
        <w:spacing w:line="276" w:lineRule="auto"/>
        <w:ind w:left="1440"/>
        <w:rPr>
          <w:rFonts w:ascii="Calibri" w:hAnsi="Calibri" w:cs="Calibri"/>
          <w:bCs/>
        </w:rPr>
      </w:pPr>
    </w:p>
    <w:p w14:paraId="7233236C" w14:textId="1EA2B97D" w:rsidR="00B86953" w:rsidRDefault="00B86953" w:rsidP="00B86953">
      <w:pPr>
        <w:pStyle w:val="ListParagraph"/>
        <w:numPr>
          <w:ilvl w:val="1"/>
          <w:numId w:val="1"/>
        </w:numPr>
        <w:spacing w:line="276" w:lineRule="auto"/>
        <w:rPr>
          <w:rFonts w:ascii="Calibri" w:hAnsi="Calibri" w:cs="Calibri"/>
          <w:bCs/>
        </w:rPr>
      </w:pPr>
      <w:r>
        <w:rPr>
          <w:rFonts w:ascii="Calibri" w:hAnsi="Calibri" w:cs="Calibri"/>
          <w:bCs/>
        </w:rPr>
        <w:t xml:space="preserve">There are three requirements that are necessary when it comes to duty of care which are known as the </w:t>
      </w:r>
      <w:r w:rsidR="00E40B15">
        <w:rPr>
          <w:rFonts w:ascii="Calibri" w:hAnsi="Calibri" w:cs="Calibri"/>
          <w:bCs/>
        </w:rPr>
        <w:t xml:space="preserve">Caparo test. This suggests that there </w:t>
      </w:r>
      <w:proofErr w:type="gramStart"/>
      <w:r w:rsidR="00E40B15">
        <w:rPr>
          <w:rFonts w:ascii="Calibri" w:hAnsi="Calibri" w:cs="Calibri"/>
          <w:bCs/>
        </w:rPr>
        <w:t>has to</w:t>
      </w:r>
      <w:proofErr w:type="gramEnd"/>
      <w:r w:rsidR="00E40B15">
        <w:rPr>
          <w:rFonts w:ascii="Calibri" w:hAnsi="Calibri" w:cs="Calibri"/>
          <w:bCs/>
        </w:rPr>
        <w:t xml:space="preserve"> be reasonable foreseeability of the relevant loss. This means that whatever civil wrongdoing has occurred, it is clear to see that it is a civil wrongdoing. It also must be a reasonable concern that a duty should exist. </w:t>
      </w:r>
      <w:r w:rsidR="00FA1C36">
        <w:rPr>
          <w:rFonts w:ascii="Calibri" w:hAnsi="Calibri" w:cs="Calibri"/>
          <w:bCs/>
        </w:rPr>
        <w:t>Furthermore,</w:t>
      </w:r>
      <w:r w:rsidR="00E40B15">
        <w:rPr>
          <w:rFonts w:ascii="Calibri" w:hAnsi="Calibri" w:cs="Calibri"/>
          <w:bCs/>
        </w:rPr>
        <w:t xml:space="preserve"> there must be a certain proximity relationship between the defendant and the plaintiff.</w:t>
      </w:r>
    </w:p>
    <w:p w14:paraId="09E377B2" w14:textId="77777777" w:rsidR="00FA1C36" w:rsidRDefault="00FA1C36" w:rsidP="00FA1C36">
      <w:pPr>
        <w:pStyle w:val="ListParagraph"/>
        <w:spacing w:line="276" w:lineRule="auto"/>
        <w:ind w:left="1440"/>
        <w:rPr>
          <w:rFonts w:ascii="Calibri" w:hAnsi="Calibri" w:cs="Calibri"/>
          <w:bCs/>
        </w:rPr>
      </w:pPr>
    </w:p>
    <w:p w14:paraId="574A0680" w14:textId="414DCD84" w:rsidR="00FA1C36" w:rsidRPr="00FA1C36" w:rsidRDefault="00FA1C36" w:rsidP="00FA1C36">
      <w:pPr>
        <w:pStyle w:val="ListParagraph"/>
        <w:numPr>
          <w:ilvl w:val="0"/>
          <w:numId w:val="1"/>
        </w:numPr>
        <w:spacing w:line="276" w:lineRule="auto"/>
        <w:rPr>
          <w:rFonts w:ascii="Calibri" w:hAnsi="Calibri" w:cs="Calibri"/>
          <w:bCs/>
        </w:rPr>
      </w:pPr>
      <w:r>
        <w:rPr>
          <w:rFonts w:ascii="Calibri" w:hAnsi="Calibri" w:cs="Calibri"/>
          <w:b/>
          <w:sz w:val="28"/>
          <w:szCs w:val="28"/>
          <w:u w:val="single"/>
        </w:rPr>
        <w:t>Breach of Duty of Care</w:t>
      </w:r>
    </w:p>
    <w:p w14:paraId="60D20656" w14:textId="44786BA5" w:rsidR="00FA1C36" w:rsidRDefault="00FA1C36" w:rsidP="00FA1C36">
      <w:pPr>
        <w:pStyle w:val="ListParagraph"/>
        <w:spacing w:line="276" w:lineRule="auto"/>
        <w:ind w:left="1440"/>
        <w:rPr>
          <w:rFonts w:ascii="Calibri" w:hAnsi="Calibri" w:cs="Calibri"/>
          <w:bCs/>
        </w:rPr>
      </w:pPr>
    </w:p>
    <w:p w14:paraId="7425D235" w14:textId="59DEDAE0" w:rsidR="00FA1C36" w:rsidRDefault="00FA1C36" w:rsidP="00FA1C36">
      <w:pPr>
        <w:pStyle w:val="ListParagraph"/>
        <w:numPr>
          <w:ilvl w:val="1"/>
          <w:numId w:val="1"/>
        </w:numPr>
        <w:spacing w:line="276" w:lineRule="auto"/>
        <w:rPr>
          <w:rFonts w:ascii="Calibri" w:hAnsi="Calibri" w:cs="Calibri"/>
          <w:bCs/>
        </w:rPr>
      </w:pPr>
      <w:r>
        <w:rPr>
          <w:rFonts w:ascii="Calibri" w:hAnsi="Calibri" w:cs="Calibri"/>
          <w:bCs/>
        </w:rPr>
        <w:t>After establishing that there is a duty of care between the parties, the breach must be proven by the plaintiff</w:t>
      </w:r>
      <w:r w:rsidR="00DB15AE">
        <w:rPr>
          <w:rFonts w:ascii="Calibri" w:hAnsi="Calibri" w:cs="Calibri"/>
          <w:bCs/>
        </w:rPr>
        <w:t xml:space="preserve"> which mean that in fact negligence has occurred. </w:t>
      </w:r>
      <w:r w:rsidR="004A07AD">
        <w:rPr>
          <w:rFonts w:ascii="Calibri" w:hAnsi="Calibri" w:cs="Calibri"/>
          <w:bCs/>
        </w:rPr>
        <w:t xml:space="preserve"> A breach means that there is a failure to observe </w:t>
      </w:r>
      <w:r w:rsidR="00DB15AE">
        <w:rPr>
          <w:rFonts w:ascii="Calibri" w:hAnsi="Calibri" w:cs="Calibri"/>
          <w:bCs/>
        </w:rPr>
        <w:t>There are 2 stages to assess to prove there is a breach.</w:t>
      </w:r>
    </w:p>
    <w:p w14:paraId="6D0EDF68" w14:textId="4A030AAE" w:rsidR="00DB15AE" w:rsidRDefault="00DB15AE" w:rsidP="00FA1C36">
      <w:pPr>
        <w:pStyle w:val="ListParagraph"/>
        <w:numPr>
          <w:ilvl w:val="1"/>
          <w:numId w:val="1"/>
        </w:numPr>
        <w:spacing w:line="276" w:lineRule="auto"/>
        <w:rPr>
          <w:rFonts w:ascii="Calibri" w:hAnsi="Calibri" w:cs="Calibri"/>
          <w:bCs/>
        </w:rPr>
      </w:pPr>
      <w:r>
        <w:rPr>
          <w:rFonts w:ascii="Calibri" w:hAnsi="Calibri" w:cs="Calibri"/>
          <w:bCs/>
        </w:rPr>
        <w:t>Standard of Care is the first consideration with this as the question is asked what would the average person do in similar circumstances?</w:t>
      </w:r>
    </w:p>
    <w:p w14:paraId="11F0902C" w14:textId="790A21D6" w:rsidR="00444247" w:rsidRDefault="00DB15AE" w:rsidP="00444247">
      <w:pPr>
        <w:pStyle w:val="ListParagraph"/>
        <w:numPr>
          <w:ilvl w:val="1"/>
          <w:numId w:val="1"/>
        </w:numPr>
        <w:spacing w:line="276" w:lineRule="auto"/>
        <w:rPr>
          <w:rFonts w:ascii="Calibri" w:hAnsi="Calibri" w:cs="Calibri"/>
          <w:bCs/>
        </w:rPr>
      </w:pPr>
      <w:r>
        <w:rPr>
          <w:rFonts w:ascii="Calibri" w:hAnsi="Calibri" w:cs="Calibri"/>
          <w:bCs/>
        </w:rPr>
        <w:t xml:space="preserve">The </w:t>
      </w:r>
      <w:r w:rsidR="004A07AD">
        <w:rPr>
          <w:rFonts w:ascii="Calibri" w:hAnsi="Calibri" w:cs="Calibri"/>
          <w:bCs/>
        </w:rPr>
        <w:t xml:space="preserve">next </w:t>
      </w:r>
      <w:r>
        <w:rPr>
          <w:rFonts w:ascii="Calibri" w:hAnsi="Calibri" w:cs="Calibri"/>
          <w:bCs/>
        </w:rPr>
        <w:t xml:space="preserve">assessment </w:t>
      </w:r>
      <w:r w:rsidR="004A07AD">
        <w:rPr>
          <w:rFonts w:ascii="Calibri" w:hAnsi="Calibri" w:cs="Calibri"/>
          <w:bCs/>
        </w:rPr>
        <w:t>that would take place is</w:t>
      </w:r>
      <w:r>
        <w:rPr>
          <w:rFonts w:ascii="Calibri" w:hAnsi="Calibri" w:cs="Calibri"/>
          <w:bCs/>
        </w:rPr>
        <w:t xml:space="preserve"> the behaviour measured against the standard. </w:t>
      </w:r>
    </w:p>
    <w:p w14:paraId="14C11072" w14:textId="109163E1" w:rsidR="00444247" w:rsidRDefault="00444247" w:rsidP="00444247">
      <w:pPr>
        <w:pStyle w:val="ListParagraph"/>
        <w:spacing w:line="276" w:lineRule="auto"/>
        <w:rPr>
          <w:rFonts w:ascii="Calibri" w:hAnsi="Calibri" w:cs="Calibri"/>
          <w:bCs/>
        </w:rPr>
      </w:pPr>
    </w:p>
    <w:p w14:paraId="6C8EB047" w14:textId="311F8300" w:rsidR="00444247" w:rsidRPr="00444247" w:rsidRDefault="00444247" w:rsidP="00444247">
      <w:pPr>
        <w:pStyle w:val="ListParagraph"/>
        <w:numPr>
          <w:ilvl w:val="0"/>
          <w:numId w:val="1"/>
        </w:numPr>
        <w:spacing w:line="276" w:lineRule="auto"/>
        <w:rPr>
          <w:rFonts w:ascii="Calibri" w:hAnsi="Calibri" w:cs="Calibri"/>
          <w:bCs/>
        </w:rPr>
      </w:pPr>
      <w:r>
        <w:rPr>
          <w:rFonts w:ascii="Calibri" w:hAnsi="Calibri" w:cs="Calibri"/>
          <w:b/>
          <w:sz w:val="28"/>
          <w:szCs w:val="28"/>
          <w:u w:val="single"/>
        </w:rPr>
        <w:t>Damage Must Result</w:t>
      </w:r>
    </w:p>
    <w:p w14:paraId="20F1709E" w14:textId="57C0723F" w:rsidR="00444247" w:rsidRPr="00444247" w:rsidRDefault="00444247" w:rsidP="00444247">
      <w:pPr>
        <w:pStyle w:val="ListParagraph"/>
        <w:spacing w:line="276" w:lineRule="auto"/>
        <w:ind w:left="1440"/>
        <w:rPr>
          <w:rFonts w:ascii="Calibri" w:hAnsi="Calibri" w:cs="Calibri"/>
          <w:bCs/>
        </w:rPr>
      </w:pPr>
    </w:p>
    <w:p w14:paraId="18330C03" w14:textId="77777777" w:rsidR="00444247" w:rsidRDefault="00444247" w:rsidP="00444247">
      <w:pPr>
        <w:pStyle w:val="ListParagraph"/>
        <w:numPr>
          <w:ilvl w:val="1"/>
          <w:numId w:val="1"/>
        </w:numPr>
        <w:spacing w:line="276" w:lineRule="auto"/>
        <w:rPr>
          <w:rFonts w:ascii="Calibri" w:hAnsi="Calibri" w:cs="Calibri"/>
          <w:bCs/>
        </w:rPr>
      </w:pPr>
      <w:r>
        <w:rPr>
          <w:rFonts w:ascii="Calibri" w:hAnsi="Calibri" w:cs="Calibri"/>
          <w:bCs/>
        </w:rPr>
        <w:t>Finally, damage must be caused by the breach of the duty of care. Damage can be in any form such as physical harm to a person, economical or damage to a property. If there is no damage, no action will be taken.</w:t>
      </w:r>
    </w:p>
    <w:p w14:paraId="61789E63" w14:textId="77777777" w:rsidR="004F4C93" w:rsidRDefault="004F4C93" w:rsidP="004F4C93">
      <w:pPr>
        <w:pStyle w:val="ListParagraph"/>
        <w:spacing w:line="276" w:lineRule="auto"/>
        <w:ind w:left="1440"/>
        <w:rPr>
          <w:rFonts w:ascii="Calibri" w:hAnsi="Calibri" w:cs="Calibri"/>
          <w:bCs/>
        </w:rPr>
      </w:pPr>
    </w:p>
    <w:p w14:paraId="1BAE8755" w14:textId="4CC94C15" w:rsidR="00444247" w:rsidRDefault="00444247" w:rsidP="00444247">
      <w:pPr>
        <w:pStyle w:val="ListParagraph"/>
        <w:numPr>
          <w:ilvl w:val="1"/>
          <w:numId w:val="1"/>
        </w:numPr>
        <w:spacing w:line="276" w:lineRule="auto"/>
        <w:rPr>
          <w:rFonts w:ascii="Calibri" w:hAnsi="Calibri" w:cs="Calibri"/>
          <w:bCs/>
        </w:rPr>
      </w:pPr>
      <w:r>
        <w:rPr>
          <w:rFonts w:ascii="Calibri" w:hAnsi="Calibri" w:cs="Calibri"/>
          <w:bCs/>
        </w:rPr>
        <w:t xml:space="preserve">Any damage that occurs must be within </w:t>
      </w:r>
      <w:proofErr w:type="gramStart"/>
      <w:r>
        <w:rPr>
          <w:rFonts w:ascii="Calibri" w:hAnsi="Calibri" w:cs="Calibri"/>
          <w:bCs/>
        </w:rPr>
        <w:t>close proximity</w:t>
      </w:r>
      <w:proofErr w:type="gramEnd"/>
      <w:r>
        <w:rPr>
          <w:rFonts w:ascii="Calibri" w:hAnsi="Calibri" w:cs="Calibri"/>
          <w:bCs/>
        </w:rPr>
        <w:t xml:space="preserve"> to the breach of duty of care.</w:t>
      </w:r>
    </w:p>
    <w:p w14:paraId="1EB6257F" w14:textId="77777777" w:rsidR="004F4C93" w:rsidRDefault="004F4C93" w:rsidP="004F4C93">
      <w:pPr>
        <w:pStyle w:val="ListParagraph"/>
        <w:spacing w:line="276" w:lineRule="auto"/>
        <w:ind w:left="1440"/>
        <w:rPr>
          <w:rFonts w:ascii="Calibri" w:hAnsi="Calibri" w:cs="Calibri"/>
          <w:bCs/>
        </w:rPr>
      </w:pPr>
    </w:p>
    <w:p w14:paraId="6072CA2E" w14:textId="6FFDA02B" w:rsidR="004F4C93" w:rsidRDefault="004F4C93" w:rsidP="00444247">
      <w:pPr>
        <w:pStyle w:val="ListParagraph"/>
        <w:numPr>
          <w:ilvl w:val="1"/>
          <w:numId w:val="1"/>
        </w:numPr>
        <w:spacing w:line="276" w:lineRule="auto"/>
        <w:rPr>
          <w:rFonts w:ascii="Calibri" w:hAnsi="Calibri" w:cs="Calibri"/>
          <w:bCs/>
        </w:rPr>
      </w:pPr>
      <w:r>
        <w:rPr>
          <w:rFonts w:ascii="Calibri" w:hAnsi="Calibri" w:cs="Calibri"/>
          <w:bCs/>
        </w:rPr>
        <w:t>A chain of events can cause the damage.</w:t>
      </w:r>
    </w:p>
    <w:p w14:paraId="60C3C34B" w14:textId="77777777" w:rsidR="004F4C93" w:rsidRDefault="004F4C93" w:rsidP="004F4C93">
      <w:pPr>
        <w:pStyle w:val="ListParagraph"/>
        <w:spacing w:line="276" w:lineRule="auto"/>
        <w:ind w:left="1440"/>
        <w:rPr>
          <w:rFonts w:ascii="Calibri" w:hAnsi="Calibri" w:cs="Calibri"/>
          <w:b/>
        </w:rPr>
      </w:pPr>
    </w:p>
    <w:p w14:paraId="38EE2451" w14:textId="6FF68E73" w:rsidR="00F73D0C" w:rsidRPr="00DE58C3" w:rsidRDefault="00F73D0C" w:rsidP="00F73D0C">
      <w:pPr>
        <w:pStyle w:val="ListParagraph"/>
        <w:numPr>
          <w:ilvl w:val="1"/>
          <w:numId w:val="1"/>
        </w:numPr>
        <w:spacing w:line="276" w:lineRule="auto"/>
        <w:rPr>
          <w:rFonts w:ascii="Calibri" w:hAnsi="Calibri" w:cs="Calibri"/>
          <w:b/>
        </w:rPr>
      </w:pPr>
      <w:r w:rsidRPr="00DE58C3">
        <w:rPr>
          <w:rFonts w:ascii="Calibri" w:hAnsi="Calibri" w:cs="Calibri"/>
          <w:b/>
        </w:rPr>
        <w:t>McGhee V National Coal Board [1975]</w:t>
      </w:r>
    </w:p>
    <w:p w14:paraId="04F98741" w14:textId="77777777" w:rsidR="004F4C93" w:rsidRDefault="004F4C93" w:rsidP="004F4C93">
      <w:pPr>
        <w:pStyle w:val="ListParagraph"/>
        <w:spacing w:line="276" w:lineRule="auto"/>
        <w:ind w:left="1440"/>
        <w:rPr>
          <w:rFonts w:ascii="Calibri" w:hAnsi="Calibri" w:cs="Calibri"/>
          <w:bCs/>
        </w:rPr>
      </w:pPr>
    </w:p>
    <w:p w14:paraId="4FEF59D8" w14:textId="5127F547" w:rsidR="00F73D0C" w:rsidRDefault="00F73D0C" w:rsidP="00F73D0C">
      <w:pPr>
        <w:pStyle w:val="ListParagraph"/>
        <w:numPr>
          <w:ilvl w:val="1"/>
          <w:numId w:val="1"/>
        </w:numPr>
        <w:spacing w:line="276" w:lineRule="auto"/>
        <w:rPr>
          <w:rFonts w:ascii="Calibri" w:hAnsi="Calibri" w:cs="Calibri"/>
          <w:bCs/>
        </w:rPr>
      </w:pPr>
      <w:r w:rsidRPr="00F73D0C">
        <w:rPr>
          <w:rFonts w:ascii="Calibri" w:hAnsi="Calibri" w:cs="Calibri"/>
          <w:bCs/>
        </w:rPr>
        <w:t xml:space="preserve">This case involves the National Coal Board and an employee (McGhee). McGhee was a worked at the coal board brickworks his normal duties were not in a harmful environment however he was then asked to work with the brick kilns which was in a hot and dusty environment. The defendant the national coal board, was in breach of their duty as they did not provide washing facilities to the claimant or any other employees, so they did not get the opportunity to wash after being in harmful working conditions. Therefore, McGhee had cycled home covered in brick dust and contracted dermatitis </w:t>
      </w:r>
      <w:proofErr w:type="gramStart"/>
      <w:r w:rsidRPr="00F73D0C">
        <w:rPr>
          <w:rFonts w:ascii="Calibri" w:hAnsi="Calibri" w:cs="Calibri"/>
          <w:bCs/>
        </w:rPr>
        <w:t>as a result of</w:t>
      </w:r>
      <w:proofErr w:type="gramEnd"/>
      <w:r w:rsidRPr="00F73D0C">
        <w:rPr>
          <w:rFonts w:ascii="Calibri" w:hAnsi="Calibri" w:cs="Calibri"/>
          <w:bCs/>
        </w:rPr>
        <w:t xml:space="preserve"> this. </w:t>
      </w:r>
      <w:r>
        <w:rPr>
          <w:rFonts w:ascii="Calibri" w:hAnsi="Calibri" w:cs="Calibri"/>
          <w:bCs/>
        </w:rPr>
        <w:t xml:space="preserve"> </w:t>
      </w:r>
    </w:p>
    <w:p w14:paraId="5F19A12E" w14:textId="435F3818" w:rsidR="00F73D0C" w:rsidRDefault="00F73D0C" w:rsidP="00F73D0C">
      <w:pPr>
        <w:pStyle w:val="ListParagraph"/>
        <w:numPr>
          <w:ilvl w:val="1"/>
          <w:numId w:val="1"/>
        </w:numPr>
        <w:spacing w:line="276" w:lineRule="auto"/>
        <w:rPr>
          <w:rFonts w:ascii="Calibri" w:hAnsi="Calibri" w:cs="Calibri"/>
          <w:bCs/>
        </w:rPr>
      </w:pPr>
      <w:r>
        <w:rPr>
          <w:rFonts w:ascii="Calibri" w:hAnsi="Calibri" w:cs="Calibri"/>
          <w:bCs/>
        </w:rPr>
        <w:t>In this case the Ho</w:t>
      </w:r>
      <w:r w:rsidR="00E07EDE">
        <w:rPr>
          <w:rFonts w:ascii="Calibri" w:hAnsi="Calibri" w:cs="Calibri"/>
          <w:bCs/>
        </w:rPr>
        <w:t>use of Lords</w:t>
      </w:r>
      <w:r>
        <w:rPr>
          <w:rFonts w:ascii="Calibri" w:hAnsi="Calibri" w:cs="Calibri"/>
          <w:bCs/>
        </w:rPr>
        <w:t xml:space="preserve"> held. McGhee</w:t>
      </w:r>
      <w:r w:rsidR="00DE58C3">
        <w:rPr>
          <w:rFonts w:ascii="Calibri" w:hAnsi="Calibri" w:cs="Calibri"/>
          <w:bCs/>
        </w:rPr>
        <w:t xml:space="preserve"> did not need </w:t>
      </w:r>
      <w:r>
        <w:rPr>
          <w:rFonts w:ascii="Calibri" w:hAnsi="Calibri" w:cs="Calibri"/>
          <w:bCs/>
        </w:rPr>
        <w:t>to prove that the dust had co</w:t>
      </w:r>
      <w:r w:rsidR="00DE58C3">
        <w:rPr>
          <w:rFonts w:ascii="Calibri" w:hAnsi="Calibri" w:cs="Calibri"/>
          <w:bCs/>
        </w:rPr>
        <w:t>ntributed to dermatitis</w:t>
      </w:r>
      <w:r>
        <w:rPr>
          <w:rFonts w:ascii="Calibri" w:hAnsi="Calibri" w:cs="Calibri"/>
          <w:bCs/>
        </w:rPr>
        <w:t xml:space="preserve">, and it was </w:t>
      </w:r>
      <w:r w:rsidR="00DE58C3">
        <w:rPr>
          <w:rFonts w:ascii="Calibri" w:hAnsi="Calibri" w:cs="Calibri"/>
          <w:bCs/>
        </w:rPr>
        <w:t xml:space="preserve">due to the </w:t>
      </w:r>
      <w:r w:rsidR="004F4C93">
        <w:rPr>
          <w:rFonts w:ascii="Calibri" w:hAnsi="Calibri" w:cs="Calibri"/>
          <w:bCs/>
        </w:rPr>
        <w:t>defendant’s</w:t>
      </w:r>
      <w:r w:rsidR="00DE58C3">
        <w:rPr>
          <w:rFonts w:ascii="Calibri" w:hAnsi="Calibri" w:cs="Calibri"/>
          <w:bCs/>
        </w:rPr>
        <w:t xml:space="preserve"> negligent breach of </w:t>
      </w:r>
      <w:r>
        <w:rPr>
          <w:rFonts w:ascii="Calibri" w:hAnsi="Calibri" w:cs="Calibri"/>
          <w:bCs/>
        </w:rPr>
        <w:t>their duty to provide washing facilities to remove brick dust and not contract any illnesses.</w:t>
      </w:r>
      <w:r w:rsidR="00DE58C3">
        <w:rPr>
          <w:rFonts w:ascii="Calibri" w:hAnsi="Calibri" w:cs="Calibri"/>
          <w:bCs/>
        </w:rPr>
        <w:t xml:space="preserve"> </w:t>
      </w:r>
    </w:p>
    <w:p w14:paraId="74324E3F" w14:textId="12FC8C28" w:rsidR="004F4C93" w:rsidRDefault="004F4C93" w:rsidP="004F4C93">
      <w:pPr>
        <w:pStyle w:val="ListParagraph"/>
        <w:numPr>
          <w:ilvl w:val="0"/>
          <w:numId w:val="1"/>
        </w:numPr>
        <w:spacing w:line="276" w:lineRule="auto"/>
        <w:rPr>
          <w:rFonts w:ascii="Calibri" w:hAnsi="Calibri" w:cs="Calibri"/>
          <w:b/>
          <w:sz w:val="28"/>
          <w:szCs w:val="28"/>
          <w:u w:val="single"/>
        </w:rPr>
      </w:pPr>
      <w:r w:rsidRPr="004F4C93">
        <w:rPr>
          <w:rFonts w:ascii="Calibri" w:hAnsi="Calibri" w:cs="Calibri"/>
          <w:b/>
          <w:sz w:val="28"/>
          <w:szCs w:val="28"/>
          <w:u w:val="single"/>
        </w:rPr>
        <w:t xml:space="preserve">Vinci Construction UK Ltd v </w:t>
      </w:r>
      <w:proofErr w:type="spellStart"/>
      <w:r w:rsidRPr="004F4C93">
        <w:rPr>
          <w:rFonts w:ascii="Calibri" w:hAnsi="Calibri" w:cs="Calibri"/>
          <w:b/>
          <w:sz w:val="28"/>
          <w:szCs w:val="28"/>
          <w:u w:val="single"/>
        </w:rPr>
        <w:t>Beumer</w:t>
      </w:r>
      <w:proofErr w:type="spellEnd"/>
      <w:r w:rsidRPr="004F4C93">
        <w:rPr>
          <w:rFonts w:ascii="Calibri" w:hAnsi="Calibri" w:cs="Calibri"/>
          <w:b/>
          <w:sz w:val="28"/>
          <w:szCs w:val="28"/>
          <w:u w:val="single"/>
        </w:rPr>
        <w:t xml:space="preserve"> Group UK Ltd [2018</w:t>
      </w:r>
    </w:p>
    <w:p w14:paraId="7D999E7D" w14:textId="65545728" w:rsidR="004F4C93" w:rsidRPr="004F4C93" w:rsidRDefault="004F4C93" w:rsidP="004F4C93">
      <w:pPr>
        <w:pStyle w:val="ListParagraph"/>
        <w:spacing w:line="276" w:lineRule="auto"/>
        <w:ind w:left="1440"/>
        <w:rPr>
          <w:rFonts w:ascii="Calibri" w:hAnsi="Calibri" w:cs="Calibri"/>
          <w:b/>
          <w:sz w:val="28"/>
          <w:szCs w:val="28"/>
          <w:u w:val="single"/>
        </w:rPr>
      </w:pPr>
    </w:p>
    <w:p w14:paraId="3A5F3DFD" w14:textId="2BBD286D" w:rsidR="004F4C93" w:rsidRDefault="007F417D" w:rsidP="004F4C93">
      <w:pPr>
        <w:pStyle w:val="ListParagraph"/>
        <w:numPr>
          <w:ilvl w:val="1"/>
          <w:numId w:val="1"/>
        </w:numPr>
        <w:spacing w:line="276" w:lineRule="auto"/>
        <w:rPr>
          <w:rFonts w:ascii="Calibri" w:hAnsi="Calibri" w:cs="Calibri"/>
          <w:bCs/>
        </w:rPr>
      </w:pPr>
      <w:proofErr w:type="gramStart"/>
      <w:r w:rsidRPr="007F417D">
        <w:rPr>
          <w:rFonts w:ascii="Calibri" w:hAnsi="Calibri" w:cs="Calibri"/>
          <w:bCs/>
        </w:rPr>
        <w:t>In order to</w:t>
      </w:r>
      <w:proofErr w:type="gramEnd"/>
      <w:r w:rsidRPr="007F417D">
        <w:rPr>
          <w:rFonts w:ascii="Calibri" w:hAnsi="Calibri" w:cs="Calibri"/>
          <w:bCs/>
        </w:rPr>
        <w:t xml:space="preserve"> enforce an adjudication ruling and demand payment from the defendant, Vinci Construction UK Ltd, of the money the claimant had paid the adjudicator for his expenses, the claimant, </w:t>
      </w:r>
      <w:proofErr w:type="spellStart"/>
      <w:r w:rsidRPr="007F417D">
        <w:rPr>
          <w:rFonts w:ascii="Calibri" w:hAnsi="Calibri" w:cs="Calibri"/>
          <w:bCs/>
        </w:rPr>
        <w:t>Beumer</w:t>
      </w:r>
      <w:proofErr w:type="spellEnd"/>
      <w:r w:rsidRPr="007F417D">
        <w:rPr>
          <w:rFonts w:ascii="Calibri" w:hAnsi="Calibri" w:cs="Calibri"/>
          <w:bCs/>
        </w:rPr>
        <w:t xml:space="preserve"> Group UK Ltd, filed a civil lawsuit.</w:t>
      </w:r>
      <w:r w:rsidR="00FB287E">
        <w:rPr>
          <w:rFonts w:ascii="Calibri" w:hAnsi="Calibri" w:cs="Calibri"/>
          <w:bCs/>
        </w:rPr>
        <w:t xml:space="preserve"> </w:t>
      </w:r>
    </w:p>
    <w:p w14:paraId="0B3FA2E0" w14:textId="3784D065" w:rsidR="004B0A29" w:rsidRDefault="00FB287E" w:rsidP="00FB287E">
      <w:pPr>
        <w:pStyle w:val="ListParagraph"/>
        <w:numPr>
          <w:ilvl w:val="1"/>
          <w:numId w:val="1"/>
        </w:numPr>
        <w:spacing w:line="276" w:lineRule="auto"/>
        <w:rPr>
          <w:rFonts w:ascii="Calibri" w:hAnsi="Calibri" w:cs="Calibri"/>
          <w:bCs/>
        </w:rPr>
      </w:pPr>
      <w:r>
        <w:rPr>
          <w:rFonts w:ascii="Calibri" w:hAnsi="Calibri" w:cs="Calibri"/>
          <w:bCs/>
        </w:rPr>
        <w:t xml:space="preserve">Background: Vinci was used as a main contractor for Gatwick Airport and Vinci approached </w:t>
      </w:r>
      <w:proofErr w:type="spellStart"/>
      <w:r>
        <w:rPr>
          <w:rFonts w:ascii="Calibri" w:hAnsi="Calibri" w:cs="Calibri"/>
          <w:bCs/>
        </w:rPr>
        <w:t>Beumer</w:t>
      </w:r>
      <w:proofErr w:type="spellEnd"/>
      <w:r>
        <w:rPr>
          <w:rFonts w:ascii="Calibri" w:hAnsi="Calibri" w:cs="Calibri"/>
          <w:bCs/>
        </w:rPr>
        <w:t xml:space="preserve"> for </w:t>
      </w:r>
      <w:r w:rsidR="004B0A29">
        <w:rPr>
          <w:rFonts w:ascii="Calibri" w:hAnsi="Calibri" w:cs="Calibri"/>
          <w:bCs/>
        </w:rPr>
        <w:t>subcontract</w:t>
      </w:r>
      <w:r>
        <w:rPr>
          <w:rFonts w:ascii="Calibri" w:hAnsi="Calibri" w:cs="Calibri"/>
          <w:bCs/>
        </w:rPr>
        <w:t xml:space="preserve"> works on the South Terminal baggage handling system.</w:t>
      </w:r>
      <w:r w:rsidR="004B0A29">
        <w:rPr>
          <w:rFonts w:ascii="Calibri" w:hAnsi="Calibri" w:cs="Calibri"/>
          <w:bCs/>
        </w:rPr>
        <w:t xml:space="preserve"> </w:t>
      </w:r>
      <w:proofErr w:type="spellStart"/>
      <w:r w:rsidR="004B0A29">
        <w:rPr>
          <w:rFonts w:ascii="Calibri" w:hAnsi="Calibri" w:cs="Calibri"/>
          <w:bCs/>
        </w:rPr>
        <w:t>Beumer</w:t>
      </w:r>
      <w:proofErr w:type="spellEnd"/>
      <w:r w:rsidR="004B0A29">
        <w:rPr>
          <w:rFonts w:ascii="Calibri" w:hAnsi="Calibri" w:cs="Calibri"/>
          <w:bCs/>
        </w:rPr>
        <w:t xml:space="preserve"> appointed Logan Ltd as a sub-</w:t>
      </w:r>
      <w:proofErr w:type="spellStart"/>
      <w:r w:rsidR="004B0A29">
        <w:rPr>
          <w:rFonts w:ascii="Calibri" w:hAnsi="Calibri" w:cs="Calibri"/>
          <w:bCs/>
        </w:rPr>
        <w:t>sub contractor</w:t>
      </w:r>
      <w:proofErr w:type="spellEnd"/>
      <w:r>
        <w:rPr>
          <w:rFonts w:ascii="Calibri" w:hAnsi="Calibri" w:cs="Calibri"/>
          <w:bCs/>
        </w:rPr>
        <w:t xml:space="preserve"> A dispute arose between the </w:t>
      </w:r>
      <w:r w:rsidR="004B0A29">
        <w:rPr>
          <w:rFonts w:ascii="Calibri" w:hAnsi="Calibri" w:cs="Calibri"/>
          <w:bCs/>
        </w:rPr>
        <w:t xml:space="preserve">3 </w:t>
      </w:r>
      <w:r>
        <w:rPr>
          <w:rFonts w:ascii="Calibri" w:hAnsi="Calibri" w:cs="Calibri"/>
          <w:bCs/>
        </w:rPr>
        <w:t>parties and it went to adjudication.</w:t>
      </w:r>
      <w:r w:rsidR="004B0A29">
        <w:rPr>
          <w:rFonts w:ascii="Calibri" w:hAnsi="Calibri" w:cs="Calibri"/>
          <w:bCs/>
        </w:rPr>
        <w:t xml:space="preserve"> </w:t>
      </w:r>
      <w:r w:rsidR="004B0A29" w:rsidRPr="004B0A29">
        <w:rPr>
          <w:rFonts w:ascii="Calibri" w:hAnsi="Calibri" w:cs="Calibri"/>
          <w:bCs/>
        </w:rPr>
        <w:t xml:space="preserve">The same adjudicator was chosen after </w:t>
      </w:r>
      <w:proofErr w:type="spellStart"/>
      <w:r w:rsidR="004B0A29" w:rsidRPr="004B0A29">
        <w:rPr>
          <w:rFonts w:ascii="Calibri" w:hAnsi="Calibri" w:cs="Calibri"/>
          <w:bCs/>
        </w:rPr>
        <w:t>Beumer</w:t>
      </w:r>
      <w:proofErr w:type="spellEnd"/>
      <w:r w:rsidR="004B0A29" w:rsidRPr="004B0A29">
        <w:rPr>
          <w:rFonts w:ascii="Calibri" w:hAnsi="Calibri" w:cs="Calibri"/>
          <w:bCs/>
        </w:rPr>
        <w:t xml:space="preserve"> requested adjudication in both cases. The fact that the same adjudicator was selected for both adjudications was unknown to neither party.</w:t>
      </w:r>
      <w:r w:rsidR="004B0A29">
        <w:rPr>
          <w:rFonts w:ascii="Calibri" w:hAnsi="Calibri" w:cs="Calibri"/>
          <w:bCs/>
        </w:rPr>
        <w:t xml:space="preserve"> </w:t>
      </w:r>
      <w:proofErr w:type="spellStart"/>
      <w:r>
        <w:rPr>
          <w:rFonts w:ascii="Calibri" w:hAnsi="Calibri" w:cs="Calibri"/>
          <w:bCs/>
        </w:rPr>
        <w:t>Beumer</w:t>
      </w:r>
      <w:proofErr w:type="spellEnd"/>
      <w:r w:rsidR="004B0A29">
        <w:rPr>
          <w:rFonts w:ascii="Calibri" w:hAnsi="Calibri" w:cs="Calibri"/>
          <w:bCs/>
        </w:rPr>
        <w:t xml:space="preserve"> also went into dispute with Logan. </w:t>
      </w:r>
    </w:p>
    <w:p w14:paraId="650C51C4" w14:textId="11F418CA" w:rsidR="00FB287E" w:rsidRDefault="004B0A29" w:rsidP="00FB287E">
      <w:pPr>
        <w:pStyle w:val="ListParagraph"/>
        <w:numPr>
          <w:ilvl w:val="1"/>
          <w:numId w:val="1"/>
        </w:numPr>
        <w:spacing w:line="276" w:lineRule="auto"/>
        <w:rPr>
          <w:rFonts w:ascii="Calibri" w:hAnsi="Calibri" w:cs="Calibri"/>
          <w:bCs/>
        </w:rPr>
      </w:pPr>
      <w:proofErr w:type="spellStart"/>
      <w:r>
        <w:rPr>
          <w:rFonts w:ascii="Calibri" w:hAnsi="Calibri" w:cs="Calibri"/>
          <w:bCs/>
        </w:rPr>
        <w:t>Beumer</w:t>
      </w:r>
      <w:proofErr w:type="spellEnd"/>
      <w:r>
        <w:rPr>
          <w:rFonts w:ascii="Calibri" w:hAnsi="Calibri" w:cs="Calibri"/>
          <w:bCs/>
        </w:rPr>
        <w:t xml:space="preserve"> </w:t>
      </w:r>
      <w:r w:rsidR="00FB287E">
        <w:rPr>
          <w:rFonts w:ascii="Calibri" w:hAnsi="Calibri" w:cs="Calibri"/>
          <w:bCs/>
        </w:rPr>
        <w:t>pursued contradictory arguments in the adjudication with Vinci</w:t>
      </w:r>
      <w:r>
        <w:rPr>
          <w:rFonts w:ascii="Calibri" w:hAnsi="Calibri" w:cs="Calibri"/>
          <w:bCs/>
        </w:rPr>
        <w:t xml:space="preserve">. They </w:t>
      </w:r>
      <w:r w:rsidRPr="004B0A29">
        <w:rPr>
          <w:rFonts w:ascii="Calibri" w:hAnsi="Calibri" w:cs="Calibri"/>
          <w:bCs/>
        </w:rPr>
        <w:t>claimed liquidated damages from Logan on the grounds that the job wasn't completed until April 12, 2016. However, it asserted in the adjudication with Vinci that the work was completed on December 19, 2015.</w:t>
      </w:r>
    </w:p>
    <w:p w14:paraId="5C67B1AE" w14:textId="7D3B7ED1" w:rsidR="004B0A29" w:rsidRDefault="004B0A29" w:rsidP="00FB287E">
      <w:pPr>
        <w:pStyle w:val="ListParagraph"/>
        <w:numPr>
          <w:ilvl w:val="1"/>
          <w:numId w:val="1"/>
        </w:numPr>
        <w:spacing w:line="276" w:lineRule="auto"/>
        <w:rPr>
          <w:rFonts w:ascii="Calibri" w:hAnsi="Calibri" w:cs="Calibri"/>
          <w:bCs/>
        </w:rPr>
      </w:pPr>
      <w:r>
        <w:rPr>
          <w:rFonts w:ascii="Calibri" w:hAnsi="Calibri" w:cs="Calibri"/>
          <w:bCs/>
        </w:rPr>
        <w:t xml:space="preserve">The adjudicator found against Vinci as they resisted payment to </w:t>
      </w:r>
      <w:proofErr w:type="spellStart"/>
      <w:r>
        <w:rPr>
          <w:rFonts w:ascii="Calibri" w:hAnsi="Calibri" w:cs="Calibri"/>
          <w:bCs/>
        </w:rPr>
        <w:t>Beumer</w:t>
      </w:r>
      <w:proofErr w:type="spellEnd"/>
      <w:r>
        <w:rPr>
          <w:rFonts w:ascii="Calibri" w:hAnsi="Calibri" w:cs="Calibri"/>
          <w:bCs/>
        </w:rPr>
        <w:t xml:space="preserve"> which </w:t>
      </w:r>
      <w:proofErr w:type="gramStart"/>
      <w:r>
        <w:rPr>
          <w:rFonts w:ascii="Calibri" w:hAnsi="Calibri" w:cs="Calibri"/>
          <w:bCs/>
        </w:rPr>
        <w:t>lead</w:t>
      </w:r>
      <w:proofErr w:type="gramEnd"/>
      <w:r>
        <w:rPr>
          <w:rFonts w:ascii="Calibri" w:hAnsi="Calibri" w:cs="Calibri"/>
          <w:bCs/>
        </w:rPr>
        <w:t xml:space="preserve"> to them to commence proceedings.</w:t>
      </w:r>
    </w:p>
    <w:p w14:paraId="6E7D06BE" w14:textId="01BEDF52" w:rsidR="004B0A29" w:rsidRDefault="00D6081F" w:rsidP="004B0A29">
      <w:pPr>
        <w:spacing w:line="276" w:lineRule="auto"/>
        <w:ind w:left="720"/>
        <w:rPr>
          <w:rFonts w:ascii="Calibri" w:hAnsi="Calibri" w:cs="Calibri"/>
          <w:bCs/>
        </w:rPr>
      </w:pPr>
      <w:sdt>
        <w:sdtPr>
          <w:rPr>
            <w:rFonts w:ascii="Calibri" w:hAnsi="Calibri" w:cs="Calibri"/>
            <w:bCs/>
          </w:rPr>
          <w:id w:val="1039551177"/>
          <w:citation/>
        </w:sdtPr>
        <w:sdtContent>
          <w:r>
            <w:rPr>
              <w:rFonts w:ascii="Calibri" w:hAnsi="Calibri" w:cs="Calibri"/>
              <w:bCs/>
            </w:rPr>
            <w:fldChar w:fldCharType="begin"/>
          </w:r>
          <w:r>
            <w:rPr>
              <w:rFonts w:ascii="Calibri" w:hAnsi="Calibri" w:cs="Calibri"/>
              <w:bCs/>
            </w:rPr>
            <w:instrText xml:space="preserve"> CITATION Cha17 \l 2057 </w:instrText>
          </w:r>
          <w:r>
            <w:rPr>
              <w:rFonts w:ascii="Calibri" w:hAnsi="Calibri" w:cs="Calibri"/>
              <w:bCs/>
            </w:rPr>
            <w:fldChar w:fldCharType="separate"/>
          </w:r>
          <w:r w:rsidRPr="00D6081F">
            <w:rPr>
              <w:rFonts w:ascii="Calibri" w:hAnsi="Calibri" w:cs="Calibri"/>
              <w:noProof/>
            </w:rPr>
            <w:t>(Charles Russell Speechlys, 2017)</w:t>
          </w:r>
          <w:r>
            <w:rPr>
              <w:rFonts w:ascii="Calibri" w:hAnsi="Calibri" w:cs="Calibri"/>
              <w:bCs/>
            </w:rPr>
            <w:fldChar w:fldCharType="end"/>
          </w:r>
        </w:sdtContent>
      </w:sdt>
    </w:p>
    <w:p w14:paraId="128A085C" w14:textId="546F7469" w:rsidR="00D6081F" w:rsidRDefault="00D6081F" w:rsidP="004B0A29">
      <w:pPr>
        <w:spacing w:line="276" w:lineRule="auto"/>
        <w:ind w:left="720"/>
        <w:rPr>
          <w:rFonts w:ascii="Calibri" w:hAnsi="Calibri" w:cs="Calibri"/>
          <w:bCs/>
        </w:rPr>
      </w:pPr>
    </w:p>
    <w:p w14:paraId="52D1B975" w14:textId="389BDC35" w:rsidR="00D6081F" w:rsidRPr="004B0A29" w:rsidRDefault="00D6081F" w:rsidP="004B0A29">
      <w:pPr>
        <w:spacing w:line="276" w:lineRule="auto"/>
        <w:ind w:left="720"/>
        <w:rPr>
          <w:rFonts w:ascii="Calibri" w:hAnsi="Calibri" w:cs="Calibri"/>
          <w:bCs/>
        </w:rPr>
      </w:pPr>
      <w:r>
        <w:rPr>
          <w:rFonts w:ascii="Calibri" w:hAnsi="Calibri" w:cs="Calibri"/>
          <w:bCs/>
        </w:rPr>
        <w:t>These cases clearly show the sheer amount of time it takes to resolve. That then ultimately effects the projects progression.</w:t>
      </w:r>
    </w:p>
    <w:p w14:paraId="20EA19CA" w14:textId="63E445CC" w:rsidR="004F4C93" w:rsidRDefault="004F4C93" w:rsidP="004F4C93">
      <w:pPr>
        <w:spacing w:line="276" w:lineRule="auto"/>
        <w:rPr>
          <w:rFonts w:ascii="Calibri" w:hAnsi="Calibri" w:cs="Calibri"/>
          <w:bCs/>
        </w:rPr>
      </w:pPr>
    </w:p>
    <w:p w14:paraId="47569D9E" w14:textId="60E98F90" w:rsidR="004F4C93" w:rsidRDefault="004F4C93" w:rsidP="004F4C93">
      <w:pPr>
        <w:spacing w:line="276" w:lineRule="auto"/>
        <w:rPr>
          <w:rFonts w:ascii="Calibri" w:hAnsi="Calibri" w:cs="Calibri"/>
          <w:bCs/>
        </w:rPr>
      </w:pPr>
    </w:p>
    <w:p w14:paraId="7B3566FE" w14:textId="4ABD1CC1" w:rsidR="004F4C93" w:rsidRDefault="004F4C93" w:rsidP="004F4C93">
      <w:pPr>
        <w:spacing w:line="276" w:lineRule="auto"/>
        <w:rPr>
          <w:rFonts w:ascii="Calibri" w:hAnsi="Calibri" w:cs="Calibri"/>
          <w:bCs/>
        </w:rPr>
      </w:pPr>
    </w:p>
    <w:p w14:paraId="5404E2F7" w14:textId="5A84092D" w:rsidR="004F4C93" w:rsidRDefault="004F4C93" w:rsidP="004F4C93">
      <w:pPr>
        <w:spacing w:line="276" w:lineRule="auto"/>
        <w:rPr>
          <w:rFonts w:ascii="Calibri" w:hAnsi="Calibri" w:cs="Calibri"/>
          <w:bCs/>
        </w:rPr>
      </w:pPr>
    </w:p>
    <w:p w14:paraId="1660EF52" w14:textId="1FC9ECD1" w:rsidR="004F4C93" w:rsidRDefault="004F4C93" w:rsidP="004F4C93">
      <w:pPr>
        <w:spacing w:line="276" w:lineRule="auto"/>
        <w:rPr>
          <w:rFonts w:ascii="Calibri" w:hAnsi="Calibri" w:cs="Calibri"/>
          <w:bCs/>
        </w:rPr>
      </w:pPr>
    </w:p>
    <w:p w14:paraId="208EC11B" w14:textId="77777777" w:rsidR="004F4C93" w:rsidRPr="004F4C93" w:rsidRDefault="004F4C93" w:rsidP="004F4C93">
      <w:pPr>
        <w:spacing w:line="276" w:lineRule="auto"/>
        <w:rPr>
          <w:rFonts w:ascii="Calibri" w:hAnsi="Calibri" w:cs="Calibri"/>
          <w:bCs/>
        </w:rPr>
      </w:pPr>
    </w:p>
    <w:p w14:paraId="4AAA0997" w14:textId="77777777" w:rsidR="00DE58C3" w:rsidRPr="00DE58C3" w:rsidRDefault="00DE58C3" w:rsidP="00DE58C3">
      <w:pPr>
        <w:spacing w:line="276" w:lineRule="auto"/>
        <w:ind w:left="720"/>
        <w:rPr>
          <w:rFonts w:ascii="Calibri" w:hAnsi="Calibri" w:cs="Calibri"/>
          <w:bCs/>
        </w:rPr>
      </w:pPr>
    </w:p>
    <w:p w14:paraId="1838F41D" w14:textId="77777777" w:rsidR="00B86953" w:rsidRPr="00B86953" w:rsidRDefault="00B86953" w:rsidP="00B86953">
      <w:pPr>
        <w:spacing w:line="276" w:lineRule="auto"/>
        <w:rPr>
          <w:rFonts w:ascii="Calibri" w:hAnsi="Calibri" w:cs="Calibri"/>
          <w:bCs/>
          <w:i/>
          <w:iCs/>
        </w:rPr>
      </w:pPr>
    </w:p>
    <w:p w14:paraId="2B96B595" w14:textId="77777777" w:rsidR="00B86953" w:rsidRPr="00B86953" w:rsidRDefault="00B86953" w:rsidP="00B86953">
      <w:pPr>
        <w:spacing w:line="276" w:lineRule="auto"/>
        <w:ind w:left="720"/>
        <w:rPr>
          <w:rFonts w:ascii="Calibri" w:hAnsi="Calibri" w:cs="Calibri"/>
          <w:bCs/>
        </w:rPr>
      </w:pPr>
    </w:p>
    <w:p w14:paraId="04B4463C" w14:textId="41534921" w:rsidR="0085727E" w:rsidRDefault="0085727E" w:rsidP="00B86953">
      <w:pPr>
        <w:spacing w:line="360" w:lineRule="auto"/>
        <w:ind w:left="720"/>
        <w:rPr>
          <w:rFonts w:ascii="Calibri" w:hAnsi="Calibri" w:cs="Calibri"/>
          <w:bCs/>
        </w:rPr>
      </w:pPr>
    </w:p>
    <w:p w14:paraId="33295CBE" w14:textId="54D7B220" w:rsidR="00B86953" w:rsidRDefault="00B86953" w:rsidP="00B86953">
      <w:pPr>
        <w:spacing w:line="360" w:lineRule="auto"/>
        <w:ind w:left="720"/>
        <w:rPr>
          <w:rFonts w:ascii="Calibri" w:hAnsi="Calibri" w:cs="Calibri"/>
          <w:bCs/>
        </w:rPr>
      </w:pPr>
    </w:p>
    <w:p w14:paraId="71D94BF1" w14:textId="77777777" w:rsidR="00B86953" w:rsidRPr="00B86953" w:rsidRDefault="00B86953" w:rsidP="00B86953">
      <w:pPr>
        <w:spacing w:line="360" w:lineRule="auto"/>
        <w:ind w:left="720"/>
        <w:rPr>
          <w:rFonts w:ascii="Calibri" w:hAnsi="Calibri" w:cs="Calibri"/>
          <w:bCs/>
        </w:rPr>
      </w:pPr>
    </w:p>
    <w:sdt>
      <w:sdtPr>
        <w:id w:val="1348979177"/>
        <w:docPartObj>
          <w:docPartGallery w:val="Bibliographies"/>
          <w:docPartUnique/>
        </w:docPartObj>
      </w:sdtPr>
      <w:sdtEndPr>
        <w:rPr>
          <w:rFonts w:asciiTheme="minorHAnsi" w:eastAsiaTheme="minorHAnsi" w:hAnsiTheme="minorHAnsi" w:cstheme="minorBidi"/>
          <w:color w:val="auto"/>
          <w:sz w:val="24"/>
          <w:szCs w:val="24"/>
        </w:rPr>
      </w:sdtEndPr>
      <w:sdtContent>
        <w:p w14:paraId="06B80991" w14:textId="04A42533" w:rsidR="00D6081F" w:rsidRDefault="00D6081F">
          <w:pPr>
            <w:pStyle w:val="Heading1"/>
          </w:pPr>
          <w:r>
            <w:t>Bibliography</w:t>
          </w:r>
        </w:p>
        <w:sdt>
          <w:sdtPr>
            <w:id w:val="111145805"/>
            <w:bibliography/>
          </w:sdtPr>
          <w:sdtEndPr>
            <w:rPr>
              <w:rFonts w:asciiTheme="minorHAnsi" w:eastAsiaTheme="minorHAnsi" w:hAnsiTheme="minorHAnsi" w:cstheme="minorBidi"/>
              <w:lang w:eastAsia="en-US"/>
            </w:rPr>
          </w:sdtEndPr>
          <w:sdtContent>
            <w:p w14:paraId="4FED757F" w14:textId="77777777" w:rsidR="00D6081F" w:rsidRDefault="00D6081F" w:rsidP="00D6081F">
              <w:pPr>
                <w:pStyle w:val="Bibliography"/>
                <w:rPr>
                  <w:noProof/>
                </w:rPr>
              </w:pPr>
              <w:r>
                <w:fldChar w:fldCharType="begin"/>
              </w:r>
              <w:r>
                <w:instrText xml:space="preserve"> BIBLIOGRAPHY </w:instrText>
              </w:r>
              <w:r>
                <w:fldChar w:fldCharType="separate"/>
              </w:r>
              <w:r>
                <w:rPr>
                  <w:noProof/>
                </w:rPr>
                <w:t xml:space="preserve">Atkinson, I., 2022. </w:t>
              </w:r>
              <w:r>
                <w:rPr>
                  <w:i/>
                  <w:iCs/>
                  <w:noProof/>
                </w:rPr>
                <w:t xml:space="preserve">Why Choose a Career in Construction?. </w:t>
              </w:r>
              <w:r>
                <w:rPr>
                  <w:noProof/>
                </w:rPr>
                <w:t xml:space="preserve">[Online] </w:t>
              </w:r>
              <w:r>
                <w:rPr>
                  <w:noProof/>
                </w:rPr>
                <w:br/>
                <w:t xml:space="preserve">Available at: </w:t>
              </w:r>
              <w:r>
                <w:rPr>
                  <w:noProof/>
                  <w:u w:val="single"/>
                </w:rPr>
                <w:t>https://www.edenscott.com/blog/why-choose-a-career-in-construction#</w:t>
              </w:r>
            </w:p>
            <w:p w14:paraId="63C166CC" w14:textId="77777777" w:rsidR="00D6081F" w:rsidRDefault="00D6081F" w:rsidP="00D6081F">
              <w:pPr>
                <w:pStyle w:val="Bibliography"/>
                <w:rPr>
                  <w:noProof/>
                </w:rPr>
              </w:pPr>
              <w:r>
                <w:rPr>
                  <w:noProof/>
                </w:rPr>
                <w:t xml:space="preserve">BUROFOUR, 2019. </w:t>
              </w:r>
              <w:r>
                <w:rPr>
                  <w:i/>
                  <w:iCs/>
                  <w:noProof/>
                </w:rPr>
                <w:t xml:space="preserve">Swansea Arena Starts OnsIte. </w:t>
              </w:r>
              <w:r>
                <w:rPr>
                  <w:noProof/>
                </w:rPr>
                <w:t xml:space="preserve">[Online] </w:t>
              </w:r>
              <w:r>
                <w:rPr>
                  <w:noProof/>
                </w:rPr>
                <w:br/>
                <w:t xml:space="preserve">Available at: </w:t>
              </w:r>
              <w:r>
                <w:rPr>
                  <w:noProof/>
                  <w:u w:val="single"/>
                </w:rPr>
                <w:t>https://burofour.com/swansea-arena-starts-onsite/</w:t>
              </w:r>
            </w:p>
            <w:p w14:paraId="0D917BE6" w14:textId="77777777" w:rsidR="00D6081F" w:rsidRDefault="00D6081F" w:rsidP="00D6081F">
              <w:pPr>
                <w:pStyle w:val="Bibliography"/>
                <w:rPr>
                  <w:noProof/>
                </w:rPr>
              </w:pPr>
              <w:r>
                <w:rPr>
                  <w:noProof/>
                </w:rPr>
                <w:t xml:space="preserve">Cambridge University Press, 2016. </w:t>
              </w:r>
              <w:r>
                <w:rPr>
                  <w:i/>
                  <w:iCs/>
                  <w:noProof/>
                </w:rPr>
                <w:t xml:space="preserve">Joint and Several Liability, and Vicarious Liability. </w:t>
              </w:r>
              <w:r>
                <w:rPr>
                  <w:noProof/>
                </w:rPr>
                <w:t xml:space="preserve">[Online] </w:t>
              </w:r>
              <w:r>
                <w:rPr>
                  <w:noProof/>
                </w:rPr>
                <w:br/>
                <w:t xml:space="preserve">Available at: </w:t>
              </w:r>
              <w:r>
                <w:rPr>
                  <w:noProof/>
                  <w:u w:val="single"/>
                </w:rPr>
                <w:t>https://www.cambridge.org/core/books/abs/tort-law/joint-and-several-liability-and-vicarious-liability/798E57D0E5FE6EF74D8A95F63088DCC6#</w:t>
              </w:r>
            </w:p>
            <w:p w14:paraId="214AED97" w14:textId="77777777" w:rsidR="00D6081F" w:rsidRDefault="00D6081F" w:rsidP="00D6081F">
              <w:pPr>
                <w:pStyle w:val="Bibliography"/>
                <w:rPr>
                  <w:noProof/>
                </w:rPr>
              </w:pPr>
              <w:r>
                <w:rPr>
                  <w:noProof/>
                </w:rPr>
                <w:t xml:space="preserve">Charles Russell Speechlys, 2017. </w:t>
              </w:r>
              <w:r>
                <w:rPr>
                  <w:i/>
                  <w:iCs/>
                  <w:noProof/>
                </w:rPr>
                <w:t xml:space="preserve">Beumer Group UK Limited v Vinci Construction UK Limited [2016] EWHC 2283 (TCC). </w:t>
              </w:r>
              <w:r>
                <w:rPr>
                  <w:noProof/>
                </w:rPr>
                <w:t xml:space="preserve">[Online] </w:t>
              </w:r>
              <w:r>
                <w:rPr>
                  <w:noProof/>
                </w:rPr>
                <w:br/>
                <w:t xml:space="preserve">Available at: </w:t>
              </w:r>
              <w:r>
                <w:rPr>
                  <w:noProof/>
                  <w:u w:val="single"/>
                </w:rPr>
                <w:t>https://www.lexology.com/library/detail.aspx?g=c45936fc-0bdb-4040-966b-688a28e33e91</w:t>
              </w:r>
              <w:r>
                <w:rPr>
                  <w:noProof/>
                </w:rPr>
                <w:br/>
                <w:t>[Accessed 01 12 2022].</w:t>
              </w:r>
            </w:p>
            <w:p w14:paraId="528974D3" w14:textId="77777777" w:rsidR="00D6081F" w:rsidRDefault="00D6081F" w:rsidP="00D6081F">
              <w:pPr>
                <w:pStyle w:val="Bibliography"/>
                <w:rPr>
                  <w:noProof/>
                </w:rPr>
              </w:pPr>
              <w:r>
                <w:rPr>
                  <w:noProof/>
                </w:rPr>
                <w:t xml:space="preserve">LawTeacher, 2013. </w:t>
              </w:r>
              <w:r>
                <w:rPr>
                  <w:i/>
                  <w:iCs/>
                  <w:noProof/>
                </w:rPr>
                <w:t xml:space="preserve">Donoghue v Stevenson [1932] Doctrine of negligence. </w:t>
              </w:r>
              <w:r>
                <w:rPr>
                  <w:noProof/>
                </w:rPr>
                <w:t xml:space="preserve">[Online] </w:t>
              </w:r>
              <w:r>
                <w:rPr>
                  <w:noProof/>
                </w:rPr>
                <w:br/>
                <w:t xml:space="preserve">Available at: </w:t>
              </w:r>
              <w:r>
                <w:rPr>
                  <w:noProof/>
                  <w:u w:val="single"/>
                </w:rPr>
                <w:t>https://www.lawteacher.net/cases/donoghue-v-stevenson.php?vref=1</w:t>
              </w:r>
              <w:r>
                <w:rPr>
                  <w:noProof/>
                </w:rPr>
                <w:br/>
                <w:t>[Accessed 29 11 2022].</w:t>
              </w:r>
            </w:p>
            <w:p w14:paraId="7E539A9D" w14:textId="77777777" w:rsidR="00D6081F" w:rsidRDefault="00D6081F" w:rsidP="00D6081F">
              <w:pPr>
                <w:pStyle w:val="Bibliography"/>
                <w:rPr>
                  <w:noProof/>
                </w:rPr>
              </w:pPr>
              <w:r>
                <w:rPr>
                  <w:noProof/>
                </w:rPr>
                <w:t xml:space="preserve">tkl Group, 2021. </w:t>
              </w:r>
              <w:r>
                <w:rPr>
                  <w:i/>
                  <w:iCs/>
                  <w:noProof/>
                </w:rPr>
                <w:t xml:space="preserve">How Is the Construction Industry Changing?. </w:t>
              </w:r>
              <w:r>
                <w:rPr>
                  <w:noProof/>
                </w:rPr>
                <w:t xml:space="preserve">[Online] </w:t>
              </w:r>
              <w:r>
                <w:rPr>
                  <w:noProof/>
                </w:rPr>
                <w:br/>
                <w:t xml:space="preserve">Available at: </w:t>
              </w:r>
              <w:r>
                <w:rPr>
                  <w:noProof/>
                  <w:u w:val="single"/>
                </w:rPr>
                <w:t>https://www.tklgroup.com/how-is-the-construction-industry-changing/</w:t>
              </w:r>
            </w:p>
            <w:p w14:paraId="685F82AD" w14:textId="77777777" w:rsidR="00D6081F" w:rsidRDefault="00D6081F" w:rsidP="00D6081F">
              <w:pPr>
                <w:pStyle w:val="Bibliography"/>
                <w:rPr>
                  <w:noProof/>
                </w:rPr>
              </w:pPr>
              <w:r>
                <w:rPr>
                  <w:noProof/>
                </w:rPr>
                <w:t xml:space="preserve">University, C., 2016. </w:t>
              </w:r>
              <w:r>
                <w:rPr>
                  <w:i/>
                  <w:iCs/>
                  <w:noProof/>
                </w:rPr>
                <w:t xml:space="preserve">Joint and Several Liability, and Vicarious Liability. </w:t>
              </w:r>
              <w:r>
                <w:rPr>
                  <w:noProof/>
                </w:rPr>
                <w:t xml:space="preserve">[Online] </w:t>
              </w:r>
              <w:r>
                <w:rPr>
                  <w:noProof/>
                </w:rPr>
                <w:br/>
                <w:t xml:space="preserve">Available at: </w:t>
              </w:r>
              <w:r>
                <w:rPr>
                  <w:noProof/>
                  <w:u w:val="single"/>
                </w:rPr>
                <w:t>https://www.cambridge.org/core/books/abs/tort-law/joint-and-several-liability-and-vicarious-liability/798E57D0E5FE6EF74D8A95F63088DCC6#</w:t>
              </w:r>
            </w:p>
            <w:p w14:paraId="5D53B207" w14:textId="4DDF253B" w:rsidR="00D6081F" w:rsidRDefault="00D6081F" w:rsidP="00D6081F">
              <w:r>
                <w:rPr>
                  <w:b/>
                  <w:bCs/>
                  <w:noProof/>
                </w:rPr>
                <w:fldChar w:fldCharType="end"/>
              </w:r>
            </w:p>
          </w:sdtContent>
        </w:sdt>
      </w:sdtContent>
    </w:sdt>
    <w:p w14:paraId="6E257D87" w14:textId="77777777" w:rsidR="009476B6" w:rsidRPr="009476B6" w:rsidRDefault="009476B6" w:rsidP="00D6081F">
      <w:pPr>
        <w:rPr>
          <w:rFonts w:ascii="Calibri" w:hAnsi="Calibri" w:cs="Calibri"/>
          <w:bCs/>
        </w:rPr>
      </w:pPr>
    </w:p>
    <w:p w14:paraId="2E92D3CD" w14:textId="77777777" w:rsidR="009476B6" w:rsidRPr="009476B6" w:rsidRDefault="009476B6" w:rsidP="009476B6">
      <w:pPr>
        <w:pStyle w:val="ListParagraph"/>
        <w:spacing w:line="360" w:lineRule="auto"/>
        <w:rPr>
          <w:rFonts w:ascii="Calibri" w:hAnsi="Calibri" w:cs="Calibri"/>
          <w:b/>
          <w:u w:val="single"/>
        </w:rPr>
      </w:pPr>
    </w:p>
    <w:p w14:paraId="56BA2890" w14:textId="010C4548" w:rsidR="006469E4" w:rsidRDefault="006469E4" w:rsidP="006469E4">
      <w:pPr>
        <w:spacing w:after="240" w:line="360" w:lineRule="auto"/>
        <w:ind w:left="720"/>
        <w:rPr>
          <w:rFonts w:ascii="Calibri" w:hAnsi="Calibri" w:cs="Calibri"/>
          <w:bCs/>
        </w:rPr>
      </w:pPr>
    </w:p>
    <w:p w14:paraId="4ECA790D" w14:textId="77777777" w:rsidR="009476B6" w:rsidRDefault="009476B6" w:rsidP="006469E4">
      <w:pPr>
        <w:spacing w:after="240" w:line="360" w:lineRule="auto"/>
        <w:ind w:left="720"/>
        <w:rPr>
          <w:rFonts w:ascii="Calibri" w:hAnsi="Calibri" w:cs="Calibri"/>
          <w:bCs/>
        </w:rPr>
      </w:pPr>
    </w:p>
    <w:p w14:paraId="0383F25B" w14:textId="77777777" w:rsidR="002E669A" w:rsidRDefault="002E669A" w:rsidP="002E669A">
      <w:pPr>
        <w:spacing w:after="240" w:line="360" w:lineRule="auto"/>
        <w:ind w:left="720"/>
        <w:rPr>
          <w:rFonts w:ascii="Calibri" w:hAnsi="Calibri" w:cs="Calibri"/>
          <w:bCs/>
        </w:rPr>
      </w:pPr>
    </w:p>
    <w:p w14:paraId="02F45519" w14:textId="135B0E6F" w:rsidR="00BC5CC7" w:rsidRPr="00411CB8" w:rsidRDefault="00BC5CC7" w:rsidP="00BC5CC7">
      <w:pPr>
        <w:pStyle w:val="Normal1"/>
        <w:ind w:left="1440"/>
        <w:rPr>
          <w:sz w:val="24"/>
          <w:szCs w:val="24"/>
        </w:rPr>
      </w:pPr>
      <w:bookmarkStart w:id="1" w:name="_Hlk117763757"/>
    </w:p>
    <w:p w14:paraId="72714D43" w14:textId="1CFE87C8" w:rsidR="00BC5CC7" w:rsidRPr="00411CB8" w:rsidRDefault="00BC5CC7" w:rsidP="00BC5CC7">
      <w:pPr>
        <w:pStyle w:val="Normal1"/>
        <w:ind w:left="720"/>
        <w:rPr>
          <w:sz w:val="24"/>
          <w:szCs w:val="24"/>
        </w:rPr>
      </w:pPr>
    </w:p>
    <w:p w14:paraId="1CF39C9B" w14:textId="77777777" w:rsidR="00BC5CC7" w:rsidRPr="00411CB8" w:rsidRDefault="00BC5CC7" w:rsidP="00BC5CC7">
      <w:pPr>
        <w:pStyle w:val="Normal1"/>
        <w:ind w:left="720"/>
        <w:rPr>
          <w:b/>
          <w:bCs/>
        </w:rPr>
      </w:pPr>
    </w:p>
    <w:p w14:paraId="485E4898" w14:textId="77777777" w:rsidR="00BC5CC7" w:rsidRPr="00411CB8" w:rsidRDefault="00BC5CC7" w:rsidP="00BC5CC7">
      <w:pPr>
        <w:spacing w:line="360" w:lineRule="auto"/>
        <w:ind w:left="1440" w:hanging="720"/>
        <w:rPr>
          <w:rFonts w:ascii="Calibri" w:hAnsi="Calibri" w:cs="Calibri"/>
        </w:rPr>
      </w:pPr>
    </w:p>
    <w:bookmarkEnd w:id="1"/>
    <w:p w14:paraId="6EFA2D2D" w14:textId="77777777" w:rsidR="00BC5CC7" w:rsidRPr="00C03608" w:rsidRDefault="00BC5CC7" w:rsidP="00C03608"/>
    <w:sectPr w:rsidR="00BC5CC7" w:rsidRPr="00C0360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A5B3D" w14:textId="77777777" w:rsidR="008C41E0" w:rsidRDefault="008C41E0" w:rsidP="008C41E0">
      <w:r>
        <w:separator/>
      </w:r>
    </w:p>
  </w:endnote>
  <w:endnote w:type="continuationSeparator" w:id="0">
    <w:p w14:paraId="2FF462A6" w14:textId="77777777" w:rsidR="008C41E0" w:rsidRDefault="008C41E0" w:rsidP="008C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20BBD" w14:textId="692C55D2" w:rsidR="008C41E0" w:rsidRDefault="00C03608">
    <w:pPr>
      <w:pStyle w:val="Footer"/>
    </w:pPr>
    <w:r>
      <w:t>Harrison Davies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61D4E" w14:textId="77777777" w:rsidR="008C41E0" w:rsidRDefault="008C41E0" w:rsidP="008C41E0">
      <w:r>
        <w:separator/>
      </w:r>
    </w:p>
  </w:footnote>
  <w:footnote w:type="continuationSeparator" w:id="0">
    <w:p w14:paraId="55BF005D" w14:textId="77777777" w:rsidR="008C41E0" w:rsidRDefault="008C41E0" w:rsidP="008C41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71C01" w14:textId="79990947" w:rsidR="008C41E0" w:rsidRDefault="00C03608" w:rsidP="008C41E0">
    <w:pPr>
      <w:pStyle w:val="Header"/>
    </w:pPr>
    <w:r>
      <w:t xml:space="preserve">Assignment 1 - </w:t>
    </w:r>
    <w:bookmarkStart w:id="2" w:name="_Hlk120781619"/>
    <w:bookmarkStart w:id="3" w:name="_Hlk120781620"/>
    <w:r w:rsidRPr="00C03608">
      <w:t>Legal and contract responsibilities in the Built Environment</w:t>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D975F2"/>
    <w:multiLevelType w:val="multilevel"/>
    <w:tmpl w:val="E6E80620"/>
    <w:lvl w:ilvl="0">
      <w:start w:val="1"/>
      <w:numFmt w:val="decimal"/>
      <w:lvlText w:val="%1.0"/>
      <w:lvlJc w:val="left"/>
      <w:pPr>
        <w:tabs>
          <w:tab w:val="num" w:pos="720"/>
        </w:tabs>
        <w:ind w:left="720" w:hanging="720"/>
      </w:pPr>
      <w:rPr>
        <w:rFonts w:hint="default"/>
        <w:b/>
        <w:sz w:val="28"/>
        <w:szCs w:val="28"/>
      </w:rPr>
    </w:lvl>
    <w:lvl w:ilvl="1">
      <w:start w:val="1"/>
      <w:numFmt w:val="decimal"/>
      <w:lvlText w:val="%1.%2"/>
      <w:lvlJc w:val="left"/>
      <w:pPr>
        <w:tabs>
          <w:tab w:val="num" w:pos="1440"/>
        </w:tabs>
        <w:ind w:left="1440" w:hanging="720"/>
      </w:pPr>
      <w:rPr>
        <w:rFonts w:hint="default"/>
        <w:b/>
        <w:sz w:val="24"/>
        <w:szCs w:val="24"/>
      </w:rPr>
    </w:lvl>
    <w:lvl w:ilvl="2">
      <w:start w:val="1"/>
      <w:numFmt w:val="bullet"/>
      <w:lvlText w:val=""/>
      <w:lvlJc w:val="left"/>
      <w:pPr>
        <w:ind w:left="1800" w:hanging="360"/>
      </w:pPr>
      <w:rPr>
        <w:rFonts w:ascii="Symbol" w:hAnsi="Symbol" w:hint="default"/>
      </w:rPr>
    </w:lvl>
    <w:lvl w:ilvl="3">
      <w:start w:val="1"/>
      <w:numFmt w:val="decimal"/>
      <w:lvlText w:val="%1.%2.%3.%4"/>
      <w:lvlJc w:val="left"/>
      <w:pPr>
        <w:tabs>
          <w:tab w:val="num" w:pos="3600"/>
        </w:tabs>
        <w:ind w:left="3600" w:hanging="1440"/>
      </w:pPr>
      <w:rPr>
        <w:rFonts w:hint="default"/>
      </w:rPr>
    </w:lvl>
    <w:lvl w:ilvl="4">
      <w:start w:val="1"/>
      <w:numFmt w:val="decimal"/>
      <w:lvlText w:val="%1.%2.%3.%4.%5"/>
      <w:lvlJc w:val="left"/>
      <w:pPr>
        <w:tabs>
          <w:tab w:val="num" w:pos="4680"/>
        </w:tabs>
        <w:ind w:left="4680" w:hanging="180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560"/>
        </w:tabs>
        <w:ind w:left="7560" w:hanging="2520"/>
      </w:pPr>
      <w:rPr>
        <w:rFonts w:hint="default"/>
      </w:rPr>
    </w:lvl>
    <w:lvl w:ilvl="8">
      <w:start w:val="1"/>
      <w:numFmt w:val="decimal"/>
      <w:lvlText w:val="%1.%2.%3.%4.%5.%6.%7.%8.%9"/>
      <w:lvlJc w:val="left"/>
      <w:pPr>
        <w:tabs>
          <w:tab w:val="num" w:pos="8640"/>
        </w:tabs>
        <w:ind w:left="8640" w:hanging="2880"/>
      </w:pPr>
      <w:rPr>
        <w:rFonts w:hint="default"/>
      </w:rPr>
    </w:lvl>
  </w:abstractNum>
  <w:abstractNum w:abstractNumId="1" w15:restartNumberingAfterBreak="0">
    <w:nsid w:val="6F10026E"/>
    <w:multiLevelType w:val="multilevel"/>
    <w:tmpl w:val="A6F46DE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BBE6D5D"/>
    <w:multiLevelType w:val="multilevel"/>
    <w:tmpl w:val="BC00BB4E"/>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819377627">
    <w:abstractNumId w:val="0"/>
  </w:num>
  <w:num w:numId="2" w16cid:durableId="129519301">
    <w:abstractNumId w:val="2"/>
  </w:num>
  <w:num w:numId="3" w16cid:durableId="112791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B98"/>
    <w:rsid w:val="001275E9"/>
    <w:rsid w:val="00290005"/>
    <w:rsid w:val="002E669A"/>
    <w:rsid w:val="00317132"/>
    <w:rsid w:val="003E321A"/>
    <w:rsid w:val="00444247"/>
    <w:rsid w:val="004A07AD"/>
    <w:rsid w:val="004B0A29"/>
    <w:rsid w:val="004E6702"/>
    <w:rsid w:val="004F4C93"/>
    <w:rsid w:val="006469E4"/>
    <w:rsid w:val="007225EE"/>
    <w:rsid w:val="00736059"/>
    <w:rsid w:val="00793412"/>
    <w:rsid w:val="007F417D"/>
    <w:rsid w:val="0085727E"/>
    <w:rsid w:val="00887B98"/>
    <w:rsid w:val="008C41E0"/>
    <w:rsid w:val="009476B6"/>
    <w:rsid w:val="00997547"/>
    <w:rsid w:val="009A387D"/>
    <w:rsid w:val="00A82F31"/>
    <w:rsid w:val="00B05132"/>
    <w:rsid w:val="00B86953"/>
    <w:rsid w:val="00BC5CC7"/>
    <w:rsid w:val="00BE6A47"/>
    <w:rsid w:val="00C03608"/>
    <w:rsid w:val="00C05512"/>
    <w:rsid w:val="00D6081F"/>
    <w:rsid w:val="00DB15AE"/>
    <w:rsid w:val="00DB2E19"/>
    <w:rsid w:val="00DB356E"/>
    <w:rsid w:val="00DC43D3"/>
    <w:rsid w:val="00DE4004"/>
    <w:rsid w:val="00DE58C3"/>
    <w:rsid w:val="00E07EDE"/>
    <w:rsid w:val="00E40B15"/>
    <w:rsid w:val="00F73D0C"/>
    <w:rsid w:val="00FA1C36"/>
    <w:rsid w:val="00FB2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24E2E3"/>
  <w15:chartTrackingRefBased/>
  <w15:docId w15:val="{BA9F5FD4-06AC-4702-9930-E66D6C088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608"/>
    <w:pPr>
      <w:spacing w:after="0" w:line="240" w:lineRule="auto"/>
    </w:pPr>
    <w:rPr>
      <w:sz w:val="24"/>
      <w:szCs w:val="24"/>
    </w:rPr>
  </w:style>
  <w:style w:type="paragraph" w:styleId="Heading1">
    <w:name w:val="heading 1"/>
    <w:basedOn w:val="Normal"/>
    <w:next w:val="Normal"/>
    <w:link w:val="Heading1Char"/>
    <w:uiPriority w:val="9"/>
    <w:qFormat/>
    <w:rsid w:val="00C0360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1E0"/>
    <w:pPr>
      <w:tabs>
        <w:tab w:val="center" w:pos="4513"/>
        <w:tab w:val="right" w:pos="9026"/>
      </w:tabs>
    </w:pPr>
  </w:style>
  <w:style w:type="character" w:customStyle="1" w:styleId="HeaderChar">
    <w:name w:val="Header Char"/>
    <w:basedOn w:val="DefaultParagraphFont"/>
    <w:link w:val="Header"/>
    <w:uiPriority w:val="99"/>
    <w:rsid w:val="008C41E0"/>
  </w:style>
  <w:style w:type="paragraph" w:styleId="Footer">
    <w:name w:val="footer"/>
    <w:basedOn w:val="Normal"/>
    <w:link w:val="FooterChar"/>
    <w:uiPriority w:val="99"/>
    <w:unhideWhenUsed/>
    <w:rsid w:val="008C41E0"/>
    <w:pPr>
      <w:tabs>
        <w:tab w:val="center" w:pos="4513"/>
        <w:tab w:val="right" w:pos="9026"/>
      </w:tabs>
    </w:pPr>
  </w:style>
  <w:style w:type="character" w:customStyle="1" w:styleId="FooterChar">
    <w:name w:val="Footer Char"/>
    <w:basedOn w:val="DefaultParagraphFont"/>
    <w:link w:val="Footer"/>
    <w:uiPriority w:val="99"/>
    <w:rsid w:val="008C41E0"/>
  </w:style>
  <w:style w:type="character" w:customStyle="1" w:styleId="Heading1Char">
    <w:name w:val="Heading 1 Char"/>
    <w:basedOn w:val="DefaultParagraphFont"/>
    <w:link w:val="Heading1"/>
    <w:uiPriority w:val="9"/>
    <w:rsid w:val="00C03608"/>
    <w:rPr>
      <w:rFonts w:asciiTheme="majorHAnsi" w:eastAsiaTheme="majorEastAsia" w:hAnsiTheme="majorHAnsi" w:cstheme="majorBidi"/>
      <w:color w:val="2F5496" w:themeColor="accent1" w:themeShade="BF"/>
      <w:sz w:val="32"/>
      <w:szCs w:val="32"/>
    </w:rPr>
  </w:style>
  <w:style w:type="paragraph" w:customStyle="1" w:styleId="Normal1">
    <w:name w:val="Normal1"/>
    <w:rsid w:val="00BC5CC7"/>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paragraph" w:styleId="Bibliography">
    <w:name w:val="Bibliography"/>
    <w:basedOn w:val="Normal"/>
    <w:next w:val="Normal"/>
    <w:uiPriority w:val="37"/>
    <w:unhideWhenUsed/>
    <w:rsid w:val="00BC5CC7"/>
    <w:rPr>
      <w:rFonts w:ascii="Times New Roman" w:eastAsia="Times New Roman" w:hAnsi="Times New Roman" w:cs="Times New Roman"/>
      <w:lang w:eastAsia="en-GB"/>
    </w:rPr>
  </w:style>
  <w:style w:type="paragraph" w:styleId="ListParagraph">
    <w:name w:val="List Paragraph"/>
    <w:basedOn w:val="Normal"/>
    <w:uiPriority w:val="34"/>
    <w:qFormat/>
    <w:rsid w:val="00BC5CC7"/>
    <w:pPr>
      <w:ind w:left="720"/>
      <w:contextualSpacing/>
    </w:pPr>
  </w:style>
  <w:style w:type="paragraph" w:styleId="TOCHeading">
    <w:name w:val="TOC Heading"/>
    <w:basedOn w:val="Heading1"/>
    <w:next w:val="Normal"/>
    <w:uiPriority w:val="39"/>
    <w:unhideWhenUsed/>
    <w:qFormat/>
    <w:rsid w:val="00D6081F"/>
    <w:pPr>
      <w:spacing w:line="259" w:lineRule="auto"/>
      <w:outlineLvl w:val="9"/>
    </w:pPr>
    <w:rPr>
      <w:lang w:val="en-US"/>
    </w:rPr>
  </w:style>
  <w:style w:type="paragraph" w:styleId="TOC1">
    <w:name w:val="toc 1"/>
    <w:basedOn w:val="Normal"/>
    <w:next w:val="Normal"/>
    <w:autoRedefine/>
    <w:uiPriority w:val="39"/>
    <w:unhideWhenUsed/>
    <w:rsid w:val="00D6081F"/>
    <w:pPr>
      <w:spacing w:after="100"/>
    </w:pPr>
  </w:style>
  <w:style w:type="character" w:styleId="Hyperlink">
    <w:name w:val="Hyperlink"/>
    <w:basedOn w:val="DefaultParagraphFont"/>
    <w:uiPriority w:val="99"/>
    <w:unhideWhenUsed/>
    <w:rsid w:val="00D608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28705">
      <w:bodyDiv w:val="1"/>
      <w:marLeft w:val="0"/>
      <w:marRight w:val="0"/>
      <w:marTop w:val="0"/>
      <w:marBottom w:val="0"/>
      <w:divBdr>
        <w:top w:val="none" w:sz="0" w:space="0" w:color="auto"/>
        <w:left w:val="none" w:sz="0" w:space="0" w:color="auto"/>
        <w:bottom w:val="none" w:sz="0" w:space="0" w:color="auto"/>
        <w:right w:val="none" w:sz="0" w:space="0" w:color="auto"/>
      </w:divBdr>
    </w:div>
    <w:div w:id="91898420">
      <w:bodyDiv w:val="1"/>
      <w:marLeft w:val="0"/>
      <w:marRight w:val="0"/>
      <w:marTop w:val="0"/>
      <w:marBottom w:val="0"/>
      <w:divBdr>
        <w:top w:val="none" w:sz="0" w:space="0" w:color="auto"/>
        <w:left w:val="none" w:sz="0" w:space="0" w:color="auto"/>
        <w:bottom w:val="none" w:sz="0" w:space="0" w:color="auto"/>
        <w:right w:val="none" w:sz="0" w:space="0" w:color="auto"/>
      </w:divBdr>
    </w:div>
    <w:div w:id="136533605">
      <w:bodyDiv w:val="1"/>
      <w:marLeft w:val="0"/>
      <w:marRight w:val="0"/>
      <w:marTop w:val="0"/>
      <w:marBottom w:val="0"/>
      <w:divBdr>
        <w:top w:val="none" w:sz="0" w:space="0" w:color="auto"/>
        <w:left w:val="none" w:sz="0" w:space="0" w:color="auto"/>
        <w:bottom w:val="none" w:sz="0" w:space="0" w:color="auto"/>
        <w:right w:val="none" w:sz="0" w:space="0" w:color="auto"/>
      </w:divBdr>
    </w:div>
    <w:div w:id="247857585">
      <w:bodyDiv w:val="1"/>
      <w:marLeft w:val="0"/>
      <w:marRight w:val="0"/>
      <w:marTop w:val="0"/>
      <w:marBottom w:val="0"/>
      <w:divBdr>
        <w:top w:val="none" w:sz="0" w:space="0" w:color="auto"/>
        <w:left w:val="none" w:sz="0" w:space="0" w:color="auto"/>
        <w:bottom w:val="none" w:sz="0" w:space="0" w:color="auto"/>
        <w:right w:val="none" w:sz="0" w:space="0" w:color="auto"/>
      </w:divBdr>
    </w:div>
    <w:div w:id="648170161">
      <w:bodyDiv w:val="1"/>
      <w:marLeft w:val="0"/>
      <w:marRight w:val="0"/>
      <w:marTop w:val="0"/>
      <w:marBottom w:val="0"/>
      <w:divBdr>
        <w:top w:val="none" w:sz="0" w:space="0" w:color="auto"/>
        <w:left w:val="none" w:sz="0" w:space="0" w:color="auto"/>
        <w:bottom w:val="none" w:sz="0" w:space="0" w:color="auto"/>
        <w:right w:val="none" w:sz="0" w:space="0" w:color="auto"/>
      </w:divBdr>
    </w:div>
    <w:div w:id="733890600">
      <w:bodyDiv w:val="1"/>
      <w:marLeft w:val="0"/>
      <w:marRight w:val="0"/>
      <w:marTop w:val="0"/>
      <w:marBottom w:val="0"/>
      <w:divBdr>
        <w:top w:val="none" w:sz="0" w:space="0" w:color="auto"/>
        <w:left w:val="none" w:sz="0" w:space="0" w:color="auto"/>
        <w:bottom w:val="none" w:sz="0" w:space="0" w:color="auto"/>
        <w:right w:val="none" w:sz="0" w:space="0" w:color="auto"/>
      </w:divBdr>
    </w:div>
    <w:div w:id="1233810171">
      <w:bodyDiv w:val="1"/>
      <w:marLeft w:val="0"/>
      <w:marRight w:val="0"/>
      <w:marTop w:val="0"/>
      <w:marBottom w:val="0"/>
      <w:divBdr>
        <w:top w:val="none" w:sz="0" w:space="0" w:color="auto"/>
        <w:left w:val="none" w:sz="0" w:space="0" w:color="auto"/>
        <w:bottom w:val="none" w:sz="0" w:space="0" w:color="auto"/>
        <w:right w:val="none" w:sz="0" w:space="0" w:color="auto"/>
      </w:divBdr>
    </w:div>
    <w:div w:id="1286545099">
      <w:bodyDiv w:val="1"/>
      <w:marLeft w:val="0"/>
      <w:marRight w:val="0"/>
      <w:marTop w:val="0"/>
      <w:marBottom w:val="0"/>
      <w:divBdr>
        <w:top w:val="none" w:sz="0" w:space="0" w:color="auto"/>
        <w:left w:val="none" w:sz="0" w:space="0" w:color="auto"/>
        <w:bottom w:val="none" w:sz="0" w:space="0" w:color="auto"/>
        <w:right w:val="none" w:sz="0" w:space="0" w:color="auto"/>
      </w:divBdr>
    </w:div>
    <w:div w:id="1287127460">
      <w:bodyDiv w:val="1"/>
      <w:marLeft w:val="0"/>
      <w:marRight w:val="0"/>
      <w:marTop w:val="0"/>
      <w:marBottom w:val="0"/>
      <w:divBdr>
        <w:top w:val="none" w:sz="0" w:space="0" w:color="auto"/>
        <w:left w:val="none" w:sz="0" w:space="0" w:color="auto"/>
        <w:bottom w:val="none" w:sz="0" w:space="0" w:color="auto"/>
        <w:right w:val="none" w:sz="0" w:space="0" w:color="auto"/>
      </w:divBdr>
    </w:div>
    <w:div w:id="1299266802">
      <w:bodyDiv w:val="1"/>
      <w:marLeft w:val="0"/>
      <w:marRight w:val="0"/>
      <w:marTop w:val="0"/>
      <w:marBottom w:val="0"/>
      <w:divBdr>
        <w:top w:val="none" w:sz="0" w:space="0" w:color="auto"/>
        <w:left w:val="none" w:sz="0" w:space="0" w:color="auto"/>
        <w:bottom w:val="none" w:sz="0" w:space="0" w:color="auto"/>
        <w:right w:val="none" w:sz="0" w:space="0" w:color="auto"/>
      </w:divBdr>
    </w:div>
    <w:div w:id="1317683389">
      <w:bodyDiv w:val="1"/>
      <w:marLeft w:val="0"/>
      <w:marRight w:val="0"/>
      <w:marTop w:val="0"/>
      <w:marBottom w:val="0"/>
      <w:divBdr>
        <w:top w:val="none" w:sz="0" w:space="0" w:color="auto"/>
        <w:left w:val="none" w:sz="0" w:space="0" w:color="auto"/>
        <w:bottom w:val="none" w:sz="0" w:space="0" w:color="auto"/>
        <w:right w:val="none" w:sz="0" w:space="0" w:color="auto"/>
      </w:divBdr>
    </w:div>
    <w:div w:id="1331906486">
      <w:bodyDiv w:val="1"/>
      <w:marLeft w:val="0"/>
      <w:marRight w:val="0"/>
      <w:marTop w:val="0"/>
      <w:marBottom w:val="0"/>
      <w:divBdr>
        <w:top w:val="none" w:sz="0" w:space="0" w:color="auto"/>
        <w:left w:val="none" w:sz="0" w:space="0" w:color="auto"/>
        <w:bottom w:val="none" w:sz="0" w:space="0" w:color="auto"/>
        <w:right w:val="none" w:sz="0" w:space="0" w:color="auto"/>
      </w:divBdr>
    </w:div>
    <w:div w:id="1438911106">
      <w:bodyDiv w:val="1"/>
      <w:marLeft w:val="0"/>
      <w:marRight w:val="0"/>
      <w:marTop w:val="0"/>
      <w:marBottom w:val="0"/>
      <w:divBdr>
        <w:top w:val="none" w:sz="0" w:space="0" w:color="auto"/>
        <w:left w:val="none" w:sz="0" w:space="0" w:color="auto"/>
        <w:bottom w:val="none" w:sz="0" w:space="0" w:color="auto"/>
        <w:right w:val="none" w:sz="0" w:space="0" w:color="auto"/>
      </w:divBdr>
    </w:div>
    <w:div w:id="1503085494">
      <w:bodyDiv w:val="1"/>
      <w:marLeft w:val="0"/>
      <w:marRight w:val="0"/>
      <w:marTop w:val="0"/>
      <w:marBottom w:val="0"/>
      <w:divBdr>
        <w:top w:val="none" w:sz="0" w:space="0" w:color="auto"/>
        <w:left w:val="none" w:sz="0" w:space="0" w:color="auto"/>
        <w:bottom w:val="none" w:sz="0" w:space="0" w:color="auto"/>
        <w:right w:val="none" w:sz="0" w:space="0" w:color="auto"/>
      </w:divBdr>
    </w:div>
    <w:div w:id="1504324304">
      <w:bodyDiv w:val="1"/>
      <w:marLeft w:val="0"/>
      <w:marRight w:val="0"/>
      <w:marTop w:val="0"/>
      <w:marBottom w:val="0"/>
      <w:divBdr>
        <w:top w:val="none" w:sz="0" w:space="0" w:color="auto"/>
        <w:left w:val="none" w:sz="0" w:space="0" w:color="auto"/>
        <w:bottom w:val="none" w:sz="0" w:space="0" w:color="auto"/>
        <w:right w:val="none" w:sz="0" w:space="0" w:color="auto"/>
      </w:divBdr>
    </w:div>
    <w:div w:id="1520854426">
      <w:bodyDiv w:val="1"/>
      <w:marLeft w:val="0"/>
      <w:marRight w:val="0"/>
      <w:marTop w:val="0"/>
      <w:marBottom w:val="0"/>
      <w:divBdr>
        <w:top w:val="none" w:sz="0" w:space="0" w:color="auto"/>
        <w:left w:val="none" w:sz="0" w:space="0" w:color="auto"/>
        <w:bottom w:val="none" w:sz="0" w:space="0" w:color="auto"/>
        <w:right w:val="none" w:sz="0" w:space="0" w:color="auto"/>
      </w:divBdr>
    </w:div>
    <w:div w:id="1668483763">
      <w:bodyDiv w:val="1"/>
      <w:marLeft w:val="0"/>
      <w:marRight w:val="0"/>
      <w:marTop w:val="0"/>
      <w:marBottom w:val="0"/>
      <w:divBdr>
        <w:top w:val="none" w:sz="0" w:space="0" w:color="auto"/>
        <w:left w:val="none" w:sz="0" w:space="0" w:color="auto"/>
        <w:bottom w:val="none" w:sz="0" w:space="0" w:color="auto"/>
        <w:right w:val="none" w:sz="0" w:space="0" w:color="auto"/>
      </w:divBdr>
    </w:div>
    <w:div w:id="1682199723">
      <w:bodyDiv w:val="1"/>
      <w:marLeft w:val="0"/>
      <w:marRight w:val="0"/>
      <w:marTop w:val="0"/>
      <w:marBottom w:val="0"/>
      <w:divBdr>
        <w:top w:val="none" w:sz="0" w:space="0" w:color="auto"/>
        <w:left w:val="none" w:sz="0" w:space="0" w:color="auto"/>
        <w:bottom w:val="none" w:sz="0" w:space="0" w:color="auto"/>
        <w:right w:val="none" w:sz="0" w:space="0" w:color="auto"/>
      </w:divBdr>
    </w:div>
    <w:div w:id="1770466386">
      <w:bodyDiv w:val="1"/>
      <w:marLeft w:val="0"/>
      <w:marRight w:val="0"/>
      <w:marTop w:val="0"/>
      <w:marBottom w:val="0"/>
      <w:divBdr>
        <w:top w:val="none" w:sz="0" w:space="0" w:color="auto"/>
        <w:left w:val="none" w:sz="0" w:space="0" w:color="auto"/>
        <w:bottom w:val="none" w:sz="0" w:space="0" w:color="auto"/>
        <w:right w:val="none" w:sz="0" w:space="0" w:color="auto"/>
      </w:divBdr>
    </w:div>
    <w:div w:id="1776049601">
      <w:bodyDiv w:val="1"/>
      <w:marLeft w:val="0"/>
      <w:marRight w:val="0"/>
      <w:marTop w:val="0"/>
      <w:marBottom w:val="0"/>
      <w:divBdr>
        <w:top w:val="none" w:sz="0" w:space="0" w:color="auto"/>
        <w:left w:val="none" w:sz="0" w:space="0" w:color="auto"/>
        <w:bottom w:val="none" w:sz="0" w:space="0" w:color="auto"/>
        <w:right w:val="none" w:sz="0" w:space="0" w:color="auto"/>
      </w:divBdr>
    </w:div>
    <w:div w:id="1801728390">
      <w:bodyDiv w:val="1"/>
      <w:marLeft w:val="0"/>
      <w:marRight w:val="0"/>
      <w:marTop w:val="0"/>
      <w:marBottom w:val="0"/>
      <w:divBdr>
        <w:top w:val="none" w:sz="0" w:space="0" w:color="auto"/>
        <w:left w:val="none" w:sz="0" w:space="0" w:color="auto"/>
        <w:bottom w:val="none" w:sz="0" w:space="0" w:color="auto"/>
        <w:right w:val="none" w:sz="0" w:space="0" w:color="auto"/>
      </w:divBdr>
    </w:div>
    <w:div w:id="1914076525">
      <w:bodyDiv w:val="1"/>
      <w:marLeft w:val="0"/>
      <w:marRight w:val="0"/>
      <w:marTop w:val="0"/>
      <w:marBottom w:val="0"/>
      <w:divBdr>
        <w:top w:val="none" w:sz="0" w:space="0" w:color="auto"/>
        <w:left w:val="none" w:sz="0" w:space="0" w:color="auto"/>
        <w:bottom w:val="none" w:sz="0" w:space="0" w:color="auto"/>
        <w:right w:val="none" w:sz="0" w:space="0" w:color="auto"/>
      </w:divBdr>
    </w:div>
    <w:div w:id="1944914947">
      <w:bodyDiv w:val="1"/>
      <w:marLeft w:val="0"/>
      <w:marRight w:val="0"/>
      <w:marTop w:val="0"/>
      <w:marBottom w:val="0"/>
      <w:divBdr>
        <w:top w:val="none" w:sz="0" w:space="0" w:color="auto"/>
        <w:left w:val="none" w:sz="0" w:space="0" w:color="auto"/>
        <w:bottom w:val="none" w:sz="0" w:space="0" w:color="auto"/>
        <w:right w:val="none" w:sz="0" w:space="0" w:color="auto"/>
      </w:divBdr>
    </w:div>
    <w:div w:id="1951741374">
      <w:bodyDiv w:val="1"/>
      <w:marLeft w:val="0"/>
      <w:marRight w:val="0"/>
      <w:marTop w:val="0"/>
      <w:marBottom w:val="0"/>
      <w:divBdr>
        <w:top w:val="none" w:sz="0" w:space="0" w:color="auto"/>
        <w:left w:val="none" w:sz="0" w:space="0" w:color="auto"/>
        <w:bottom w:val="none" w:sz="0" w:space="0" w:color="auto"/>
        <w:right w:val="none" w:sz="0" w:space="0" w:color="auto"/>
      </w:divBdr>
    </w:div>
    <w:div w:id="212241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Atk22</b:Tag>
    <b:SourceType>InternetSite</b:SourceType>
    <b:Guid>{83AB0D82-AD88-4E7F-ACB2-229871B45DE5}</b:Guid>
    <b:Title>Why Choose a Career in Construction?</b:Title>
    <b:Year>2022</b:Year>
    <b:Author>
      <b:Author>
        <b:NameList>
          <b:Person>
            <b:Last>Atkinson</b:Last>
            <b:First>Iain</b:First>
          </b:Person>
        </b:NameList>
      </b:Author>
    </b:Author>
    <b:JournalName>Eden Scott</b:JournalName>
    <b:Month>March</b:Month>
    <b:Day>07</b:Day>
    <b:URL>https://www.edenscott.com/blog/why-choose-a-career-in-construction#</b:URL>
    <b:InternetSiteTitle>Eden Scott</b:InternetSiteTitle>
    <b:RefOrder>4</b:RefOrder>
  </b:Source>
  <b:Source>
    <b:Tag>tkl21</b:Tag>
    <b:SourceType>InternetSite</b:SourceType>
    <b:Guid>{98FA9EA4-DE62-4A39-B24C-6DCCB9CA807D}</b:Guid>
    <b:Author>
      <b:Author>
        <b:Corporate>tkl Group</b:Corporate>
      </b:Author>
    </b:Author>
    <b:Title>How Is the Construction Industry Changing?</b:Title>
    <b:InternetSiteTitle>tkl Group</b:InternetSiteTitle>
    <b:Year>2021</b:Year>
    <b:Month>09</b:Month>
    <b:Day>01</b:Day>
    <b:URL>https://www.tklgroup.com/how-is-the-construction-industry-changing/</b:URL>
    <b:RefOrder>5</b:RefOrder>
  </b:Source>
  <b:Source>
    <b:Tag>BUR19</b:Tag>
    <b:SourceType>DocumentFromInternetSite</b:SourceType>
    <b:Guid>{2180108F-9566-44A2-BA17-0496B179D890}</b:Guid>
    <b:Title>Swansea Arena Starts OnsIte</b:Title>
    <b:InternetSiteTitle>BUROFOUR</b:InternetSiteTitle>
    <b:Year>2019</b:Year>
    <b:Month>12</b:Month>
    <b:Day>09</b:Day>
    <b:URL>https://burofour.com/swansea-arena-starts-onsite/</b:URL>
    <b:Author>
      <b:Author>
        <b:NameList>
          <b:Person>
            <b:Last>BUROFOUR</b:Last>
          </b:Person>
        </b:NameList>
      </b:Author>
    </b:Author>
    <b:RefOrder>6</b:RefOrder>
  </b:Source>
  <b:Source>
    <b:Tag>Cam16</b:Tag>
    <b:SourceType>InternetSite</b:SourceType>
    <b:Guid>{3031B15A-BBD2-4F4F-8959-8375832354B6}</b:Guid>
    <b:Title>Joint and Several Liability, and Vicarious Liability</b:Title>
    <b:InternetSiteTitle>Cambridge Core</b:InternetSiteTitle>
    <b:Year>2016</b:Year>
    <b:Month>06</b:Month>
    <b:Day>05</b:Day>
    <b:URL>https://www.cambridge.org/core/books/abs/tort-law/joint-and-several-liability-and-vicarious-liability/798E57D0E5FE6EF74D8A95F63088DCC6#</b:URL>
    <b:Author>
      <b:Author>
        <b:NameList>
          <b:Person>
            <b:Last>University</b:Last>
            <b:First>Cambridge</b:First>
          </b:Person>
        </b:NameList>
      </b:Author>
    </b:Author>
    <b:RefOrder>7</b:RefOrder>
  </b:Source>
  <b:Source>
    <b:Tag>Pre16</b:Tag>
    <b:SourceType>InternetSite</b:SourceType>
    <b:Guid>{98257A53-2AC2-4F05-AD5B-DDA3834E8613}</b:Guid>
    <b:Title>Joint and Several Liability, and Vicarious Liability</b:Title>
    <b:InternetSiteTitle>Cambridge University Press</b:InternetSiteTitle>
    <b:Year>2016</b:Year>
    <b:Month>06</b:Month>
    <b:Day>05</b:Day>
    <b:URL>https://www.cambridge.org/core/books/abs/tort-law/joint-and-several-liability-and-vicarious-liability/798E57D0E5FE6EF74D8A95F63088DCC6#</b:URL>
    <b:Author>
      <b:Author>
        <b:Corporate>Cambridge University Press</b:Corporate>
      </b:Author>
    </b:Author>
    <b:RefOrder>1</b:RefOrder>
  </b:Source>
  <b:Source>
    <b:Tag>Law13</b:Tag>
    <b:SourceType>InternetSite</b:SourceType>
    <b:Guid>{E05F5129-9AE0-4B2E-AEBC-D144A76AA727}</b:Guid>
    <b:Title>Donoghue v Stevenson [1932] Doctrine of negligence</b:Title>
    <b:InternetSiteTitle>LawTeacher</b:InternetSiteTitle>
    <b:Year>2013</b:Year>
    <b:Month>11</b:Month>
    <b:Day>01</b:Day>
    <b:URL>https://www.lawteacher.net/cases/donoghue-v-stevenson.php?vref=1</b:URL>
    <b:Author>
      <b:Author>
        <b:NameList>
          <b:Person>
            <b:Last>LawTeacher</b:Last>
          </b:Person>
        </b:NameList>
      </b:Author>
    </b:Author>
    <b:YearAccessed>2022</b:YearAccessed>
    <b:MonthAccessed>11</b:MonthAccessed>
    <b:DayAccessed>29</b:DayAccessed>
    <b:RefOrder>2</b:RefOrder>
  </b:Source>
  <b:Source>
    <b:Tag>Cha17</b:Tag>
    <b:SourceType>InternetSite</b:SourceType>
    <b:Guid>{EA3DED42-0B60-489D-834F-B65FE765297E}</b:Guid>
    <b:Title>Beumer Group UK Limited v Vinci Construction UK Limited [2016] EWHC 2283 (TCC)</b:Title>
    <b:Year>2017</b:Year>
    <b:YearAccessed>2022</b:YearAccessed>
    <b:MonthAccessed>12</b:MonthAccessed>
    <b:DayAccessed>01</b:DayAccessed>
    <b:URL>https://www.lexology.com/library/detail.aspx?g=c45936fc-0bdb-4040-966b-688a28e33e91</b:URL>
    <b:Author>
      <b:Author>
        <b:Corporate>Charles Russell Speechlys</b:Corporate>
      </b:Author>
    </b:Author>
    <b:InternetSiteTitle>LEXOLOGY</b:InternetSiteTitle>
    <b:Month>10</b:Month>
    <b:Day>24</b:Day>
    <b:RefOrder>3</b:RefOrder>
  </b:Source>
</b:Sources>
</file>

<file path=customXml/itemProps1.xml><?xml version="1.0" encoding="utf-8"?>
<ds:datastoreItem xmlns:ds="http://schemas.openxmlformats.org/officeDocument/2006/customXml" ds:itemID="{E75CD278-4413-46A8-97DF-2DD12927A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10</Pages>
  <Words>2055</Words>
  <Characters>11719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Davies</dc:creator>
  <cp:keywords/>
  <dc:description/>
  <cp:lastModifiedBy>Harrison Davies</cp:lastModifiedBy>
  <cp:revision>6</cp:revision>
  <dcterms:created xsi:type="dcterms:W3CDTF">2022-12-01T09:54:00Z</dcterms:created>
  <dcterms:modified xsi:type="dcterms:W3CDTF">2022-12-01T21:14:00Z</dcterms:modified>
</cp:coreProperties>
</file>