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67B284" w14:textId="0D030E7C" w:rsidR="006B5620" w:rsidRDefault="006B5620" w:rsidP="00801D28"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5BD8E2DF" wp14:editId="3D1C9814">
            <wp:simplePos x="0" y="0"/>
            <wp:positionH relativeFrom="margin">
              <wp:posOffset>0</wp:posOffset>
            </wp:positionH>
            <wp:positionV relativeFrom="paragraph">
              <wp:posOffset>323850</wp:posOffset>
            </wp:positionV>
            <wp:extent cx="2600325" cy="914400"/>
            <wp:effectExtent l="0" t="0" r="9525" b="0"/>
            <wp:wrapSquare wrapText="bothSides"/>
            <wp:docPr id="164723739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2B85AD" w14:textId="77777777" w:rsidR="006B5620" w:rsidRDefault="006B5620" w:rsidP="00801D28"/>
    <w:p w14:paraId="64B65DE1" w14:textId="77777777" w:rsidR="006B5620" w:rsidRDefault="006B5620" w:rsidP="00801D28"/>
    <w:p w14:paraId="07626FE7" w14:textId="77777777" w:rsidR="006B5620" w:rsidRDefault="006B5620" w:rsidP="00801D28"/>
    <w:p w14:paraId="4C99B0D3" w14:textId="77777777" w:rsidR="006B5620" w:rsidRDefault="006B5620" w:rsidP="00801D28"/>
    <w:p w14:paraId="54D019AD" w14:textId="5B2CC6F0" w:rsidR="006B5620" w:rsidRPr="006B5620" w:rsidRDefault="006B5620" w:rsidP="006B5620">
      <w:pPr>
        <w:rPr>
          <w:rFonts w:ascii="Arial" w:hAnsi="Arial" w:cs="Arial"/>
          <w:b/>
          <w:bCs/>
          <w:lang w:val="nl-NL"/>
        </w:rPr>
      </w:pPr>
      <w:r w:rsidRPr="006B5620">
        <w:rPr>
          <w:rFonts w:ascii="Arial" w:hAnsi="Arial" w:cs="Arial"/>
          <w:b/>
          <w:bCs/>
          <w:lang w:val="nl-NL"/>
        </w:rPr>
        <w:t>Student name:</w:t>
      </w:r>
      <w:r w:rsidRPr="006B5620">
        <w:rPr>
          <w:rFonts w:ascii="Arial" w:hAnsi="Arial" w:cs="Arial"/>
          <w:b/>
          <w:bCs/>
          <w:lang w:val="nl-NL"/>
        </w:rPr>
        <w:t xml:space="preserve"> Petra Stankova</w:t>
      </w:r>
    </w:p>
    <w:p w14:paraId="4E75D877" w14:textId="0904D53D" w:rsidR="006B5620" w:rsidRPr="006B5620" w:rsidRDefault="006B5620" w:rsidP="006B5620">
      <w:pPr>
        <w:rPr>
          <w:rFonts w:ascii="Arial" w:hAnsi="Arial" w:cs="Arial"/>
          <w:b/>
          <w:bCs/>
        </w:rPr>
      </w:pPr>
      <w:r w:rsidRPr="006B5620">
        <w:rPr>
          <w:rFonts w:ascii="Arial" w:hAnsi="Arial" w:cs="Arial"/>
          <w:b/>
          <w:bCs/>
        </w:rPr>
        <w:t>Student ID:</w:t>
      </w:r>
      <w:r w:rsidRPr="006B5620">
        <w:rPr>
          <w:rFonts w:ascii="Arial" w:hAnsi="Arial" w:cs="Arial"/>
          <w:b/>
          <w:bCs/>
        </w:rPr>
        <w:t xml:space="preserve"> 22169863</w:t>
      </w:r>
    </w:p>
    <w:p w14:paraId="19FE262C" w14:textId="77777777" w:rsidR="006B5620" w:rsidRPr="006B5620" w:rsidRDefault="006B5620" w:rsidP="006B5620">
      <w:pPr>
        <w:rPr>
          <w:rFonts w:ascii="Arial" w:hAnsi="Arial" w:cs="Arial"/>
          <w:b/>
          <w:bCs/>
        </w:rPr>
      </w:pPr>
    </w:p>
    <w:p w14:paraId="460B30C3" w14:textId="75F96A02" w:rsidR="006B5620" w:rsidRPr="006B5620" w:rsidRDefault="006B5620" w:rsidP="006B5620">
      <w:pPr>
        <w:rPr>
          <w:rFonts w:ascii="Arial" w:hAnsi="Arial" w:cs="Arial"/>
          <w:b/>
          <w:bCs/>
        </w:rPr>
      </w:pPr>
      <w:r w:rsidRPr="006B5620">
        <w:rPr>
          <w:rFonts w:ascii="Arial" w:hAnsi="Arial" w:cs="Arial"/>
          <w:b/>
          <w:bCs/>
        </w:rPr>
        <w:t>Module name:</w:t>
      </w:r>
      <w:r w:rsidRPr="006B5620">
        <w:rPr>
          <w:rFonts w:ascii="Arial" w:hAnsi="Arial" w:cs="Arial"/>
          <w:b/>
          <w:bCs/>
        </w:rPr>
        <w:t xml:space="preserve"> </w:t>
      </w:r>
      <w:r w:rsidRPr="006B5620">
        <w:rPr>
          <w:rFonts w:ascii="Arial" w:hAnsi="Arial" w:cs="Arial"/>
          <w:b/>
          <w:bCs/>
        </w:rPr>
        <w:t>Empowering the Older Person. </w:t>
      </w:r>
    </w:p>
    <w:p w14:paraId="365A8D52" w14:textId="432C6D68" w:rsidR="006B5620" w:rsidRPr="006B5620" w:rsidRDefault="006B5620" w:rsidP="006B5620">
      <w:pPr>
        <w:rPr>
          <w:rFonts w:ascii="Arial" w:hAnsi="Arial" w:cs="Arial"/>
          <w:b/>
          <w:bCs/>
          <w:lang w:val="en-US"/>
        </w:rPr>
      </w:pPr>
      <w:r w:rsidRPr="006B5620">
        <w:rPr>
          <w:rFonts w:ascii="Arial" w:hAnsi="Arial" w:cs="Arial"/>
          <w:b/>
          <w:bCs/>
          <w:lang w:val="en-US"/>
        </w:rPr>
        <w:t>Module code:</w:t>
      </w:r>
      <w:r w:rsidRPr="006B5620">
        <w:rPr>
          <w:rFonts w:ascii="Arial" w:hAnsi="Arial" w:cs="Arial"/>
          <w:b/>
          <w:bCs/>
          <w:lang w:val="en-US"/>
        </w:rPr>
        <w:t xml:space="preserve"> </w:t>
      </w:r>
      <w:r w:rsidRPr="006B5620">
        <w:rPr>
          <w:rFonts w:ascii="Arial" w:hAnsi="Arial" w:cs="Arial"/>
          <w:b/>
          <w:bCs/>
        </w:rPr>
        <w:t>BMHP6027 </w:t>
      </w:r>
    </w:p>
    <w:p w14:paraId="4AEC4C85" w14:textId="0BE57408" w:rsidR="006B5620" w:rsidRDefault="006B5620" w:rsidP="006B5620">
      <w:pPr>
        <w:rPr>
          <w:rFonts w:ascii="Arial" w:hAnsi="Arial" w:cs="Arial"/>
          <w:b/>
          <w:bCs/>
        </w:rPr>
      </w:pPr>
      <w:r w:rsidRPr="006B5620">
        <w:rPr>
          <w:rFonts w:ascii="Arial" w:hAnsi="Arial" w:cs="Arial"/>
          <w:b/>
          <w:bCs/>
          <w:lang w:val="en-US"/>
        </w:rPr>
        <w:t>Lecturer’s name</w:t>
      </w:r>
      <w:r w:rsidRPr="006B5620">
        <w:rPr>
          <w:rFonts w:ascii="Arial" w:hAnsi="Arial" w:cs="Arial"/>
          <w:b/>
          <w:bCs/>
          <w:lang w:val="en-US"/>
        </w:rPr>
        <w:t xml:space="preserve">: </w:t>
      </w:r>
      <w:r w:rsidRPr="006B5620">
        <w:rPr>
          <w:rFonts w:ascii="Arial" w:hAnsi="Arial" w:cs="Arial"/>
          <w:b/>
          <w:bCs/>
        </w:rPr>
        <w:t>Laila</w:t>
      </w:r>
      <w:r w:rsidRPr="006B5620">
        <w:rPr>
          <w:rFonts w:ascii="Arial" w:hAnsi="Arial" w:cs="Arial"/>
          <w:b/>
          <w:bCs/>
        </w:rPr>
        <w:t xml:space="preserve"> Surani</w:t>
      </w:r>
    </w:p>
    <w:p w14:paraId="66DC1EFE" w14:textId="77777777" w:rsidR="00885199" w:rsidRDefault="00885199" w:rsidP="006B5620">
      <w:pPr>
        <w:rPr>
          <w:rFonts w:ascii="Arial" w:hAnsi="Arial" w:cs="Arial"/>
          <w:b/>
          <w:bCs/>
        </w:rPr>
      </w:pPr>
    </w:p>
    <w:p w14:paraId="37A69C43" w14:textId="77777777" w:rsidR="00885199" w:rsidRDefault="00885199" w:rsidP="006B5620">
      <w:pPr>
        <w:rPr>
          <w:rFonts w:ascii="Arial" w:hAnsi="Arial" w:cs="Arial"/>
          <w:b/>
          <w:bCs/>
        </w:rPr>
      </w:pPr>
    </w:p>
    <w:p w14:paraId="6C8A054A" w14:textId="77777777" w:rsidR="00885199" w:rsidRDefault="00885199" w:rsidP="006B5620">
      <w:pPr>
        <w:rPr>
          <w:rFonts w:ascii="Arial" w:hAnsi="Arial" w:cs="Arial"/>
          <w:b/>
          <w:bCs/>
        </w:rPr>
      </w:pPr>
    </w:p>
    <w:p w14:paraId="5D581C30" w14:textId="537A64D2" w:rsidR="00885199" w:rsidRPr="006B5620" w:rsidRDefault="00885199" w:rsidP="006B5620">
      <w:pPr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 xml:space="preserve">References for the debate </w:t>
      </w:r>
    </w:p>
    <w:p w14:paraId="6FE98F97" w14:textId="77777777" w:rsidR="006B5620" w:rsidRDefault="006B5620" w:rsidP="00801D28"/>
    <w:p w14:paraId="045B8FAA" w14:textId="2E82EDCD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Age UK (2022) </w:t>
      </w:r>
      <w:r w:rsidRPr="00801D28">
        <w:rPr>
          <w:rFonts w:ascii="Arial" w:hAnsi="Arial" w:cs="Arial"/>
          <w:i/>
          <w:iCs/>
        </w:rPr>
        <w:t>Digital exclusion among older people in the UK</w:t>
      </w:r>
      <w:r w:rsidRPr="00801D28">
        <w:rPr>
          <w:rFonts w:ascii="Arial" w:hAnsi="Arial" w:cs="Arial"/>
        </w:rPr>
        <w:t>. Available at: https://www.ageuk.org.uk/information-advice/work-learning/technology-internet/digital-exclusion/ (Accessed: 3 April 2026).</w:t>
      </w:r>
    </w:p>
    <w:p w14:paraId="47A316A5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Anderson, M. and Perrin, A. (2017) </w:t>
      </w:r>
      <w:r w:rsidRPr="00801D28">
        <w:rPr>
          <w:rFonts w:ascii="Arial" w:hAnsi="Arial" w:cs="Arial"/>
          <w:i/>
          <w:iCs/>
        </w:rPr>
        <w:t>Technology use among seniors</w:t>
      </w:r>
      <w:r w:rsidRPr="00801D28">
        <w:rPr>
          <w:rFonts w:ascii="Arial" w:hAnsi="Arial" w:cs="Arial"/>
        </w:rPr>
        <w:t xml:space="preserve">. Pew Research </w:t>
      </w:r>
      <w:proofErr w:type="spellStart"/>
      <w:r w:rsidRPr="00801D28">
        <w:rPr>
          <w:rFonts w:ascii="Arial" w:hAnsi="Arial" w:cs="Arial"/>
        </w:rPr>
        <w:t>Center</w:t>
      </w:r>
      <w:proofErr w:type="spellEnd"/>
      <w:r w:rsidRPr="00801D28">
        <w:rPr>
          <w:rFonts w:ascii="Arial" w:hAnsi="Arial" w:cs="Arial"/>
        </w:rPr>
        <w:t xml:space="preserve">. Available at: </w:t>
      </w:r>
      <w:hyperlink r:id="rId7" w:tgtFrame="_new" w:history="1">
        <w:r w:rsidRPr="00801D28">
          <w:rPr>
            <w:rStyle w:val="Hyperlink"/>
            <w:rFonts w:ascii="Arial" w:hAnsi="Arial" w:cs="Arial"/>
          </w:rPr>
          <w:t>https://www.pewresearch.org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56A89704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Czaja, S. et al. (2019) ‘Technology and ageing’, </w:t>
      </w:r>
      <w:r w:rsidRPr="00801D28">
        <w:rPr>
          <w:rFonts w:ascii="Arial" w:hAnsi="Arial" w:cs="Arial"/>
          <w:i/>
          <w:iCs/>
        </w:rPr>
        <w:t>Annual Review of Gerontology</w:t>
      </w:r>
      <w:r w:rsidRPr="00801D28">
        <w:rPr>
          <w:rFonts w:ascii="Arial" w:hAnsi="Arial" w:cs="Arial"/>
        </w:rPr>
        <w:t xml:space="preserve">. Available at: </w:t>
      </w:r>
      <w:hyperlink r:id="rId8" w:tgtFrame="_new" w:history="1">
        <w:r w:rsidRPr="00801D28">
          <w:rPr>
            <w:rStyle w:val="Hyperlink"/>
            <w:rFonts w:ascii="Arial" w:hAnsi="Arial" w:cs="Arial"/>
          </w:rPr>
          <w:t>https://www.annualreviews.org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1CB65244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Friemel, T. (2016) ‘The digital divide among seniors’, </w:t>
      </w:r>
      <w:r w:rsidRPr="00801D28">
        <w:rPr>
          <w:rFonts w:ascii="Arial" w:hAnsi="Arial" w:cs="Arial"/>
          <w:i/>
          <w:iCs/>
        </w:rPr>
        <w:t>New Media &amp; Society</w:t>
      </w:r>
      <w:r w:rsidRPr="00801D28">
        <w:rPr>
          <w:rFonts w:ascii="Arial" w:hAnsi="Arial" w:cs="Arial"/>
        </w:rPr>
        <w:t xml:space="preserve">. Available at: </w:t>
      </w:r>
      <w:hyperlink r:id="rId9" w:tgtFrame="_new" w:history="1">
        <w:r w:rsidRPr="00801D28">
          <w:rPr>
            <w:rStyle w:val="Hyperlink"/>
            <w:rFonts w:ascii="Arial" w:hAnsi="Arial" w:cs="Arial"/>
          </w:rPr>
          <w:t>https://journals.sagepub.com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197EBE11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Ge, H. et al. (2025) ‘Digital exclusion in older adults: A scoping review’, </w:t>
      </w:r>
      <w:r w:rsidRPr="00801D28">
        <w:rPr>
          <w:rFonts w:ascii="Arial" w:hAnsi="Arial" w:cs="Arial"/>
          <w:i/>
          <w:iCs/>
        </w:rPr>
        <w:t>International Journal of Nursing Studies</w:t>
      </w:r>
      <w:r w:rsidRPr="00801D28">
        <w:rPr>
          <w:rFonts w:ascii="Arial" w:hAnsi="Arial" w:cs="Arial"/>
        </w:rPr>
        <w:t xml:space="preserve">. Available at: </w:t>
      </w:r>
      <w:hyperlink r:id="rId10" w:tgtFrame="_new" w:history="1">
        <w:r w:rsidRPr="00801D28">
          <w:rPr>
            <w:rStyle w:val="Hyperlink"/>
            <w:rFonts w:ascii="Arial" w:hAnsi="Arial" w:cs="Arial"/>
          </w:rPr>
          <w:t>https://www.sciencedirect.com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2E4E50F8" w14:textId="77777777" w:rsidR="00801D28" w:rsidRPr="00801D28" w:rsidRDefault="00801D28" w:rsidP="00801D28">
      <w:pPr>
        <w:rPr>
          <w:rFonts w:ascii="Arial" w:hAnsi="Arial" w:cs="Arial"/>
        </w:rPr>
      </w:pPr>
      <w:proofErr w:type="spellStart"/>
      <w:r w:rsidRPr="00801D28">
        <w:rPr>
          <w:rFonts w:ascii="Arial" w:hAnsi="Arial" w:cs="Arial"/>
        </w:rPr>
        <w:t>Gallistl</w:t>
      </w:r>
      <w:proofErr w:type="spellEnd"/>
      <w:r w:rsidRPr="00801D28">
        <w:rPr>
          <w:rFonts w:ascii="Arial" w:hAnsi="Arial" w:cs="Arial"/>
        </w:rPr>
        <w:t xml:space="preserve">, V. et al. (2020) ‘Ageing and digital exclusion’, </w:t>
      </w:r>
      <w:r w:rsidRPr="00801D28">
        <w:rPr>
          <w:rFonts w:ascii="Arial" w:hAnsi="Arial" w:cs="Arial"/>
          <w:i/>
          <w:iCs/>
        </w:rPr>
        <w:t>Journal of Aging Studies</w:t>
      </w:r>
      <w:r w:rsidRPr="00801D28">
        <w:rPr>
          <w:rFonts w:ascii="Arial" w:hAnsi="Arial" w:cs="Arial"/>
        </w:rPr>
        <w:t xml:space="preserve">. Available at: </w:t>
      </w:r>
      <w:hyperlink r:id="rId11" w:tgtFrame="_new" w:history="1">
        <w:r w:rsidRPr="00801D28">
          <w:rPr>
            <w:rStyle w:val="Hyperlink"/>
            <w:rFonts w:ascii="Arial" w:hAnsi="Arial" w:cs="Arial"/>
          </w:rPr>
          <w:t>https://www.sciencedirect.com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0D84F5D1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Good Things Foundation (2022) </w:t>
      </w:r>
      <w:r w:rsidRPr="00801D28">
        <w:rPr>
          <w:rFonts w:ascii="Arial" w:hAnsi="Arial" w:cs="Arial"/>
          <w:i/>
          <w:iCs/>
        </w:rPr>
        <w:t>The digital divide and health outcomes</w:t>
      </w:r>
      <w:r w:rsidRPr="00801D28">
        <w:rPr>
          <w:rFonts w:ascii="Arial" w:hAnsi="Arial" w:cs="Arial"/>
        </w:rPr>
        <w:t xml:space="preserve">. Available at: </w:t>
      </w:r>
      <w:hyperlink r:id="rId12" w:tgtFrame="_new" w:history="1">
        <w:r w:rsidRPr="00801D28">
          <w:rPr>
            <w:rStyle w:val="Hyperlink"/>
            <w:rFonts w:ascii="Arial" w:hAnsi="Arial" w:cs="Arial"/>
          </w:rPr>
          <w:t>https://www.goodthingsfoundation.org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40D6FD7C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lastRenderedPageBreak/>
        <w:t xml:space="preserve">Greenhalgh, T. et al. (2020) ‘Digital health and exclusion’, </w:t>
      </w:r>
      <w:r w:rsidRPr="00801D28">
        <w:rPr>
          <w:rFonts w:ascii="Arial" w:hAnsi="Arial" w:cs="Arial"/>
          <w:i/>
          <w:iCs/>
        </w:rPr>
        <w:t>BMJ</w:t>
      </w:r>
      <w:r w:rsidRPr="00801D28">
        <w:rPr>
          <w:rFonts w:ascii="Arial" w:hAnsi="Arial" w:cs="Arial"/>
        </w:rPr>
        <w:t>. Available at: https://www.bmj.com/content/371/bmj.m3688 (Accessed: 3 April 2026).</w:t>
      </w:r>
    </w:p>
    <w:p w14:paraId="12C75E7C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Helsper, E. (2021) ‘Digital inequalities and social disadvantage’, </w:t>
      </w:r>
      <w:r w:rsidRPr="00801D28">
        <w:rPr>
          <w:rFonts w:ascii="Arial" w:hAnsi="Arial" w:cs="Arial"/>
          <w:i/>
          <w:iCs/>
        </w:rPr>
        <w:t>New Media &amp; Society</w:t>
      </w:r>
      <w:r w:rsidRPr="00801D28">
        <w:rPr>
          <w:rFonts w:ascii="Arial" w:hAnsi="Arial" w:cs="Arial"/>
        </w:rPr>
        <w:t xml:space="preserve">. Available at: </w:t>
      </w:r>
      <w:hyperlink r:id="rId13" w:tgtFrame="_new" w:history="1">
        <w:r w:rsidRPr="00801D28">
          <w:rPr>
            <w:rStyle w:val="Hyperlink"/>
            <w:rFonts w:ascii="Arial" w:hAnsi="Arial" w:cs="Arial"/>
          </w:rPr>
          <w:t>https://journals.sagepub.com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058065C3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Lu, X. et al. (2023) ‘Digital exclusion and functional dependence in older adults’, </w:t>
      </w:r>
      <w:r w:rsidRPr="00801D28">
        <w:rPr>
          <w:rFonts w:ascii="Arial" w:hAnsi="Arial" w:cs="Arial"/>
          <w:i/>
          <w:iCs/>
        </w:rPr>
        <w:t>Journal of Ageing Studies</w:t>
      </w:r>
      <w:r w:rsidRPr="00801D28">
        <w:rPr>
          <w:rFonts w:ascii="Arial" w:hAnsi="Arial" w:cs="Arial"/>
        </w:rPr>
        <w:t xml:space="preserve">. Available at: </w:t>
      </w:r>
      <w:hyperlink r:id="rId14" w:tgtFrame="_new" w:history="1">
        <w:r w:rsidRPr="00801D28">
          <w:rPr>
            <w:rStyle w:val="Hyperlink"/>
            <w:rFonts w:ascii="Arial" w:hAnsi="Arial" w:cs="Arial"/>
          </w:rPr>
          <w:t>https://www.sciencedirect.com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29CC8B7C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Neves, B. et al. (2018) ‘Internet use, social isolation and loneliness’, </w:t>
      </w:r>
      <w:r w:rsidRPr="00801D28">
        <w:rPr>
          <w:rFonts w:ascii="Arial" w:hAnsi="Arial" w:cs="Arial"/>
          <w:i/>
          <w:iCs/>
        </w:rPr>
        <w:t>Journals of Gerontology</w:t>
      </w:r>
      <w:r w:rsidRPr="00801D28">
        <w:rPr>
          <w:rFonts w:ascii="Arial" w:hAnsi="Arial" w:cs="Arial"/>
        </w:rPr>
        <w:t xml:space="preserve">. Available at: </w:t>
      </w:r>
      <w:hyperlink r:id="rId15" w:tgtFrame="_new" w:history="1">
        <w:r w:rsidRPr="00801D28">
          <w:rPr>
            <w:rStyle w:val="Hyperlink"/>
            <w:rFonts w:ascii="Arial" w:hAnsi="Arial" w:cs="Arial"/>
          </w:rPr>
          <w:t>https://academic.oup.com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270FDCE1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NHS England (2023) </w:t>
      </w:r>
      <w:r w:rsidRPr="00801D28">
        <w:rPr>
          <w:rFonts w:ascii="Arial" w:hAnsi="Arial" w:cs="Arial"/>
          <w:i/>
          <w:iCs/>
        </w:rPr>
        <w:t>Digital inclusion for health and social care</w:t>
      </w:r>
      <w:r w:rsidRPr="00801D28">
        <w:rPr>
          <w:rFonts w:ascii="Arial" w:hAnsi="Arial" w:cs="Arial"/>
        </w:rPr>
        <w:t>. Available at: https://www.england.nhs.uk/digitaltechnology/inclusion/ (Accessed: 3 April 2026).</w:t>
      </w:r>
    </w:p>
    <w:p w14:paraId="26996C7F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Office for National Statistics (2021) </w:t>
      </w:r>
      <w:r w:rsidRPr="00801D28">
        <w:rPr>
          <w:rFonts w:ascii="Arial" w:hAnsi="Arial" w:cs="Arial"/>
          <w:i/>
          <w:iCs/>
        </w:rPr>
        <w:t>Internet use and older adults in the UK</w:t>
      </w:r>
      <w:r w:rsidRPr="00801D28">
        <w:rPr>
          <w:rFonts w:ascii="Arial" w:hAnsi="Arial" w:cs="Arial"/>
        </w:rPr>
        <w:t xml:space="preserve">. Available at: </w:t>
      </w:r>
      <w:hyperlink r:id="rId16" w:tgtFrame="_new" w:history="1">
        <w:r w:rsidRPr="00801D28">
          <w:rPr>
            <w:rStyle w:val="Hyperlink"/>
            <w:rFonts w:ascii="Arial" w:hAnsi="Arial" w:cs="Arial"/>
          </w:rPr>
          <w:t>https://www.ons.gov.uk/peoplepopulationandcommunity/householdcharacteristics/homeinternetandsocialmediausage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66E405EC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Peek, S. et al. (2014) ‘Factors influencing acceptance of technology in older adults’, </w:t>
      </w:r>
      <w:r w:rsidRPr="00801D28">
        <w:rPr>
          <w:rFonts w:ascii="Arial" w:hAnsi="Arial" w:cs="Arial"/>
          <w:i/>
          <w:iCs/>
        </w:rPr>
        <w:t>International Journal of Medical Informatics</w:t>
      </w:r>
      <w:r w:rsidRPr="00801D28">
        <w:rPr>
          <w:rFonts w:ascii="Arial" w:hAnsi="Arial" w:cs="Arial"/>
        </w:rPr>
        <w:t xml:space="preserve">. Available at: </w:t>
      </w:r>
      <w:hyperlink r:id="rId17" w:tgtFrame="_new" w:history="1">
        <w:r w:rsidRPr="00801D28">
          <w:rPr>
            <w:rStyle w:val="Hyperlink"/>
            <w:rFonts w:ascii="Arial" w:hAnsi="Arial" w:cs="Arial"/>
          </w:rPr>
          <w:t>https://www.sciencedirect.com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54C41B01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Robinson, L. et al. (2020) ‘Digital inequalities and why they matter’, </w:t>
      </w:r>
      <w:r w:rsidRPr="00801D28">
        <w:rPr>
          <w:rFonts w:ascii="Arial" w:hAnsi="Arial" w:cs="Arial"/>
          <w:i/>
          <w:iCs/>
        </w:rPr>
        <w:t>Information, Communication &amp; Society</w:t>
      </w:r>
      <w:r w:rsidRPr="00801D28">
        <w:rPr>
          <w:rFonts w:ascii="Arial" w:hAnsi="Arial" w:cs="Arial"/>
        </w:rPr>
        <w:t xml:space="preserve">. Available at: </w:t>
      </w:r>
      <w:hyperlink r:id="rId18" w:tgtFrame="_new" w:history="1">
        <w:r w:rsidRPr="00801D28">
          <w:rPr>
            <w:rStyle w:val="Hyperlink"/>
            <w:rFonts w:ascii="Arial" w:hAnsi="Arial" w:cs="Arial"/>
          </w:rPr>
          <w:t>https://www.tandfonline.com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024CE144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Seifert, A. et al. (2021) ‘Digital exclusion, loneliness and wellbeing’, </w:t>
      </w:r>
      <w:r w:rsidRPr="00801D28">
        <w:rPr>
          <w:rFonts w:ascii="Arial" w:hAnsi="Arial" w:cs="Arial"/>
          <w:i/>
          <w:iCs/>
        </w:rPr>
        <w:t>Gerontology</w:t>
      </w:r>
      <w:r w:rsidRPr="00801D28">
        <w:rPr>
          <w:rFonts w:ascii="Arial" w:hAnsi="Arial" w:cs="Arial"/>
        </w:rPr>
        <w:t>. Available at: https://www.karger.com/Article/FullText/512814 (Accessed: 3 April 2026).</w:t>
      </w:r>
    </w:p>
    <w:p w14:paraId="5A6A9065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Tsai, H. et al. (2017) ‘Understanding older adults and technology adoption’, </w:t>
      </w:r>
      <w:r w:rsidRPr="00801D28">
        <w:rPr>
          <w:rFonts w:ascii="Arial" w:hAnsi="Arial" w:cs="Arial"/>
          <w:i/>
          <w:iCs/>
        </w:rPr>
        <w:t>Educational Gerontology</w:t>
      </w:r>
      <w:r w:rsidRPr="00801D28">
        <w:rPr>
          <w:rFonts w:ascii="Arial" w:hAnsi="Arial" w:cs="Arial"/>
        </w:rPr>
        <w:t xml:space="preserve">. Available at: </w:t>
      </w:r>
      <w:hyperlink r:id="rId19" w:tgtFrame="_new" w:history="1">
        <w:r w:rsidRPr="00801D28">
          <w:rPr>
            <w:rStyle w:val="Hyperlink"/>
            <w:rFonts w:ascii="Arial" w:hAnsi="Arial" w:cs="Arial"/>
          </w:rPr>
          <w:t>https://www.tandfonline.com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4532505B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Van Deursen, A. (2020) ‘Digital inequality during a pandemic’, </w:t>
      </w:r>
      <w:r w:rsidRPr="00801D28">
        <w:rPr>
          <w:rFonts w:ascii="Arial" w:hAnsi="Arial" w:cs="Arial"/>
          <w:i/>
          <w:iCs/>
        </w:rPr>
        <w:t>Information Society</w:t>
      </w:r>
      <w:r w:rsidRPr="00801D28">
        <w:rPr>
          <w:rFonts w:ascii="Arial" w:hAnsi="Arial" w:cs="Arial"/>
        </w:rPr>
        <w:t xml:space="preserve">. Available at: </w:t>
      </w:r>
      <w:hyperlink r:id="rId20" w:tgtFrame="_new" w:history="1">
        <w:r w:rsidRPr="00801D28">
          <w:rPr>
            <w:rStyle w:val="Hyperlink"/>
            <w:rFonts w:ascii="Arial" w:hAnsi="Arial" w:cs="Arial"/>
          </w:rPr>
          <w:t>https://www.tandfonline.com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36417F7D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Vroman, K. et al. (2015) ‘Barriers to technology use in older adults’, </w:t>
      </w:r>
      <w:proofErr w:type="spellStart"/>
      <w:r w:rsidRPr="00801D28">
        <w:rPr>
          <w:rFonts w:ascii="Arial" w:hAnsi="Arial" w:cs="Arial"/>
          <w:i/>
          <w:iCs/>
        </w:rPr>
        <w:t>Gerontechnology</w:t>
      </w:r>
      <w:proofErr w:type="spellEnd"/>
      <w:r w:rsidRPr="00801D28">
        <w:rPr>
          <w:rFonts w:ascii="Arial" w:hAnsi="Arial" w:cs="Arial"/>
        </w:rPr>
        <w:t xml:space="preserve">. Available at: </w:t>
      </w:r>
      <w:hyperlink r:id="rId21" w:tgtFrame="_new" w:history="1">
        <w:r w:rsidRPr="00801D28">
          <w:rPr>
            <w:rStyle w:val="Hyperlink"/>
            <w:rFonts w:ascii="Arial" w:hAnsi="Arial" w:cs="Arial"/>
          </w:rPr>
          <w:t>https://www.gerontechnology.org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09C49C61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Wang, Y. et al. (2024) ‘Digital exclusion and cognitive impairment in older people’, </w:t>
      </w:r>
      <w:r w:rsidRPr="00801D28">
        <w:rPr>
          <w:rFonts w:ascii="Arial" w:hAnsi="Arial" w:cs="Arial"/>
          <w:i/>
          <w:iCs/>
        </w:rPr>
        <w:t>BMC Geriatrics</w:t>
      </w:r>
      <w:r w:rsidRPr="00801D28">
        <w:rPr>
          <w:rFonts w:ascii="Arial" w:hAnsi="Arial" w:cs="Arial"/>
        </w:rPr>
        <w:t xml:space="preserve">. Available at: </w:t>
      </w:r>
      <w:r w:rsidRPr="00801D28">
        <w:rPr>
          <w:rFonts w:ascii="Arial" w:hAnsi="Arial" w:cs="Arial"/>
        </w:rPr>
        <w:fldChar w:fldCharType="begin"/>
      </w:r>
      <w:r w:rsidRPr="00801D28">
        <w:rPr>
          <w:rFonts w:ascii="Arial" w:hAnsi="Arial" w:cs="Arial"/>
        </w:rPr>
        <w:instrText>HYPERLINK "https://bmcgeriatr.biomedcentral.com" \t "_new"</w:instrText>
      </w:r>
      <w:r w:rsidRPr="00801D28">
        <w:rPr>
          <w:rFonts w:ascii="Arial" w:hAnsi="Arial" w:cs="Arial"/>
        </w:rPr>
      </w:r>
      <w:r w:rsidRPr="00801D28">
        <w:rPr>
          <w:rFonts w:ascii="Arial" w:hAnsi="Arial" w:cs="Arial"/>
        </w:rPr>
        <w:fldChar w:fldCharType="separate"/>
      </w:r>
      <w:r w:rsidRPr="00801D28">
        <w:rPr>
          <w:rStyle w:val="Hyperlink"/>
          <w:rFonts w:ascii="Arial" w:hAnsi="Arial" w:cs="Arial"/>
        </w:rPr>
        <w:t>https://bmcgeriatr.biomedcentral.com</w:t>
      </w:r>
      <w:r w:rsidRPr="00801D28">
        <w:rPr>
          <w:rFonts w:ascii="Arial" w:hAnsi="Arial" w:cs="Arial"/>
        </w:rPr>
        <w:fldChar w:fldCharType="end"/>
      </w:r>
      <w:r w:rsidRPr="00801D28">
        <w:rPr>
          <w:rFonts w:ascii="Arial" w:hAnsi="Arial" w:cs="Arial"/>
        </w:rPr>
        <w:t xml:space="preserve"> (Accessed: 3 April 2026).</w:t>
      </w:r>
    </w:p>
    <w:p w14:paraId="56AFF108" w14:textId="77777777" w:rsidR="00801D28" w:rsidRPr="00801D28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World Health Organization (2021) </w:t>
      </w:r>
      <w:r w:rsidRPr="00801D28">
        <w:rPr>
          <w:rFonts w:ascii="Arial" w:hAnsi="Arial" w:cs="Arial"/>
          <w:i/>
          <w:iCs/>
        </w:rPr>
        <w:t>Global strategy on digital health 2020–2025</w:t>
      </w:r>
      <w:r w:rsidRPr="00801D28">
        <w:rPr>
          <w:rFonts w:ascii="Arial" w:hAnsi="Arial" w:cs="Arial"/>
        </w:rPr>
        <w:t xml:space="preserve">. Available at: </w:t>
      </w:r>
      <w:hyperlink r:id="rId22" w:tgtFrame="_new" w:history="1">
        <w:r w:rsidRPr="00801D28">
          <w:rPr>
            <w:rStyle w:val="Hyperlink"/>
            <w:rFonts w:ascii="Arial" w:hAnsi="Arial" w:cs="Arial"/>
          </w:rPr>
          <w:t>https://www.who.int/publications/i/item/9789240020924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36BE97CC" w14:textId="77777777" w:rsidR="00801D28" w:rsidRPr="006B5620" w:rsidRDefault="00801D28" w:rsidP="00801D28">
      <w:pPr>
        <w:rPr>
          <w:rFonts w:ascii="Arial" w:hAnsi="Arial" w:cs="Arial"/>
        </w:rPr>
      </w:pPr>
      <w:r w:rsidRPr="00801D28">
        <w:rPr>
          <w:rFonts w:ascii="Arial" w:hAnsi="Arial" w:cs="Arial"/>
        </w:rPr>
        <w:t xml:space="preserve">Xie, B. (2011) ‘Older adults, e-health literacy and access’, </w:t>
      </w:r>
      <w:r w:rsidRPr="00801D28">
        <w:rPr>
          <w:rFonts w:ascii="Arial" w:hAnsi="Arial" w:cs="Arial"/>
          <w:i/>
          <w:iCs/>
        </w:rPr>
        <w:t>Journal of Medical Internet Research</w:t>
      </w:r>
      <w:r w:rsidRPr="00801D28">
        <w:rPr>
          <w:rFonts w:ascii="Arial" w:hAnsi="Arial" w:cs="Arial"/>
        </w:rPr>
        <w:t xml:space="preserve">. Available at: </w:t>
      </w:r>
      <w:hyperlink r:id="rId23" w:tgtFrame="_new" w:history="1">
        <w:r w:rsidRPr="00801D28">
          <w:rPr>
            <w:rStyle w:val="Hyperlink"/>
            <w:rFonts w:ascii="Arial" w:hAnsi="Arial" w:cs="Arial"/>
          </w:rPr>
          <w:t>https://www.jmir.org</w:t>
        </w:r>
      </w:hyperlink>
      <w:r w:rsidRPr="00801D28">
        <w:rPr>
          <w:rFonts w:ascii="Arial" w:hAnsi="Arial" w:cs="Arial"/>
        </w:rPr>
        <w:t xml:space="preserve"> (Accessed: 3 April 2026).</w:t>
      </w:r>
    </w:p>
    <w:p w14:paraId="165B17B0" w14:textId="5549D1EC" w:rsidR="00801D28" w:rsidRPr="00801D28" w:rsidRDefault="00801D28" w:rsidP="00801D28"/>
    <w:p w14:paraId="65BB679B" w14:textId="77777777" w:rsidR="00801D28" w:rsidRPr="00801D28" w:rsidRDefault="00801D28" w:rsidP="00801D28">
      <w:pPr>
        <w:rPr>
          <w:vanish/>
        </w:rPr>
      </w:pPr>
      <w:r w:rsidRPr="00801D28">
        <w:rPr>
          <w:vanish/>
        </w:rPr>
        <w:t>Bottom of Form</w:t>
      </w:r>
    </w:p>
    <w:p w14:paraId="195115F7" w14:textId="77777777" w:rsidR="0008212A" w:rsidRDefault="0008212A"/>
    <w:sectPr w:rsidR="000821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6437FC"/>
    <w:multiLevelType w:val="multilevel"/>
    <w:tmpl w:val="E9B09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4F131D"/>
    <w:multiLevelType w:val="multilevel"/>
    <w:tmpl w:val="C3120C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0A03C8"/>
    <w:multiLevelType w:val="multilevel"/>
    <w:tmpl w:val="95B6E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EF6CCE"/>
    <w:multiLevelType w:val="multilevel"/>
    <w:tmpl w:val="CBBC8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8616E65"/>
    <w:multiLevelType w:val="multilevel"/>
    <w:tmpl w:val="C2B2C2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5846D51"/>
    <w:multiLevelType w:val="multilevel"/>
    <w:tmpl w:val="263407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C470FA"/>
    <w:multiLevelType w:val="multilevel"/>
    <w:tmpl w:val="113CA1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D461CD0"/>
    <w:multiLevelType w:val="multilevel"/>
    <w:tmpl w:val="0E3085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1345AE4"/>
    <w:multiLevelType w:val="multilevel"/>
    <w:tmpl w:val="46523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6FC3F7E"/>
    <w:multiLevelType w:val="multilevel"/>
    <w:tmpl w:val="1960E9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71375617">
    <w:abstractNumId w:val="2"/>
  </w:num>
  <w:num w:numId="2" w16cid:durableId="753665863">
    <w:abstractNumId w:val="6"/>
  </w:num>
  <w:num w:numId="3" w16cid:durableId="69542660">
    <w:abstractNumId w:val="9"/>
  </w:num>
  <w:num w:numId="4" w16cid:durableId="1915552537">
    <w:abstractNumId w:val="4"/>
  </w:num>
  <w:num w:numId="5" w16cid:durableId="421921621">
    <w:abstractNumId w:val="0"/>
  </w:num>
  <w:num w:numId="6" w16cid:durableId="1006984816">
    <w:abstractNumId w:val="1"/>
  </w:num>
  <w:num w:numId="7" w16cid:durableId="1788116406">
    <w:abstractNumId w:val="7"/>
  </w:num>
  <w:num w:numId="8" w16cid:durableId="881484026">
    <w:abstractNumId w:val="3"/>
  </w:num>
  <w:num w:numId="9" w16cid:durableId="214048964">
    <w:abstractNumId w:val="8"/>
  </w:num>
  <w:num w:numId="10" w16cid:durableId="95132762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212A"/>
    <w:rsid w:val="0008212A"/>
    <w:rsid w:val="00337290"/>
    <w:rsid w:val="00670B7B"/>
    <w:rsid w:val="006B5620"/>
    <w:rsid w:val="00801D28"/>
    <w:rsid w:val="00885199"/>
    <w:rsid w:val="008F3122"/>
    <w:rsid w:val="00B77761"/>
    <w:rsid w:val="00D30003"/>
    <w:rsid w:val="00F02C67"/>
    <w:rsid w:val="00F42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D0F00"/>
  <w15:chartTrackingRefBased/>
  <w15:docId w15:val="{4142E33B-3D8C-4DC9-8E85-2ECB78022F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2DC7"/>
  </w:style>
  <w:style w:type="paragraph" w:styleId="Heading1">
    <w:name w:val="heading 1"/>
    <w:basedOn w:val="Normal"/>
    <w:next w:val="Normal"/>
    <w:link w:val="Heading1Char"/>
    <w:uiPriority w:val="9"/>
    <w:qFormat/>
    <w:rsid w:val="00F42DC7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2DC7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2DC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2DC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2DC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2DC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2DC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2DC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2DC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2DC7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2D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2DC7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2DC7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2DC7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2DC7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2DC7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2DC7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2DC7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42DC7"/>
    <w:pPr>
      <w:spacing w:line="240" w:lineRule="auto"/>
    </w:pPr>
    <w:rPr>
      <w:b/>
      <w:bCs/>
      <w:smallCaps/>
      <w:color w:val="0E2841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F42DC7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42DC7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2DC7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2DC7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F42DC7"/>
    <w:rPr>
      <w:b/>
      <w:bCs/>
    </w:rPr>
  </w:style>
  <w:style w:type="character" w:styleId="Emphasis">
    <w:name w:val="Emphasis"/>
    <w:basedOn w:val="DefaultParagraphFont"/>
    <w:uiPriority w:val="20"/>
    <w:qFormat/>
    <w:rsid w:val="00F42DC7"/>
    <w:rPr>
      <w:i/>
      <w:iCs/>
    </w:rPr>
  </w:style>
  <w:style w:type="paragraph" w:styleId="NoSpacing">
    <w:name w:val="No Spacing"/>
    <w:uiPriority w:val="1"/>
    <w:qFormat/>
    <w:rsid w:val="00F42DC7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F42DC7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F42DC7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42DC7"/>
    <w:rPr>
      <w:color w:val="0E2841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2DC7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2DC7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F42DC7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F42DC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42DC7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F42DC7"/>
    <w:rPr>
      <w:b/>
      <w:bCs/>
      <w:smallCaps/>
      <w:color w:val="0E2841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F42DC7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42DC7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801D2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1D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01D2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nnualreviews.org" TargetMode="External"/><Relationship Id="rId13" Type="http://schemas.openxmlformats.org/officeDocument/2006/relationships/hyperlink" Target="https://journals.sagepub.com" TargetMode="External"/><Relationship Id="rId18" Type="http://schemas.openxmlformats.org/officeDocument/2006/relationships/hyperlink" Target="https://www.tandfonline.co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erontechnology.org" TargetMode="External"/><Relationship Id="rId7" Type="http://schemas.openxmlformats.org/officeDocument/2006/relationships/hyperlink" Target="https://www.pewresearch.org" TargetMode="External"/><Relationship Id="rId12" Type="http://schemas.openxmlformats.org/officeDocument/2006/relationships/hyperlink" Target="https://www.goodthingsfoundation.org" TargetMode="External"/><Relationship Id="rId17" Type="http://schemas.openxmlformats.org/officeDocument/2006/relationships/hyperlink" Target="https://www.sciencedirect.com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ons.gov.uk/peoplepopulationandcommunity/householdcharacteristics/homeinternetandsocialmediausage" TargetMode="External"/><Relationship Id="rId20" Type="http://schemas.openxmlformats.org/officeDocument/2006/relationships/hyperlink" Target="https://www.tandfonline.com" TargetMode="Externa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www.sciencedirect.com" TargetMode="External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academic.oup.com" TargetMode="External"/><Relationship Id="rId23" Type="http://schemas.openxmlformats.org/officeDocument/2006/relationships/hyperlink" Target="https://www.jmir.org" TargetMode="External"/><Relationship Id="rId10" Type="http://schemas.openxmlformats.org/officeDocument/2006/relationships/hyperlink" Target="https://www.sciencedirect.com" TargetMode="External"/><Relationship Id="rId19" Type="http://schemas.openxmlformats.org/officeDocument/2006/relationships/hyperlink" Target="https://www.tandfonline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ournals.sagepub.com" TargetMode="External"/><Relationship Id="rId14" Type="http://schemas.openxmlformats.org/officeDocument/2006/relationships/hyperlink" Target="https://www.sciencedirect.com" TargetMode="External"/><Relationship Id="rId22" Type="http://schemas.openxmlformats.org/officeDocument/2006/relationships/hyperlink" Target="https://www.who.int/publications/i/item/97892400209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2</Pages>
  <Words>747</Words>
  <Characters>4259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Petra Stankova</dc:creator>
  <cp:keywords/>
  <dc:description/>
  <cp:lastModifiedBy>Petra Stankova</cp:lastModifiedBy>
  <cp:revision>1</cp:revision>
  <dcterms:created xsi:type="dcterms:W3CDTF">2026-04-10T02:29:00Z</dcterms:created>
  <dcterms:modified xsi:type="dcterms:W3CDTF">2026-04-10T11:26:00Z</dcterms:modified>
</cp:coreProperties>
</file>